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2074x1_def14a_100-regcov_pg1"/>
        <w:bookmarkStart w:id="1" w:name="ny20052074x1_def14a.htm"/>
        <w:bookmarkStart w:id="2" w:name="ksny20052074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Proxy Statement Pursuant to Section 14(a) of the Securities Exchange Act of 1934 </w:t>
      </w:r>
    </w:p>
    <w:tbl>
      <w:tblPr>
        <w:tblW w:w="7595" w:type="dxa"/>
        <w:jc w:val="left"/>
        <w:tblInd w:w="0" w:type="dxa"/>
        <w:tblLayout w:type="fixed"/>
        <w:tblCellMar>
          <w:top w:w="0" w:type="dxa"/>
          <w:left w:w="0" w:type="dxa"/>
          <w:bottom w:w="0" w:type="dxa"/>
          <w:right w:w="0" w:type="dxa"/>
        </w:tblCellMar>
      </w:tblPr>
      <w:tblGrid>
        <w:gridCol w:w="380"/>
        <w:gridCol w:w="170"/>
        <w:gridCol w:w="170"/>
        <w:gridCol w:w="6875"/>
      </w:tblGrid>
      <w:tr>
        <w:trPr/>
        <w:tc>
          <w:tcPr>
            <w:tcW w:w="7595" w:type="dxa"/>
            <w:gridSpan w:val="4"/>
            <w:tcBorders/>
            <w:vAlign w:val="center"/>
          </w:tcPr>
          <w:p>
            <w:pPr>
              <w:pStyle w:val="TableContents"/>
              <w:bidi w:val="0"/>
              <w:spacing w:before="0" w:after="0"/>
              <w:jc w:val="left"/>
              <w:rPr/>
            </w:pPr>
            <w:r>
              <w:rPr/>
              <w:t> </w:t>
            </w:r>
          </w:p>
        </w:tc>
      </w:tr>
      <w:tr>
        <w:trPr/>
        <w:tc>
          <w:tcPr>
            <w:tcW w:w="7595" w:type="dxa"/>
            <w:gridSpan w:val="4"/>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Filed by the Registrant ☒ </w:t>
            </w:r>
          </w:p>
        </w:tc>
      </w:tr>
      <w:tr>
        <w:trPr/>
        <w:tc>
          <w:tcPr>
            <w:tcW w:w="7595" w:type="dxa"/>
            <w:gridSpan w:val="4"/>
            <w:tcBorders/>
            <w:vAlign w:val="center"/>
          </w:tcPr>
          <w:p>
            <w:pPr>
              <w:pStyle w:val="TableContents"/>
              <w:bidi w:val="0"/>
              <w:spacing w:before="8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Filed by party other than the Registrant  ☐ </w:t>
            </w:r>
          </w:p>
        </w:tc>
      </w:tr>
      <w:tr>
        <w:trPr/>
        <w:tc>
          <w:tcPr>
            <w:tcW w:w="7595" w:type="dxa"/>
            <w:gridSpan w:val="4"/>
            <w:tcBorders/>
            <w:vAlign w:val="center"/>
          </w:tcPr>
          <w:p>
            <w:pPr>
              <w:pStyle w:val="TableContents"/>
              <w:bidi w:val="0"/>
              <w:spacing w:before="8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Check the appropriate box: </w:t>
            </w:r>
          </w:p>
        </w:tc>
      </w:tr>
      <w:tr>
        <w:trPr/>
        <w:tc>
          <w:tcPr>
            <w:tcW w:w="380" w:type="dxa"/>
            <w:tcBorders/>
            <w:vAlign w:val="center"/>
          </w:tcPr>
          <w:p>
            <w:pPr>
              <w:pStyle w:val="TableContents"/>
              <w:bidi w:val="0"/>
              <w:spacing w:before="80" w:after="283"/>
              <w:ind w:left="0" w:right="0" w:hanging="0"/>
              <w:jc w:val="left"/>
              <w:rPr>
                <w:color w:val="14202A"/>
              </w:rPr>
            </w:pPr>
            <w:r>
              <w:rPr>
                <w:color w:val="14202A"/>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Preliminary Proxy Statement </w:t>
            </w:r>
          </w:p>
        </w:tc>
      </w:tr>
      <w:tr>
        <w:trPr/>
        <w:tc>
          <w:tcPr>
            <w:tcW w:w="380" w:type="dxa"/>
            <w:tcBorders/>
            <w:vAlign w:val="center"/>
          </w:tcPr>
          <w:p>
            <w:pPr>
              <w:pStyle w:val="TableContents"/>
              <w:bidi w:val="0"/>
              <w:spacing w:before="80" w:after="283"/>
              <w:ind w:left="0" w:right="0" w:hanging="0"/>
              <w:jc w:val="left"/>
              <w:rPr>
                <w:color w:val="14202A"/>
              </w:rPr>
            </w:pPr>
            <w:r>
              <w:rPr>
                <w:color w:val="14202A"/>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0" w:right="0" w:hanging="0"/>
              <w:jc w:val="left"/>
              <w:rPr>
                <w:rFonts w:ascii="Times New Roman;Times;serif" w:hAnsi="Times New Roman;Times;serif"/>
                <w:b/>
                <w:color w:val="14202A"/>
                <w:sz w:val="20"/>
              </w:rPr>
            </w:pPr>
            <w:r>
              <w:rPr>
                <w:rFonts w:ascii="Times New Roman;Times;serif" w:hAnsi="Times New Roman;Times;serif"/>
                <w:b/>
                <w:color w:val="14202A"/>
                <w:sz w:val="20"/>
              </w:rPr>
              <w:t xml:space="preserve">Confidential, For Use of the Commission Only (as permitted by Rule 14a-6(e)(2)) </w:t>
            </w:r>
          </w:p>
        </w:tc>
      </w:tr>
      <w:tr>
        <w:trPr/>
        <w:tc>
          <w:tcPr>
            <w:tcW w:w="380" w:type="dxa"/>
            <w:tcBorders/>
            <w:vAlign w:val="center"/>
          </w:tcPr>
          <w:p>
            <w:pPr>
              <w:pStyle w:val="TableContents"/>
              <w:bidi w:val="0"/>
              <w:spacing w:before="80" w:after="283"/>
              <w:ind w:left="0" w:right="0" w:hanging="0"/>
              <w:jc w:val="left"/>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Definitive Proxy Statement </w:t>
            </w:r>
          </w:p>
        </w:tc>
      </w:tr>
      <w:tr>
        <w:trPr/>
        <w:tc>
          <w:tcPr>
            <w:tcW w:w="380" w:type="dxa"/>
            <w:tcBorders/>
            <w:vAlign w:val="center"/>
          </w:tcPr>
          <w:p>
            <w:pPr>
              <w:pStyle w:val="TableContents"/>
              <w:bidi w:val="0"/>
              <w:spacing w:before="80" w:after="283"/>
              <w:ind w:left="0" w:right="0" w:hanging="0"/>
              <w:jc w:val="left"/>
              <w:rPr>
                <w:color w:val="14202A"/>
              </w:rPr>
            </w:pPr>
            <w:r>
              <w:rPr>
                <w:color w:val="14202A"/>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Definitive Additional Materials </w:t>
            </w:r>
          </w:p>
        </w:tc>
      </w:tr>
      <w:tr>
        <w:trPr/>
        <w:tc>
          <w:tcPr>
            <w:tcW w:w="380" w:type="dxa"/>
            <w:tcBorders/>
            <w:vAlign w:val="center"/>
          </w:tcPr>
          <w:p>
            <w:pPr>
              <w:pStyle w:val="TableContents"/>
              <w:bidi w:val="0"/>
              <w:spacing w:before="80" w:after="283"/>
              <w:ind w:left="0" w:right="0" w:hanging="0"/>
              <w:jc w:val="left"/>
              <w:rPr>
                <w:color w:val="14202A"/>
              </w:rPr>
            </w:pPr>
            <w:r>
              <w:rPr>
                <w:color w:val="14202A"/>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Soliciting Material under § 240.14a-12</w:t>
            </w:r>
          </w:p>
        </w:tc>
      </w:tr>
      <w:tr>
        <w:trPr/>
        <w:tc>
          <w:tcPr>
            <w:tcW w:w="3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5" w:type="dxa"/>
            <w:tcBorders/>
            <w:vAlign w:val="center"/>
          </w:tcPr>
          <w:p>
            <w:pPr>
              <w:pStyle w:val="TableContents"/>
              <w:bidi w:val="0"/>
              <w:spacing w:before="0" w:after="0"/>
              <w:jc w:val="left"/>
              <w:rPr/>
            </w:pPr>
            <w:r>
              <w:rPr/>
              <w:t> </w:t>
            </w:r>
          </w:p>
        </w:tc>
      </w:tr>
    </w:tbl>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0"/>
              <w:jc w:val="left"/>
              <w:rPr/>
            </w:pPr>
            <w:r>
              <w:rPr/>
              <w:t> </w:t>
            </w:r>
          </w:p>
        </w:tc>
      </w:tr>
      <w:tr>
        <w:trPr/>
        <w:tc>
          <w:tcPr>
            <w:tcW w:w="5900" w:type="dxa"/>
            <w:tcBorders/>
            <w:vAlign w:val="center"/>
          </w:tcPr>
          <w:p>
            <w:pPr>
              <w:pStyle w:val="TableContents"/>
              <w:bidi w:val="0"/>
              <w:spacing w:before="0" w:after="283"/>
              <w:jc w:val="center"/>
              <w:rPr>
                <w:color w:val="14202A"/>
              </w:rPr>
            </w:pPr>
            <w:r>
              <w:rPr>
                <w:color w:val="14202A"/>
              </w:rPr>
              <w:drawing>
                <wp:inline distT="0" distB="0" distL="0" distR="0">
                  <wp:extent cx="24479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581025"/>
                          </a:xfrm>
                          <a:prstGeom prst="rect">
                            <a:avLst/>
                          </a:prstGeom>
                        </pic:spPr>
                      </pic:pic>
                    </a:graphicData>
                  </a:graphic>
                </wp:inline>
              </w:drawing>
            </w:r>
          </w:p>
          <w:p>
            <w:pPr>
              <w:pStyle w:val="TableContents"/>
              <w:bidi w:val="0"/>
              <w:spacing w:before="0" w:after="283"/>
              <w:ind w:left="200" w:right="0" w:hanging="0"/>
              <w:jc w:val="left"/>
              <w:rPr>
                <w:color w:val="14202A"/>
              </w:rPr>
            </w:pPr>
            <w:r>
              <w:rPr>
                <w:color w:val="14202A"/>
              </w:rPr>
              <w:t> </w:t>
            </w:r>
          </w:p>
        </w:tc>
      </w:tr>
      <w:tr>
        <w:trPr/>
        <w:tc>
          <w:tcPr>
            <w:tcW w:w="5900" w:type="dxa"/>
            <w:tcBorders/>
            <w:vAlign w:val="center"/>
          </w:tcPr>
          <w:p>
            <w:pPr>
              <w:pStyle w:val="TableContents"/>
              <w:bidi w:val="0"/>
              <w:spacing w:before="0" w:after="283"/>
              <w:ind w:left="0" w:right="0" w:hanging="0"/>
              <w:jc w:val="left"/>
              <w:rPr>
                <w:color w:val="14202A"/>
              </w:rPr>
            </w:pPr>
            <w:r>
              <w:rPr>
                <w:color w:val="14202A"/>
              </w:rPr>
              <w:t> </w:t>
            </w:r>
          </w:p>
        </w:tc>
      </w:tr>
      <w:tr>
        <w:trPr/>
        <w:tc>
          <w:tcPr>
            <w:tcW w:w="59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14202A"/>
                <w:sz w:val="36"/>
                <w:u w:val="single"/>
              </w:rPr>
            </w:pPr>
            <w:r>
              <w:rPr>
                <w:rFonts w:ascii="Times New Roman;Times;serif" w:hAnsi="Times New Roman;Times;serif"/>
                <w:b/>
                <w:color w:val="14202A"/>
                <w:sz w:val="36"/>
                <w:u w:val="single"/>
              </w:rPr>
              <w:t xml:space="preserve">WINNEBAGO INDUSTRIES, INC. </w:t>
            </w:r>
          </w:p>
        </w:tc>
      </w:tr>
      <w:tr>
        <w:trPr/>
        <w:tc>
          <w:tcPr>
            <w:tcW w:w="5900" w:type="dxa"/>
            <w:tcBorders/>
            <w:vAlign w:val="center"/>
          </w:tcPr>
          <w:p>
            <w:pPr>
              <w:pStyle w:val="TableContents"/>
              <w:bidi w:val="0"/>
              <w:spacing w:before="0" w:after="283"/>
              <w:jc w:val="center"/>
              <w:rPr>
                <w:rFonts w:ascii="Times New Roman;Times;serif" w:hAnsi="Times New Roman;Times;serif"/>
                <w:color w:val="14202A"/>
                <w:sz w:val="20"/>
                <w:u w:val="single"/>
              </w:rPr>
            </w:pPr>
            <w:r>
              <w:rPr>
                <w:rFonts w:ascii="Times New Roman;Times;serif" w:hAnsi="Times New Roman;Times;serif"/>
                <w:color w:val="14202A"/>
                <w:sz w:val="20"/>
                <w:u w:val="single"/>
              </w:rPr>
              <w:t>(Name of Registrant as Specified in its Charter)</w:t>
            </w:r>
          </w:p>
        </w:tc>
      </w:tr>
      <w:tr>
        <w:trPr/>
        <w:tc>
          <w:tcPr>
            <w:tcW w:w="5900" w:type="dxa"/>
            <w:tcBorders>
              <w:bottom w:val="single" w:sz="8" w:space="0" w:color="000000"/>
            </w:tcBorders>
            <w:tcMar>
              <w:bottom w:w="28" w:type="dxa"/>
            </w:tcMar>
            <w:vAlign w:val="center"/>
          </w:tcPr>
          <w:p>
            <w:pPr>
              <w:pStyle w:val="TableContents"/>
              <w:bidi w:val="0"/>
              <w:spacing w:before="0" w:after="0"/>
              <w:jc w:val="left"/>
              <w:rPr>
                <w:color w:val="14202A"/>
              </w:rPr>
            </w:pPr>
            <w:r>
              <w:rPr>
                <w:color w:val="14202A"/>
              </w:rPr>
              <w:t> </w:t>
            </w:r>
          </w:p>
        </w:tc>
      </w:tr>
      <w:tr>
        <w:trPr/>
        <w:tc>
          <w:tcPr>
            <w:tcW w:w="5900" w:type="dxa"/>
            <w:tcBorders/>
            <w:vAlign w:val="center"/>
          </w:tcPr>
          <w:p>
            <w:pPr>
              <w:pStyle w:val="TableContents"/>
              <w:bidi w:val="0"/>
              <w:spacing w:before="0" w:after="283"/>
              <w:jc w:val="center"/>
              <w:rPr>
                <w:rFonts w:ascii="Times New Roman;Times;serif" w:hAnsi="Times New Roman;Times;serif"/>
                <w:color w:val="14202A"/>
                <w:sz w:val="20"/>
                <w:u w:val="single"/>
              </w:rPr>
            </w:pPr>
            <w:r>
              <w:rPr>
                <w:rFonts w:ascii="Times New Roman;Times;serif" w:hAnsi="Times New Roman;Times;serif"/>
                <w:color w:val="14202A"/>
                <w:sz w:val="20"/>
                <w:u w:val="single"/>
              </w:rPr>
              <w:t>(Name of Person(s) Filing Proxy Statement, if Other than the Registrant)</w:t>
            </w:r>
          </w:p>
        </w:tc>
      </w:tr>
      <w:tr>
        <w:trPr/>
        <w:tc>
          <w:tcPr>
            <w:tcW w:w="5900" w:type="dxa"/>
            <w:tcBorders/>
            <w:vAlign w:val="center"/>
          </w:tcPr>
          <w:p>
            <w:pPr>
              <w:pStyle w:val="TableContents"/>
              <w:bidi w:val="0"/>
              <w:spacing w:before="0" w:after="0"/>
              <w:jc w:val="left"/>
              <w:rPr/>
            </w:pPr>
            <w:r>
              <w:rPr/>
              <w:t> </w:t>
            </w:r>
          </w:p>
        </w:tc>
      </w:tr>
    </w:tbl>
    <w:tbl>
      <w:tblPr>
        <w:tblW w:w="9080" w:type="dxa"/>
        <w:jc w:val="left"/>
        <w:tblInd w:w="0" w:type="dxa"/>
        <w:tblLayout w:type="fixed"/>
        <w:tblCellMar>
          <w:top w:w="0" w:type="dxa"/>
          <w:left w:w="0" w:type="dxa"/>
          <w:bottom w:w="0" w:type="dxa"/>
          <w:right w:w="0" w:type="dxa"/>
        </w:tblCellMar>
      </w:tblPr>
      <w:tblGrid>
        <w:gridCol w:w="380"/>
        <w:gridCol w:w="170"/>
        <w:gridCol w:w="170"/>
        <w:gridCol w:w="8360"/>
      </w:tblGrid>
      <w:tr>
        <w:trPr/>
        <w:tc>
          <w:tcPr>
            <w:tcW w:w="9080" w:type="dxa"/>
            <w:gridSpan w:val="4"/>
            <w:tcBorders/>
            <w:vAlign w:val="center"/>
          </w:tcPr>
          <w:p>
            <w:pPr>
              <w:pStyle w:val="TableContents"/>
              <w:bidi w:val="0"/>
              <w:spacing w:before="0" w:after="0"/>
              <w:jc w:val="left"/>
              <w:rPr/>
            </w:pPr>
            <w:r>
              <w:rPr/>
              <w:t> </w:t>
            </w:r>
          </w:p>
        </w:tc>
      </w:tr>
      <w:tr>
        <w:trPr/>
        <w:tc>
          <w:tcPr>
            <w:tcW w:w="9080" w:type="dxa"/>
            <w:gridSpan w:val="4"/>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Payment of Filing Fee (Check all boxes that apply): </w:t>
            </w:r>
          </w:p>
        </w:tc>
      </w:tr>
      <w:tr>
        <w:trPr/>
        <w:tc>
          <w:tcPr>
            <w:tcW w:w="380" w:type="dxa"/>
            <w:tcBorders/>
            <w:vAlign w:val="center"/>
          </w:tcPr>
          <w:p>
            <w:pPr>
              <w:pStyle w:val="TableContents"/>
              <w:bidi w:val="0"/>
              <w:spacing w:before="80" w:after="283"/>
              <w:ind w:left="0" w:right="0" w:hanging="0"/>
              <w:jc w:val="left"/>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No fee required. </w:t>
            </w:r>
          </w:p>
        </w:tc>
      </w:tr>
      <w:tr>
        <w:trPr/>
        <w:tc>
          <w:tcPr>
            <w:tcW w:w="380" w:type="dxa"/>
            <w:tcBorders/>
            <w:vAlign w:val="center"/>
          </w:tcPr>
          <w:p>
            <w:pPr>
              <w:pStyle w:val="TableContents"/>
              <w:bidi w:val="0"/>
              <w:spacing w:before="80" w:after="283"/>
              <w:ind w:left="0" w:right="0" w:hanging="0"/>
              <w:jc w:val="left"/>
              <w:rPr>
                <w:color w:val="14202A"/>
              </w:rPr>
            </w:pPr>
            <w:r>
              <w:rPr>
                <w:color w:val="14202A"/>
              </w:rPr>
              <w:t xml:space="preserve">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 xml:space="preserve">Fee previously paid with preliminary materials </w:t>
            </w:r>
          </w:p>
        </w:tc>
      </w:tr>
      <w:tr>
        <w:trPr/>
        <w:tc>
          <w:tcPr>
            <w:tcW w:w="380" w:type="dxa"/>
            <w:tcBorders/>
            <w:vAlign w:val="center"/>
          </w:tcPr>
          <w:p>
            <w:pPr>
              <w:pStyle w:val="TableContents"/>
              <w:bidi w:val="0"/>
              <w:spacing w:before="8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14202A"/>
                <w:sz w:val="20"/>
              </w:rPr>
            </w:pPr>
            <w:r>
              <w:rPr>
                <w:rFonts w:ascii="Times New Roman;Times;serif" w:hAnsi="Times New Roman;Times;serif"/>
                <w:color w:val="14202A"/>
                <w:sz w:val="20"/>
              </w:rPr>
              <w:t>Fee computed on table in exhibit required by Item 25(b) per Exchange Act Rules 14a-6(i)(1) and 0-11.</w:t>
            </w:r>
          </w:p>
        </w:tc>
      </w:tr>
      <w:tr>
        <w:trPr/>
        <w:tc>
          <w:tcPr>
            <w:tcW w:w="3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52074x1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8" w:after="283"/>
        <w:ind w:left="0" w:right="0" w:hanging="0"/>
        <w:jc w:val="center"/>
        <w:rPr>
          <w:color w:val="14202A"/>
        </w:rPr>
      </w:pPr>
      <w:r>
        <w:rPr>
          <w:color w:val="14202A"/>
        </w:rPr>
        <w:drawing>
          <wp:inline distT="0" distB="0" distL="0" distR="0">
            <wp:extent cx="7781925" cy="9982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81925" cy="9982200"/>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p>
      <w:pPr>
        <w:pStyle w:val="HorizontalLine"/>
        <w:bidi w:val="0"/>
        <w:spacing w:before="200" w:after="200"/>
        <w:jc w:val="left"/>
        <w:rPr/>
      </w:pPr>
      <w:r>
        <w:rPr/>
      </w:r>
    </w:p>
    <w:p>
      <w:pPr>
        <w:pStyle w:val="TextBody"/>
        <w:bidi w:val="0"/>
        <w:jc w:val="left"/>
        <w:rPr/>
      </w:pPr>
      <w:hyperlink w:anchor="TOC">
        <w:bookmarkStart w:id="4" w:name="ny20052074x1_def14a_102-letter_pg1"/>
        <w:bookmarkEnd w:id="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845"/>
        <w:gridCol w:w="170"/>
        <w:gridCol w:w="170"/>
        <w:gridCol w:w="4020"/>
      </w:tblGrid>
      <w:tr>
        <w:trPr/>
        <w:tc>
          <w:tcPr>
            <w:tcW w:w="5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0"/>
              <w:jc w:val="left"/>
              <w:rPr/>
            </w:pPr>
            <w:r>
              <w:rPr/>
              <w:t> </w:t>
            </w:r>
          </w:p>
        </w:tc>
      </w:tr>
      <w:tr>
        <w:trPr/>
        <w:tc>
          <w:tcPr>
            <w:tcW w:w="5845" w:type="dxa"/>
            <w:tcBorders/>
            <w:vAlign w:val="center"/>
          </w:tcPr>
          <w:p>
            <w:pPr>
              <w:pStyle w:val="TableContents"/>
              <w:bidi w:val="0"/>
              <w:spacing w:before="0" w:after="283"/>
              <w:ind w:left="0" w:right="0" w:hanging="0"/>
              <w:jc w:val="left"/>
              <w:rPr>
                <w:rFonts w:ascii="Arial;Helvetica;sans-serif" w:hAnsi="Arial;Helvetica;sans-serif"/>
                <w:b/>
                <w:color w:val="14202A"/>
                <w:sz w:val="56"/>
              </w:rPr>
            </w:pPr>
            <w:r>
              <w:rPr>
                <w:rFonts w:ascii="Arial;Helvetica;sans-serif" w:hAnsi="Arial;Helvetica;sans-serif"/>
                <w:b/>
                <w:color w:val="14202A"/>
                <w:sz w:val="56"/>
              </w:rPr>
              <w:t xml:space="preserve">Dear Fellow Shareholders,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0" w:type="dxa"/>
            <w:tcBorders/>
            <w:vAlign w:val="center"/>
          </w:tcPr>
          <w:p>
            <w:pPr>
              <w:pStyle w:val="TableContents"/>
              <w:bidi w:val="0"/>
              <w:spacing w:before="0" w:after="283"/>
              <w:jc w:val="right"/>
              <w:rPr>
                <w:color w:val="14202A"/>
              </w:rPr>
            </w:pPr>
            <w:r>
              <w:rPr>
                <w:color w:val="14202A"/>
              </w:rPr>
              <w:drawing>
                <wp:inline distT="0" distB="0" distL="0" distR="0">
                  <wp:extent cx="2505075" cy="1885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05075" cy="1885950"/>
                          </a:xfrm>
                          <a:prstGeom prst="rect">
                            <a:avLst/>
                          </a:prstGeom>
                        </pic:spPr>
                      </pic:pic>
                    </a:graphicData>
                  </a:graphic>
                </wp:inline>
              </w:drawing>
            </w:r>
          </w:p>
          <w:p>
            <w:pPr>
              <w:pStyle w:val="TableContents"/>
              <w:bidi w:val="0"/>
              <w:spacing w:before="0" w:after="283"/>
              <w:ind w:left="0" w:right="0" w:hanging="0"/>
              <w:jc w:val="left"/>
              <w:rPr>
                <w:color w:val="14202A"/>
              </w:rPr>
            </w:pPr>
            <w:r>
              <w:rPr>
                <w:color w:val="14202A"/>
              </w:rPr>
              <w:t> </w:t>
            </w:r>
          </w:p>
        </w:tc>
      </w:tr>
    </w:tbl>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Winnebago Industries remained resilient despite a challenging operating environment in Fiscal 2025. We delivered innovative products, enhanced production efficiency, reduced costs, and collaborated with our dealer partners to align inventory with market demand. In addition, we took decisive steps to improve the operational performance of our Winnebago-branded businesses. These disciplined actions enabled us to adapt to dynamic conditions and position the Company for growth as our markets recover. </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New product momentum was strong in the Motorized RV segment, with the launch of compelling new offerings from Grand Design RV and Newmar. These offerings included the Lineage Series F Class Super C, featuring a rugged Fox Factory Suspension, the Lineage Series VT Class B, and the Newmar Freedom Aire. In Fiscal 2025 – its first full year on the market – the Lineage Series achieved its revenue target of more than $100 million. Grand Design expanded its towable RV reach with the new Transcend Series travel trailers, applying its proven consumer-centric design to attract quality- and value-minded customers. These models further broaden the brand’s reach, offering practical design and reliable performance at an accessible price point. </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We advanced the transformation of our Winnebago-branded businesses with key leadership moves. Don Clark was promoted to Group President – Towable RV Segment; President – Grand Design RV, integrating both Grand Design and Winnebago Towables. Casey Tubman was promoted to Group President – Newmar and Winnebago Motorized, where he will continue to lead the Newmar business day-to-day as president and now provide executive oversight for the Winnebago-brand motorhome business. Chris West, formerly Senior Vice President of Enterprise Operations and Barletta Boats, now leads Winnebago Motorhomes and Specialty Vehicles. He brings the operational expertise and fresh perspective that will help to reinvigorate the portfolio. </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The process improvements underway at our Winnebago-branded businesses are part of a broader margin recapture plan: refreshing the product lineup, boosting operational efficiency and rebuilding sustained profitability, starting in Fiscal 2026. New products such as Winnebago Towables’ Thrive™ travel trailer and Winnebago Motorhomes’ Sunflyer™ Class C Motorhome, which debuted at the RV Open House in September, are positioning the Winnebago brand to drive improved margins and meaningful share gains over time. </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For 60 years, Winnebago Industries focused exclusively on RVs. In 2018, we transformed our business with the acquisition of iconic boatmaker Chris-Craft, followed in 2021 by the acquisition of Barletta, a rapidly expanding premium pontoon manufacturer. Today, these brands represent our Marine segment, which continued to perform well in Fiscal 2025. Chris-Craft’s dynamic and competitively priced Sportster Series is attracting new customers to the boating lifestyle; Barletta’s exciting model year 2026 product line advances its position as the third-largest brand in the U.S. aluminum pontoon market and North America’s fastest growing aluminum pontoon manufacturer. </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From a financial perspective, we reduced our debt by roughly $159 million in Fiscal 2025 through a $100 million tender of our 6.25% senior secured notes due 2028 and $59 million in convertible debt extinguishment. As we begin Fiscal 2026, we are focused on achieving our target leverage range through stronger cash generation driven by working capital discipline, operational efficiency and profitable growth. We are also working with our supply base to further mitigate tariff risk. </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Our disciplined capital allocation strategy is underpinned by more than 11 consecutive years of quarterly dividend payments as well as more than $440 million in share repurchases over the past nine years, including $50 million in Fiscal 2025. This track record reinforces our commitment to creating value for shareholders and our confidence in the future.</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The 2025 Proxy Statement includes several items that will be voted on at our upcoming Annual Meeting of Shareholders, which will be conducted virtually on Tuesday, December 16, 2025. We encourage you to participate and vote your shares. </w:t>
      </w:r>
    </w:p>
    <w:p>
      <w:pPr>
        <w:pStyle w:val="TextBody"/>
        <w:bidi w:val="0"/>
        <w:spacing w:before="15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On behalf of the entire Winnebago Industries Board, thank you for your continued support. We look forward to executing in the year ahead to drive long-term value. </w:t>
      </w:r>
    </w:p>
    <w:p>
      <w:pPr>
        <w:pStyle w:val="TextBody"/>
        <w:bidi w:val="0"/>
        <w:spacing w:before="270" w:after="283"/>
        <w:ind w:left="0" w:right="0" w:hanging="0"/>
        <w:jc w:val="left"/>
        <w:rPr>
          <w:color w:val="14202A"/>
        </w:rPr>
      </w:pPr>
      <w:r>
        <w:rPr>
          <w:color w:val="14202A"/>
        </w:rPr>
        <w:drawing>
          <wp:inline distT="0" distB="0" distL="0" distR="0">
            <wp:extent cx="1276350" cy="523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76350" cy="52387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xml:space="preserve">  </w:t>
      </w:r>
    </w:p>
    <w:p>
      <w:pPr>
        <w:pStyle w:val="TextBody"/>
        <w:bidi w:val="0"/>
        <w:spacing w:before="0" w:after="283"/>
        <w:ind w:left="0" w:right="0" w:hanging="0"/>
        <w:jc w:val="left"/>
        <w:rPr>
          <w:rFonts w:ascii="Arial;Helvetica;sans-serif" w:hAnsi="Arial;Helvetica;sans-serif"/>
          <w:b/>
          <w:color w:val="14202A"/>
          <w:sz w:val="17"/>
        </w:rPr>
      </w:pPr>
      <w:r>
        <w:rPr>
          <w:rFonts w:ascii="Arial;Helvetica;sans-serif" w:hAnsi="Arial;Helvetica;sans-serif"/>
          <w:b/>
          <w:color w:val="14202A"/>
          <w:sz w:val="17"/>
        </w:rPr>
        <w:t xml:space="preserve">David W. Miles, </w:t>
      </w:r>
    </w:p>
    <w:p>
      <w:pPr>
        <w:pStyle w:val="TextBody"/>
        <w:bidi w:val="0"/>
        <w:spacing w:before="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Chair of the Board of Directors </w:t>
      </w:r>
    </w:p>
    <w:p>
      <w:pPr>
        <w:pStyle w:val="TextBody"/>
        <w:bidi w:val="0"/>
        <w:spacing w:before="270" w:after="283"/>
        <w:ind w:left="0" w:right="0" w:hanging="0"/>
        <w:jc w:val="left"/>
        <w:rPr>
          <w:color w:val="14202A"/>
        </w:rPr>
      </w:pPr>
      <w:r>
        <w:rPr>
          <w:color w:val="14202A"/>
        </w:rPr>
        <w:drawing>
          <wp:inline distT="0" distB="0" distL="0" distR="0">
            <wp:extent cx="19431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43100" cy="419100"/>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xml:space="preserve">  </w:t>
      </w:r>
    </w:p>
    <w:p>
      <w:pPr>
        <w:pStyle w:val="TextBody"/>
        <w:bidi w:val="0"/>
        <w:spacing w:before="0" w:after="283"/>
        <w:ind w:left="0" w:right="0" w:hanging="0"/>
        <w:jc w:val="left"/>
        <w:rPr>
          <w:rFonts w:ascii="Arial;Helvetica;sans-serif" w:hAnsi="Arial;Helvetica;sans-serif"/>
          <w:b/>
          <w:color w:val="14202A"/>
          <w:sz w:val="17"/>
        </w:rPr>
      </w:pPr>
      <w:r>
        <w:rPr>
          <w:rFonts w:ascii="Arial;Helvetica;sans-serif" w:hAnsi="Arial;Helvetica;sans-serif"/>
          <w:b/>
          <w:color w:val="14202A"/>
          <w:sz w:val="17"/>
        </w:rPr>
        <w:t xml:space="preserve">Michael J. Happe, </w:t>
      </w:r>
    </w:p>
    <w:p>
      <w:pPr>
        <w:pStyle w:val="TextBody"/>
        <w:bidi w:val="0"/>
        <w:spacing w:before="0" w:after="283"/>
        <w:ind w:left="0" w:right="0" w:hanging="0"/>
        <w:jc w:val="left"/>
        <w:rPr>
          <w:rFonts w:ascii="Arial;Helvetica;sans-serif" w:hAnsi="Arial;Helvetica;sans-serif"/>
          <w:color w:val="14202A"/>
          <w:sz w:val="17"/>
        </w:rPr>
      </w:pPr>
      <w:r>
        <w:rPr>
          <w:rFonts w:ascii="Arial;Helvetica;sans-serif" w:hAnsi="Arial;Helvetica;sans-serif"/>
          <w:color w:val="14202A"/>
          <w:sz w:val="17"/>
        </w:rPr>
        <w:t xml:space="preserve">President and Chief Executive Officer </w:t>
      </w:r>
    </w:p>
    <w:tbl>
      <w:tblPr>
        <w:tblW w:w="5970" w:type="dxa"/>
        <w:jc w:val="left"/>
        <w:tblInd w:w="0" w:type="dxa"/>
        <w:tblLayout w:type="fixed"/>
        <w:tblCellMar>
          <w:top w:w="0" w:type="dxa"/>
          <w:left w:w="0" w:type="dxa"/>
          <w:bottom w:w="0" w:type="dxa"/>
          <w:right w:w="0" w:type="dxa"/>
        </w:tblCellMar>
      </w:tblPr>
      <w:tblGrid>
        <w:gridCol w:w="2610"/>
        <w:gridCol w:w="170"/>
        <w:gridCol w:w="170"/>
        <w:gridCol w:w="302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52074x1_def14a_103-notice_pg1"/>
        <w:bookmarkEnd w:id="5"/>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6" w:name="tNOTICE"/>
      <w:bookmarkStart w:id="7" w:name="tNOTICE"/>
      <w:bookmarkEnd w:id="7"/>
    </w:p>
    <w:tbl>
      <w:tblPr>
        <w:tblW w:w="8300" w:type="dxa"/>
        <w:jc w:val="left"/>
        <w:tblInd w:w="0" w:type="dxa"/>
        <w:tblLayout w:type="fixed"/>
        <w:tblCellMar>
          <w:top w:w="0" w:type="dxa"/>
          <w:left w:w="0" w:type="dxa"/>
          <w:bottom w:w="0" w:type="dxa"/>
          <w:right w:w="0" w:type="dxa"/>
        </w:tblCellMar>
      </w:tblPr>
      <w:tblGrid>
        <w:gridCol w:w="5885"/>
        <w:gridCol w:w="2415"/>
      </w:tblGrid>
      <w:tr>
        <w:trPr/>
        <w:tc>
          <w:tcPr>
            <w:tcW w:w="5885" w:type="dxa"/>
            <w:tcBorders/>
            <w:vAlign w:val="center"/>
          </w:tcPr>
          <w:p>
            <w:pPr>
              <w:pStyle w:val="TableContents"/>
              <w:bidi w:val="0"/>
              <w:spacing w:before="0" w:after="0"/>
              <w:jc w:val="left"/>
              <w:rPr/>
            </w:pPr>
            <w:r>
              <w:rPr/>
              <w:t> </w:t>
            </w:r>
          </w:p>
        </w:tc>
        <w:tc>
          <w:tcPr>
            <w:tcW w:w="2415" w:type="dxa"/>
            <w:tcBorders/>
            <w:vAlign w:val="center"/>
          </w:tcPr>
          <w:p>
            <w:pPr>
              <w:pStyle w:val="TableContents"/>
              <w:bidi w:val="0"/>
              <w:spacing w:before="0" w:after="0"/>
              <w:jc w:val="left"/>
              <w:rPr/>
            </w:pPr>
            <w:r>
              <w:rPr/>
              <w:t> </w:t>
            </w:r>
          </w:p>
        </w:tc>
      </w:tr>
      <w:tr>
        <w:trPr/>
        <w:tc>
          <w:tcPr>
            <w:tcW w:w="5885" w:type="dxa"/>
            <w:tcBorders/>
            <w:vAlign w:val="center"/>
          </w:tcPr>
          <w:p>
            <w:pPr>
              <w:pStyle w:val="TableContents"/>
              <w:bidi w:val="0"/>
              <w:spacing w:before="120" w:after="283"/>
              <w:ind w:left="0" w:right="0" w:hanging="0"/>
              <w:jc w:val="left"/>
              <w:rPr>
                <w:rFonts w:ascii="Arial;Helvetica;sans-serif" w:hAnsi="Arial;Helvetica;sans-serif"/>
                <w:b/>
                <w:color w:val="14202A"/>
                <w:sz w:val="28"/>
              </w:rPr>
            </w:pPr>
            <w:r>
              <w:rPr>
                <w:rFonts w:ascii="Arial;Helvetica;sans-serif" w:hAnsi="Arial;Helvetica;sans-serif"/>
                <w:b/>
                <w:color w:val="14202A"/>
                <w:sz w:val="28"/>
              </w:rPr>
              <w:t xml:space="preserve">Notice of Annual Meeting of Shareholders </w:t>
            </w:r>
          </w:p>
          <w:p>
            <w:pPr>
              <w:pStyle w:val="TableContents"/>
              <w:bidi w:val="0"/>
              <w:spacing w:before="0" w:after="283"/>
              <w:ind w:left="0" w:right="0" w:hanging="0"/>
              <w:jc w:val="left"/>
              <w:rPr>
                <w:rFonts w:ascii="Arial;Helvetica;sans-serif" w:hAnsi="Arial;Helvetica;sans-serif"/>
                <w:b/>
                <w:color w:val="14202A"/>
                <w:sz w:val="28"/>
              </w:rPr>
            </w:pPr>
            <w:r>
              <w:rPr>
                <w:rFonts w:ascii="Arial;Helvetica;sans-serif" w:hAnsi="Arial;Helvetica;sans-serif"/>
                <w:b/>
                <w:color w:val="14202A"/>
                <w:sz w:val="28"/>
              </w:rPr>
              <w:t>to be held December 16, 2025</w:t>
            </w:r>
          </w:p>
        </w:tc>
        <w:tc>
          <w:tcPr>
            <w:tcW w:w="2415" w:type="dxa"/>
            <w:tcBorders/>
            <w:vAlign w:val="center"/>
          </w:tcPr>
          <w:p>
            <w:pPr>
              <w:pStyle w:val="TableContents"/>
              <w:bidi w:val="0"/>
              <w:spacing w:before="0" w:after="283"/>
              <w:jc w:val="right"/>
              <w:rPr>
                <w:color w:val="14202A"/>
              </w:rPr>
            </w:pPr>
            <w:r>
              <w:rPr>
                <w:color w:val="14202A"/>
              </w:rPr>
              <w:drawing>
                <wp:inline distT="0" distB="0" distL="0" distR="0">
                  <wp:extent cx="1485900" cy="58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85900" cy="581025"/>
                          </a:xfrm>
                          <a:prstGeom prst="rect">
                            <a:avLst/>
                          </a:prstGeom>
                        </pic:spPr>
                      </pic:pic>
                    </a:graphicData>
                  </a:graphic>
                </wp:inline>
              </w:drawing>
            </w:r>
          </w:p>
          <w:p>
            <w:pPr>
              <w:pStyle w:val="TableContents"/>
              <w:bidi w:val="0"/>
              <w:spacing w:before="0" w:after="283"/>
              <w:ind w:left="0" w:right="0" w:hanging="0"/>
              <w:jc w:val="left"/>
              <w:rPr>
                <w:color w:val="14202A"/>
              </w:rPr>
            </w:pPr>
            <w:r>
              <w:rPr>
                <w:color w:val="14202A"/>
              </w:rPr>
              <w:t> </w:t>
            </w:r>
          </w:p>
        </w:tc>
      </w:tr>
      <w:tr>
        <w:trPr/>
        <w:tc>
          <w:tcPr>
            <w:tcW w:w="5885" w:type="dxa"/>
            <w:tcBorders/>
            <w:vAlign w:val="center"/>
          </w:tcPr>
          <w:p>
            <w:pPr>
              <w:pStyle w:val="TableContents"/>
              <w:bidi w:val="0"/>
              <w:spacing w:before="0" w:after="0"/>
              <w:jc w:val="left"/>
              <w:rPr/>
            </w:pPr>
            <w:r>
              <w:rPr/>
              <w:t> </w:t>
            </w:r>
          </w:p>
        </w:tc>
        <w:tc>
          <w:tcPr>
            <w:tcW w:w="2415" w:type="dxa"/>
            <w:tcBorders/>
            <w:vAlign w:val="center"/>
          </w:tcPr>
          <w:p>
            <w:pPr>
              <w:pStyle w:val="TableContents"/>
              <w:bidi w:val="0"/>
              <w:spacing w:before="0" w:after="0"/>
              <w:jc w:val="left"/>
              <w:rPr/>
            </w:pPr>
            <w:r>
              <w:rPr/>
              <w:t> </w:t>
            </w:r>
          </w:p>
        </w:tc>
      </w:tr>
    </w:tbl>
    <w:tbl>
      <w:tblPr>
        <w:tblW w:w="8235" w:type="dxa"/>
        <w:jc w:val="left"/>
        <w:tblInd w:w="0" w:type="dxa"/>
        <w:tblLayout w:type="fixed"/>
        <w:tblCellMar>
          <w:top w:w="0" w:type="dxa"/>
          <w:left w:w="0" w:type="dxa"/>
          <w:bottom w:w="0" w:type="dxa"/>
          <w:right w:w="0" w:type="dxa"/>
        </w:tblCellMar>
      </w:tblPr>
      <w:tblGrid>
        <w:gridCol w:w="185"/>
        <w:gridCol w:w="1715"/>
        <w:gridCol w:w="170"/>
        <w:gridCol w:w="170"/>
        <w:gridCol w:w="3980"/>
        <w:gridCol w:w="170"/>
        <w:gridCol w:w="170"/>
        <w:gridCol w:w="1460"/>
        <w:gridCol w:w="215"/>
      </w:tblGrid>
      <w:tr>
        <w:trPr/>
        <w:tc>
          <w:tcPr>
            <w:tcW w:w="185" w:type="dxa"/>
            <w:tcBorders/>
            <w:shd w:fill="14202A" w:val="clear"/>
            <w:vAlign w:val="center"/>
          </w:tcPr>
          <w:p>
            <w:pPr>
              <w:pStyle w:val="TableContents"/>
              <w:bidi w:val="0"/>
              <w:spacing w:before="0" w:after="0"/>
              <w:jc w:val="left"/>
              <w:rPr/>
            </w:pPr>
            <w:r>
              <w:rPr/>
              <w:t> </w:t>
            </w:r>
          </w:p>
        </w:tc>
        <w:tc>
          <w:tcPr>
            <w:tcW w:w="1715" w:type="dxa"/>
            <w:tcBorders/>
            <w:shd w:fill="14202A" w:val="clear"/>
            <w:vAlign w:val="center"/>
          </w:tcPr>
          <w:p>
            <w:pPr>
              <w:pStyle w:val="TableContents"/>
              <w:bidi w:val="0"/>
              <w:spacing w:before="0" w:after="0"/>
              <w:jc w:val="left"/>
              <w:rPr/>
            </w:pPr>
            <w:r>
              <w:rPr/>
              <w:t> </w:t>
            </w:r>
          </w:p>
        </w:tc>
        <w:tc>
          <w:tcPr>
            <w:tcW w:w="170" w:type="dxa"/>
            <w:tcBorders>
              <w:right w:val="single" w:sz="48" w:space="0" w:color="FFFFFF"/>
            </w:tcBorders>
            <w:shd w:fill="14202A" w:val="clear"/>
            <w:tcMar>
              <w:right w:w="28" w:type="dxa"/>
            </w:tcM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980" w:type="dxa"/>
            <w:tcBorders/>
            <w:shd w:fill="14202A" w:val="clear"/>
            <w:vAlign w:val="center"/>
          </w:tcPr>
          <w:p>
            <w:pPr>
              <w:pStyle w:val="TableContents"/>
              <w:bidi w:val="0"/>
              <w:spacing w:before="0" w:after="0"/>
              <w:jc w:val="left"/>
              <w:rPr/>
            </w:pPr>
            <w:r>
              <w:rPr/>
              <w:t> </w:t>
            </w:r>
          </w:p>
        </w:tc>
        <w:tc>
          <w:tcPr>
            <w:tcW w:w="170" w:type="dxa"/>
            <w:tcBorders>
              <w:right w:val="single" w:sz="48" w:space="0" w:color="FFFFFF"/>
            </w:tcBorders>
            <w:shd w:fill="14202A" w:val="clear"/>
            <w:tcMar>
              <w:right w:w="28" w:type="dxa"/>
            </w:tcM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46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715" w:type="dxa"/>
            <w:tcBorders/>
            <w:shd w:fill="14202A" w:val="clear"/>
            <w:vAlign w:val="center"/>
          </w:tcPr>
          <w:p>
            <w:pPr>
              <w:pStyle w:val="TableContents"/>
              <w:bidi w:val="0"/>
              <w:spacing w:before="0" w:after="283"/>
              <w:jc w:val="center"/>
              <w:rPr>
                <w:color w:val="FFFFFF"/>
              </w:rPr>
            </w:pPr>
            <w:r>
              <w:rPr>
                <w:color w:val="FFFFFF"/>
              </w:rPr>
              <w:drawing>
                <wp:inline distT="0" distB="0" distL="0" distR="0">
                  <wp:extent cx="200025" cy="200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0025" cy="200025"/>
                          </a:xfrm>
                          <a:prstGeom prst="rect">
                            <a:avLst/>
                          </a:prstGeom>
                        </pic:spPr>
                      </pic:pic>
                    </a:graphicData>
                  </a:graphic>
                </wp:inline>
              </w:drawing>
            </w:r>
          </w:p>
          <w:p>
            <w:pPr>
              <w:pStyle w:val="TableContents"/>
              <w:bidi w:val="0"/>
              <w:spacing w:before="0" w:after="283"/>
              <w:ind w:left="160" w:right="0" w:hanging="0"/>
              <w:jc w:val="left"/>
              <w:rPr>
                <w:color w:val="FFFFFF"/>
              </w:rPr>
            </w:pPr>
            <w:r>
              <w:rPr>
                <w:color w:val="FFFFFF"/>
              </w:rPr>
              <w: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Time and Date: </w:t>
            </w:r>
          </w:p>
          <w:p>
            <w:pPr>
              <w:pStyle w:val="TableContents"/>
              <w:bidi w:val="0"/>
              <w:spacing w:before="40" w:after="283"/>
              <w:jc w:val="center"/>
              <w:rPr>
                <w:rFonts w:ascii="Arial;Helvetica;sans-serif" w:hAnsi="Arial;Helvetica;sans-serif"/>
                <w:color w:val="FFFFFF"/>
                <w:sz w:val="18"/>
              </w:rPr>
            </w:pPr>
            <w:r>
              <w:rPr>
                <w:rFonts w:ascii="Arial;Helvetica;sans-serif" w:hAnsi="Arial;Helvetica;sans-serif"/>
                <w:color w:val="FFFFFF"/>
                <w:sz w:val="18"/>
              </w:rPr>
              <w:t xml:space="preserve">Tuesday, </w:t>
            </w:r>
          </w:p>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 xml:space="preserve">December 16, 2025 </w:t>
            </w:r>
          </w:p>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 xml:space="preserve">3:30 p.m. Central </w:t>
            </w:r>
          </w:p>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 xml:space="preserve">Standard Time </w:t>
            </w:r>
          </w:p>
        </w:tc>
        <w:tc>
          <w:tcPr>
            <w:tcW w:w="170" w:type="dxa"/>
            <w:tcBorders>
              <w:right w:val="single" w:sz="48" w:space="0" w:color="FFFFFF"/>
            </w:tcBorders>
            <w:shd w:fill="14202A" w:val="clear"/>
            <w:tcMar>
              <w:right w:w="28" w:type="dxa"/>
            </w:tcM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980" w:type="dxa"/>
            <w:tcBorders/>
            <w:shd w:fill="14202A" w:val="clear"/>
            <w:vAlign w:val="center"/>
          </w:tcPr>
          <w:p>
            <w:pPr>
              <w:pStyle w:val="TableContents"/>
              <w:bidi w:val="0"/>
              <w:spacing w:before="0" w:after="283"/>
              <w:jc w:val="center"/>
              <w:rPr>
                <w:color w:val="FFFFFF"/>
              </w:rPr>
            </w:pPr>
            <w:r>
              <w:rPr>
                <w:color w:val="FFFFFF"/>
              </w:rPr>
              <w:drawing>
                <wp:inline distT="0" distB="0" distL="0" distR="0">
                  <wp:extent cx="209550" cy="190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9550" cy="190500"/>
                          </a:xfrm>
                          <a:prstGeom prst="rect">
                            <a:avLst/>
                          </a:prstGeom>
                        </pic:spPr>
                      </pic:pic>
                    </a:graphicData>
                  </a:graphic>
                </wp:inline>
              </w:drawing>
            </w:r>
          </w:p>
          <w:p>
            <w:pPr>
              <w:pStyle w:val="TableContents"/>
              <w:bidi w:val="0"/>
              <w:spacing w:before="0" w:after="283"/>
              <w:ind w:left="0" w:right="0" w:hanging="0"/>
              <w:jc w:val="left"/>
              <w:rPr>
                <w:color w:val="FFFFFF"/>
              </w:rPr>
            </w:pPr>
            <w:r>
              <w:rPr>
                <w:color w:val="FFFFFF"/>
              </w:rPr>
              <w: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Place: </w:t>
            </w:r>
          </w:p>
          <w:p>
            <w:pPr>
              <w:pStyle w:val="TableContents"/>
              <w:bidi w:val="0"/>
              <w:spacing w:before="40" w:after="283"/>
              <w:jc w:val="center"/>
              <w:rPr>
                <w:rFonts w:ascii="Arial;Helvetica;sans-serif" w:hAnsi="Arial;Helvetica;sans-serif"/>
                <w:color w:val="FFFFFF"/>
                <w:sz w:val="18"/>
              </w:rPr>
            </w:pPr>
            <w:r>
              <w:rPr>
                <w:rFonts w:ascii="Arial;Helvetica;sans-serif" w:hAnsi="Arial;Helvetica;sans-serif"/>
                <w:color w:val="FFFFFF"/>
                <w:sz w:val="18"/>
              </w:rPr>
              <w:t xml:space="preserve">The annual meeting will be held virtually. </w:t>
            </w:r>
          </w:p>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 xml:space="preserve">www.virtualshareholdermeeting.com/WGO2025 </w:t>
            </w:r>
          </w:p>
        </w:tc>
        <w:tc>
          <w:tcPr>
            <w:tcW w:w="170" w:type="dxa"/>
            <w:tcBorders>
              <w:right w:val="single" w:sz="48" w:space="0" w:color="FFFFFF"/>
            </w:tcBorders>
            <w:shd w:fill="14202A" w:val="clear"/>
            <w:tcMar>
              <w:right w:w="28" w:type="dxa"/>
            </w:tcM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460" w:type="dxa"/>
            <w:tcBorders/>
            <w:shd w:fill="14202A" w:val="clear"/>
            <w:vAlign w:val="center"/>
          </w:tcPr>
          <w:p>
            <w:pPr>
              <w:pStyle w:val="TableContents"/>
              <w:bidi w:val="0"/>
              <w:spacing w:before="0" w:after="283"/>
              <w:jc w:val="center"/>
              <w:rPr>
                <w:color w:val="FFFFFF"/>
              </w:rPr>
            </w:pPr>
            <w:r>
              <w:rPr>
                <w:color w:val="FFFFFF"/>
              </w:rPr>
              <w:drawing>
                <wp:inline distT="0" distB="0" distL="0" distR="0">
                  <wp:extent cx="180975"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0975" cy="171450"/>
                          </a:xfrm>
                          <a:prstGeom prst="rect">
                            <a:avLst/>
                          </a:prstGeom>
                        </pic:spPr>
                      </pic:pic>
                    </a:graphicData>
                  </a:graphic>
                </wp:inline>
              </w:drawing>
            </w:r>
          </w:p>
          <w:p>
            <w:pPr>
              <w:pStyle w:val="TableContents"/>
              <w:bidi w:val="0"/>
              <w:spacing w:before="0" w:after="283"/>
              <w:ind w:left="0" w:right="0" w:hanging="0"/>
              <w:jc w:val="left"/>
              <w:rPr>
                <w:color w:val="FFFFFF"/>
              </w:rPr>
            </w:pPr>
            <w:r>
              <w:rPr>
                <w:color w:val="FFFFFF"/>
              </w:rPr>
              <w: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Record Date: </w:t>
            </w:r>
          </w:p>
          <w:p>
            <w:pPr>
              <w:pStyle w:val="TableContents"/>
              <w:bidi w:val="0"/>
              <w:spacing w:before="40" w:after="283"/>
              <w:jc w:val="center"/>
              <w:rPr>
                <w:rFonts w:ascii="Arial;Helvetica;sans-serif" w:hAnsi="Arial;Helvetica;sans-serif"/>
                <w:color w:val="FFFFFF"/>
                <w:sz w:val="18"/>
              </w:rPr>
            </w:pPr>
            <w:r>
              <w:rPr>
                <w:rFonts w:ascii="Arial;Helvetica;sans-serif" w:hAnsi="Arial;Helvetica;sans-serif"/>
                <w:color w:val="FFFFFF"/>
                <w:sz w:val="18"/>
              </w:rPr>
              <w:t>October 21, 2025​</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715" w:type="dxa"/>
            <w:tcBorders/>
            <w:shd w:fill="14202A" w:val="clear"/>
            <w:vAlign w:val="center"/>
          </w:tcPr>
          <w:p>
            <w:pPr>
              <w:pStyle w:val="TableContents"/>
              <w:bidi w:val="0"/>
              <w:spacing w:before="0" w:after="0"/>
              <w:jc w:val="left"/>
              <w:rPr/>
            </w:pPr>
            <w:r>
              <w:rPr/>
              <w:t> </w:t>
            </w:r>
          </w:p>
        </w:tc>
        <w:tc>
          <w:tcPr>
            <w:tcW w:w="170" w:type="dxa"/>
            <w:tcBorders>
              <w:right w:val="single" w:sz="48" w:space="0" w:color="FFFFFF"/>
            </w:tcBorders>
            <w:shd w:fill="14202A" w:val="clear"/>
            <w:tcMar>
              <w:right w:w="28" w:type="dxa"/>
            </w:tcM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980" w:type="dxa"/>
            <w:tcBorders/>
            <w:shd w:fill="14202A" w:val="clear"/>
            <w:vAlign w:val="center"/>
          </w:tcPr>
          <w:p>
            <w:pPr>
              <w:pStyle w:val="TableContents"/>
              <w:bidi w:val="0"/>
              <w:spacing w:before="0" w:after="0"/>
              <w:jc w:val="left"/>
              <w:rPr/>
            </w:pPr>
            <w:r>
              <w:rPr/>
              <w:t> </w:t>
            </w:r>
          </w:p>
        </w:tc>
        <w:tc>
          <w:tcPr>
            <w:tcW w:w="170" w:type="dxa"/>
            <w:tcBorders>
              <w:right w:val="single" w:sz="48" w:space="0" w:color="FFFFFF"/>
            </w:tcBorders>
            <w:shd w:fill="14202A" w:val="clear"/>
            <w:tcMar>
              <w:right w:w="28" w:type="dxa"/>
            </w:tcM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46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How to Vote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3200400" cy="2190750"/>
                <wp:effectExtent l="0" t="0" r="0" b="0"/>
                <wp:wrapSquare wrapText="right"/>
                <wp:docPr id="11" name="Frame1"/>
                <a:graphic xmlns:a="http://schemas.openxmlformats.org/drawingml/2006/main">
                  <a:graphicData uri="http://schemas.microsoft.com/office/word/2010/wordprocessingShape">
                    <wps:wsp>
                      <wps:cNvSpPr txBox="1"/>
                      <wps:spPr>
                        <a:xfrm>
                          <a:off x="0" y="0"/>
                          <a:ext cx="3200400" cy="2190750"/>
                        </a:xfrm>
                        <a:prstGeom prst="rect"/>
                        <a:solidFill>
                          <a:srgbClr val="FFFFFF"/>
                        </a:solidFill>
                      </wps:spPr>
                      <wps:txbx>
                        <w:txbxContent>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Winnebago Industries, Inc. (Winnebago Industries or the Company) will hold its 2025 annual meeting of shareholders (Annual Meeting) on Tuesday, December 16, 2025 at 3:30 p.m. Central Standard Time. The Annual Meeting will be completely virtual. The proxy materials were either made available to you over the internet or mailed to you on or about November 4, 2025. At the Annual Meeting, shareholders will be asked to: </w:t>
                            </w:r>
                          </w:p>
                          <w:tbl>
                            <w:tblPr>
                              <w:tblW w:w="5725" w:type="dxa"/>
                              <w:jc w:val="left"/>
                              <w:tblInd w:w="0" w:type="dxa"/>
                              <w:tblLayout w:type="fixed"/>
                              <w:tblCellMar>
                                <w:top w:w="0" w:type="dxa"/>
                                <w:left w:w="0" w:type="dxa"/>
                                <w:bottom w:w="0" w:type="dxa"/>
                                <w:right w:w="0" w:type="dxa"/>
                              </w:tblCellMar>
                            </w:tblPr>
                            <w:tblGrid>
                              <w:gridCol w:w="200"/>
                              <w:gridCol w:w="552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1.</w:t>
                                  </w:r>
                                </w:p>
                              </w:tc>
                              <w:tc>
                                <w:tcPr>
                                  <w:tcW w:w="552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Elect three Class II directors to hold office for a three-year term </w:t>
                                  </w:r>
                                </w:p>
                              </w:tc>
                            </w:tr>
                          </w:tbl>
                          <w:tbl>
                            <w:tblPr>
                              <w:tblW w:w="7300" w:type="dxa"/>
                              <w:jc w:val="left"/>
                              <w:tblInd w:w="0" w:type="dxa"/>
                              <w:tblLayout w:type="fixed"/>
                              <w:tblCellMar>
                                <w:top w:w="0" w:type="dxa"/>
                                <w:left w:w="0" w:type="dxa"/>
                                <w:bottom w:w="0" w:type="dxa"/>
                                <w:right w:w="0" w:type="dxa"/>
                              </w:tblCellMar>
                            </w:tblPr>
                            <w:tblGrid>
                              <w:gridCol w:w="200"/>
                              <w:gridCol w:w="7100"/>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2.</w:t>
                                  </w:r>
                                </w:p>
                              </w:tc>
                              <w:tc>
                                <w:tcPr>
                                  <w:tcW w:w="71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Approve, on an advisory basis, the compensation of our named executive officers </w:t>
                                  </w:r>
                                </w:p>
                              </w:tc>
                            </w:tr>
                          </w:tbl>
                          <w:tbl>
                            <w:tblPr>
                              <w:tblW w:w="5875" w:type="dxa"/>
                              <w:jc w:val="left"/>
                              <w:tblInd w:w="0" w:type="dxa"/>
                              <w:tblLayout w:type="fixed"/>
                              <w:tblCellMar>
                                <w:top w:w="0" w:type="dxa"/>
                                <w:left w:w="0" w:type="dxa"/>
                                <w:bottom w:w="0" w:type="dxa"/>
                                <w:right w:w="0" w:type="dxa"/>
                              </w:tblCellMar>
                            </w:tblPr>
                            <w:tblGrid>
                              <w:gridCol w:w="200"/>
                              <w:gridCol w:w="567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3.</w:t>
                                  </w:r>
                                </w:p>
                              </w:tc>
                              <w:tc>
                                <w:tcPr>
                                  <w:tcW w:w="567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Approve our amended and restated 2019 Omnibus Incentive Plan </w:t>
                                  </w:r>
                                </w:p>
                              </w:tc>
                            </w:tr>
                          </w:tbl>
                          <w:tbl>
                            <w:tblPr>
                              <w:tblW w:w="6085" w:type="dxa"/>
                              <w:jc w:val="left"/>
                              <w:tblInd w:w="0" w:type="dxa"/>
                              <w:tblLayout w:type="fixed"/>
                              <w:tblCellMar>
                                <w:top w:w="0" w:type="dxa"/>
                                <w:left w:w="0" w:type="dxa"/>
                                <w:bottom w:w="0" w:type="dxa"/>
                                <w:right w:w="0" w:type="dxa"/>
                              </w:tblCellMar>
                            </w:tblPr>
                            <w:tblGrid>
                              <w:gridCol w:w="200"/>
                              <w:gridCol w:w="588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4.</w:t>
                                  </w:r>
                                </w:p>
                              </w:tc>
                              <w:tc>
                                <w:tcPr>
                                  <w:tcW w:w="588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Approve our amended and restated Employee Stock Purchase Plan </w:t>
                                  </w:r>
                                </w:p>
                              </w:tc>
                            </w:tr>
                          </w:tbl>
                          <w:tbl>
                            <w:tblPr>
                              <w:tblW w:w="9595" w:type="dxa"/>
                              <w:jc w:val="left"/>
                              <w:tblInd w:w="0" w:type="dxa"/>
                              <w:tblLayout w:type="fixed"/>
                              <w:tblCellMar>
                                <w:top w:w="0" w:type="dxa"/>
                                <w:left w:w="0" w:type="dxa"/>
                                <w:bottom w:w="0" w:type="dxa"/>
                                <w:right w:w="0" w:type="dxa"/>
                              </w:tblCellMar>
                            </w:tblPr>
                            <w:tblGrid>
                              <w:gridCol w:w="200"/>
                              <w:gridCol w:w="939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5.</w:t>
                                  </w:r>
                                </w:p>
                              </w:tc>
                              <w:tc>
                                <w:tcPr>
                                  <w:tcW w:w="939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Ratify the selection of Deloitte &amp; Touche LLP as our independent registered public accountant for Fiscal 2026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2pt;height:1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Winnebago Industries, Inc. (Winnebago Industries or the Company) will hold its 2025 annual meeting of shareholders (Annual Meeting) on Tuesday, December 16, 2025 at 3:30 p.m. Central Standard Time. The Annual Meeting will be completely virtual. The proxy materials were either made available to you over the internet or mailed to you on or about November 4, 2025. At the Annual Meeting, shareholders will be asked to: </w:t>
                      </w:r>
                    </w:p>
                    <w:tbl>
                      <w:tblPr>
                        <w:tblW w:w="5725" w:type="dxa"/>
                        <w:jc w:val="left"/>
                        <w:tblInd w:w="0" w:type="dxa"/>
                        <w:tblLayout w:type="fixed"/>
                        <w:tblCellMar>
                          <w:top w:w="0" w:type="dxa"/>
                          <w:left w:w="0" w:type="dxa"/>
                          <w:bottom w:w="0" w:type="dxa"/>
                          <w:right w:w="0" w:type="dxa"/>
                        </w:tblCellMar>
                      </w:tblPr>
                      <w:tblGrid>
                        <w:gridCol w:w="200"/>
                        <w:gridCol w:w="552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1.</w:t>
                            </w:r>
                          </w:p>
                        </w:tc>
                        <w:tc>
                          <w:tcPr>
                            <w:tcW w:w="552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Elect three Class II directors to hold office for a three-year term </w:t>
                            </w:r>
                          </w:p>
                        </w:tc>
                      </w:tr>
                    </w:tbl>
                    <w:tbl>
                      <w:tblPr>
                        <w:tblW w:w="7300" w:type="dxa"/>
                        <w:jc w:val="left"/>
                        <w:tblInd w:w="0" w:type="dxa"/>
                        <w:tblLayout w:type="fixed"/>
                        <w:tblCellMar>
                          <w:top w:w="0" w:type="dxa"/>
                          <w:left w:w="0" w:type="dxa"/>
                          <w:bottom w:w="0" w:type="dxa"/>
                          <w:right w:w="0" w:type="dxa"/>
                        </w:tblCellMar>
                      </w:tblPr>
                      <w:tblGrid>
                        <w:gridCol w:w="200"/>
                        <w:gridCol w:w="7100"/>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2.</w:t>
                            </w:r>
                          </w:p>
                        </w:tc>
                        <w:tc>
                          <w:tcPr>
                            <w:tcW w:w="71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Approve, on an advisory basis, the compensation of our named executive officers </w:t>
                            </w:r>
                          </w:p>
                        </w:tc>
                      </w:tr>
                    </w:tbl>
                    <w:tbl>
                      <w:tblPr>
                        <w:tblW w:w="5875" w:type="dxa"/>
                        <w:jc w:val="left"/>
                        <w:tblInd w:w="0" w:type="dxa"/>
                        <w:tblLayout w:type="fixed"/>
                        <w:tblCellMar>
                          <w:top w:w="0" w:type="dxa"/>
                          <w:left w:w="0" w:type="dxa"/>
                          <w:bottom w:w="0" w:type="dxa"/>
                          <w:right w:w="0" w:type="dxa"/>
                        </w:tblCellMar>
                      </w:tblPr>
                      <w:tblGrid>
                        <w:gridCol w:w="200"/>
                        <w:gridCol w:w="567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3.</w:t>
                            </w:r>
                          </w:p>
                        </w:tc>
                        <w:tc>
                          <w:tcPr>
                            <w:tcW w:w="567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Approve our amended and restated 2019 Omnibus Incentive Plan </w:t>
                            </w:r>
                          </w:p>
                        </w:tc>
                      </w:tr>
                    </w:tbl>
                    <w:tbl>
                      <w:tblPr>
                        <w:tblW w:w="6085" w:type="dxa"/>
                        <w:jc w:val="left"/>
                        <w:tblInd w:w="0" w:type="dxa"/>
                        <w:tblLayout w:type="fixed"/>
                        <w:tblCellMar>
                          <w:top w:w="0" w:type="dxa"/>
                          <w:left w:w="0" w:type="dxa"/>
                          <w:bottom w:w="0" w:type="dxa"/>
                          <w:right w:w="0" w:type="dxa"/>
                        </w:tblCellMar>
                      </w:tblPr>
                      <w:tblGrid>
                        <w:gridCol w:w="200"/>
                        <w:gridCol w:w="588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4.</w:t>
                            </w:r>
                          </w:p>
                        </w:tc>
                        <w:tc>
                          <w:tcPr>
                            <w:tcW w:w="588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Approve our amended and restated Employee Stock Purchase Plan </w:t>
                            </w:r>
                          </w:p>
                        </w:tc>
                      </w:tr>
                    </w:tbl>
                    <w:tbl>
                      <w:tblPr>
                        <w:tblW w:w="9595" w:type="dxa"/>
                        <w:jc w:val="left"/>
                        <w:tblInd w:w="0" w:type="dxa"/>
                        <w:tblLayout w:type="fixed"/>
                        <w:tblCellMar>
                          <w:top w:w="0" w:type="dxa"/>
                          <w:left w:w="0" w:type="dxa"/>
                          <w:bottom w:w="0" w:type="dxa"/>
                          <w:right w:w="0" w:type="dxa"/>
                        </w:tblCellMar>
                      </w:tblPr>
                      <w:tblGrid>
                        <w:gridCol w:w="200"/>
                        <w:gridCol w:w="9395"/>
                      </w:tblGrid>
                      <w:tr>
                        <w:trPr/>
                        <w:tc>
                          <w:tcPr>
                            <w:tcW w:w="200"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5.</w:t>
                            </w:r>
                          </w:p>
                        </w:tc>
                        <w:tc>
                          <w:tcPr>
                            <w:tcW w:w="9395" w:type="dxa"/>
                            <w:tcBorders/>
                            <w:vAlign w:val="center"/>
                          </w:tcPr>
                          <w:p>
                            <w:pPr>
                              <w:pStyle w:val="TableContents"/>
                              <w:bidi w:val="0"/>
                              <w:spacing w:before="0" w:after="0"/>
                              <w:jc w:val="left"/>
                              <w:rPr>
                                <w:rFonts w:ascii="Arial;Helvetica;sans-serif" w:hAnsi="Arial;Helvetica;sans-serif"/>
                                <w:b/>
                                <w:color w:val="14202A"/>
                                <w:sz w:val="18"/>
                              </w:rPr>
                            </w:pPr>
                            <w:r>
                              <w:rPr>
                                <w:rFonts w:ascii="Arial;Helvetica;sans-serif" w:hAnsi="Arial;Helvetica;sans-serif"/>
                                <w:b/>
                                <w:color w:val="14202A"/>
                                <w:sz w:val="18"/>
                              </w:rPr>
                              <w:t xml:space="preserve">Ratify the selection of Deloitte &amp; Touche LLP as our independent registered public accountant for Fiscal 2026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17">
                <wp:simplePos x="0" y="0"/>
                <wp:positionH relativeFrom="column">
                  <wp:align>left</wp:align>
                </wp:positionH>
                <wp:positionV relativeFrom="line">
                  <wp:posOffset>635</wp:posOffset>
                </wp:positionV>
                <wp:extent cx="3200400" cy="3813175"/>
                <wp:effectExtent l="0" t="0" r="0" b="0"/>
                <wp:wrapSquare wrapText="right"/>
                <wp:docPr id="12" name="Frame2"/>
                <a:graphic xmlns:a="http://schemas.openxmlformats.org/drawingml/2006/main">
                  <a:graphicData uri="http://schemas.microsoft.com/office/word/2010/wordprocessingShape">
                    <wps:wsp>
                      <wps:cNvSpPr txBox="1"/>
                      <wps:spPr>
                        <a:xfrm>
                          <a:off x="0" y="0"/>
                          <a:ext cx="3200400" cy="3813175"/>
                        </a:xfrm>
                        <a:prstGeom prst="rect"/>
                        <a:solidFill>
                          <a:srgbClr val="FFFFFF"/>
                        </a:solidFill>
                      </wps:spPr>
                      <wps:txbx>
                        <w:txbxContent>
                          <w:p>
                            <w:pPr>
                              <w:pStyle w:val="TextBody"/>
                              <w:bidi w:val="0"/>
                              <w:spacing w:before="2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Only shareholders of record at the close of business on October 21, 2025 may vote at the Annual Meeting or any adjournment thereof. </w:t>
                            </w:r>
                          </w:p>
                          <w:p>
                            <w:pPr>
                              <w:pStyle w:val="TextBody"/>
                              <w:bidi w:val="0"/>
                              <w:spacing w:before="25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By Order of the Board of Directors </w:t>
                            </w:r>
                          </w:p>
                          <w:p>
                            <w:pPr>
                              <w:pStyle w:val="TextBody"/>
                              <w:bidi w:val="0"/>
                              <w:spacing w:before="390" w:after="283"/>
                              <w:ind w:left="0" w:right="0" w:hanging="0"/>
                              <w:jc w:val="left"/>
                              <w:rPr>
                                <w:color w:val="14202A"/>
                              </w:rPr>
                            </w:pPr>
                            <w:r>
                              <w:rPr>
                                <w:color w:val="14202A"/>
                              </w:rPr>
                              <w:drawing>
                                <wp:inline distT="0" distB="0" distL="0" distR="0">
                                  <wp:extent cx="1514475" cy="33337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514475" cy="33337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xml:space="preserve">  </w:t>
                            </w:r>
                          </w:p>
                          <w:p>
                            <w:pPr>
                              <w:pStyle w:val="TextBody"/>
                              <w:bidi w:val="0"/>
                              <w:spacing w:before="25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Stacy L. Bogart </w:t>
                            </w:r>
                          </w:p>
                          <w:p>
                            <w:pPr>
                              <w:pStyle w:val="TextBody"/>
                              <w:bidi w:val="0"/>
                              <w:spacing w:before="0" w:after="283"/>
                              <w:ind w:left="0" w:right="0" w:hanging="0"/>
                              <w:jc w:val="left"/>
                              <w:rPr>
                                <w:rFonts w:ascii="Arial;Helvetica;sans-serif" w:hAnsi="Arial;Helvetica;sans-serif"/>
                                <w:b w:val="false"/>
                                <w:color w:val="14202A"/>
                                <w:sz w:val="18"/>
                              </w:rPr>
                            </w:pPr>
                            <w:r>
                              <w:rPr>
                                <w:rFonts w:ascii="Arial;Helvetica;sans-serif" w:hAnsi="Arial;Helvetica;sans-serif"/>
                                <w:b w:val="false"/>
                                <w:color w:val="14202A"/>
                                <w:sz w:val="18"/>
                              </w:rPr>
                              <w:t xml:space="preserve">Senior Vice President - Chief Legal Officer, Corporate Secretary and Corporate Responsibility </w:t>
                            </w:r>
                          </w:p>
                          <w:p>
                            <w:pPr>
                              <w:pStyle w:val="TextBody"/>
                              <w:bidi w:val="0"/>
                              <w:spacing w:before="25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Eden Prairie, MN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November 4, 2025 </w:t>
                            </w:r>
                          </w:p>
                        </w:txbxContent>
                      </wps:txbx>
                      <wps:bodyPr anchor="t" lIns="0" tIns="0" rIns="0" bIns="0">
                        <a:noAutofit/>
                      </wps:bodyPr>
                    </wps:wsp>
                  </a:graphicData>
                </a:graphic>
              </wp:anchor>
            </w:drawing>
          </mc:Choice>
          <mc:Fallback>
            <w:pict>
              <v:rect style="position:absolute;rotation:-0;width:252pt;height:300.25pt;mso-wrap-distance-left:12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2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Only shareholders of record at the close of business on October 21, 2025 may vote at the Annual Meeting or any adjournment thereof. </w:t>
                      </w:r>
                    </w:p>
                    <w:p>
                      <w:pPr>
                        <w:pStyle w:val="TextBody"/>
                        <w:bidi w:val="0"/>
                        <w:spacing w:before="25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By Order of the Board of Directors </w:t>
                      </w:r>
                    </w:p>
                    <w:p>
                      <w:pPr>
                        <w:pStyle w:val="TextBody"/>
                        <w:bidi w:val="0"/>
                        <w:spacing w:before="390" w:after="283"/>
                        <w:ind w:left="0" w:right="0" w:hanging="0"/>
                        <w:jc w:val="left"/>
                        <w:rPr>
                          <w:color w:val="14202A"/>
                        </w:rPr>
                      </w:pPr>
                      <w:r>
                        <w:rPr>
                          <w:color w:val="14202A"/>
                        </w:rPr>
                        <w:drawing>
                          <wp:inline distT="0" distB="0" distL="0" distR="0">
                            <wp:extent cx="1514475" cy="33337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3"/>
                                    <a:stretch>
                                      <a:fillRect/>
                                    </a:stretch>
                                  </pic:blipFill>
                                  <pic:spPr bwMode="auto">
                                    <a:xfrm>
                                      <a:off x="0" y="0"/>
                                      <a:ext cx="1514475" cy="33337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xml:space="preserve">  </w:t>
                      </w:r>
                    </w:p>
                    <w:p>
                      <w:pPr>
                        <w:pStyle w:val="TextBody"/>
                        <w:bidi w:val="0"/>
                        <w:spacing w:before="25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Stacy L. Bogart </w:t>
                      </w:r>
                    </w:p>
                    <w:p>
                      <w:pPr>
                        <w:pStyle w:val="TextBody"/>
                        <w:bidi w:val="0"/>
                        <w:spacing w:before="0" w:after="283"/>
                        <w:ind w:left="0" w:right="0" w:hanging="0"/>
                        <w:jc w:val="left"/>
                        <w:rPr>
                          <w:rFonts w:ascii="Arial;Helvetica;sans-serif" w:hAnsi="Arial;Helvetica;sans-serif"/>
                          <w:b w:val="false"/>
                          <w:color w:val="14202A"/>
                          <w:sz w:val="18"/>
                        </w:rPr>
                      </w:pPr>
                      <w:r>
                        <w:rPr>
                          <w:rFonts w:ascii="Arial;Helvetica;sans-serif" w:hAnsi="Arial;Helvetica;sans-serif"/>
                          <w:b w:val="false"/>
                          <w:color w:val="14202A"/>
                          <w:sz w:val="18"/>
                        </w:rPr>
                        <w:t xml:space="preserve">Senior Vice President - Chief Legal Officer, Corporate Secretary and Corporate Responsibility </w:t>
                      </w:r>
                    </w:p>
                    <w:p>
                      <w:pPr>
                        <w:pStyle w:val="TextBody"/>
                        <w:bidi w:val="0"/>
                        <w:spacing w:before="25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Eden Prairie, MN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November 4, 2025 </w:t>
                      </w:r>
                    </w:p>
                  </w:txbxContent>
                </v:textbox>
                <w10:wrap type="square" side="right"/>
              </v:rect>
            </w:pict>
          </mc:Fallback>
        </mc:AlternateContent>
      </w:r>
    </w:p>
    <w:p>
      <w:pPr>
        <w:pStyle w:val="TextBody"/>
        <w:bidi w:val="0"/>
        <w:spacing w:before="300" w:after="283"/>
        <w:jc w:val="center"/>
        <w:rPr>
          <w:color w:val="14202A"/>
        </w:rPr>
      </w:pPr>
      <w:r>
        <w:rPr>
          <w:color w:val="14202A"/>
        </w:rPr>
        <w:drawing>
          <wp:inline distT="0" distB="0" distL="0" distR="0">
            <wp:extent cx="6543675" cy="11811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4"/>
                    <a:stretch>
                      <a:fillRect/>
                    </a:stretch>
                  </pic:blipFill>
                  <pic:spPr bwMode="auto">
                    <a:xfrm>
                      <a:off x="0" y="0"/>
                      <a:ext cx="6543675" cy="1181100"/>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xml:space="preserve">  </w:t>
      </w:r>
    </w:p>
    <w:tbl>
      <w:tblPr>
        <w:tblW w:w="6600" w:type="dxa"/>
        <w:jc w:val="left"/>
        <w:tblInd w:w="0" w:type="dxa"/>
        <w:tblLayout w:type="fixed"/>
        <w:tblCellMar>
          <w:top w:w="0" w:type="dxa"/>
          <w:left w:w="0" w:type="dxa"/>
          <w:bottom w:w="0" w:type="dxa"/>
          <w:right w:w="0" w:type="dxa"/>
        </w:tblCellMar>
      </w:tblPr>
      <w:tblGrid>
        <w:gridCol w:w="185"/>
        <w:gridCol w:w="6200"/>
        <w:gridCol w:w="215"/>
      </w:tblGrid>
      <w:tr>
        <w:trPr/>
        <w:tc>
          <w:tcPr>
            <w:tcW w:w="185" w:type="dxa"/>
            <w:tcBorders/>
            <w:shd w:fill="14202A" w:val="clear"/>
            <w:vAlign w:val="center"/>
          </w:tcPr>
          <w:p>
            <w:pPr>
              <w:pStyle w:val="TableContents"/>
              <w:bidi w:val="0"/>
              <w:spacing w:before="0" w:after="0"/>
              <w:jc w:val="left"/>
              <w:rPr/>
            </w:pPr>
            <w:r>
              <w:rPr/>
              <w:t> </w:t>
            </w:r>
          </w:p>
        </w:tc>
        <w:tc>
          <w:tcPr>
            <w:tcW w:w="620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6200" w:type="dxa"/>
            <w:tcBorders/>
            <w:shd w:fill="14202A"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Your Vote Is Important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6200" w:type="dxa"/>
            <w:tcBorders/>
            <w:shd w:fill="14202A"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 xml:space="preserve">Please read this proxy statement and submit your vote as soon as possible. </w:t>
            </w:r>
          </w:p>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A prompt response is helpful and your cooperation is appreciated.</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620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bl>
    <w:tbl>
      <w:tblPr>
        <w:tblW w:w="5970" w:type="dxa"/>
        <w:jc w:val="left"/>
        <w:tblInd w:w="0" w:type="dxa"/>
        <w:tblLayout w:type="fixed"/>
        <w:tblCellMar>
          <w:top w:w="0" w:type="dxa"/>
          <w:left w:w="0" w:type="dxa"/>
          <w:bottom w:w="0" w:type="dxa"/>
          <w:right w:w="0" w:type="dxa"/>
        </w:tblCellMar>
      </w:tblPr>
      <w:tblGrid>
        <w:gridCol w:w="2610"/>
        <w:gridCol w:w="170"/>
        <w:gridCol w:w="170"/>
        <w:gridCol w:w="302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52074x1_def14a_103a-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Table of Contents </w:t>
      </w:r>
    </w:p>
    <w:p>
      <w:pPr>
        <w:pStyle w:val="Normal"/>
        <w:bidi w:val="0"/>
        <w:spacing w:before="0" w:after="0"/>
        <w:ind w:left="0" w:right="0" w:hanging="0"/>
        <w:jc w:val="left"/>
        <w:rPr>
          <w:sz w:val="4"/>
          <w:szCs w:val="4"/>
        </w:rPr>
      </w:pPr>
      <w:r>
        <w:rPr>
          <w:sz w:val="4"/>
          <w:szCs w:val="4"/>
        </w:rPr>
      </w:r>
      <w:bookmarkStart w:id="9" w:name="TOC"/>
      <w:bookmarkStart w:id="10" w:name="TOC"/>
      <w:bookmarkEnd w:id="10"/>
    </w:p>
    <w:tbl>
      <w:tblPr>
        <w:tblW w:w="8160" w:type="dxa"/>
        <w:jc w:val="left"/>
        <w:tblInd w:w="0" w:type="dxa"/>
        <w:tblLayout w:type="fixed"/>
        <w:tblCellMar>
          <w:top w:w="0" w:type="dxa"/>
          <w:left w:w="0" w:type="dxa"/>
          <w:bottom w:w="0" w:type="dxa"/>
          <w:right w:w="0" w:type="dxa"/>
        </w:tblCellMar>
      </w:tblPr>
      <w:tblGrid>
        <w:gridCol w:w="185"/>
        <w:gridCol w:w="7010"/>
        <w:gridCol w:w="170"/>
        <w:gridCol w:w="170"/>
        <w:gridCol w:w="410"/>
        <w:gridCol w:w="215"/>
      </w:tblGrid>
      <w:tr>
        <w:trPr/>
        <w:tc>
          <w:tcPr>
            <w:tcW w:w="185" w:type="dxa"/>
            <w:tcBorders/>
            <w:shd w:fill="14202A" w:val="clear"/>
            <w:vAlign w:val="center"/>
          </w:tcPr>
          <w:p>
            <w:pPr>
              <w:pStyle w:val="TableContents"/>
              <w:bidi w:val="0"/>
              <w:spacing w:before="0" w:after="0"/>
              <w:jc w:val="left"/>
              <w:rPr/>
            </w:pPr>
            <w:r>
              <w:rPr/>
              <w:t> </w:t>
            </w:r>
          </w:p>
        </w:tc>
        <w:tc>
          <w:tcPr>
            <w:tcW w:w="701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1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701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1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Page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S">
              <w:r>
                <w:rPr>
                  <w:rStyle w:val="InternetLink"/>
                  <w:rFonts w:ascii="Arial;Helvetica;sans-serif" w:hAnsi="Arial;Helvetica;sans-serif"/>
                  <w:b/>
                  <w:color w:val="14202A"/>
                  <w:sz w:val="16"/>
                </w:rPr>
                <w:t>Proxy Statement Summary</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PS">
              <w:r>
                <w:rPr>
                  <w:rStyle w:val="InternetLink"/>
                  <w:rFonts w:ascii="Arial;Helvetica;sans-serif" w:hAnsi="Arial;Helvetica;sans-serif"/>
                  <w:color w:val="14202A"/>
                  <w:sz w:val="16"/>
                </w:rPr>
                <w:t>5</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H">
              <w:r>
                <w:rPr>
                  <w:rStyle w:val="InternetLink"/>
                  <w:color w:val="14202A"/>
                </w:rPr>
                <w:t>​</w:t>
              </w:r>
            </w:hyperlink>
            <w:hyperlink w:anchor="tPH">
              <w:r>
                <w:rPr>
                  <w:rStyle w:val="InternetLink"/>
                  <w:rFonts w:ascii="Arial;Helvetica;sans-serif" w:hAnsi="Arial;Helvetica;sans-serif"/>
                  <w:color w:val="14202A"/>
                  <w:sz w:val="16"/>
                </w:rPr>
                <w:t xml:space="preserve">Business and Strategic Overview </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PH">
              <w:r>
                <w:rPr>
                  <w:rStyle w:val="InternetLink"/>
                  <w:rFonts w:ascii="Arial;Helvetica;sans-serif" w:hAnsi="Arial;Helvetica;sans-serif"/>
                  <w:color w:val="14202A"/>
                  <w:sz w:val="16"/>
                </w:rPr>
                <w:t>5</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DNAC">
              <w:r>
                <w:rPr>
                  <w:rStyle w:val="InternetLink"/>
                  <w:rFonts w:ascii="Arial;Helvetica;sans-serif" w:hAnsi="Arial;Helvetica;sans-serif"/>
                  <w:color w:val="14202A"/>
                  <w:sz w:val="16"/>
                </w:rPr>
                <w:t>Director Nominees and Continuing Directors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DNAC">
              <w:r>
                <w:rPr>
                  <w:rStyle w:val="InternetLink"/>
                  <w:rFonts w:ascii="Arial;Helvetica;sans-serif" w:hAnsi="Arial;Helvetica;sans-serif"/>
                  <w:color w:val="14202A"/>
                  <w:sz w:val="16"/>
                </w:rPr>
                <w:t>6</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RI">
              <w:r>
                <w:rPr>
                  <w:rStyle w:val="InternetLink"/>
                  <w:rFonts w:ascii="Arial;Helvetica;sans-serif" w:hAnsi="Arial;Helvetica;sans-serif"/>
                  <w:color w:val="14202A"/>
                  <w:sz w:val="16"/>
                </w:rPr>
                <w:t>Corporate Responsibility &amp; Inclusion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RI">
              <w:r>
                <w:rPr>
                  <w:rStyle w:val="InternetLink"/>
                  <w:rFonts w:ascii="Arial;Helvetica;sans-serif" w:hAnsi="Arial;Helvetica;sans-serif"/>
                  <w:color w:val="14202A"/>
                  <w:sz w:val="16"/>
                </w:rPr>
                <w:t>7</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GH">
              <w:r>
                <w:rPr>
                  <w:rStyle w:val="InternetLink"/>
                  <w:rFonts w:ascii="Arial;Helvetica;sans-serif" w:hAnsi="Arial;Helvetica;sans-serif"/>
                  <w:color w:val="14202A"/>
                  <w:sz w:val="16"/>
                </w:rPr>
                <w:t>Corporate Governance Highlights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GH">
              <w:r>
                <w:rPr>
                  <w:rStyle w:val="InternetLink"/>
                  <w:rFonts w:ascii="Arial;Helvetica;sans-serif" w:hAnsi="Arial;Helvetica;sans-serif"/>
                  <w:color w:val="14202A"/>
                  <w:sz w:val="16"/>
                </w:rPr>
                <w:t>8</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GPRS">
              <w:r>
                <w:rPr>
                  <w:rStyle w:val="InternetLink"/>
                  <w:rFonts w:ascii="Arial;Helvetica;sans-serif" w:hAnsi="Arial;Helvetica;sans-serif"/>
                  <w:color w:val="14202A"/>
                  <w:sz w:val="16"/>
                </w:rPr>
                <w:t>Corporate Governance Practices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GPRS">
              <w:r>
                <w:rPr>
                  <w:rStyle w:val="InternetLink"/>
                  <w:rFonts w:ascii="Arial;Helvetica;sans-serif" w:hAnsi="Arial;Helvetica;sans-serif"/>
                  <w:color w:val="14202A"/>
                  <w:sz w:val="16"/>
                </w:rPr>
                <w:t>8</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G">
              <w:r>
                <w:rPr>
                  <w:rStyle w:val="InternetLink"/>
                  <w:rFonts w:ascii="Arial;Helvetica;sans-serif" w:hAnsi="Arial;Helvetica;sans-serif"/>
                  <w:b/>
                  <w:color w:val="14202A"/>
                  <w:sz w:val="16"/>
                </w:rPr>
                <w:t>Corporate Governance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G">
              <w:r>
                <w:rPr>
                  <w:rStyle w:val="InternetLink"/>
                  <w:rFonts w:ascii="Arial;Helvetica;sans-serif" w:hAnsi="Arial;Helvetica;sans-serif"/>
                  <w:color w:val="14202A"/>
                  <w:sz w:val="16"/>
                </w:rPr>
                <w:t>9</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BLS">
              <w:r>
                <w:rPr>
                  <w:rStyle w:val="InternetLink"/>
                  <w:rFonts w:ascii="Arial;Helvetica;sans-serif" w:hAnsi="Arial;Helvetica;sans-serif"/>
                  <w:color w:val="14202A"/>
                  <w:sz w:val="16"/>
                </w:rPr>
                <w:t>Board Leadership Structure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BLS">
              <w:r>
                <w:rPr>
                  <w:rStyle w:val="InternetLink"/>
                  <w:rFonts w:ascii="Arial;Helvetica;sans-serif" w:hAnsi="Arial;Helvetica;sans-serif"/>
                  <w:color w:val="14202A"/>
                  <w:sz w:val="16"/>
                </w:rPr>
                <w:t>9</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SAE">
              <w:r>
                <w:rPr>
                  <w:rStyle w:val="InternetLink"/>
                  <w:rFonts w:ascii="Arial;Helvetica;sans-serif" w:hAnsi="Arial;Helvetica;sans-serif"/>
                  <w:color w:val="14202A"/>
                  <w:sz w:val="16"/>
                </w:rPr>
                <w:t>Skills and Experiences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SAE">
              <w:r>
                <w:rPr>
                  <w:rStyle w:val="InternetLink"/>
                  <w:rFonts w:ascii="Arial;Helvetica;sans-serif" w:hAnsi="Arial;Helvetica;sans-serif"/>
                  <w:color w:val="14202A"/>
                  <w:sz w:val="16"/>
                </w:rPr>
                <w:t>9</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ELEC">
              <w:r>
                <w:rPr>
                  <w:rStyle w:val="InternetLink"/>
                  <w:rFonts w:ascii="Arial;Helvetica;sans-serif" w:hAnsi="Arial;Helvetica;sans-serif"/>
                  <w:color w:val="14202A"/>
                  <w:sz w:val="16"/>
                </w:rPr>
                <w:t>Executive Leadership Experience Criteria: Definitions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ELEC">
              <w:r>
                <w:rPr>
                  <w:rStyle w:val="InternetLink"/>
                  <w:rFonts w:ascii="Arial;Helvetica;sans-serif" w:hAnsi="Arial;Helvetica;sans-serif"/>
                  <w:color w:val="14202A"/>
                  <w:sz w:val="16"/>
                </w:rPr>
                <w:t>10</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BSM">
              <w:r>
                <w:rPr>
                  <w:rStyle w:val="InternetLink"/>
                  <w:rFonts w:ascii="Arial;Helvetica;sans-serif" w:hAnsi="Arial;Helvetica;sans-serif"/>
                  <w:color w:val="14202A"/>
                  <w:sz w:val="16"/>
                </w:rPr>
                <w:t>Board and Shareholder Meeting Attendance; Executive Sessions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BSM">
              <w:r>
                <w:rPr>
                  <w:rStyle w:val="InternetLink"/>
                  <w:rFonts w:ascii="Arial;Helvetica;sans-serif" w:hAnsi="Arial;Helvetica;sans-serif"/>
                  <w:color w:val="14202A"/>
                  <w:sz w:val="16"/>
                </w:rPr>
                <w:t>11</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BC">
              <w:r>
                <w:rPr>
                  <w:rStyle w:val="InternetLink"/>
                  <w:rFonts w:ascii="Arial;Helvetica;sans-serif" w:hAnsi="Arial;Helvetica;sans-serif"/>
                  <w:color w:val="14202A"/>
                  <w:sz w:val="16"/>
                </w:rPr>
                <w:t>Board Committees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BC">
              <w:r>
                <w:rPr>
                  <w:rStyle w:val="InternetLink"/>
                  <w:rFonts w:ascii="Arial;Helvetica;sans-serif" w:hAnsi="Arial;Helvetica;sans-serif"/>
                  <w:color w:val="14202A"/>
                  <w:sz w:val="16"/>
                </w:rPr>
                <w:t>11</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DI">
              <w:r>
                <w:rPr>
                  <w:rStyle w:val="InternetLink"/>
                  <w:rFonts w:ascii="Arial;Helvetica;sans-serif" w:hAnsi="Arial;Helvetica;sans-serif"/>
                  <w:color w:val="14202A"/>
                  <w:sz w:val="16"/>
                </w:rPr>
                <w:t>Director Independence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DI">
              <w:r>
                <w:rPr>
                  <w:rStyle w:val="InternetLink"/>
                  <w:rFonts w:ascii="Arial;Helvetica;sans-serif" w:hAnsi="Arial;Helvetica;sans-serif"/>
                  <w:color w:val="14202A"/>
                  <w:sz w:val="16"/>
                </w:rPr>
                <w:t>13</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RM">
              <w:r>
                <w:rPr>
                  <w:rStyle w:val="InternetLink"/>
                  <w:rFonts w:ascii="Arial;Helvetica;sans-serif" w:hAnsi="Arial;Helvetica;sans-serif"/>
                  <w:color w:val="14202A"/>
                  <w:sz w:val="16"/>
                </w:rPr>
                <w:t>Risk Oversight</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RM">
              <w:r>
                <w:rPr>
                  <w:rStyle w:val="InternetLink"/>
                  <w:rFonts w:ascii="Arial;Helvetica;sans-serif" w:hAnsi="Arial;Helvetica;sans-serif"/>
                  <w:color w:val="14202A"/>
                  <w:sz w:val="16"/>
                </w:rPr>
                <w:t>14</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BR">
              <w:r>
                <w:rPr>
                  <w:rStyle w:val="InternetLink"/>
                  <w:rFonts w:ascii="Arial;Helvetica;sans-serif" w:hAnsi="Arial;Helvetica;sans-serif"/>
                  <w:color w:val="14202A"/>
                  <w:sz w:val="16"/>
                </w:rPr>
                <w:t>Board Refreshment</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BR">
              <w:r>
                <w:rPr>
                  <w:rStyle w:val="InternetLink"/>
                  <w:rFonts w:ascii="Arial;Helvetica;sans-serif" w:hAnsi="Arial;Helvetica;sans-serif"/>
                  <w:color w:val="14202A"/>
                  <w:sz w:val="16"/>
                </w:rPr>
                <w:t>15</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BOCO">
              <w:r>
                <w:rPr>
                  <w:rStyle w:val="InternetLink"/>
                  <w:rFonts w:ascii="Arial;Helvetica;sans-serif" w:hAnsi="Arial;Helvetica;sans-serif"/>
                  <w:color w:val="14202A"/>
                  <w:sz w:val="16"/>
                </w:rPr>
                <w:t>Board Commitments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BOCO">
              <w:r>
                <w:rPr>
                  <w:rStyle w:val="InternetLink"/>
                  <w:rFonts w:ascii="Arial;Helvetica;sans-serif" w:hAnsi="Arial;Helvetica;sans-serif"/>
                  <w:color w:val="14202A"/>
                  <w:sz w:val="16"/>
                </w:rPr>
                <w:t>15</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GP">
              <w:r>
                <w:rPr>
                  <w:rStyle w:val="InternetLink"/>
                  <w:rFonts w:ascii="Arial;Helvetica;sans-serif" w:hAnsi="Arial;Helvetica;sans-serif"/>
                  <w:color w:val="14202A"/>
                  <w:sz w:val="16"/>
                </w:rPr>
                <w:t>Code of Conduct and Corporate Governance Documents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GP">
              <w:r>
                <w:rPr>
                  <w:rStyle w:val="InternetLink"/>
                  <w:rFonts w:ascii="Arial;Helvetica;sans-serif" w:hAnsi="Arial;Helvetica;sans-serif"/>
                  <w:color w:val="14202A"/>
                  <w:sz w:val="16"/>
                </w:rPr>
                <w:t>15</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TR">
              <w:r>
                <w:rPr>
                  <w:rStyle w:val="InternetLink"/>
                  <w:rFonts w:ascii="Arial;Helvetica;sans-serif" w:hAnsi="Arial;Helvetica;sans-serif"/>
                  <w:color w:val="14202A"/>
                  <w:sz w:val="16"/>
                </w:rPr>
                <w:t>Policy on Transactions with Related Persons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PTR">
              <w:r>
                <w:rPr>
                  <w:rStyle w:val="InternetLink"/>
                  <w:rFonts w:ascii="Arial;Helvetica;sans-serif" w:hAnsi="Arial;Helvetica;sans-serif"/>
                  <w:color w:val="14202A"/>
                  <w:sz w:val="16"/>
                </w:rPr>
                <w:t>15</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D">
              <w:r>
                <w:rPr>
                  <w:rStyle w:val="InternetLink"/>
                  <w:rFonts w:ascii="Arial;Helvetica;sans-serif" w:hAnsi="Arial;Helvetica;sans-serif"/>
                  <w:color w:val="14202A"/>
                  <w:sz w:val="16"/>
                </w:rPr>
                <w:t>Communications with Directors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D">
              <w:r>
                <w:rPr>
                  <w:rStyle w:val="InternetLink"/>
                  <w:rFonts w:ascii="Arial;Helvetica;sans-serif" w:hAnsi="Arial;Helvetica;sans-serif"/>
                  <w:color w:val="14202A"/>
                  <w:sz w:val="16"/>
                </w:rPr>
                <w:t>16</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AH">
              <w:r>
                <w:rPr>
                  <w:rStyle w:val="InternetLink"/>
                  <w:rFonts w:ascii="Arial;Helvetica;sans-serif" w:hAnsi="Arial;Helvetica;sans-serif"/>
                  <w:color w:val="14202A"/>
                  <w:sz w:val="16"/>
                </w:rPr>
                <w:t>Insider Trading Policy; Anti-Hedging and Anti-Pledging Policy</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AH">
              <w:r>
                <w:rPr>
                  <w:rStyle w:val="InternetLink"/>
                  <w:rFonts w:ascii="Arial;Helvetica;sans-serif" w:hAnsi="Arial;Helvetica;sans-serif"/>
                  <w:color w:val="14202A"/>
                  <w:sz w:val="16"/>
                </w:rPr>
                <w:t>16</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ED">
              <w:r>
                <w:rPr>
                  <w:rStyle w:val="InternetLink"/>
                  <w:rFonts w:ascii="Arial;Helvetica;sans-serif" w:hAnsi="Arial;Helvetica;sans-serif"/>
                  <w:b/>
                  <w:color w:val="14202A"/>
                  <w:sz w:val="16"/>
                </w:rPr>
                <w:t>Proposal 1 – Election of Directors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ED">
              <w:r>
                <w:rPr>
                  <w:rStyle w:val="InternetLink"/>
                  <w:rFonts w:ascii="Arial;Helvetica;sans-serif" w:hAnsi="Arial;Helvetica;sans-serif"/>
                  <w:color w:val="14202A"/>
                  <w:sz w:val="16"/>
                </w:rPr>
                <w:t>17</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DN">
              <w:r>
                <w:rPr>
                  <w:rStyle w:val="InternetLink"/>
                  <w:rFonts w:ascii="Arial;Helvetica;sans-serif" w:hAnsi="Arial;Helvetica;sans-serif"/>
                  <w:color w:val="14202A"/>
                  <w:sz w:val="16"/>
                </w:rPr>
                <w:t>Director Nominees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DN">
              <w:r>
                <w:rPr>
                  <w:rStyle w:val="InternetLink"/>
                  <w:rFonts w:ascii="Arial;Helvetica;sans-serif" w:hAnsi="Arial;Helvetica;sans-serif"/>
                  <w:color w:val="14202A"/>
                  <w:sz w:val="16"/>
                </w:rPr>
                <w:t>18</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DCIO">
              <w:r>
                <w:rPr>
                  <w:rStyle w:val="InternetLink"/>
                  <w:rFonts w:ascii="Arial;Helvetica;sans-serif" w:hAnsi="Arial;Helvetica;sans-serif"/>
                  <w:color w:val="14202A"/>
                  <w:sz w:val="16"/>
                </w:rPr>
                <w:t>Directors Continuing in Office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DCIO">
              <w:r>
                <w:rPr>
                  <w:rStyle w:val="InternetLink"/>
                  <w:rFonts w:ascii="Arial;Helvetica;sans-serif" w:hAnsi="Arial;Helvetica;sans-serif"/>
                  <w:color w:val="14202A"/>
                  <w:sz w:val="16"/>
                </w:rPr>
                <w:t>19</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DC">
              <w:r>
                <w:rPr>
                  <w:rStyle w:val="InternetLink"/>
                  <w:rFonts w:ascii="Arial;Helvetica;sans-serif" w:hAnsi="Arial;Helvetica;sans-serif"/>
                  <w:b/>
                  <w:color w:val="14202A"/>
                  <w:sz w:val="16"/>
                </w:rPr>
                <w:t>Director Compensation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DC">
              <w:r>
                <w:rPr>
                  <w:rStyle w:val="InternetLink"/>
                  <w:rFonts w:ascii="Arial;Helvetica;sans-serif" w:hAnsi="Arial;Helvetica;sans-serif"/>
                  <w:color w:val="14202A"/>
                  <w:sz w:val="16"/>
                </w:rPr>
                <w:t>23</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DA">
              <w:r>
                <w:rPr>
                  <w:rStyle w:val="InternetLink"/>
                  <w:rFonts w:ascii="Arial;Helvetica;sans-serif" w:hAnsi="Arial;Helvetica;sans-serif"/>
                  <w:b/>
                  <w:color w:val="14202A"/>
                  <w:sz w:val="16"/>
                </w:rPr>
                <w:t>Compensation Discussion and Analysis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DA">
              <w:r>
                <w:rPr>
                  <w:rStyle w:val="InternetLink"/>
                  <w:rFonts w:ascii="Arial;Helvetica;sans-serif" w:hAnsi="Arial;Helvetica;sans-serif"/>
                  <w:color w:val="14202A"/>
                  <w:sz w:val="16"/>
                </w:rPr>
                <w:t>27</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FP11">
              <w:r>
                <w:rPr>
                  <w:rStyle w:val="InternetLink"/>
                  <w:color w:val="14202A"/>
                </w:rPr>
                <w:t>​</w:t>
              </w:r>
            </w:hyperlink>
            <w:hyperlink w:anchor="tFP11">
              <w:r>
                <w:rPr>
                  <w:rStyle w:val="InternetLink"/>
                  <w:rFonts w:ascii="Arial;Helvetica;sans-serif" w:hAnsi="Arial;Helvetica;sans-serif"/>
                  <w:color w:val="14202A"/>
                  <w:sz w:val="16"/>
                </w:rPr>
                <w:t>Executive Summary</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FP11">
              <w:r>
                <w:rPr>
                  <w:rStyle w:val="InternetLink"/>
                  <w:rFonts w:ascii="Arial;Helvetica;sans-serif" w:hAnsi="Arial;Helvetica;sans-serif"/>
                  <w:color w:val="14202A"/>
                  <w:sz w:val="16"/>
                </w:rPr>
                <w:t>27</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DET">
              <w:r>
                <w:rPr>
                  <w:rStyle w:val="InternetLink"/>
                  <w:rFonts w:ascii="Arial;Helvetica;sans-serif" w:hAnsi="Arial;Helvetica;sans-serif"/>
                  <w:color w:val="14202A"/>
                  <w:sz w:val="16"/>
                </w:rPr>
                <w:t>Determination of Compensation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DET">
              <w:r>
                <w:rPr>
                  <w:rStyle w:val="InternetLink"/>
                  <w:rFonts w:ascii="Arial;Helvetica;sans-serif" w:hAnsi="Arial;Helvetica;sans-serif"/>
                  <w:color w:val="14202A"/>
                  <w:sz w:val="16"/>
                </w:rPr>
                <w:t>32</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FIS2">
              <w:r>
                <w:rPr>
                  <w:rStyle w:val="InternetLink"/>
                  <w:rFonts w:ascii="Arial;Helvetica;sans-serif" w:hAnsi="Arial;Helvetica;sans-serif"/>
                  <w:color w:val="14202A"/>
                  <w:sz w:val="16"/>
                </w:rPr>
                <w:t>Fiscal 2025 NEO Compensation Decisions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FIS2">
              <w:r>
                <w:rPr>
                  <w:rStyle w:val="InternetLink"/>
                  <w:rFonts w:ascii="Arial;Helvetica;sans-serif" w:hAnsi="Arial;Helvetica;sans-serif"/>
                  <w:color w:val="14202A"/>
                  <w:sz w:val="16"/>
                </w:rPr>
                <w:t>34</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ADD">
              <w:r>
                <w:rPr>
                  <w:rStyle w:val="InternetLink"/>
                  <w:rFonts w:ascii="Arial;Helvetica;sans-serif" w:hAnsi="Arial;Helvetica;sans-serif"/>
                  <w:color w:val="14202A"/>
                  <w:sz w:val="16"/>
                </w:rPr>
                <w:t>Additional Compensation Policies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ADD">
              <w:r>
                <w:rPr>
                  <w:rStyle w:val="InternetLink"/>
                  <w:rFonts w:ascii="Arial;Helvetica;sans-serif" w:hAnsi="Arial;Helvetica;sans-serif"/>
                  <w:color w:val="14202A"/>
                  <w:sz w:val="16"/>
                </w:rPr>
                <w:t>42</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HRC">
              <w:r>
                <w:rPr>
                  <w:rStyle w:val="InternetLink"/>
                  <w:rFonts w:ascii="Arial;Helvetica;sans-serif" w:hAnsi="Arial;Helvetica;sans-serif"/>
                  <w:b/>
                  <w:color w:val="14202A"/>
                  <w:sz w:val="16"/>
                </w:rPr>
                <w:t>Human Resources Committee Report</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HRC">
              <w:r>
                <w:rPr>
                  <w:rStyle w:val="InternetLink"/>
                  <w:rFonts w:ascii="Arial;Helvetica;sans-serif" w:hAnsi="Arial;Helvetica;sans-serif"/>
                  <w:color w:val="14202A"/>
                  <w:sz w:val="16"/>
                </w:rPr>
                <w:t>45</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CTN">
              <w:r>
                <w:rPr>
                  <w:rStyle w:val="InternetLink"/>
                  <w:rFonts w:ascii="Arial;Helvetica;sans-serif" w:hAnsi="Arial;Helvetica;sans-serif"/>
                  <w:b/>
                  <w:color w:val="14202A"/>
                  <w:sz w:val="16"/>
                </w:rPr>
                <w:t>Compensation Tables and Narrative Disclosure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CTN">
              <w:r>
                <w:rPr>
                  <w:rStyle w:val="InternetLink"/>
                  <w:rFonts w:ascii="Arial;Helvetica;sans-serif" w:hAnsi="Arial;Helvetica;sans-serif"/>
                  <w:color w:val="14202A"/>
                  <w:sz w:val="16"/>
                </w:rPr>
                <w:t>46</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SUM">
              <w:r>
                <w:rPr>
                  <w:rStyle w:val="InternetLink"/>
                  <w:rFonts w:ascii="Arial;Helvetica;sans-serif" w:hAnsi="Arial;Helvetica;sans-serif"/>
                  <w:color w:val="14202A"/>
                  <w:sz w:val="16"/>
                </w:rPr>
                <w:t>Summary Compensation Table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SUM">
              <w:r>
                <w:rPr>
                  <w:rStyle w:val="InternetLink"/>
                  <w:rFonts w:ascii="Arial;Helvetica;sans-serif" w:hAnsi="Arial;Helvetica;sans-serif"/>
                  <w:color w:val="14202A"/>
                  <w:sz w:val="16"/>
                </w:rPr>
                <w:t>46</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GRA">
              <w:r>
                <w:rPr>
                  <w:rStyle w:val="InternetLink"/>
                  <w:rFonts w:ascii="Arial;Helvetica;sans-serif" w:hAnsi="Arial;Helvetica;sans-serif"/>
                  <w:color w:val="14202A"/>
                  <w:sz w:val="16"/>
                </w:rPr>
                <w:t>Grants of Plan-Based Awards Table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GRA">
              <w:r>
                <w:rPr>
                  <w:rStyle w:val="InternetLink"/>
                  <w:rFonts w:ascii="Arial;Helvetica;sans-serif" w:hAnsi="Arial;Helvetica;sans-serif"/>
                  <w:color w:val="14202A"/>
                  <w:sz w:val="16"/>
                </w:rPr>
                <w:t>48</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NAR">
              <w:r>
                <w:rPr>
                  <w:rStyle w:val="InternetLink"/>
                  <w:rFonts w:ascii="Arial;Helvetica;sans-serif" w:hAnsi="Arial;Helvetica;sans-serif"/>
                  <w:color w:val="14202A"/>
                  <w:sz w:val="16"/>
                </w:rPr>
                <w:t>Narrative Disclosure to Summary Compensation Table and Grants of Plan-Based Awards Table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NAR">
              <w:r>
                <w:rPr>
                  <w:rStyle w:val="InternetLink"/>
                  <w:rFonts w:ascii="Arial;Helvetica;sans-serif" w:hAnsi="Arial;Helvetica;sans-serif"/>
                  <w:color w:val="14202A"/>
                  <w:sz w:val="16"/>
                </w:rPr>
                <w:t>49</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OUT">
              <w:r>
                <w:rPr>
                  <w:rStyle w:val="InternetLink"/>
                  <w:rFonts w:ascii="Arial;Helvetica;sans-serif" w:hAnsi="Arial;Helvetica;sans-serif"/>
                  <w:color w:val="14202A"/>
                  <w:sz w:val="16"/>
                </w:rPr>
                <w:t>Outstanding Equity Awards at Fiscal Year-End Table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83" w:right="0" w:hanging="0"/>
              <w:jc w:val="left"/>
              <w:rPr/>
            </w:pPr>
            <w:hyperlink w:anchor="tOUT">
              <w:r>
                <w:rPr>
                  <w:rStyle w:val="InternetLink"/>
                  <w:rFonts w:ascii="Arial;Helvetica;sans-serif" w:hAnsi="Arial;Helvetica;sans-serif"/>
                  <w:color w:val="14202A"/>
                  <w:sz w:val="16"/>
                </w:rPr>
                <w:t>50</w:t>
              </w:r>
            </w:hyperlink>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283"/>
              <w:ind w:left="60" w:right="0" w:hanging="0"/>
              <w:jc w:val="left"/>
              <w:rPr/>
            </w:pPr>
            <w:hyperlink w:anchor="tOPE">
              <w:r>
                <w:rPr>
                  <w:rStyle w:val="InternetLink"/>
                  <w:rFonts w:ascii="Arial;Helvetica;sans-serif" w:hAnsi="Arial;Helvetica;sans-serif"/>
                  <w:color w:val="14202A"/>
                  <w:sz w:val="16"/>
                </w:rPr>
                <w:t>Option Exercises and Stock Vested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83" w:right="0" w:hanging="0"/>
              <w:jc w:val="left"/>
              <w:rPr/>
            </w:pPr>
            <w:hyperlink w:anchor="tOPE">
              <w:r>
                <w:rPr>
                  <w:rStyle w:val="InternetLink"/>
                  <w:rFonts w:ascii="Arial;Helvetica;sans-serif" w:hAnsi="Arial;Helvetica;sans-serif"/>
                  <w:color w:val="14202A"/>
                  <w:sz w:val="16"/>
                </w:rPr>
                <w:t>52</w:t>
              </w:r>
            </w:hyperlink>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01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5625" w:type="dxa"/>
        <w:jc w:val="left"/>
        <w:tblInd w:w="0" w:type="dxa"/>
        <w:tblLayout w:type="fixed"/>
        <w:tblCellMar>
          <w:top w:w="0" w:type="dxa"/>
          <w:left w:w="0" w:type="dxa"/>
          <w:bottom w:w="0" w:type="dxa"/>
          <w:right w:w="0" w:type="dxa"/>
        </w:tblCellMar>
      </w:tblPr>
      <w:tblGrid>
        <w:gridCol w:w="2610"/>
        <w:gridCol w:w="170"/>
        <w:gridCol w:w="170"/>
        <w:gridCol w:w="267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 w:name="ny20052074x1_def14a_103a-toc_pg2"/>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9062"/>
        <w:gridCol w:w="170"/>
        <w:gridCol w:w="170"/>
        <w:gridCol w:w="402"/>
        <w:gridCol w:w="216"/>
      </w:tblGrid>
      <w:tr>
        <w:trPr/>
        <w:tc>
          <w:tcPr>
            <w:tcW w:w="185" w:type="dxa"/>
            <w:tcBorders/>
            <w:shd w:fill="14202A" w:val="clear"/>
            <w:vAlign w:val="center"/>
          </w:tcPr>
          <w:p>
            <w:pPr>
              <w:pStyle w:val="TableContents"/>
              <w:bidi w:val="0"/>
              <w:spacing w:before="0" w:after="0"/>
              <w:jc w:val="left"/>
              <w:rPr/>
            </w:pPr>
            <w:r>
              <w:rPr/>
              <w:t> </w:t>
            </w:r>
          </w:p>
        </w:tc>
        <w:tc>
          <w:tcPr>
            <w:tcW w:w="9062"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02"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9062"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0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Page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NON">
              <w:r>
                <w:rPr>
                  <w:rStyle w:val="InternetLink"/>
                  <w:rFonts w:ascii="Arial;Helvetica;sans-serif" w:hAnsi="Arial;Helvetica;sans-serif"/>
                  <w:color w:val="14202A"/>
                  <w:sz w:val="16"/>
                </w:rPr>
                <w:t>Nonqualified Deferred Compensation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NON">
              <w:r>
                <w:rPr>
                  <w:rStyle w:val="InternetLink"/>
                  <w:rFonts w:ascii="Arial;Helvetica;sans-serif" w:hAnsi="Arial;Helvetica;sans-serif"/>
                  <w:color w:val="14202A"/>
                  <w:sz w:val="16"/>
                </w:rPr>
                <w:t>52</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OT">
              <w:r>
                <w:rPr>
                  <w:rStyle w:val="InternetLink"/>
                  <w:rFonts w:ascii="Arial;Helvetica;sans-serif" w:hAnsi="Arial;Helvetica;sans-serif"/>
                  <w:color w:val="14202A"/>
                  <w:sz w:val="16"/>
                </w:rPr>
                <w:t>Potential Payments upon Termination or Change in Control</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OT">
              <w:r>
                <w:rPr>
                  <w:rStyle w:val="InternetLink"/>
                  <w:rFonts w:ascii="Arial;Helvetica;sans-serif" w:hAnsi="Arial;Helvetica;sans-serif"/>
                  <w:color w:val="14202A"/>
                  <w:sz w:val="16"/>
                </w:rPr>
                <w:t>52</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PP">
              <w:r>
                <w:rPr>
                  <w:rStyle w:val="InternetLink"/>
                  <w:rFonts w:ascii="Arial;Helvetica;sans-serif" w:hAnsi="Arial;Helvetica;sans-serif"/>
                  <w:color w:val="14202A"/>
                  <w:sz w:val="16"/>
                </w:rPr>
                <w:t>2014 Plan and 2019 Plan Payments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PP">
              <w:r>
                <w:rPr>
                  <w:rStyle w:val="InternetLink"/>
                  <w:rFonts w:ascii="Arial;Helvetica;sans-serif" w:hAnsi="Arial;Helvetica;sans-serif"/>
                  <w:color w:val="14202A"/>
                  <w:sz w:val="16"/>
                </w:rPr>
                <w:t>53</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ECCT">
              <w:r>
                <w:rPr>
                  <w:rStyle w:val="InternetLink"/>
                  <w:rFonts w:ascii="Arial;Helvetica;sans-serif" w:hAnsi="Arial;Helvetica;sans-serif"/>
                  <w:b/>
                  <w:color w:val="14202A"/>
                  <w:sz w:val="16"/>
                </w:rPr>
                <w:t>Estimated Change in Control or Termination Payments and Benefits at the End of Fiscal 2025</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ECCT">
              <w:r>
                <w:rPr>
                  <w:rStyle w:val="InternetLink"/>
                  <w:rFonts w:ascii="Arial;Helvetica;sans-serif" w:hAnsi="Arial;Helvetica;sans-serif"/>
                  <w:color w:val="14202A"/>
                  <w:sz w:val="16"/>
                </w:rPr>
                <w:t>55</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RD">
              <w:r>
                <w:rPr>
                  <w:rStyle w:val="InternetLink"/>
                  <w:rFonts w:ascii="Arial;Helvetica;sans-serif" w:hAnsi="Arial;Helvetica;sans-serif"/>
                  <w:b/>
                  <w:color w:val="14202A"/>
                  <w:sz w:val="16"/>
                </w:rPr>
                <w:t>CEO Pay Ratio Disclosure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RD">
              <w:r>
                <w:rPr>
                  <w:rStyle w:val="InternetLink"/>
                  <w:rFonts w:ascii="Arial;Helvetica;sans-serif" w:hAnsi="Arial;Helvetica;sans-serif"/>
                  <w:color w:val="14202A"/>
                  <w:sz w:val="16"/>
                </w:rPr>
                <w:t>57</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VP">
              <w:r>
                <w:rPr>
                  <w:rStyle w:val="InternetLink"/>
                  <w:rFonts w:ascii="Arial;Helvetica;sans-serif" w:hAnsi="Arial;Helvetica;sans-serif"/>
                  <w:b/>
                  <w:color w:val="14202A"/>
                  <w:sz w:val="16"/>
                </w:rPr>
                <w:t>Pay Versus Performance Disclosure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VP">
              <w:r>
                <w:rPr>
                  <w:rStyle w:val="InternetLink"/>
                  <w:rFonts w:ascii="Arial;Helvetica;sans-serif" w:hAnsi="Arial;Helvetica;sans-serif"/>
                  <w:color w:val="14202A"/>
                  <w:sz w:val="16"/>
                </w:rPr>
                <w:t>58</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ECPI">
              <w:r>
                <w:rPr>
                  <w:rStyle w:val="InternetLink"/>
                  <w:rFonts w:ascii="Arial;Helvetica;sans-serif" w:hAnsi="Arial;Helvetica;sans-serif"/>
                  <w:b/>
                  <w:color w:val="14202A"/>
                  <w:sz w:val="16"/>
                </w:rPr>
                <w:t xml:space="preserve">Equity Compensation Plan Information </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ECPI">
              <w:r>
                <w:rPr>
                  <w:rStyle w:val="InternetLink"/>
                  <w:rFonts w:ascii="Arial;Helvetica;sans-serif" w:hAnsi="Arial;Helvetica;sans-serif"/>
                  <w:color w:val="14202A"/>
                  <w:sz w:val="16"/>
                </w:rPr>
                <w:t>62</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ROP2">
              <w:r>
                <w:rPr>
                  <w:rStyle w:val="InternetLink"/>
                  <w:rFonts w:ascii="Arial;Helvetica;sans-serif" w:hAnsi="Arial;Helvetica;sans-serif"/>
                  <w:b/>
                  <w:color w:val="14202A"/>
                  <w:sz w:val="16"/>
                </w:rPr>
                <w:t>Proposal 2 – Advisory Vote to Approve the Compensation of our Named Executive Officers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ROP2">
              <w:r>
                <w:rPr>
                  <w:rStyle w:val="InternetLink"/>
                  <w:rFonts w:ascii="Arial;Helvetica;sans-serif" w:hAnsi="Arial;Helvetica;sans-serif"/>
                  <w:color w:val="14202A"/>
                  <w:sz w:val="16"/>
                </w:rPr>
                <w:t>63</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ROP3">
              <w:r>
                <w:rPr>
                  <w:rStyle w:val="InternetLink"/>
                  <w:rFonts w:ascii="Arial;Helvetica;sans-serif" w:hAnsi="Arial;Helvetica;sans-serif"/>
                  <w:b/>
                  <w:color w:val="14202A"/>
                  <w:sz w:val="16"/>
                </w:rPr>
                <w:t>Proposal 3 – Approval of the Amended and Restated 2019 Omnibus Incentive Plan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ROP3">
              <w:r>
                <w:rPr>
                  <w:rStyle w:val="InternetLink"/>
                  <w:rFonts w:ascii="Arial;Helvetica;sans-serif" w:hAnsi="Arial;Helvetica;sans-serif"/>
                  <w:color w:val="14202A"/>
                  <w:sz w:val="16"/>
                </w:rPr>
                <w:t>64</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PROP4">
              <w:r>
                <w:rPr>
                  <w:rStyle w:val="InternetLink"/>
                  <w:rFonts w:ascii="Arial;Helvetica;sans-serif" w:hAnsi="Arial;Helvetica;sans-serif"/>
                  <w:b/>
                  <w:color w:val="14202A"/>
                  <w:sz w:val="16"/>
                </w:rPr>
                <w:t>Proposal 4 - Approval of the Amended and Restated Employee Stock Purchase Plan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ROP4">
              <w:r>
                <w:rPr>
                  <w:rStyle w:val="InternetLink"/>
                  <w:rFonts w:ascii="Arial;Helvetica;sans-serif" w:hAnsi="Arial;Helvetica;sans-serif"/>
                  <w:color w:val="14202A"/>
                  <w:sz w:val="16"/>
                </w:rPr>
                <w:t>75</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240" w:right="0" w:hanging="180"/>
              <w:jc w:val="left"/>
              <w:rPr/>
            </w:pPr>
            <w:hyperlink w:anchor="tPROP5">
              <w:r>
                <w:rPr>
                  <w:rStyle w:val="InternetLink"/>
                  <w:rFonts w:ascii="Arial;Helvetica;sans-serif" w:hAnsi="Arial;Helvetica;sans-serif"/>
                  <w:b/>
                  <w:color w:val="14202A"/>
                  <w:sz w:val="16"/>
                </w:rPr>
                <w:t>Proposal 5 - Ratification of the Appointment of Independent Registered Public Accountant for the Fiscal Year Ending August 29, 2026</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ROP5">
              <w:r>
                <w:rPr>
                  <w:rStyle w:val="InternetLink"/>
                  <w:rFonts w:ascii="Arial;Helvetica;sans-serif" w:hAnsi="Arial;Helvetica;sans-serif"/>
                  <w:color w:val="14202A"/>
                  <w:sz w:val="16"/>
                </w:rPr>
                <w:t>79</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RAC">
              <w:r>
                <w:rPr>
                  <w:rStyle w:val="InternetLink"/>
                  <w:rFonts w:ascii="Arial;Helvetica;sans-serif" w:hAnsi="Arial;Helvetica;sans-serif"/>
                  <w:b/>
                  <w:color w:val="14202A"/>
                  <w:sz w:val="16"/>
                </w:rPr>
                <w:t>Report of the Audit Committee</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RAC">
              <w:r>
                <w:rPr>
                  <w:rStyle w:val="InternetLink"/>
                  <w:rFonts w:ascii="Arial;Helvetica;sans-serif" w:hAnsi="Arial;Helvetica;sans-serif"/>
                  <w:color w:val="14202A"/>
                  <w:sz w:val="16"/>
                </w:rPr>
                <w:t>80</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RP">
              <w:r>
                <w:rPr>
                  <w:rStyle w:val="InternetLink"/>
                  <w:rFonts w:ascii="Arial;Helvetica;sans-serif" w:hAnsi="Arial;Helvetica;sans-serif"/>
                  <w:b/>
                  <w:color w:val="14202A"/>
                  <w:sz w:val="16"/>
                </w:rPr>
                <w:t>Independent Registered Public Accountant’s Fees and Services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RP">
              <w:r>
                <w:rPr>
                  <w:rStyle w:val="InternetLink"/>
                  <w:rFonts w:ascii="Arial;Helvetica;sans-serif" w:hAnsi="Arial;Helvetica;sans-serif"/>
                  <w:color w:val="14202A"/>
                  <w:sz w:val="16"/>
                </w:rPr>
                <w:t>81</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240" w:right="0" w:hanging="180"/>
              <w:jc w:val="left"/>
              <w:rPr/>
            </w:pPr>
            <w:hyperlink w:anchor="tPRAI">
              <w:r>
                <w:rPr>
                  <w:rStyle w:val="InternetLink"/>
                  <w:rFonts w:ascii="Arial;Helvetica;sans-serif" w:hAnsi="Arial;Helvetica;sans-serif"/>
                  <w:color w:val="14202A"/>
                  <w:sz w:val="16"/>
                </w:rPr>
                <w:t>Policy Regarding the Approval of Independent Registered Public Accountant Provision of Audit and Non-audit Services</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PRAI">
              <w:r>
                <w:rPr>
                  <w:rStyle w:val="InternetLink"/>
                  <w:rFonts w:ascii="Arial;Helvetica;sans-serif" w:hAnsi="Arial;Helvetica;sans-serif"/>
                  <w:color w:val="14202A"/>
                  <w:sz w:val="16"/>
                </w:rPr>
                <w:t>81</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VSP">
              <w:r>
                <w:rPr>
                  <w:rStyle w:val="InternetLink"/>
                  <w:rFonts w:ascii="Arial;Helvetica;sans-serif" w:hAnsi="Arial;Helvetica;sans-serif"/>
                  <w:b/>
                  <w:color w:val="14202A"/>
                  <w:sz w:val="16"/>
                </w:rPr>
                <w:t>Security Ownership of Certain Beneficial Owners and Management</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VSP">
              <w:r>
                <w:rPr>
                  <w:rStyle w:val="InternetLink"/>
                  <w:rFonts w:ascii="Arial;Helvetica;sans-serif" w:hAnsi="Arial;Helvetica;sans-serif"/>
                  <w:color w:val="14202A"/>
                  <w:sz w:val="16"/>
                </w:rPr>
                <w:t>82</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VI">
              <w:r>
                <w:rPr>
                  <w:rStyle w:val="InternetLink"/>
                  <w:rFonts w:ascii="Arial;Helvetica;sans-serif" w:hAnsi="Arial;Helvetica;sans-serif"/>
                  <w:b/>
                  <w:color w:val="14202A"/>
                  <w:sz w:val="16"/>
                </w:rPr>
                <w:t>Voting Information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VI">
              <w:r>
                <w:rPr>
                  <w:rStyle w:val="InternetLink"/>
                  <w:rFonts w:ascii="Arial;Helvetica;sans-serif" w:hAnsi="Arial;Helvetica;sans-serif"/>
                  <w:color w:val="14202A"/>
                  <w:sz w:val="16"/>
                </w:rPr>
                <w:t>84</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OI">
              <w:r>
                <w:rPr>
                  <w:rStyle w:val="InternetLink"/>
                  <w:rFonts w:ascii="Arial;Helvetica;sans-serif" w:hAnsi="Arial;Helvetica;sans-serif"/>
                  <w:b/>
                  <w:color w:val="14202A"/>
                  <w:sz w:val="16"/>
                </w:rPr>
                <w:t>Other Information</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OI">
              <w:r>
                <w:rPr>
                  <w:rStyle w:val="InternetLink"/>
                  <w:rFonts w:ascii="Arial;Helvetica;sans-serif" w:hAnsi="Arial;Helvetica;sans-serif"/>
                  <w:color w:val="14202A"/>
                  <w:sz w:val="16"/>
                </w:rPr>
                <w:t>86</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88" w:type="dxa"/>
            </w:tcMar>
            <w:vAlign w:val="center"/>
          </w:tcPr>
          <w:p>
            <w:pPr>
              <w:pStyle w:val="TableContents"/>
              <w:bidi w:val="0"/>
              <w:spacing w:before="0" w:after="283"/>
              <w:ind w:left="60" w:right="0" w:hanging="0"/>
              <w:jc w:val="left"/>
              <w:rPr/>
            </w:pPr>
            <w:hyperlink w:anchor="tAPPA">
              <w:r>
                <w:rPr>
                  <w:rStyle w:val="InternetLink"/>
                  <w:rFonts w:ascii="Arial;Helvetica;sans-serif" w:hAnsi="Arial;Helvetica;sans-serif"/>
                  <w:b/>
                  <w:color w:val="14202A"/>
                  <w:sz w:val="16"/>
                </w:rPr>
                <w:t xml:space="preserve">APPENDIX A - Amended and Restated 2019 Omnibus Incentive Plan </w:t>
              </w:r>
            </w:hyperlink>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88" w:type="dxa"/>
            </w:tcMar>
            <w:vAlign w:val="center"/>
          </w:tcPr>
          <w:p>
            <w:pPr>
              <w:pStyle w:val="TableContents"/>
              <w:bidi w:val="0"/>
              <w:spacing w:before="0" w:after="283"/>
              <w:ind w:left="67" w:right="0" w:hanging="0"/>
              <w:jc w:val="left"/>
              <w:rPr/>
            </w:pPr>
            <w:hyperlink w:anchor="tAPPA">
              <w:r>
                <w:rPr>
                  <w:rStyle w:val="InternetLink"/>
                  <w:rFonts w:ascii="Arial;Helvetica;sans-serif" w:hAnsi="Arial;Helvetica;sans-serif"/>
                  <w:color w:val="14202A"/>
                  <w:sz w:val="16"/>
                </w:rPr>
                <w:t>A-1</w:t>
              </w:r>
            </w:hyperlink>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062" w:type="dxa"/>
            <w:tcBorders/>
            <w:vAlign w:val="center"/>
          </w:tcPr>
          <w:p>
            <w:pPr>
              <w:pStyle w:val="TableContents"/>
              <w:bidi w:val="0"/>
              <w:spacing w:before="0" w:after="283"/>
              <w:ind w:left="60" w:right="0" w:hanging="0"/>
              <w:jc w:val="left"/>
              <w:rPr/>
            </w:pPr>
            <w:hyperlink w:anchor="tAPPB">
              <w:r>
                <w:rPr>
                  <w:rStyle w:val="InternetLink"/>
                  <w:rFonts w:ascii="Arial;Helvetica;sans-serif" w:hAnsi="Arial;Helvetica;sans-serif"/>
                  <w:b/>
                  <w:color w:val="14202A"/>
                  <w:sz w:val="16"/>
                </w:rPr>
                <w:t xml:space="preserve">APPENDIX B - Amended and Restated Employee Stock Purchase Plan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 w:type="dxa"/>
            <w:tcBorders/>
            <w:vAlign w:val="center"/>
          </w:tcPr>
          <w:p>
            <w:pPr>
              <w:pStyle w:val="TableContents"/>
              <w:bidi w:val="0"/>
              <w:spacing w:before="0" w:after="283"/>
              <w:ind w:left="67" w:right="0" w:hanging="0"/>
              <w:jc w:val="left"/>
              <w:rPr/>
            </w:pPr>
            <w:hyperlink w:anchor="tAPPB">
              <w:r>
                <w:rPr>
                  <w:rStyle w:val="InternetLink"/>
                  <w:rFonts w:ascii="Arial;Helvetica;sans-serif" w:hAnsi="Arial;Helvetica;sans-serif"/>
                  <w:color w:val="14202A"/>
                  <w:sz w:val="16"/>
                </w:rPr>
                <w:t>B-1</w:t>
              </w:r>
            </w:hyperlink>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6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02"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5625" w:type="dxa"/>
        <w:jc w:val="left"/>
        <w:tblInd w:w="0" w:type="dxa"/>
        <w:tblLayout w:type="fixed"/>
        <w:tblCellMar>
          <w:top w:w="0" w:type="dxa"/>
          <w:left w:w="0" w:type="dxa"/>
          <w:bottom w:w="0" w:type="dxa"/>
          <w:right w:w="0" w:type="dxa"/>
        </w:tblCellMar>
      </w:tblPr>
      <w:tblGrid>
        <w:gridCol w:w="2610"/>
        <w:gridCol w:w="170"/>
        <w:gridCol w:w="170"/>
        <w:gridCol w:w="267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52074x1_def14a_104-prox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13" w:name="tPH"/>
      <w:bookmarkStart w:id="14" w:name="tPS"/>
      <w:bookmarkEnd w:id="13"/>
      <w:bookmarkEnd w:id="14"/>
      <w:r>
        <w:rPr>
          <w:rFonts w:ascii="Arial;Helvetica;sans-serif" w:hAnsi="Arial;Helvetica;sans-serif"/>
          <w:b/>
          <w:color w:val="D8E47A"/>
          <w:sz w:val="24"/>
        </w:rPr>
        <w:t xml:space="preserve">Business and Strategic Overview </w:t>
      </w:r>
    </w:p>
    <w:p>
      <w:pPr>
        <w:pStyle w:val="TextBody"/>
        <w:bidi w:val="0"/>
        <w:spacing w:before="132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Enterprise Strategies </w:t>
      </w:r>
    </w:p>
    <w:p>
      <w:pPr>
        <w:pStyle w:val="TextBody"/>
        <w:bidi w:val="0"/>
        <w:spacing w:before="420" w:after="283"/>
        <w:jc w:val="center"/>
        <w:rPr>
          <w:color w:val="14202A"/>
        </w:rPr>
      </w:pPr>
      <w:r>
        <w:rPr>
          <w:color w:val="14202A"/>
        </w:rPr>
        <w:drawing>
          <wp:inline distT="0" distB="0" distL="0" distR="0">
            <wp:extent cx="6467475" cy="22193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8"/>
                    <a:stretch>
                      <a:fillRect/>
                    </a:stretch>
                  </pic:blipFill>
                  <pic:spPr bwMode="auto">
                    <a:xfrm>
                      <a:off x="0" y="0"/>
                      <a:ext cx="6467475" cy="221932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xml:space="preserve">  </w:t>
      </w:r>
    </w:p>
    <w:p>
      <w:pPr>
        <w:pStyle w:val="TextBody"/>
        <w:bidi w:val="0"/>
        <w:spacing w:before="132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Fiscal 2025 Performance Highlights </w:t>
      </w:r>
    </w:p>
    <w:p>
      <w:pPr>
        <w:pStyle w:val="TextBody"/>
        <w:bidi w:val="0"/>
        <w:spacing w:before="660" w:after="283"/>
        <w:jc w:val="center"/>
        <w:rPr>
          <w:color w:val="14202A"/>
        </w:rPr>
      </w:pPr>
      <w:r>
        <w:rPr>
          <w:color w:val="14202A"/>
        </w:rPr>
        <w:drawing>
          <wp:inline distT="0" distB="0" distL="0" distR="0">
            <wp:extent cx="6496050" cy="200977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9"/>
                    <a:stretch>
                      <a:fillRect/>
                    </a:stretch>
                  </pic:blipFill>
                  <pic:spPr bwMode="auto">
                    <a:xfrm>
                      <a:off x="0" y="0"/>
                      <a:ext cx="6496050" cy="200977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xml:space="preserve">  </w:t>
      </w:r>
    </w:p>
    <w:tbl>
      <w:tblPr>
        <w:tblW w:w="7300" w:type="dxa"/>
        <w:jc w:val="left"/>
        <w:tblInd w:w="0" w:type="dxa"/>
        <w:tblLayout w:type="fixed"/>
        <w:tblCellMar>
          <w:top w:w="0" w:type="dxa"/>
          <w:left w:w="0" w:type="dxa"/>
          <w:bottom w:w="0" w:type="dxa"/>
          <w:right w:w="0" w:type="dxa"/>
        </w:tblCellMar>
      </w:tblPr>
      <w:tblGrid>
        <w:gridCol w:w="215"/>
        <w:gridCol w:w="708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708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Source: Statistical Surveys Inc. - North America, trailing twelve months as of fiscal year-end, measured in units. </w:t>
            </w:r>
          </w:p>
        </w:tc>
      </w:tr>
    </w:tbl>
    <w:tbl>
      <w:tblPr>
        <w:tblW w:w="5970" w:type="dxa"/>
        <w:jc w:val="left"/>
        <w:tblInd w:w="0" w:type="dxa"/>
        <w:tblLayout w:type="fixed"/>
        <w:tblCellMar>
          <w:top w:w="0" w:type="dxa"/>
          <w:left w:w="0" w:type="dxa"/>
          <w:bottom w:w="0" w:type="dxa"/>
          <w:right w:w="0" w:type="dxa"/>
        </w:tblCellMar>
      </w:tblPr>
      <w:tblGrid>
        <w:gridCol w:w="2610"/>
        <w:gridCol w:w="170"/>
        <w:gridCol w:w="170"/>
        <w:gridCol w:w="302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52074x1_def14a_104-prox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16" w:name="tDNAC"/>
      <w:bookmarkEnd w:id="16"/>
      <w:r>
        <w:rPr>
          <w:rFonts w:ascii="Arial;Helvetica;sans-serif" w:hAnsi="Arial;Helvetica;sans-serif"/>
          <w:b/>
          <w:color w:val="D8E47A"/>
          <w:sz w:val="24"/>
        </w:rPr>
        <w:t xml:space="preserve">Director Nominees and Continuing Directors </w:t>
      </w:r>
    </w:p>
    <w:tbl>
      <w:tblPr>
        <w:tblW w:w="10205" w:type="dxa"/>
        <w:jc w:val="left"/>
        <w:tblInd w:w="0" w:type="dxa"/>
        <w:tblLayout w:type="fixed"/>
        <w:tblCellMar>
          <w:top w:w="0" w:type="dxa"/>
          <w:left w:w="0" w:type="dxa"/>
          <w:bottom w:w="0" w:type="dxa"/>
          <w:right w:w="0" w:type="dxa"/>
        </w:tblCellMar>
      </w:tblPr>
      <w:tblGrid>
        <w:gridCol w:w="185"/>
        <w:gridCol w:w="3539"/>
        <w:gridCol w:w="170"/>
        <w:gridCol w:w="170"/>
        <w:gridCol w:w="308"/>
        <w:gridCol w:w="170"/>
        <w:gridCol w:w="170"/>
        <w:gridCol w:w="757"/>
        <w:gridCol w:w="170"/>
        <w:gridCol w:w="170"/>
        <w:gridCol w:w="833"/>
        <w:gridCol w:w="170"/>
        <w:gridCol w:w="170"/>
        <w:gridCol w:w="663"/>
        <w:gridCol w:w="170"/>
        <w:gridCol w:w="170"/>
        <w:gridCol w:w="182"/>
        <w:gridCol w:w="170"/>
        <w:gridCol w:w="170"/>
        <w:gridCol w:w="1480"/>
        <w:gridCol w:w="218"/>
      </w:tblGrid>
      <w:tr>
        <w:trPr/>
        <w:tc>
          <w:tcPr>
            <w:tcW w:w="185" w:type="dxa"/>
            <w:tcBorders/>
            <w:shd w:fill="14202A" w:val="clear"/>
            <w:vAlign w:val="center"/>
          </w:tcPr>
          <w:p>
            <w:pPr>
              <w:pStyle w:val="TableContents"/>
              <w:bidi w:val="0"/>
              <w:spacing w:before="0" w:after="0"/>
              <w:jc w:val="left"/>
              <w:rPr/>
            </w:pPr>
            <w:r>
              <w:rPr/>
              <w:t> </w:t>
            </w:r>
          </w:p>
        </w:tc>
        <w:tc>
          <w:tcPr>
            <w:tcW w:w="3539"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0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57"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3"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3"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02" w:type="dxa"/>
            <w:gridSpan w:val="4"/>
            <w:tcBorders/>
            <w:shd w:fill="14202A" w:val="clear"/>
            <w:vAlign w:val="center"/>
          </w:tcPr>
          <w:p>
            <w:pPr>
              <w:pStyle w:val="TableContents"/>
              <w:bidi w:val="0"/>
              <w:spacing w:before="0" w:after="0"/>
              <w:jc w:val="left"/>
              <w:rPr/>
            </w:pPr>
            <w:r>
              <w:rPr/>
              <w:t> </w:t>
            </w:r>
          </w:p>
        </w:tc>
        <w:tc>
          <w:tcPr>
            <w:tcW w:w="218"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3539"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Name and Primary Occupation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08" w:type="dxa"/>
            <w:tcBorders/>
            <w:shd w:fill="14202A" w:val="clear"/>
            <w:vAlign w:val="center"/>
          </w:tcPr>
          <w:p>
            <w:pPr>
              <w:pStyle w:val="TableContents"/>
              <w:bidi w:val="0"/>
              <w:spacing w:before="0" w:after="283"/>
              <w:jc w:val="center"/>
              <w:rPr>
                <w:color w:val="FFFFFF"/>
              </w:rPr>
            </w:pPr>
            <w:r>
              <w:rPr>
                <w:color w:val="FFFFFF"/>
              </w:rPr>
              <w:t>​</w:t>
            </w:r>
            <w:r>
              <w:rPr>
                <w:rFonts w:ascii="Arial;Helvetica;sans-serif" w:hAnsi="Arial;Helvetica;sans-serif"/>
                <w:b/>
                <w:color w:val="FFFFFF"/>
                <w:sz w:val="14"/>
              </w:rPr>
              <w:t xml:space="preserve">Age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57"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Director Since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3"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Independent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3" w:type="dxa"/>
            <w:tcBorders/>
            <w:shd w:fill="14202A" w:val="clear"/>
            <w:vAlign w:val="center"/>
          </w:tcPr>
          <w:p>
            <w:pPr>
              <w:pStyle w:val="TableContents"/>
              <w:bidi w:val="0"/>
              <w:spacing w:before="0" w:after="283"/>
              <w:ind w:left="0" w:right="0" w:hanging="0"/>
              <w:jc w:val="both"/>
              <w:rPr>
                <w:rFonts w:ascii="Arial;Helvetica;sans-serif" w:hAnsi="Arial;Helvetica;sans-serif"/>
                <w:b/>
                <w:color w:val="FFFFFF"/>
                <w:sz w:val="14"/>
              </w:rPr>
            </w:pPr>
            <w:r>
              <w:rPr>
                <w:rFonts w:ascii="Arial;Helvetica;sans-serif" w:hAnsi="Arial;Helvetica;sans-serif"/>
                <w:b/>
                <w:color w:val="FFFFFF"/>
                <w:sz w:val="14"/>
              </w:rPr>
              <w:t xml:space="preserve">Other Public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Boards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02" w:type="dxa"/>
            <w:gridSpan w:val="4"/>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Current Committees </w:t>
            </w:r>
          </w:p>
        </w:tc>
        <w:tc>
          <w:tcPr>
            <w:tcW w:w="218" w:type="dxa"/>
            <w:tcBorders/>
            <w:shd w:fill="14202A" w:val="cle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Sara E. Armbruster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President and Chief Executive Officer of Steelcase, Inc.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54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2019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1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Human Resources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Nominating and Governance*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Christopher J. Braun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Former Chief Executive Officer of Teton Buildings, LLC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65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2015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Audit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Nominating and Governance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Kevin E. Bryant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Executive Vice President, Stakeholder Affairs and Chief Strategy Officer of Southwest Power Pool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50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2021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1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Audit*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Technology and Innovation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William C. Fisher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Former Chief Information Officer of Polaris, Inc.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71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2015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Audit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Technology and Innovation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Michael J. Happe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President and Chief Executive Officer of Winnebago Industries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54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2016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No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1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color w:val="14202A"/>
              </w:rPr>
            </w:pPr>
            <w:r>
              <w:rPr>
                <w:color w:val="14202A"/>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Staci L. Kroon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President and Chief Executive Officer of TouchPoint, Inc.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52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2023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Human Resources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Technology and Innovation*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David W. Miles (Chair)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Co-Founder and Managing Principal of Manchester Story Group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68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2015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color w:val="14202A"/>
              </w:rPr>
            </w:pPr>
            <w:r>
              <w:rPr>
                <w:color w:val="14202A"/>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John M. Murabito </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Former Executive Vice President and Chief Administrative Officer of Cigna Corporation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308"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66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57"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2017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3" w:type="dxa"/>
            <w:vMerge w:val="restart"/>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63" w:type="dxa"/>
            <w:vMerge w:val="restart"/>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 xml:space="preserve">—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Human Resources*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3539"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308"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757"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663"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Nominating and Governance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3539" w:type="dxa"/>
            <w:vMerge w:val="restart"/>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Michael E. Pack</w:t>
            </w:r>
          </w:p>
          <w:p>
            <w:pPr>
              <w:pStyle w:val="TableContents"/>
              <w:bidi w:val="0"/>
              <w:spacing w:before="0" w:after="283"/>
              <w:ind w:left="60" w:right="0" w:hanging="0"/>
              <w:jc w:val="left"/>
              <w:rPr>
                <w:rFonts w:ascii="Arial;Helvetica;sans-serif" w:hAnsi="Arial;Helvetica;sans-serif"/>
                <w:b w:val="false"/>
                <w:color w:val="14202A"/>
                <w:sz w:val="16"/>
              </w:rPr>
            </w:pPr>
            <w:r>
              <w:rPr>
                <w:rFonts w:ascii="Arial;Helvetica;sans-serif" w:hAnsi="Arial;Helvetica;sans-serif"/>
                <w:b w:val="false"/>
                <w:color w:val="14202A"/>
                <w:sz w:val="16"/>
              </w:rPr>
              <w:t xml:space="preserve">Executive Vice President and President, Vocational of Oshkosh Corporation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308" w:type="dxa"/>
            <w:vMerge w:val="restart"/>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50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57" w:type="dxa"/>
            <w:vMerge w:val="restart"/>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2025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33" w:type="dxa"/>
            <w:vMerge w:val="restart"/>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Yes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63" w:type="dxa"/>
            <w:vMerge w:val="restart"/>
            <w:tcBorders/>
            <w:vAlign w:val="center"/>
          </w:tcPr>
          <w:p>
            <w:pPr>
              <w:pStyle w:val="TableContents"/>
              <w:bidi w:val="0"/>
              <w:spacing w:before="0" w:after="283"/>
              <w:jc w:val="center"/>
              <w:rPr>
                <w:color w:val="14202A"/>
              </w:rPr>
            </w:pPr>
            <w:r>
              <w:rPr>
                <w:color w:val="14202A"/>
              </w:rPr>
              <w:t xml:space="preserve">—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Audit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353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30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5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3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6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283"/>
              <w:jc w:val="center"/>
              <w:rPr>
                <w:color w:val="14202A"/>
              </w:rPr>
            </w:pPr>
            <w:r>
              <w:rPr>
                <w:color w:val="14202A"/>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Technology and Innovation</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39"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08"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57"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3"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3"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80" w:type="dxa"/>
            <w:tcBorders>
              <w:bottom w:val="single" w:sz="8" w:space="0" w:color="14202A"/>
            </w:tcBorders>
            <w:tcMar>
              <w:bottom w:w="28" w:type="dxa"/>
            </w:tcMar>
            <w:vAlign w:val="center"/>
          </w:tcPr>
          <w:p>
            <w:pPr>
              <w:pStyle w:val="TableContents"/>
              <w:bidi w:val="0"/>
              <w:spacing w:before="0" w:after="0"/>
              <w:jc w:val="left"/>
              <w:rPr/>
            </w:pPr>
            <w:r>
              <w:rPr/>
              <w:t>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240" w:type="dxa"/>
        <w:jc w:val="left"/>
        <w:tblInd w:w="0" w:type="dxa"/>
        <w:tblLayout w:type="fixed"/>
        <w:tblCellMar>
          <w:top w:w="0" w:type="dxa"/>
          <w:left w:w="0" w:type="dxa"/>
          <w:bottom w:w="0" w:type="dxa"/>
          <w:right w:w="0" w:type="dxa"/>
        </w:tblCellMar>
      </w:tblPr>
      <w:tblGrid>
        <w:gridCol w:w="110"/>
        <w:gridCol w:w="1130"/>
      </w:tblGrid>
      <w:tr>
        <w:trPr/>
        <w:tc>
          <w:tcPr>
            <w:tcW w:w="1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w:t>
            </w:r>
          </w:p>
        </w:tc>
        <w:tc>
          <w:tcPr>
            <w:tcW w:w="113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Committee Chair </w:t>
            </w:r>
          </w:p>
        </w:tc>
      </w:tr>
    </w:tbl>
    <w:tbl>
      <w:tblPr>
        <w:tblW w:w="5970" w:type="dxa"/>
        <w:jc w:val="left"/>
        <w:tblInd w:w="0" w:type="dxa"/>
        <w:tblLayout w:type="fixed"/>
        <w:tblCellMar>
          <w:top w:w="0" w:type="dxa"/>
          <w:left w:w="0" w:type="dxa"/>
          <w:bottom w:w="0" w:type="dxa"/>
          <w:right w:w="0" w:type="dxa"/>
        </w:tblCellMar>
      </w:tblPr>
      <w:tblGrid>
        <w:gridCol w:w="2610"/>
        <w:gridCol w:w="170"/>
        <w:gridCol w:w="170"/>
        <w:gridCol w:w="302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ny20052074x1_def14a_104-proxy_pg3"/>
        <w:bookmarkEnd w:id="17"/>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8" w:name="tCRI"/>
      <w:bookmarkStart w:id="19" w:name="tCRI"/>
      <w:bookmarkEnd w:id="19"/>
    </w:p>
    <w:tbl>
      <w:tblPr>
        <w:tblW w:w="5910" w:type="dxa"/>
        <w:jc w:val="left"/>
        <w:tblInd w:w="0" w:type="dxa"/>
        <w:tblLayout w:type="fixed"/>
        <w:tblCellMar>
          <w:top w:w="0" w:type="dxa"/>
          <w:left w:w="0" w:type="dxa"/>
          <w:bottom w:w="0" w:type="dxa"/>
          <w:right w:w="0" w:type="dxa"/>
        </w:tblCellMar>
      </w:tblPr>
      <w:tblGrid>
        <w:gridCol w:w="185"/>
        <w:gridCol w:w="5510"/>
        <w:gridCol w:w="215"/>
      </w:tblGrid>
      <w:tr>
        <w:trPr/>
        <w:tc>
          <w:tcPr>
            <w:tcW w:w="185" w:type="dxa"/>
            <w:tcBorders/>
            <w:shd w:fill="D8E47A" w:val="clear"/>
            <w:vAlign w:val="center"/>
          </w:tcPr>
          <w:p>
            <w:pPr>
              <w:pStyle w:val="TableContents"/>
              <w:bidi w:val="0"/>
              <w:spacing w:before="0" w:after="0"/>
              <w:jc w:val="left"/>
              <w:rPr/>
            </w:pPr>
            <w:r>
              <w:rPr/>
              <w:t> </w:t>
            </w:r>
          </w:p>
        </w:tc>
        <w:tc>
          <w:tcPr>
            <w:tcW w:w="5510" w:type="dxa"/>
            <w:tcBorders/>
            <w:shd w:fill="D8E47A" w:val="clear"/>
            <w:vAlign w:val="center"/>
          </w:tcPr>
          <w:p>
            <w:pPr>
              <w:pStyle w:val="TableContents"/>
              <w:bidi w:val="0"/>
              <w:spacing w:before="0" w:after="0"/>
              <w:jc w:val="left"/>
              <w:rPr/>
            </w:pPr>
            <w:r>
              <w:rPr/>
              <w:t> </w:t>
            </w:r>
          </w:p>
        </w:tc>
        <w:tc>
          <w:tcPr>
            <w:tcW w:w="215" w:type="dxa"/>
            <w:tcBorders/>
            <w:shd w:fill="D8E47A" w:val="clear"/>
            <w:vAlign w:val="center"/>
          </w:tcPr>
          <w:p>
            <w:pPr>
              <w:pStyle w:val="TableContents"/>
              <w:bidi w:val="0"/>
              <w:spacing w:before="0" w:after="0"/>
              <w:jc w:val="left"/>
              <w:rPr/>
            </w:pPr>
            <w:r>
              <w:rPr/>
              <w:t> </w:t>
            </w:r>
          </w:p>
        </w:tc>
      </w:tr>
      <w:tr>
        <w:trPr/>
        <w:tc>
          <w:tcPr>
            <w:tcW w:w="185" w:type="dxa"/>
            <w:tcBorders/>
            <w:shd w:fill="D8E47A" w:val="clear"/>
            <w:vAlign w:val="center"/>
          </w:tcPr>
          <w:p>
            <w:pPr>
              <w:pStyle w:val="TableContents"/>
              <w:bidi w:val="0"/>
              <w:spacing w:before="0" w:after="0"/>
              <w:jc w:val="left"/>
              <w:rPr/>
            </w:pPr>
            <w:r>
              <w:rPr/>
              <w:t> </w:t>
            </w:r>
          </w:p>
        </w:tc>
        <w:tc>
          <w:tcPr>
            <w:tcW w:w="5510" w:type="dxa"/>
            <w:tcBorders/>
            <w:shd w:fill="D8E47A" w:val="clear"/>
            <w:vAlign w:val="center"/>
          </w:tcPr>
          <w:p>
            <w:pPr>
              <w:pStyle w:val="TableContents"/>
              <w:bidi w:val="0"/>
              <w:spacing w:before="0" w:after="283"/>
              <w:ind w:left="60" w:right="0" w:hanging="0"/>
              <w:jc w:val="left"/>
              <w:rPr>
                <w:rFonts w:ascii="Arial;Helvetica;sans-serif" w:hAnsi="Arial;Helvetica;sans-serif"/>
                <w:b/>
                <w:color w:val="FFFFFF"/>
                <w:sz w:val="26"/>
              </w:rPr>
            </w:pPr>
            <w:r>
              <w:rPr>
                <w:rFonts w:ascii="Arial;Helvetica;sans-serif" w:hAnsi="Arial;Helvetica;sans-serif"/>
                <w:b/>
                <w:color w:val="FFFFFF"/>
                <w:sz w:val="26"/>
              </w:rPr>
              <w:t>CORPORATE RESPONSIBILITY &amp; INCLUSION</w:t>
            </w:r>
          </w:p>
        </w:tc>
        <w:tc>
          <w:tcPr>
            <w:tcW w:w="215" w:type="dxa"/>
            <w:tcBorders/>
            <w:shd w:fill="D8E47A" w:val="clear"/>
            <w:vAlign w:val="center"/>
          </w:tcPr>
          <w:p>
            <w:pPr>
              <w:pStyle w:val="TableContents"/>
              <w:bidi w:val="0"/>
              <w:spacing w:before="0" w:after="0"/>
              <w:jc w:val="left"/>
              <w:rPr/>
            </w:pPr>
            <w:r>
              <w:rPr/>
              <w:t> </w:t>
            </w:r>
          </w:p>
        </w:tc>
      </w:tr>
      <w:tr>
        <w:trPr/>
        <w:tc>
          <w:tcPr>
            <w:tcW w:w="185" w:type="dxa"/>
            <w:tcBorders/>
            <w:shd w:fill="D8E47A" w:val="clear"/>
            <w:vAlign w:val="center"/>
          </w:tcPr>
          <w:p>
            <w:pPr>
              <w:pStyle w:val="TableContents"/>
              <w:bidi w:val="0"/>
              <w:spacing w:before="0" w:after="0"/>
              <w:jc w:val="left"/>
              <w:rPr/>
            </w:pPr>
            <w:r>
              <w:rPr/>
              <w:t> </w:t>
            </w:r>
          </w:p>
        </w:tc>
        <w:tc>
          <w:tcPr>
            <w:tcW w:w="5510" w:type="dxa"/>
            <w:tcBorders/>
            <w:shd w:fill="D8E47A" w:val="clear"/>
            <w:vAlign w:val="center"/>
          </w:tcPr>
          <w:p>
            <w:pPr>
              <w:pStyle w:val="TableContents"/>
              <w:bidi w:val="0"/>
              <w:spacing w:before="0" w:after="0"/>
              <w:jc w:val="left"/>
              <w:rPr/>
            </w:pPr>
            <w:r>
              <w:rPr/>
              <w:t> </w:t>
            </w:r>
          </w:p>
        </w:tc>
        <w:tc>
          <w:tcPr>
            <w:tcW w:w="215" w:type="dxa"/>
            <w:tcBorders/>
            <w:shd w:fill="D8E47A" w:val="clear"/>
            <w:vAlign w:val="center"/>
          </w:tcPr>
          <w:p>
            <w:pPr>
              <w:pStyle w:val="TableContents"/>
              <w:bidi w:val="0"/>
              <w:spacing w:before="0" w:after="0"/>
              <w:jc w:val="left"/>
              <w:rPr/>
            </w:pPr>
            <w:r>
              <w:rPr/>
              <w:t> </w:t>
            </w:r>
          </w:p>
        </w:tc>
      </w:tr>
    </w:tbl>
    <w:p>
      <w:pPr>
        <w:pStyle w:val="TextBody"/>
        <w:bidi w:val="0"/>
        <w:spacing w:before="240" w:after="283"/>
        <w:ind w:left="200" w:right="200" w:hanging="0"/>
        <w:jc w:val="left"/>
        <w:rPr>
          <w:rFonts w:ascii="Arial;Helvetica;sans-serif" w:hAnsi="Arial;Helvetica;sans-serif"/>
          <w:color w:val="14202A"/>
          <w:sz w:val="21"/>
        </w:rPr>
      </w:pPr>
      <w:r>
        <w:rPr>
          <w:rFonts w:ascii="Arial;Helvetica;sans-serif" w:hAnsi="Arial;Helvetica;sans-serif"/>
          <w:color w:val="14202A"/>
          <w:sz w:val="21"/>
        </w:rPr>
        <w:t xml:space="preserve">Winnebago Industries is driven by a purpose to elevate every moment outdoors. We help make the outdoor recreation industry more inclusive, sustainable and giving – elevating every moment outdoors for everyone. We are committed to building a culture of corporate and individual responsibility focused on our </w:t>
      </w:r>
      <w:r>
        <w:rPr>
          <w:rFonts w:ascii="Arial;Helvetica;sans-serif" w:hAnsi="Arial;Helvetica;sans-serif"/>
          <w:i/>
          <w:color w:val="14202A"/>
          <w:sz w:val="21"/>
        </w:rPr>
        <w:t>people, planet</w:t>
      </w:r>
      <w:r>
        <w:rPr>
          <w:rFonts w:ascii="Arial;Helvetica;sans-serif" w:hAnsi="Arial;Helvetica;sans-serif"/>
          <w:color w:val="14202A"/>
          <w:sz w:val="21"/>
        </w:rPr>
        <w:t xml:space="preserve"> and </w:t>
      </w:r>
      <w:r>
        <w:rPr>
          <w:rFonts w:ascii="Arial;Helvetica;sans-serif" w:hAnsi="Arial;Helvetica;sans-serif"/>
          <w:i/>
          <w:color w:val="14202A"/>
          <w:sz w:val="21"/>
        </w:rPr>
        <w:t>community</w:t>
      </w:r>
      <w:r>
        <w:rPr>
          <w:rFonts w:ascii="Arial;Helvetica;sans-serif" w:hAnsi="Arial;Helvetica;sans-serif"/>
          <w:color w:val="14202A"/>
          <w:sz w:val="21"/>
        </w:rPr>
        <w:t xml:space="preserve">. Our materiality assessment informs our CR&amp;I Strategy. To learn more about our materiality assessment, read our Corporate Responsibility Report at www.winnebagoind.com/our-impact. </w:t>
      </w:r>
    </w:p>
    <w:tbl>
      <w:tblPr>
        <w:tblW w:w="8190" w:type="dxa"/>
        <w:jc w:val="left"/>
        <w:tblInd w:w="0" w:type="dxa"/>
        <w:tblLayout w:type="fixed"/>
        <w:tblCellMar>
          <w:top w:w="0" w:type="dxa"/>
          <w:left w:w="0" w:type="dxa"/>
          <w:bottom w:w="0" w:type="dxa"/>
          <w:right w:w="0" w:type="dxa"/>
        </w:tblCellMar>
      </w:tblPr>
      <w:tblGrid>
        <w:gridCol w:w="6305"/>
        <w:gridCol w:w="170"/>
        <w:gridCol w:w="170"/>
        <w:gridCol w:w="1545"/>
      </w:tblGrid>
      <w:tr>
        <w:trPr/>
        <w:tc>
          <w:tcPr>
            <w:tcW w:w="6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5" w:type="dxa"/>
            <w:tcBorders/>
            <w:vAlign w:val="center"/>
          </w:tcPr>
          <w:p>
            <w:pPr>
              <w:pStyle w:val="TableContents"/>
              <w:bidi w:val="0"/>
              <w:spacing w:before="0" w:after="0"/>
              <w:jc w:val="left"/>
              <w:rPr/>
            </w:pPr>
            <w:r>
              <w:rPr/>
              <w:t> </w:t>
            </w:r>
          </w:p>
        </w:tc>
      </w:tr>
      <w:tr>
        <w:trPr/>
        <w:tc>
          <w:tcPr>
            <w:tcW w:w="6305" w:type="dxa"/>
            <w:tcBorders/>
            <w:vAlign w:val="center"/>
          </w:tcPr>
          <w:p>
            <w:pPr>
              <w:pStyle w:val="TableContents"/>
              <w:bidi w:val="0"/>
              <w:spacing w:before="120" w:after="283"/>
              <w:ind w:left="0" w:right="0" w:hanging="0"/>
              <w:jc w:val="left"/>
              <w:rPr>
                <w:rFonts w:ascii="Arial;Helvetica;sans-serif" w:hAnsi="Arial;Helvetica;sans-serif"/>
                <w:color w:val="14202A"/>
                <w:sz w:val="20"/>
              </w:rPr>
            </w:pPr>
            <w:r>
              <w:rPr>
                <w:rFonts w:ascii="Arial;Helvetica;sans-serif" w:hAnsi="Arial;Helvetica;sans-serif"/>
                <w:color w:val="14202A"/>
                <w:sz w:val="20"/>
              </w:rPr>
              <w:t>Our CR&amp;I efforts are centered on three priorities:</w:t>
            </w:r>
          </w:p>
          <w:p>
            <w:pPr>
              <w:pStyle w:val="TableContents"/>
              <w:bidi w:val="0"/>
              <w:spacing w:before="0" w:after="283"/>
              <w:ind w:left="0" w:right="0" w:hanging="0"/>
              <w:jc w:val="left"/>
              <w:rPr>
                <w:color w:val="14202A"/>
              </w:rPr>
            </w:pPr>
            <w:r>
              <w:rPr>
                <w:color w:val="14202A"/>
              </w:rPr>
              <w:t>• </w:t>
            </w:r>
            <w:r>
              <w:rPr>
                <w:rFonts w:ascii="Arial;Helvetica;sans-serif" w:hAnsi="Arial;Helvetica;sans-serif"/>
                <w:b/>
                <w:color w:val="14202A"/>
                <w:sz w:val="20"/>
              </w:rPr>
              <w:t>LEARN</w:t>
            </w:r>
            <w:r>
              <w:rPr>
                <w:rFonts w:ascii="Arial;Helvetica;sans-serif" w:hAnsi="Arial;Helvetica;sans-serif"/>
                <w:color w:val="14202A"/>
                <w:sz w:val="20"/>
              </w:rPr>
              <w:t xml:space="preserve"> about each other and the world we live in</w:t>
            </w:r>
          </w:p>
          <w:p>
            <w:pPr>
              <w:pStyle w:val="TableContents"/>
              <w:bidi w:val="0"/>
              <w:spacing w:before="0" w:after="283"/>
              <w:ind w:left="0" w:right="0" w:hanging="0"/>
              <w:jc w:val="left"/>
              <w:rPr>
                <w:color w:val="14202A"/>
              </w:rPr>
            </w:pPr>
            <w:r>
              <w:rPr>
                <w:color w:val="14202A"/>
              </w:rPr>
              <w:t>• </w:t>
            </w:r>
            <w:r>
              <w:rPr>
                <w:rFonts w:ascii="Arial;Helvetica;sans-serif" w:hAnsi="Arial;Helvetica;sans-serif"/>
                <w:b/>
                <w:color w:val="14202A"/>
                <w:sz w:val="20"/>
              </w:rPr>
              <w:t xml:space="preserve">ACT </w:t>
            </w:r>
            <w:r>
              <w:rPr>
                <w:rFonts w:ascii="Arial;Helvetica;sans-serif" w:hAnsi="Arial;Helvetica;sans-serif"/>
                <w:color w:val="14202A"/>
                <w:sz w:val="20"/>
              </w:rPr>
              <w:t>on what we learn to positively impact our people and our planet</w:t>
            </w:r>
          </w:p>
          <w:p>
            <w:pPr>
              <w:pStyle w:val="TableContents"/>
              <w:bidi w:val="0"/>
              <w:spacing w:before="0" w:after="283"/>
              <w:ind w:left="0" w:right="0" w:hanging="0"/>
              <w:jc w:val="left"/>
              <w:rPr>
                <w:color w:val="14202A"/>
              </w:rPr>
            </w:pPr>
            <w:r>
              <w:rPr>
                <w:color w:val="14202A"/>
              </w:rPr>
              <w:t>• </w:t>
            </w:r>
            <w:r>
              <w:rPr>
                <w:rFonts w:ascii="Arial;Helvetica;sans-serif" w:hAnsi="Arial;Helvetica;sans-serif"/>
                <w:b/>
                <w:color w:val="14202A"/>
                <w:sz w:val="20"/>
              </w:rPr>
              <w:t xml:space="preserve">INSPIRE </w:t>
            </w:r>
            <w:r>
              <w:rPr>
                <w:rFonts w:ascii="Arial;Helvetica;sans-serif" w:hAnsi="Arial;Helvetica;sans-serif"/>
                <w:color w:val="14202A"/>
                <w:sz w:val="20"/>
              </w:rPr>
              <w:t xml:space="preserve">others to do the same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5" w:type="dxa"/>
            <w:tcBorders/>
            <w:vAlign w:val="center"/>
          </w:tcPr>
          <w:p>
            <w:pPr>
              <w:pStyle w:val="TableContents"/>
              <w:bidi w:val="0"/>
              <w:spacing w:before="0" w:after="0"/>
              <w:jc w:val="center"/>
              <w:rPr>
                <w:color w:val="14202A"/>
              </w:rPr>
            </w:pPr>
            <w:r>
              <w:rPr>
                <w:color w:val="14202A"/>
              </w:rPr>
              <w:drawing>
                <wp:inline distT="0" distB="0" distL="0" distR="0">
                  <wp:extent cx="933450" cy="933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2"/>
                          <a:stretch>
                            <a:fillRect/>
                          </a:stretch>
                        </pic:blipFill>
                        <pic:spPr bwMode="auto">
                          <a:xfrm>
                            <a:off x="0" y="0"/>
                            <a:ext cx="933450" cy="933450"/>
                          </a:xfrm>
                          <a:prstGeom prst="rect">
                            <a:avLst/>
                          </a:prstGeom>
                        </pic:spPr>
                      </pic:pic>
                    </a:graphicData>
                  </a:graphic>
                </wp:inline>
              </w:drawing>
            </w:r>
          </w:p>
          <w:p>
            <w:pPr>
              <w:pStyle w:val="TableContents"/>
              <w:bidi w:val="0"/>
              <w:spacing w:before="0" w:after="283"/>
              <w:ind w:left="0" w:right="0" w:hanging="0"/>
              <w:jc w:val="left"/>
              <w:rPr>
                <w:color w:val="14202A"/>
              </w:rPr>
            </w:pPr>
            <w:r>
              <w:rPr>
                <w:color w:val="14202A"/>
              </w:rPr>
              <w:t> </w:t>
            </w:r>
          </w:p>
        </w:tc>
      </w:tr>
      <w:tr>
        <w:trPr/>
        <w:tc>
          <w:tcPr>
            <w:tcW w:w="6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5" w:type="dxa"/>
            <w:tcBorders/>
            <w:vAlign w:val="center"/>
          </w:tcPr>
          <w:p>
            <w:pPr>
              <w:pStyle w:val="TableContents"/>
              <w:bidi w:val="0"/>
              <w:spacing w:before="0" w:after="0"/>
              <w:jc w:val="left"/>
              <w:rPr/>
            </w:pPr>
            <w:r>
              <w:rPr/>
              <w:t> </w:t>
            </w:r>
          </w:p>
        </w:tc>
      </w:tr>
    </w:tbl>
    <w:tbl>
      <w:tblPr>
        <w:tblW w:w="9435" w:type="dxa"/>
        <w:jc w:val="left"/>
        <w:tblInd w:w="0" w:type="dxa"/>
        <w:tblLayout w:type="fixed"/>
        <w:tblCellMar>
          <w:top w:w="0" w:type="dxa"/>
          <w:left w:w="0" w:type="dxa"/>
          <w:bottom w:w="0" w:type="dxa"/>
          <w:right w:w="0" w:type="dxa"/>
        </w:tblCellMar>
      </w:tblPr>
      <w:tblGrid>
        <w:gridCol w:w="185"/>
        <w:gridCol w:w="9035"/>
        <w:gridCol w:w="215"/>
      </w:tblGrid>
      <w:tr>
        <w:trPr/>
        <w:tc>
          <w:tcPr>
            <w:tcW w:w="185" w:type="dxa"/>
            <w:tcBorders/>
            <w:shd w:fill="A3CCD1" w:val="clear"/>
            <w:vAlign w:val="center"/>
          </w:tcPr>
          <w:p>
            <w:pPr>
              <w:pStyle w:val="TableContents"/>
              <w:bidi w:val="0"/>
              <w:spacing w:before="0" w:after="0"/>
              <w:jc w:val="left"/>
              <w:rPr/>
            </w:pPr>
            <w:r>
              <w:rPr/>
              <w:t> </w:t>
            </w:r>
          </w:p>
        </w:tc>
        <w:tc>
          <w:tcPr>
            <w:tcW w:w="9035" w:type="dxa"/>
            <w:tcBorders/>
            <w:shd w:fill="A3CCD1" w:val="clear"/>
            <w:vAlign w:val="center"/>
          </w:tcPr>
          <w:p>
            <w:pPr>
              <w:pStyle w:val="TableContents"/>
              <w:bidi w:val="0"/>
              <w:spacing w:before="0" w:after="0"/>
              <w:jc w:val="left"/>
              <w:rPr/>
            </w:pPr>
            <w:r>
              <w:rPr/>
              <w:t> </w:t>
            </w:r>
          </w:p>
        </w:tc>
        <w:tc>
          <w:tcPr>
            <w:tcW w:w="215" w:type="dxa"/>
            <w:tcBorders/>
            <w:shd w:fill="A3CCD1" w:val="clear"/>
            <w:vAlign w:val="center"/>
          </w:tcPr>
          <w:p>
            <w:pPr>
              <w:pStyle w:val="TableContents"/>
              <w:bidi w:val="0"/>
              <w:spacing w:before="0" w:after="0"/>
              <w:jc w:val="left"/>
              <w:rPr/>
            </w:pPr>
            <w:r>
              <w:rPr/>
              <w:t> </w:t>
            </w:r>
          </w:p>
        </w:tc>
      </w:tr>
      <w:tr>
        <w:trPr/>
        <w:tc>
          <w:tcPr>
            <w:tcW w:w="185" w:type="dxa"/>
            <w:tcBorders/>
            <w:shd w:fill="A3CCD1" w:val="clear"/>
            <w:vAlign w:val="center"/>
          </w:tcPr>
          <w:p>
            <w:pPr>
              <w:pStyle w:val="TableContents"/>
              <w:bidi w:val="0"/>
              <w:spacing w:before="0" w:after="0"/>
              <w:jc w:val="left"/>
              <w:rPr/>
            </w:pPr>
            <w:r>
              <w:rPr/>
              <w:t> </w:t>
            </w:r>
          </w:p>
        </w:tc>
        <w:tc>
          <w:tcPr>
            <w:tcW w:w="9035" w:type="dxa"/>
            <w:tcBorders/>
            <w:shd w:fill="A3CCD1" w:val="clear"/>
            <w:vAlign w:val="center"/>
          </w:tcPr>
          <w:p>
            <w:pPr>
              <w:pStyle w:val="TableContents"/>
              <w:bidi w:val="0"/>
              <w:spacing w:before="0" w:after="283"/>
              <w:ind w:left="60" w:right="0" w:hanging="0"/>
              <w:jc w:val="left"/>
              <w:rPr>
                <w:rFonts w:ascii="Arial;Helvetica;sans-serif" w:hAnsi="Arial;Helvetica;sans-serif"/>
                <w:b/>
                <w:color w:val="14202A"/>
                <w:sz w:val="26"/>
              </w:rPr>
            </w:pPr>
            <w:r>
              <w:rPr>
                <w:rFonts w:ascii="Arial;Helvetica;sans-serif" w:hAnsi="Arial;Helvetica;sans-serif"/>
                <w:b/>
                <w:color w:val="14202A"/>
                <w:sz w:val="26"/>
              </w:rPr>
              <w:t>PEOPLE  </w:t>
            </w:r>
            <w:r>
              <w:rPr>
                <w:rFonts w:ascii="Arial;Helvetica;sans-serif" w:hAnsi="Arial;Helvetica;sans-serif"/>
                <w:b w:val="false"/>
                <w:color w:val="14202A"/>
                <w:sz w:val="19"/>
              </w:rPr>
              <w:t>Build a shared sense of inclusion to empower our teammates and create a sense of belonging.</w:t>
            </w:r>
          </w:p>
        </w:tc>
        <w:tc>
          <w:tcPr>
            <w:tcW w:w="215" w:type="dxa"/>
            <w:tcBorders/>
            <w:shd w:fill="A3CCD1" w:val="clear"/>
            <w:vAlign w:val="center"/>
          </w:tcPr>
          <w:p>
            <w:pPr>
              <w:pStyle w:val="TableContents"/>
              <w:bidi w:val="0"/>
              <w:spacing w:before="0" w:after="0"/>
              <w:jc w:val="left"/>
              <w:rPr/>
            </w:pPr>
            <w:r>
              <w:rPr/>
              <w:t> </w:t>
            </w:r>
          </w:p>
        </w:tc>
      </w:tr>
      <w:tr>
        <w:trPr/>
        <w:tc>
          <w:tcPr>
            <w:tcW w:w="185" w:type="dxa"/>
            <w:tcBorders/>
            <w:shd w:fill="A3CCD1" w:val="clear"/>
            <w:vAlign w:val="center"/>
          </w:tcPr>
          <w:p>
            <w:pPr>
              <w:pStyle w:val="TableContents"/>
              <w:bidi w:val="0"/>
              <w:spacing w:before="0" w:after="0"/>
              <w:jc w:val="left"/>
              <w:rPr/>
            </w:pPr>
            <w:r>
              <w:rPr/>
              <w:t> </w:t>
            </w:r>
          </w:p>
        </w:tc>
        <w:tc>
          <w:tcPr>
            <w:tcW w:w="9035" w:type="dxa"/>
            <w:tcBorders/>
            <w:shd w:fill="A3CCD1" w:val="clear"/>
            <w:vAlign w:val="center"/>
          </w:tcPr>
          <w:p>
            <w:pPr>
              <w:pStyle w:val="TableContents"/>
              <w:bidi w:val="0"/>
              <w:spacing w:before="0" w:after="0"/>
              <w:jc w:val="left"/>
              <w:rPr/>
            </w:pPr>
            <w:r>
              <w:rPr/>
              <w:t> </w:t>
            </w:r>
          </w:p>
        </w:tc>
        <w:tc>
          <w:tcPr>
            <w:tcW w:w="215" w:type="dxa"/>
            <w:tcBorders/>
            <w:shd w:fill="A3CCD1"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183"/>
        <w:gridCol w:w="170"/>
        <w:gridCol w:w="170"/>
        <w:gridCol w:w="2342"/>
        <w:gridCol w:w="170"/>
        <w:gridCol w:w="170"/>
        <w:gridCol w:w="2133"/>
        <w:gridCol w:w="170"/>
        <w:gridCol w:w="170"/>
        <w:gridCol w:w="2125"/>
        <w:gridCol w:w="217"/>
      </w:tblGrid>
      <w:tr>
        <w:trPr/>
        <w:tc>
          <w:tcPr>
            <w:tcW w:w="185" w:type="dxa"/>
            <w:tcBorders/>
            <w:vAlign w:val="center"/>
          </w:tcPr>
          <w:p>
            <w:pPr>
              <w:pStyle w:val="TableContents"/>
              <w:bidi w:val="0"/>
              <w:spacing w:before="0" w:after="0"/>
              <w:jc w:val="left"/>
              <w:rPr/>
            </w:pPr>
            <w:r>
              <w:rPr/>
              <w:t> </w:t>
            </w:r>
          </w:p>
        </w:tc>
        <w:tc>
          <w:tcPr>
            <w:tcW w:w="2183"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2"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83" w:type="dxa"/>
            <w:tcBorders/>
            <w:vAlign w:val="center"/>
          </w:tcPr>
          <w:p>
            <w:pPr>
              <w:pStyle w:val="TableContents"/>
              <w:bidi w:val="0"/>
              <w:spacing w:before="0" w:after="283"/>
              <w:jc w:val="center"/>
              <w:rPr>
                <w:rFonts w:ascii="Arial;Helvetica;sans-serif" w:hAnsi="Arial;Helvetica;sans-serif"/>
                <w:b/>
                <w:color w:val="A3CCD1"/>
                <w:sz w:val="18"/>
              </w:rPr>
            </w:pPr>
            <w:r>
              <w:rPr>
                <w:rFonts w:ascii="Arial;Helvetica;sans-serif" w:hAnsi="Arial;Helvetica;sans-serif"/>
                <w:b/>
                <w:color w:val="A3CCD1"/>
                <w:sz w:val="18"/>
              </w:rPr>
              <w:t>Developing Our People</w:t>
            </w:r>
          </w:p>
          <w:p>
            <w:pPr>
              <w:pStyle w:val="TableContents"/>
              <w:bidi w:val="0"/>
              <w:spacing w:before="0" w:after="283"/>
              <w:jc w:val="center"/>
              <w:rPr>
                <w:color w:val="14202A"/>
              </w:rPr>
            </w:pPr>
            <w:r>
              <w:rPr>
                <w:color w:val="14202A"/>
              </w:rPr>
              <w:t> </w:t>
            </w:r>
          </w:p>
          <w:p>
            <w:pPr>
              <w:pStyle w:val="TableContents"/>
              <w:bidi w:val="0"/>
              <w:spacing w:before="0" w:after="283"/>
              <w:jc w:val="center"/>
              <w:rPr>
                <w:rFonts w:ascii="Arial;Helvetica;sans-serif" w:hAnsi="Arial;Helvetica;sans-serif"/>
                <w:b/>
                <w:color w:val="A3CCD1"/>
                <w:sz w:val="16"/>
              </w:rPr>
            </w:pPr>
            <w:r>
              <w:rPr>
                <w:rFonts w:ascii="Arial;Helvetica;sans-serif" w:hAnsi="Arial;Helvetica;sans-serif"/>
                <w:b w:val="false"/>
                <w:color w:val="14202A"/>
                <w:sz w:val="16"/>
              </w:rPr>
              <w:t xml:space="preserve">Leveraged our </w:t>
            </w:r>
            <w:r>
              <w:rPr>
                <w:rFonts w:ascii="Arial;Helvetica;sans-serif" w:hAnsi="Arial;Helvetica;sans-serif"/>
                <w:b/>
                <w:color w:val="D8E47A"/>
                <w:sz w:val="16"/>
              </w:rPr>
              <w:t>Leadership Speaker Series</w:t>
            </w:r>
            <w:r>
              <w:rPr>
                <w:rFonts w:ascii="Arial;Helvetica;sans-serif" w:hAnsi="Arial;Helvetica;sans-serif"/>
                <w:b/>
                <w:color w:val="14202A"/>
                <w:sz w:val="16"/>
              </w:rPr>
              <w:t xml:space="preserve"> </w:t>
            </w:r>
            <w:r>
              <w:rPr>
                <w:rFonts w:ascii="Arial;Helvetica;sans-serif" w:hAnsi="Arial;Helvetica;sans-serif"/>
                <w:b w:val="false"/>
                <w:color w:val="14202A"/>
                <w:sz w:val="16"/>
              </w:rPr>
              <w:t>to enhance understanding of how inclusion is part of our Leadership Expectations</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2" w:type="dxa"/>
            <w:tcBorders/>
            <w:vAlign w:val="center"/>
          </w:tcPr>
          <w:p>
            <w:pPr>
              <w:pStyle w:val="TableContents"/>
              <w:bidi w:val="0"/>
              <w:spacing w:before="0" w:after="283"/>
              <w:jc w:val="center"/>
              <w:rPr>
                <w:rFonts w:ascii="Arial;Helvetica;sans-serif" w:hAnsi="Arial;Helvetica;sans-serif"/>
                <w:b/>
                <w:color w:val="A3CCD1"/>
                <w:sz w:val="18"/>
              </w:rPr>
            </w:pPr>
            <w:r>
              <w:rPr>
                <w:rFonts w:ascii="Arial;Helvetica;sans-serif" w:hAnsi="Arial;Helvetica;sans-serif"/>
                <w:b/>
                <w:color w:val="A3CCD1"/>
                <w:sz w:val="18"/>
              </w:rPr>
              <w:t>Champion of Women</w:t>
            </w:r>
          </w:p>
          <w:p>
            <w:pPr>
              <w:pStyle w:val="TableContents"/>
              <w:bidi w:val="0"/>
              <w:spacing w:before="0" w:after="283"/>
              <w:jc w:val="center"/>
              <w:rPr>
                <w:color w:val="14202A"/>
              </w:rPr>
            </w:pPr>
            <w:r>
              <w:rPr>
                <w:color w:val="14202A"/>
              </w:rPr>
              <w:t>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Supported women’s leadership by engaging in the Women MAKE Mentorship program and supporting industry partnerships like the RV Women’s Alliance</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jc w:val="center"/>
              <w:rPr>
                <w:rFonts w:ascii="Arial;Helvetica;sans-serif" w:hAnsi="Arial;Helvetica;sans-serif"/>
                <w:b/>
                <w:color w:val="A3CCD1"/>
                <w:sz w:val="18"/>
              </w:rPr>
            </w:pPr>
            <w:r>
              <w:rPr>
                <w:rFonts w:ascii="Arial;Helvetica;sans-serif" w:hAnsi="Arial;Helvetica;sans-serif"/>
                <w:b/>
                <w:color w:val="A3CCD1"/>
                <w:sz w:val="18"/>
              </w:rPr>
              <w:t>Employee Experience</w:t>
            </w:r>
          </w:p>
          <w:p>
            <w:pPr>
              <w:pStyle w:val="TableContents"/>
              <w:bidi w:val="0"/>
              <w:spacing w:before="0" w:after="283"/>
              <w:jc w:val="center"/>
              <w:rPr>
                <w:color w:val="14202A"/>
              </w:rPr>
            </w:pPr>
            <w:r>
              <w:rPr>
                <w:color w:val="14202A"/>
              </w:rPr>
              <w:t xml:space="preserve">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Grew membership in our Employee Resource Groups - Women’s Inclusion Network, Veterans Network, and Mosaic - by 38%</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5" w:type="dxa"/>
            <w:tcBorders/>
            <w:vAlign w:val="center"/>
          </w:tcPr>
          <w:p>
            <w:pPr>
              <w:pStyle w:val="TableContents"/>
              <w:bidi w:val="0"/>
              <w:spacing w:before="0" w:after="283"/>
              <w:jc w:val="center"/>
              <w:rPr>
                <w:rFonts w:ascii="Arial;Helvetica;sans-serif" w:hAnsi="Arial;Helvetica;sans-serif"/>
                <w:b/>
                <w:color w:val="A3CCD1"/>
                <w:sz w:val="18"/>
              </w:rPr>
            </w:pPr>
            <w:r>
              <w:rPr>
                <w:rFonts w:ascii="Arial;Helvetica;sans-serif" w:hAnsi="Arial;Helvetica;sans-serif"/>
                <w:b/>
                <w:color w:val="A3CCD1"/>
                <w:sz w:val="18"/>
              </w:rPr>
              <w:t>Zero-Harm Safety</w:t>
            </w:r>
          </w:p>
          <w:p>
            <w:pPr>
              <w:pStyle w:val="TableContents"/>
              <w:bidi w:val="0"/>
              <w:spacing w:before="0" w:after="283"/>
              <w:jc w:val="center"/>
              <w:rPr>
                <w:color w:val="14202A"/>
              </w:rPr>
            </w:pPr>
            <w:r>
              <w:rPr>
                <w:color w:val="14202A"/>
              </w:rPr>
              <w:t> </w:t>
            </w:r>
          </w:p>
          <w:p>
            <w:pPr>
              <w:pStyle w:val="TableContents"/>
              <w:bidi w:val="0"/>
              <w:spacing w:before="0" w:after="283"/>
              <w:jc w:val="center"/>
              <w:rPr>
                <w:rFonts w:ascii="Arial;Helvetica;sans-serif" w:hAnsi="Arial;Helvetica;sans-serif"/>
                <w:b/>
                <w:color w:val="A3CCD1"/>
                <w:sz w:val="16"/>
              </w:rPr>
            </w:pPr>
            <w:r>
              <w:rPr>
                <w:rFonts w:ascii="Arial;Helvetica;sans-serif" w:hAnsi="Arial;Helvetica;sans-serif"/>
                <w:b w:val="false"/>
                <w:color w:val="14202A"/>
                <w:sz w:val="16"/>
              </w:rPr>
              <w:t>In our ongoing commitment to putting people first, we embraced the annual theme “</w:t>
            </w:r>
            <w:r>
              <w:rPr>
                <w:rFonts w:ascii="Arial;Helvetica;sans-serif" w:hAnsi="Arial;Helvetica;sans-serif"/>
                <w:b/>
                <w:color w:val="D8E47A"/>
                <w:sz w:val="16"/>
              </w:rPr>
              <w:t>Safety: From Design to Delivery</w:t>
            </w:r>
            <w:r>
              <w:rPr>
                <w:rFonts w:ascii="Arial;Helvetica;sans-serif" w:hAnsi="Arial;Helvetica;sans-serif"/>
                <w:b/>
                <w:color w:val="14202A"/>
                <w:sz w:val="16"/>
              </w:rPr>
              <w:t xml:space="preserve">” </w:t>
            </w:r>
            <w:r>
              <w:rPr>
                <w:rFonts w:ascii="Arial;Helvetica;sans-serif" w:hAnsi="Arial;Helvetica;sans-serif"/>
                <w:b w:val="false"/>
                <w:color w:val="14202A"/>
                <w:sz w:val="16"/>
              </w:rPr>
              <w:t xml:space="preserve">across all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 xml:space="preserve">business units, leading to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enhanced safety metrics</w:t>
            </w:r>
          </w:p>
          <w:p>
            <w:pPr>
              <w:pStyle w:val="TableContents"/>
              <w:bidi w:val="0"/>
              <w:spacing w:before="0" w:after="283"/>
              <w:jc w:val="center"/>
              <w:rPr>
                <w:color w:val="14202A"/>
              </w:rPr>
            </w:pPr>
            <w:r>
              <w:rPr>
                <w:color w:val="14202A"/>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83"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2"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8265" w:type="dxa"/>
        <w:jc w:val="left"/>
        <w:tblInd w:w="0" w:type="dxa"/>
        <w:tblLayout w:type="fixed"/>
        <w:tblCellMar>
          <w:top w:w="0" w:type="dxa"/>
          <w:left w:w="0" w:type="dxa"/>
          <w:bottom w:w="0" w:type="dxa"/>
          <w:right w:w="0" w:type="dxa"/>
        </w:tblCellMar>
      </w:tblPr>
      <w:tblGrid>
        <w:gridCol w:w="185"/>
        <w:gridCol w:w="7865"/>
        <w:gridCol w:w="215"/>
      </w:tblGrid>
      <w:tr>
        <w:trPr/>
        <w:tc>
          <w:tcPr>
            <w:tcW w:w="185" w:type="dxa"/>
            <w:tcBorders/>
            <w:shd w:fill="D9DBD6" w:val="clear"/>
            <w:vAlign w:val="center"/>
          </w:tcPr>
          <w:p>
            <w:pPr>
              <w:pStyle w:val="TableContents"/>
              <w:bidi w:val="0"/>
              <w:spacing w:before="0" w:after="0"/>
              <w:jc w:val="left"/>
              <w:rPr/>
            </w:pPr>
            <w:r>
              <w:rPr/>
              <w:t> </w:t>
            </w:r>
          </w:p>
        </w:tc>
        <w:tc>
          <w:tcPr>
            <w:tcW w:w="7865" w:type="dxa"/>
            <w:tcBorders/>
            <w:shd w:fill="D9DBD6" w:val="clear"/>
            <w:vAlign w:val="center"/>
          </w:tcPr>
          <w:p>
            <w:pPr>
              <w:pStyle w:val="TableContents"/>
              <w:bidi w:val="0"/>
              <w:spacing w:before="0" w:after="0"/>
              <w:jc w:val="left"/>
              <w:rPr/>
            </w:pPr>
            <w:r>
              <w:rPr/>
              <w:t> </w:t>
            </w:r>
          </w:p>
        </w:tc>
        <w:tc>
          <w:tcPr>
            <w:tcW w:w="215" w:type="dxa"/>
            <w:tcBorders/>
            <w:shd w:fill="D9DBD6" w:val="clear"/>
            <w:vAlign w:val="center"/>
          </w:tcPr>
          <w:p>
            <w:pPr>
              <w:pStyle w:val="TableContents"/>
              <w:bidi w:val="0"/>
              <w:spacing w:before="0" w:after="0"/>
              <w:jc w:val="left"/>
              <w:rPr/>
            </w:pPr>
            <w:r>
              <w:rPr/>
              <w:t> </w:t>
            </w:r>
          </w:p>
        </w:tc>
      </w:tr>
      <w:tr>
        <w:trPr/>
        <w:tc>
          <w:tcPr>
            <w:tcW w:w="185" w:type="dxa"/>
            <w:tcBorders/>
            <w:shd w:fill="D9DBD6" w:val="clear"/>
            <w:vAlign w:val="center"/>
          </w:tcPr>
          <w:p>
            <w:pPr>
              <w:pStyle w:val="TableContents"/>
              <w:bidi w:val="0"/>
              <w:spacing w:before="0" w:after="0"/>
              <w:jc w:val="left"/>
              <w:rPr/>
            </w:pPr>
            <w:r>
              <w:rPr/>
              <w:t> </w:t>
            </w:r>
          </w:p>
        </w:tc>
        <w:tc>
          <w:tcPr>
            <w:tcW w:w="7865" w:type="dxa"/>
            <w:tcBorders/>
            <w:shd w:fill="D9DBD6" w:val="clear"/>
            <w:vAlign w:val="center"/>
          </w:tcPr>
          <w:p>
            <w:pPr>
              <w:pStyle w:val="TableContents"/>
              <w:bidi w:val="0"/>
              <w:spacing w:before="0" w:after="283"/>
              <w:ind w:left="60" w:right="0" w:hanging="0"/>
              <w:jc w:val="left"/>
              <w:rPr>
                <w:rFonts w:ascii="Arial;Helvetica;sans-serif" w:hAnsi="Arial;Helvetica;sans-serif"/>
                <w:b/>
                <w:color w:val="14202A"/>
                <w:sz w:val="26"/>
              </w:rPr>
            </w:pPr>
            <w:r>
              <w:rPr>
                <w:rFonts w:ascii="Arial;Helvetica;sans-serif" w:hAnsi="Arial;Helvetica;sans-serif"/>
                <w:b/>
                <w:color w:val="14202A"/>
                <w:sz w:val="26"/>
              </w:rPr>
              <w:t>PLANET  </w:t>
            </w:r>
            <w:r>
              <w:rPr>
                <w:rFonts w:ascii="Arial;Helvetica;sans-serif" w:hAnsi="Arial;Helvetica;sans-serif"/>
                <w:b w:val="false"/>
                <w:color w:val="14202A"/>
                <w:sz w:val="19"/>
              </w:rPr>
              <w:t>Act as responsible environmental stewards to protect and preserve the outdoors.</w:t>
            </w:r>
          </w:p>
        </w:tc>
        <w:tc>
          <w:tcPr>
            <w:tcW w:w="215" w:type="dxa"/>
            <w:tcBorders/>
            <w:shd w:fill="D9DBD6" w:val="clear"/>
            <w:vAlign w:val="center"/>
          </w:tcPr>
          <w:p>
            <w:pPr>
              <w:pStyle w:val="TableContents"/>
              <w:bidi w:val="0"/>
              <w:spacing w:before="0" w:after="0"/>
              <w:jc w:val="left"/>
              <w:rPr/>
            </w:pPr>
            <w:r>
              <w:rPr/>
              <w:t> </w:t>
            </w:r>
          </w:p>
        </w:tc>
      </w:tr>
      <w:tr>
        <w:trPr/>
        <w:tc>
          <w:tcPr>
            <w:tcW w:w="185" w:type="dxa"/>
            <w:tcBorders/>
            <w:shd w:fill="D9DBD6" w:val="clear"/>
            <w:vAlign w:val="center"/>
          </w:tcPr>
          <w:p>
            <w:pPr>
              <w:pStyle w:val="TableContents"/>
              <w:bidi w:val="0"/>
              <w:spacing w:before="0" w:after="0"/>
              <w:jc w:val="left"/>
              <w:rPr/>
            </w:pPr>
            <w:r>
              <w:rPr/>
              <w:t> </w:t>
            </w:r>
          </w:p>
        </w:tc>
        <w:tc>
          <w:tcPr>
            <w:tcW w:w="7865" w:type="dxa"/>
            <w:tcBorders/>
            <w:shd w:fill="D9DBD6" w:val="clear"/>
            <w:vAlign w:val="center"/>
          </w:tcPr>
          <w:p>
            <w:pPr>
              <w:pStyle w:val="TableContents"/>
              <w:bidi w:val="0"/>
              <w:spacing w:before="0" w:after="0"/>
              <w:jc w:val="left"/>
              <w:rPr/>
            </w:pPr>
            <w:r>
              <w:rPr/>
              <w:t> </w:t>
            </w:r>
          </w:p>
        </w:tc>
        <w:tc>
          <w:tcPr>
            <w:tcW w:w="215" w:type="dxa"/>
            <w:tcBorders/>
            <w:shd w:fill="D9DBD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686"/>
        <w:gridCol w:w="1111"/>
        <w:gridCol w:w="170"/>
        <w:gridCol w:w="170"/>
        <w:gridCol w:w="816"/>
        <w:gridCol w:w="971"/>
        <w:gridCol w:w="170"/>
        <w:gridCol w:w="170"/>
        <w:gridCol w:w="947"/>
        <w:gridCol w:w="1368"/>
        <w:gridCol w:w="170"/>
        <w:gridCol w:w="170"/>
        <w:gridCol w:w="927"/>
        <w:gridCol w:w="1223"/>
        <w:gridCol w:w="170"/>
        <w:gridCol w:w="53"/>
        <w:gridCol w:w="170"/>
        <w:gridCol w:w="170"/>
        <w:gridCol w:w="170"/>
        <w:gridCol w:w="218"/>
      </w:tblGrid>
      <w:tr>
        <w:trPr/>
        <w:tc>
          <w:tcPr>
            <w:tcW w:w="185"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left"/>
              <w:rPr/>
            </w:pPr>
            <w:r>
              <w:rPr/>
              <w:t> </w:t>
            </w:r>
          </w:p>
        </w:tc>
        <w:tc>
          <w:tcPr>
            <w:tcW w:w="1368" w:type="dxa"/>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283"/>
              <w:jc w:val="right"/>
              <w:rPr>
                <w:color w:val="14202A"/>
              </w:rPr>
            </w:pPr>
            <w:r>
              <w:rPr>
                <w:color w:val="14202A"/>
              </w:rPr>
              <w:drawing>
                <wp:inline distT="0" distB="0" distL="0" distR="0">
                  <wp:extent cx="323850" cy="40957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3"/>
                          <a:stretch>
                            <a:fillRect/>
                          </a:stretch>
                        </pic:blipFill>
                        <pic:spPr bwMode="auto">
                          <a:xfrm>
                            <a:off x="0" y="0"/>
                            <a:ext cx="323850" cy="409575"/>
                          </a:xfrm>
                          <a:prstGeom prst="rect">
                            <a:avLst/>
                          </a:prstGeom>
                        </pic:spPr>
                      </pic:pic>
                    </a:graphicData>
                  </a:graphic>
                </wp:inline>
              </w:drawing>
            </w:r>
          </w:p>
        </w:tc>
        <w:tc>
          <w:tcPr>
            <w:tcW w:w="1111" w:type="dxa"/>
            <w:tcBorders/>
            <w:vAlign w:val="center"/>
          </w:tcPr>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Waste</w:t>
            </w:r>
          </w:p>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Reduction</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jc w:val="right"/>
              <w:rPr>
                <w:color w:val="14202A"/>
              </w:rPr>
            </w:pPr>
            <w:r>
              <w:rPr>
                <w:color w:val="14202A"/>
              </w:rPr>
              <w:drawing>
                <wp:inline distT="0" distB="0" distL="0" distR="0">
                  <wp:extent cx="476250" cy="40957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4"/>
                          <a:stretch>
                            <a:fillRect/>
                          </a:stretch>
                        </pic:blipFill>
                        <pic:spPr bwMode="auto">
                          <a:xfrm>
                            <a:off x="0" y="0"/>
                            <a:ext cx="476250" cy="409575"/>
                          </a:xfrm>
                          <a:prstGeom prst="rect">
                            <a:avLst/>
                          </a:prstGeom>
                        </pic:spPr>
                      </pic:pic>
                    </a:graphicData>
                  </a:graphic>
                </wp:inline>
              </w:drawing>
            </w:r>
          </w:p>
        </w:tc>
        <w:tc>
          <w:tcPr>
            <w:tcW w:w="971" w:type="dxa"/>
            <w:tcBorders/>
            <w:vAlign w:val="center"/>
          </w:tcPr>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GHG Emissions</w:t>
            </w:r>
          </w:p>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Reduction</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jc w:val="right"/>
              <w:rPr>
                <w:color w:val="14202A"/>
              </w:rPr>
            </w:pPr>
            <w:r>
              <w:rPr>
                <w:color w:val="14202A"/>
              </w:rPr>
              <w:drawing>
                <wp:inline distT="0" distB="0" distL="0" distR="0">
                  <wp:extent cx="438150" cy="40957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5"/>
                          <a:stretch>
                            <a:fillRect/>
                          </a:stretch>
                        </pic:blipFill>
                        <pic:spPr bwMode="auto">
                          <a:xfrm>
                            <a:off x="0" y="0"/>
                            <a:ext cx="438150" cy="409575"/>
                          </a:xfrm>
                          <a:prstGeom prst="rect">
                            <a:avLst/>
                          </a:prstGeom>
                        </pic:spPr>
                      </pic:pic>
                    </a:graphicData>
                  </a:graphic>
                </wp:inline>
              </w:drawing>
            </w:r>
          </w:p>
        </w:tc>
        <w:tc>
          <w:tcPr>
            <w:tcW w:w="1368" w:type="dxa"/>
            <w:tcBorders/>
            <w:vAlign w:val="center"/>
          </w:tcPr>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Product</w:t>
            </w:r>
          </w:p>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Stewardship</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jc w:val="right"/>
              <w:rPr>
                <w:color w:val="14202A"/>
              </w:rPr>
            </w:pPr>
            <w:r>
              <w:rPr>
                <w:color w:val="14202A"/>
              </w:rPr>
              <w:drawing>
                <wp:inline distT="0" distB="0" distL="0" distR="0">
                  <wp:extent cx="409575" cy="3429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6"/>
                          <a:stretch>
                            <a:fillRect/>
                          </a:stretch>
                        </pic:blipFill>
                        <pic:spPr bwMode="auto">
                          <a:xfrm>
                            <a:off x="0" y="0"/>
                            <a:ext cx="409575" cy="342900"/>
                          </a:xfrm>
                          <a:prstGeom prst="rect">
                            <a:avLst/>
                          </a:prstGeom>
                        </pic:spPr>
                      </pic:pic>
                    </a:graphicData>
                  </a:graphic>
                </wp:inline>
              </w:drawing>
            </w:r>
          </w:p>
        </w:tc>
        <w:tc>
          <w:tcPr>
            <w:tcW w:w="1223" w:type="dxa"/>
            <w:tcBorders/>
            <w:vAlign w:val="center"/>
          </w:tcPr>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Water</w:t>
            </w:r>
          </w:p>
          <w:p>
            <w:pPr>
              <w:pStyle w:val="TableContents"/>
              <w:bidi w:val="0"/>
              <w:spacing w:before="0" w:after="283"/>
              <w:jc w:val="center"/>
              <w:rPr>
                <w:rFonts w:ascii="Arial;Helvetica;sans-serif" w:hAnsi="Arial;Helvetica;sans-serif"/>
                <w:b/>
                <w:color w:val="14202A"/>
                <w:sz w:val="17"/>
              </w:rPr>
            </w:pPr>
            <w:r>
              <w:rPr>
                <w:rFonts w:ascii="Arial;Helvetica;sans-serif" w:hAnsi="Arial;Helvetica;sans-serif"/>
                <w:b/>
                <w:color w:val="14202A"/>
                <w:sz w:val="17"/>
              </w:rPr>
              <w:t xml:space="preserve">Reduction </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797" w:type="dxa"/>
            <w:gridSpan w:val="2"/>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Goal: </w:t>
            </w:r>
            <w:r>
              <w:rPr>
                <w:rFonts w:ascii="Arial;Helvetica;sans-serif" w:hAnsi="Arial;Helvetica;sans-serif"/>
                <w:b w:val="false"/>
                <w:color w:val="14202A"/>
                <w:sz w:val="16"/>
              </w:rPr>
              <w:t xml:space="preserve">Achieve a Zero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 xml:space="preserve">Waste to Landfill target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val="false"/>
                <w:color w:val="14202A"/>
                <w:sz w:val="16"/>
              </w:rPr>
              <w:t xml:space="preserve">of </w:t>
            </w:r>
            <w:r>
              <w:rPr>
                <w:rFonts w:ascii="Arial;Helvetica;sans-serif" w:hAnsi="Arial;Helvetica;sans-serif"/>
                <w:b/>
                <w:color w:val="D8E47A"/>
                <w:sz w:val="16"/>
              </w:rPr>
              <w:t>90%</w:t>
            </w:r>
            <w:r>
              <w:rPr>
                <w:rFonts w:ascii="Arial;Helvetica;sans-serif" w:hAnsi="Arial;Helvetica;sans-serif"/>
                <w:b/>
                <w:color w:val="14202A"/>
                <w:sz w:val="16"/>
              </w:rPr>
              <w:t xml:space="preserve"> </w:t>
            </w:r>
            <w:r>
              <w:rPr>
                <w:rFonts w:ascii="Arial;Helvetica;sans-serif" w:hAnsi="Arial;Helvetica;sans-serif"/>
                <w:b w:val="false"/>
                <w:color w:val="14202A"/>
                <w:sz w:val="16"/>
              </w:rPr>
              <w:t xml:space="preserve">diversion of waste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val="false"/>
                <w:color w:val="14202A"/>
                <w:sz w:val="16"/>
              </w:rPr>
              <w:t xml:space="preserve">from landfills by </w:t>
            </w:r>
            <w:r>
              <w:rPr>
                <w:rFonts w:ascii="Arial;Helvetica;sans-serif" w:hAnsi="Arial;Helvetica;sans-serif"/>
                <w:b/>
                <w:color w:val="D8E47A"/>
                <w:sz w:val="16"/>
              </w:rPr>
              <w:t>2030</w:t>
            </w:r>
          </w:p>
          <w:p>
            <w:pPr>
              <w:pStyle w:val="TableContents"/>
              <w:bidi w:val="0"/>
              <w:spacing w:before="0" w:after="283"/>
              <w:jc w:val="center"/>
              <w:rPr>
                <w:color w:val="14202A"/>
              </w:rPr>
            </w:pPr>
            <w:r>
              <w:rPr>
                <w:color w:val="14202A"/>
              </w:rPr>
              <w:t>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Completing projects to reduce landfilled waste through reduction and recycling projects</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87" w:type="dxa"/>
            <w:gridSpan w:val="2"/>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Goal: </w:t>
            </w:r>
            <w:r>
              <w:rPr>
                <w:rFonts w:ascii="Arial;Helvetica;sans-serif" w:hAnsi="Arial;Helvetica;sans-serif"/>
                <w:b w:val="false"/>
                <w:color w:val="14202A"/>
                <w:sz w:val="16"/>
              </w:rPr>
              <w:t>Reduce absolute</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greenhouse gas (GHG)</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emissions by at least</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D8E47A"/>
                <w:sz w:val="16"/>
              </w:rPr>
              <w:t xml:space="preserve">50% </w:t>
            </w:r>
            <w:r>
              <w:rPr>
                <w:rFonts w:ascii="Arial;Helvetica;sans-serif" w:hAnsi="Arial;Helvetica;sans-serif"/>
                <w:b w:val="false"/>
                <w:color w:val="14202A"/>
                <w:sz w:val="16"/>
              </w:rPr>
              <w:t xml:space="preserve">by </w:t>
            </w:r>
            <w:r>
              <w:rPr>
                <w:rFonts w:ascii="Arial;Helvetica;sans-serif" w:hAnsi="Arial;Helvetica;sans-serif"/>
                <w:b/>
                <w:color w:val="D8E47A"/>
                <w:sz w:val="16"/>
              </w:rPr>
              <w:t>2030</w:t>
            </w:r>
          </w:p>
          <w:p>
            <w:pPr>
              <w:pStyle w:val="TableContents"/>
              <w:bidi w:val="0"/>
              <w:spacing w:before="0" w:after="283"/>
              <w:jc w:val="center"/>
              <w:rPr>
                <w:color w:val="14202A"/>
              </w:rPr>
            </w:pPr>
            <w:r>
              <w:rPr>
                <w:color w:val="14202A"/>
              </w:rPr>
              <w:t>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Scored a “B” on our latest submission to CDP</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gridSpan w:val="2"/>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Goal: </w:t>
            </w:r>
            <w:r>
              <w:rPr>
                <w:rFonts w:ascii="Arial;Helvetica;sans-serif" w:hAnsi="Arial;Helvetica;sans-serif"/>
                <w:b w:val="false"/>
                <w:color w:val="14202A"/>
                <w:sz w:val="16"/>
              </w:rPr>
              <w:t xml:space="preserve">Build a </w:t>
            </w:r>
            <w:r>
              <w:rPr>
                <w:rFonts w:ascii="Arial;Helvetica;sans-serif" w:hAnsi="Arial;Helvetica;sans-serif"/>
                <w:b/>
                <w:color w:val="D8E47A"/>
                <w:sz w:val="16"/>
              </w:rPr>
              <w:t>Lifecycle</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D8E47A"/>
                <w:sz w:val="16"/>
              </w:rPr>
              <w:t xml:space="preserve">Assessment process </w:t>
            </w:r>
            <w:r>
              <w:rPr>
                <w:rFonts w:ascii="Arial;Helvetica;sans-serif" w:hAnsi="Arial;Helvetica;sans-serif"/>
                <w:b w:val="false"/>
                <w:color w:val="14202A"/>
                <w:sz w:val="16"/>
              </w:rPr>
              <w:t xml:space="preserve">to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 xml:space="preserve">address upstream and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 xml:space="preserve">downstream environmental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 xml:space="preserve">impacts for our product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val="false"/>
                <w:color w:val="14202A"/>
                <w:sz w:val="16"/>
              </w:rPr>
              <w:t xml:space="preserve">lines by </w:t>
            </w:r>
            <w:r>
              <w:rPr>
                <w:rFonts w:ascii="Arial;Helvetica;sans-serif" w:hAnsi="Arial;Helvetica;sans-serif"/>
                <w:b/>
                <w:color w:val="D8E47A"/>
                <w:sz w:val="16"/>
              </w:rPr>
              <w:t>2030</w:t>
            </w:r>
          </w:p>
          <w:p>
            <w:pPr>
              <w:pStyle w:val="TableContents"/>
              <w:bidi w:val="0"/>
              <w:spacing w:before="0" w:after="283"/>
              <w:jc w:val="center"/>
              <w:rPr>
                <w:color w:val="14202A"/>
              </w:rPr>
            </w:pPr>
            <w:r>
              <w:rPr>
                <w:color w:val="14202A"/>
              </w:rPr>
              <w:t>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Updating our product sustainable attributes and developing a project management model to incorporate sustainable design</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gridSpan w:val="2"/>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Goal: </w:t>
            </w:r>
            <w:r>
              <w:rPr>
                <w:rFonts w:ascii="Arial;Helvetica;sans-serif" w:hAnsi="Arial;Helvetica;sans-serif"/>
                <w:b w:val="false"/>
                <w:color w:val="14202A"/>
                <w:sz w:val="16"/>
              </w:rPr>
              <w:t>Reduce freshwater</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val="false"/>
                <w:color w:val="14202A"/>
                <w:sz w:val="16"/>
              </w:rPr>
              <w:t xml:space="preserve">use by </w:t>
            </w:r>
            <w:r>
              <w:rPr>
                <w:rFonts w:ascii="Arial;Helvetica;sans-serif" w:hAnsi="Arial;Helvetica;sans-serif"/>
                <w:b/>
                <w:color w:val="D8E47A"/>
                <w:sz w:val="16"/>
              </w:rPr>
              <w:t>30%</w:t>
            </w:r>
            <w:r>
              <w:rPr>
                <w:rFonts w:ascii="Arial;Helvetica;sans-serif" w:hAnsi="Arial;Helvetica;sans-serif"/>
                <w:b/>
                <w:color w:val="14202A"/>
                <w:sz w:val="16"/>
              </w:rPr>
              <w:t xml:space="preserve"> </w:t>
            </w:r>
            <w:r>
              <w:rPr>
                <w:rFonts w:ascii="Arial;Helvetica;sans-serif" w:hAnsi="Arial;Helvetica;sans-serif"/>
                <w:b w:val="false"/>
                <w:color w:val="14202A"/>
                <w:sz w:val="16"/>
              </w:rPr>
              <w:t xml:space="preserve">by </w:t>
            </w:r>
            <w:r>
              <w:rPr>
                <w:rFonts w:ascii="Arial;Helvetica;sans-serif" w:hAnsi="Arial;Helvetica;sans-serif"/>
                <w:b/>
                <w:color w:val="D8E47A"/>
                <w:sz w:val="16"/>
              </w:rPr>
              <w:t>2030</w:t>
            </w:r>
          </w:p>
          <w:p>
            <w:pPr>
              <w:pStyle w:val="TableContents"/>
              <w:bidi w:val="0"/>
              <w:spacing w:before="0" w:after="283"/>
              <w:jc w:val="center"/>
              <w:rPr>
                <w:color w:val="14202A"/>
              </w:rPr>
            </w:pPr>
            <w:r>
              <w:rPr>
                <w:color w:val="14202A"/>
              </w:rPr>
              <w:t> </w:t>
            </w:r>
          </w:p>
          <w:p>
            <w:pPr>
              <w:pStyle w:val="TableContents"/>
              <w:bidi w:val="0"/>
              <w:spacing w:before="0" w:after="283"/>
              <w:jc w:val="center"/>
              <w:rPr>
                <w:rFonts w:ascii="Arial;Helvetica;sans-serif" w:hAnsi="Arial;Helvetica;sans-serif"/>
                <w:b w:val="false"/>
                <w:color w:val="14202A"/>
                <w:sz w:val="16"/>
              </w:rPr>
            </w:pPr>
            <w:r>
              <w:rPr>
                <w:rFonts w:ascii="Arial;Helvetica;sans-serif" w:hAnsi="Arial;Helvetica;sans-serif"/>
                <w:b w:val="false"/>
                <w:color w:val="14202A"/>
                <w:sz w:val="16"/>
              </w:rPr>
              <w:t>Managing our water usage through a combination of training on water stewardship and leak detection preventative maintenance</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2137" w:type="dxa"/>
            <w:gridSpan w:val="4"/>
            <w:tcBorders/>
            <w:vAlign w:val="center"/>
          </w:tcPr>
          <w:p>
            <w:pPr>
              <w:pStyle w:val="TableContents"/>
              <w:bidi w:val="0"/>
              <w:spacing w:before="0" w:after="0"/>
              <w:jc w:val="left"/>
              <w:rPr/>
            </w:pPr>
            <w:r>
              <w:rPr/>
              <w:t> </w:t>
            </w:r>
          </w:p>
        </w:tc>
        <w:tc>
          <w:tcPr>
            <w:tcW w:w="816" w:type="dxa"/>
            <w:tcBorders>
              <w:right w:val="single" w:sz="8" w:space="0" w:color="D9DBD6"/>
            </w:tcBorders>
            <w:tcMar>
              <w:right w:w="28" w:type="dxa"/>
            </w:tcMar>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pPr>
            <w:r>
              <w:rPr/>
              <w:t> </w:t>
            </w:r>
          </w:p>
        </w:tc>
        <w:tc>
          <w:tcPr>
            <w:tcW w:w="2655" w:type="dxa"/>
            <w:gridSpan w:val="4"/>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3" w:type="dxa"/>
            <w:gridSpan w:val="4"/>
            <w:tcBorders/>
            <w:vAlign w:val="center"/>
          </w:tcPr>
          <w:p>
            <w:pPr>
              <w:pStyle w:val="TableContents"/>
              <w:bidi w:val="0"/>
              <w:spacing w:before="0" w:after="0"/>
              <w:jc w:val="left"/>
              <w:rPr/>
            </w:pPr>
            <w:r>
              <w:rPr/>
              <w:t> </w:t>
            </w:r>
          </w:p>
        </w:tc>
        <w:tc>
          <w:tcPr>
            <w:tcW w:w="170" w:type="dxa"/>
            <w:tcBorders>
              <w:right w:val="single" w:sz="8" w:space="0" w:color="D9DBD6"/>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8850" w:type="dxa"/>
        <w:jc w:val="left"/>
        <w:tblInd w:w="0" w:type="dxa"/>
        <w:tblLayout w:type="fixed"/>
        <w:tblCellMar>
          <w:top w:w="0" w:type="dxa"/>
          <w:left w:w="0" w:type="dxa"/>
          <w:bottom w:w="0" w:type="dxa"/>
          <w:right w:w="0" w:type="dxa"/>
        </w:tblCellMar>
      </w:tblPr>
      <w:tblGrid>
        <w:gridCol w:w="185"/>
        <w:gridCol w:w="8450"/>
        <w:gridCol w:w="215"/>
      </w:tblGrid>
      <w:tr>
        <w:trPr/>
        <w:tc>
          <w:tcPr>
            <w:tcW w:w="185" w:type="dxa"/>
            <w:tcBorders/>
            <w:shd w:fill="D8E47A" w:val="clear"/>
            <w:vAlign w:val="center"/>
          </w:tcPr>
          <w:p>
            <w:pPr>
              <w:pStyle w:val="TableContents"/>
              <w:bidi w:val="0"/>
              <w:spacing w:before="0" w:after="0"/>
              <w:jc w:val="left"/>
              <w:rPr/>
            </w:pPr>
            <w:r>
              <w:rPr/>
              <w:t> </w:t>
            </w:r>
          </w:p>
        </w:tc>
        <w:tc>
          <w:tcPr>
            <w:tcW w:w="8450" w:type="dxa"/>
            <w:tcBorders/>
            <w:shd w:fill="D8E47A" w:val="clear"/>
            <w:vAlign w:val="center"/>
          </w:tcPr>
          <w:p>
            <w:pPr>
              <w:pStyle w:val="TableContents"/>
              <w:bidi w:val="0"/>
              <w:spacing w:before="0" w:after="0"/>
              <w:jc w:val="left"/>
              <w:rPr/>
            </w:pPr>
            <w:r>
              <w:rPr/>
              <w:t> </w:t>
            </w:r>
          </w:p>
        </w:tc>
        <w:tc>
          <w:tcPr>
            <w:tcW w:w="215" w:type="dxa"/>
            <w:tcBorders/>
            <w:shd w:fill="D8E47A" w:val="clear"/>
            <w:vAlign w:val="center"/>
          </w:tcPr>
          <w:p>
            <w:pPr>
              <w:pStyle w:val="TableContents"/>
              <w:bidi w:val="0"/>
              <w:spacing w:before="0" w:after="0"/>
              <w:jc w:val="left"/>
              <w:rPr/>
            </w:pPr>
            <w:r>
              <w:rPr/>
              <w:t> </w:t>
            </w:r>
          </w:p>
        </w:tc>
      </w:tr>
      <w:tr>
        <w:trPr/>
        <w:tc>
          <w:tcPr>
            <w:tcW w:w="185" w:type="dxa"/>
            <w:tcBorders/>
            <w:shd w:fill="D8E47A" w:val="clear"/>
            <w:vAlign w:val="center"/>
          </w:tcPr>
          <w:p>
            <w:pPr>
              <w:pStyle w:val="TableContents"/>
              <w:bidi w:val="0"/>
              <w:spacing w:before="0" w:after="0"/>
              <w:jc w:val="left"/>
              <w:rPr/>
            </w:pPr>
            <w:r>
              <w:rPr/>
              <w:t> </w:t>
            </w:r>
          </w:p>
        </w:tc>
        <w:tc>
          <w:tcPr>
            <w:tcW w:w="8450" w:type="dxa"/>
            <w:tcBorders/>
            <w:shd w:fill="D8E47A" w:val="clear"/>
            <w:vAlign w:val="center"/>
          </w:tcPr>
          <w:p>
            <w:pPr>
              <w:pStyle w:val="TableContents"/>
              <w:bidi w:val="0"/>
              <w:spacing w:before="0" w:after="283"/>
              <w:ind w:left="60" w:right="0" w:hanging="0"/>
              <w:jc w:val="left"/>
              <w:rPr>
                <w:rFonts w:ascii="Arial;Helvetica;sans-serif" w:hAnsi="Arial;Helvetica;sans-serif"/>
                <w:b/>
                <w:color w:val="14202A"/>
                <w:sz w:val="26"/>
              </w:rPr>
            </w:pPr>
            <w:r>
              <w:rPr>
                <w:rFonts w:ascii="Arial;Helvetica;sans-serif" w:hAnsi="Arial;Helvetica;sans-serif"/>
                <w:b/>
                <w:color w:val="14202A"/>
                <w:sz w:val="26"/>
              </w:rPr>
              <w:t>COMMUNITY  </w:t>
            </w:r>
            <w:r>
              <w:rPr>
                <w:rFonts w:ascii="Arial;Helvetica;sans-serif" w:hAnsi="Arial;Helvetica;sans-serif"/>
                <w:b w:val="false"/>
                <w:color w:val="14202A"/>
                <w:sz w:val="19"/>
              </w:rPr>
              <w:t>Commit to doing well and doing good in the places we travel, live, work and play.</w:t>
            </w:r>
          </w:p>
        </w:tc>
        <w:tc>
          <w:tcPr>
            <w:tcW w:w="215" w:type="dxa"/>
            <w:tcBorders/>
            <w:shd w:fill="D8E47A" w:val="clear"/>
            <w:vAlign w:val="center"/>
          </w:tcPr>
          <w:p>
            <w:pPr>
              <w:pStyle w:val="TableContents"/>
              <w:bidi w:val="0"/>
              <w:spacing w:before="0" w:after="0"/>
              <w:jc w:val="left"/>
              <w:rPr/>
            </w:pPr>
            <w:r>
              <w:rPr/>
              <w:t> </w:t>
            </w:r>
          </w:p>
        </w:tc>
      </w:tr>
      <w:tr>
        <w:trPr/>
        <w:tc>
          <w:tcPr>
            <w:tcW w:w="185" w:type="dxa"/>
            <w:tcBorders/>
            <w:shd w:fill="D8E47A" w:val="clear"/>
            <w:vAlign w:val="center"/>
          </w:tcPr>
          <w:p>
            <w:pPr>
              <w:pStyle w:val="TableContents"/>
              <w:bidi w:val="0"/>
              <w:spacing w:before="0" w:after="0"/>
              <w:jc w:val="left"/>
              <w:rPr/>
            </w:pPr>
            <w:r>
              <w:rPr/>
              <w:t> </w:t>
            </w:r>
          </w:p>
        </w:tc>
        <w:tc>
          <w:tcPr>
            <w:tcW w:w="8450" w:type="dxa"/>
            <w:tcBorders/>
            <w:shd w:fill="D8E47A" w:val="clear"/>
            <w:vAlign w:val="center"/>
          </w:tcPr>
          <w:p>
            <w:pPr>
              <w:pStyle w:val="TableContents"/>
              <w:bidi w:val="0"/>
              <w:spacing w:before="0" w:after="0"/>
              <w:jc w:val="left"/>
              <w:rPr/>
            </w:pPr>
            <w:r>
              <w:rPr/>
              <w:t> </w:t>
            </w:r>
          </w:p>
        </w:tc>
        <w:tc>
          <w:tcPr>
            <w:tcW w:w="215" w:type="dxa"/>
            <w:tcBorders/>
            <w:shd w:fill="D8E47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3223"/>
        <w:gridCol w:w="170"/>
        <w:gridCol w:w="170"/>
        <w:gridCol w:w="4807"/>
        <w:gridCol w:w="170"/>
        <w:gridCol w:w="170"/>
        <w:gridCol w:w="1093"/>
        <w:gridCol w:w="217"/>
      </w:tblGrid>
      <w:tr>
        <w:trPr/>
        <w:tc>
          <w:tcPr>
            <w:tcW w:w="185" w:type="dxa"/>
            <w:tcBorders/>
            <w:vAlign w:val="center"/>
          </w:tcPr>
          <w:p>
            <w:pPr>
              <w:pStyle w:val="TableContents"/>
              <w:bidi w:val="0"/>
              <w:spacing w:before="0" w:after="0"/>
              <w:jc w:val="left"/>
              <w:rPr/>
            </w:pPr>
            <w:r>
              <w:rPr/>
              <w:t> </w:t>
            </w:r>
          </w:p>
        </w:tc>
        <w:tc>
          <w:tcPr>
            <w:tcW w:w="3223" w:type="dxa"/>
            <w:tcBorders/>
            <w:vAlign w:val="center"/>
          </w:tcPr>
          <w:p>
            <w:pPr>
              <w:pStyle w:val="TableContents"/>
              <w:bidi w:val="0"/>
              <w:spacing w:before="0" w:after="0"/>
              <w:jc w:val="left"/>
              <w:rPr/>
            </w:pPr>
            <w:r>
              <w:rPr/>
              <w:t> </w:t>
            </w:r>
          </w:p>
        </w:tc>
        <w:tc>
          <w:tcPr>
            <w:tcW w:w="170" w:type="dxa"/>
            <w:tcBorders>
              <w:right w:val="single" w:sz="8" w:space="0" w:color="D8E47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0"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23" w:type="dxa"/>
            <w:tcBorders/>
            <w:vAlign w:val="center"/>
          </w:tcPr>
          <w:p>
            <w:pPr>
              <w:pStyle w:val="TableContents"/>
              <w:bidi w:val="0"/>
              <w:spacing w:before="0" w:after="283"/>
              <w:jc w:val="center"/>
              <w:rPr>
                <w:color w:val="14202A"/>
              </w:rPr>
            </w:pPr>
            <w:r>
              <w:rPr>
                <w:color w:val="14202A"/>
              </w:rPr>
              <w:drawing>
                <wp:inline distT="0" distB="0" distL="0" distR="0">
                  <wp:extent cx="1866900" cy="4953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7"/>
                          <a:stretch>
                            <a:fillRect/>
                          </a:stretch>
                        </pic:blipFill>
                        <pic:spPr bwMode="auto">
                          <a:xfrm>
                            <a:off x="0" y="0"/>
                            <a:ext cx="1866900" cy="495300"/>
                          </a:xfrm>
                          <a:prstGeom prst="rect">
                            <a:avLst/>
                          </a:prstGeom>
                        </pic:spPr>
                      </pic:pic>
                    </a:graphicData>
                  </a:graphic>
                </wp:inline>
              </w:drawing>
            </w:r>
          </w:p>
          <w:p>
            <w:pPr>
              <w:pStyle w:val="TableContents"/>
              <w:bidi w:val="0"/>
              <w:spacing w:before="0" w:after="283"/>
              <w:ind w:left="60" w:right="0" w:hanging="0"/>
              <w:jc w:val="left"/>
              <w:rPr>
                <w:color w:val="14202A"/>
              </w:rPr>
            </w:pPr>
            <w:r>
              <w:rPr>
                <w:color w:val="14202A"/>
              </w:rPr>
              <w:t> </w:t>
            </w:r>
          </w:p>
        </w:tc>
        <w:tc>
          <w:tcPr>
            <w:tcW w:w="170" w:type="dxa"/>
            <w:tcBorders>
              <w:right w:val="single" w:sz="8" w:space="0" w:color="D8E47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40" w:type="dxa"/>
            <w:gridSpan w:val="4"/>
            <w:tcBorders/>
            <w:vAlign w:val="center"/>
          </w:tcPr>
          <w:p>
            <w:pPr>
              <w:pStyle w:val="TableContents"/>
              <w:bidi w:val="0"/>
              <w:spacing w:before="0" w:after="283"/>
              <w:jc w:val="center"/>
              <w:rPr>
                <w:color w:val="14202A"/>
              </w:rPr>
            </w:pPr>
            <w:r>
              <w:rPr>
                <w:color w:val="14202A"/>
              </w:rPr>
              <w:drawing>
                <wp:inline distT="0" distB="0" distL="0" distR="0">
                  <wp:extent cx="1514475" cy="3619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8"/>
                          <a:stretch>
                            <a:fillRect/>
                          </a:stretch>
                        </pic:blipFill>
                        <pic:spPr bwMode="auto">
                          <a:xfrm>
                            <a:off x="0" y="0"/>
                            <a:ext cx="1514475" cy="361950"/>
                          </a:xfrm>
                          <a:prstGeom prst="rect">
                            <a:avLst/>
                          </a:prstGeom>
                        </pic:spPr>
                      </pic:pic>
                    </a:graphicData>
                  </a:graphic>
                </wp:inline>
              </w:drawing>
            </w:r>
          </w:p>
          <w:p>
            <w:pPr>
              <w:pStyle w:val="TableContents"/>
              <w:bidi w:val="0"/>
              <w:spacing w:before="0" w:after="283"/>
              <w:ind w:left="0" w:right="0" w:hanging="0"/>
              <w:jc w:val="left"/>
              <w:rPr>
                <w:color w:val="14202A"/>
              </w:rPr>
            </w:pPr>
            <w:r>
              <w:rPr>
                <w:color w:val="14202A"/>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23" w:type="dxa"/>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In Fiscal 2025, Winnebago Industries,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its employees, and the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Winnebago Industries Foundation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gave </w:t>
            </w:r>
            <w:r>
              <w:rPr>
                <w:rFonts w:ascii="Arial;Helvetica;sans-serif" w:hAnsi="Arial;Helvetica;sans-serif"/>
                <w:b/>
                <w:color w:val="D8E47A"/>
                <w:sz w:val="16"/>
              </w:rPr>
              <w:t>$3.9 million</w:t>
            </w:r>
            <w:r>
              <w:rPr>
                <w:rFonts w:ascii="Arial;Helvetica;sans-serif" w:hAnsi="Arial;Helvetica;sans-serif"/>
                <w:b/>
                <w:color w:val="14202A"/>
                <w:sz w:val="16"/>
              </w:rPr>
              <w:t xml:space="preserve"> in total community support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(grants, charitable donations, in-kind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contributions, employee giving,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and volunteer hours)</w:t>
            </w:r>
          </w:p>
        </w:tc>
        <w:tc>
          <w:tcPr>
            <w:tcW w:w="170" w:type="dxa"/>
            <w:tcBorders>
              <w:right w:val="single" w:sz="8" w:space="0" w:color="D8E47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7" w:type="dxa"/>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In Fiscal 2025,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total community support includes </w:t>
            </w:r>
            <w:r>
              <w:rPr>
                <w:rFonts w:ascii="Arial;Helvetica;sans-serif" w:hAnsi="Arial;Helvetica;sans-serif"/>
                <w:b/>
                <w:color w:val="D8E47A"/>
                <w:sz w:val="16"/>
              </w:rPr>
              <w:t>$750,000</w:t>
            </w:r>
            <w:r>
              <w:rPr>
                <w:rFonts w:ascii="Arial;Helvetica;sans-serif" w:hAnsi="Arial;Helvetica;sans-serif"/>
                <w:b/>
                <w:color w:val="14202A"/>
                <w:sz w:val="16"/>
              </w:rPr>
              <w:t xml:space="preserve"> raised by employees, including Winnebago Foundation matching gifts, for </w:t>
            </w:r>
            <w:r>
              <w:rPr>
                <w:rFonts w:ascii="Arial;Helvetica;sans-serif" w:hAnsi="Arial;Helvetica;sans-serif"/>
                <w:b/>
                <w:color w:val="D8E47A"/>
                <w:sz w:val="16"/>
              </w:rPr>
              <w:t>360</w:t>
            </w:r>
            <w:r>
              <w:rPr>
                <w:rFonts w:ascii="Arial;Helvetica;sans-serif" w:hAnsi="Arial;Helvetica;sans-serif"/>
                <w:b/>
                <w:color w:val="14202A"/>
                <w:sz w:val="16"/>
              </w:rPr>
              <w:t xml:space="preserve"> community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partners</w:t>
            </w:r>
          </w:p>
        </w:tc>
        <w:tc>
          <w:tcPr>
            <w:tcW w:w="170" w:type="dxa"/>
            <w:tcBorders>
              <w:right w:val="single" w:sz="8" w:space="0" w:color="D8E47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3" w:type="dxa"/>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In Fiscal 2025,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D8E47A"/>
                <w:sz w:val="16"/>
              </w:rPr>
              <w:t>13,600</w:t>
            </w:r>
            <w:r>
              <w:rPr>
                <w:rFonts w:ascii="Arial;Helvetica;sans-serif" w:hAnsi="Arial;Helvetica;sans-serif"/>
                <w:b/>
                <w:color w:val="14202A"/>
                <w:sz w:val="16"/>
              </w:rPr>
              <w:t xml:space="preserve"> volunteer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hours logged by </w:t>
            </w:r>
          </w:p>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D8E47A"/>
                <w:sz w:val="16"/>
              </w:rPr>
              <w:t>450</w:t>
            </w:r>
            <w:r>
              <w:rPr>
                <w:rFonts w:ascii="Arial;Helvetica;sans-serif" w:hAnsi="Arial;Helvetica;sans-serif"/>
                <w:b/>
                <w:color w:val="14202A"/>
                <w:sz w:val="16"/>
              </w:rPr>
              <w:t xml:space="preserve"> employees</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23" w:type="dxa"/>
            <w:tcBorders/>
            <w:vAlign w:val="center"/>
          </w:tcPr>
          <w:p>
            <w:pPr>
              <w:pStyle w:val="TableContents"/>
              <w:bidi w:val="0"/>
              <w:spacing w:before="0" w:after="0"/>
              <w:jc w:val="left"/>
              <w:rPr/>
            </w:pPr>
            <w:r>
              <w:rPr/>
              <w:t> </w:t>
            </w:r>
          </w:p>
        </w:tc>
        <w:tc>
          <w:tcPr>
            <w:tcW w:w="170" w:type="dxa"/>
            <w:tcBorders>
              <w:right w:val="single" w:sz="8" w:space="0" w:color="D8E47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7" w:type="dxa"/>
            <w:tcBorders/>
            <w:vAlign w:val="center"/>
          </w:tcPr>
          <w:p>
            <w:pPr>
              <w:pStyle w:val="TableContents"/>
              <w:bidi w:val="0"/>
              <w:spacing w:before="0" w:after="0"/>
              <w:jc w:val="left"/>
              <w:rPr/>
            </w:pPr>
            <w:r>
              <w:rPr/>
              <w:t> </w:t>
            </w:r>
          </w:p>
        </w:tc>
        <w:tc>
          <w:tcPr>
            <w:tcW w:w="170" w:type="dxa"/>
            <w:tcBorders>
              <w:right w:val="single" w:sz="8" w:space="0" w:color="D8E47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7670" w:type="dxa"/>
        <w:jc w:val="left"/>
        <w:tblInd w:w="0" w:type="dxa"/>
        <w:tblLayout w:type="fixed"/>
        <w:tblCellMar>
          <w:top w:w="0" w:type="dxa"/>
          <w:left w:w="0" w:type="dxa"/>
          <w:bottom w:w="0" w:type="dxa"/>
          <w:right w:w="0" w:type="dxa"/>
        </w:tblCellMar>
      </w:tblPr>
      <w:tblGrid>
        <w:gridCol w:w="7670"/>
      </w:tblGrid>
      <w:tr>
        <w:trPr/>
        <w:tc>
          <w:tcPr>
            <w:tcW w:w="7670" w:type="dxa"/>
            <w:tcBorders/>
            <w:vAlign w:val="center"/>
          </w:tcPr>
          <w:p>
            <w:pPr>
              <w:pStyle w:val="TableContents"/>
              <w:bidi w:val="0"/>
              <w:spacing w:before="0" w:after="0"/>
              <w:jc w:val="left"/>
              <w:rPr/>
            </w:pPr>
            <w:r>
              <w:rPr/>
              <w:t> </w:t>
            </w:r>
          </w:p>
        </w:tc>
      </w:tr>
      <w:tr>
        <w:trPr/>
        <w:tc>
          <w:tcPr>
            <w:tcW w:w="7670" w:type="dxa"/>
            <w:tcBorders/>
            <w:vAlign w:val="center"/>
          </w:tcPr>
          <w:p>
            <w:pPr>
              <w:pStyle w:val="TableContents"/>
              <w:bidi w:val="0"/>
              <w:spacing w:before="0" w:after="283"/>
              <w:jc w:val="center"/>
              <w:rPr>
                <w:rFonts w:ascii="Arial;Helvetica;sans-serif" w:hAnsi="Arial;Helvetica;sans-serif"/>
                <w:color w:val="14202A"/>
                <w:sz w:val="20"/>
                <w:u w:val="single"/>
              </w:rPr>
            </w:pPr>
            <w:r>
              <w:rPr>
                <w:rFonts w:ascii="Arial;Helvetica;sans-serif" w:hAnsi="Arial;Helvetica;sans-serif"/>
                <w:color w:val="14202A"/>
                <w:sz w:val="20"/>
                <w:u w:val="single"/>
              </w:rPr>
              <w:t xml:space="preserve">Follow our corporate responsibility journey at </w:t>
            </w:r>
            <w:r>
              <w:rPr>
                <w:rFonts w:ascii="Arial;Helvetica;sans-serif" w:hAnsi="Arial;Helvetica;sans-serif"/>
                <w:b/>
                <w:color w:val="14202A"/>
                <w:sz w:val="20"/>
                <w:u w:val="single"/>
              </w:rPr>
              <w:t>www.winnebagoind.com/responsibility</w:t>
            </w:r>
          </w:p>
        </w:tc>
      </w:tr>
    </w:tbl>
    <w:tbl>
      <w:tblPr>
        <w:tblW w:w="5970" w:type="dxa"/>
        <w:jc w:val="left"/>
        <w:tblInd w:w="360" w:type="dxa"/>
        <w:tblLayout w:type="fixed"/>
        <w:tblCellMar>
          <w:top w:w="0" w:type="dxa"/>
          <w:left w:w="0" w:type="dxa"/>
          <w:bottom w:w="0" w:type="dxa"/>
          <w:right w:w="0" w:type="dxa"/>
        </w:tblCellMar>
      </w:tblPr>
      <w:tblGrid>
        <w:gridCol w:w="2610"/>
        <w:gridCol w:w="170"/>
        <w:gridCol w:w="170"/>
        <w:gridCol w:w="302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52074x1_def14a_104-proxy_pg4"/>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21" w:name="tCGH"/>
      <w:bookmarkEnd w:id="21"/>
      <w:r>
        <w:rPr>
          <w:rFonts w:ascii="Arial;Helvetica;sans-serif" w:hAnsi="Arial;Helvetica;sans-serif"/>
          <w:b/>
          <w:color w:val="D8E47A"/>
          <w:sz w:val="24"/>
        </w:rPr>
        <w:t xml:space="preserve">Corporate Governance Highlights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We are committed to a strong corporate governance structure that promotes long-term value for our shareholders. Our Board of Directors (Board) believes that having a mix of directors with complementary qualifications, experience and expertise strengthens its oversight ability, provides diverse perspectives, and represents the best interests of our shareholders. The following graphs reflect our Board membership following the Board’s acceptance of the resignation of Jacqueline Woods in August 2025.</w:t>
      </w:r>
    </w:p>
    <w:p>
      <w:pPr>
        <w:pStyle w:val="TextBody"/>
        <w:bidi w:val="0"/>
        <w:spacing w:before="440" w:after="283"/>
        <w:ind w:left="0" w:right="0" w:hanging="0"/>
        <w:jc w:val="left"/>
        <w:rPr>
          <w:color w:val="14202A"/>
        </w:rPr>
      </w:pPr>
      <w:r>
        <w:rPr>
          <w:color w:val="14202A"/>
        </w:rPr>
        <w:drawing>
          <wp:inline distT="0" distB="0" distL="0" distR="0">
            <wp:extent cx="6410325" cy="25622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30"/>
                    <a:stretch>
                      <a:fillRect/>
                    </a:stretch>
                  </pic:blipFill>
                  <pic:spPr bwMode="auto">
                    <a:xfrm>
                      <a:off x="0" y="0"/>
                      <a:ext cx="6410325" cy="256222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p>
      <w:pPr>
        <w:pStyle w:val="TextBody"/>
        <w:bidi w:val="0"/>
        <w:spacing w:before="540" w:after="283"/>
        <w:ind w:left="0" w:right="0" w:hanging="0"/>
        <w:jc w:val="left"/>
        <w:rPr>
          <w:rFonts w:ascii="Arial;Helvetica;sans-serif" w:hAnsi="Arial;Helvetica;sans-serif"/>
          <w:b/>
          <w:color w:val="D8E47A"/>
          <w:sz w:val="24"/>
        </w:rPr>
      </w:pPr>
      <w:bookmarkStart w:id="22" w:name="tCGPRS"/>
      <w:bookmarkEnd w:id="22"/>
      <w:r>
        <w:rPr>
          <w:rFonts w:ascii="Arial;Helvetica;sans-serif" w:hAnsi="Arial;Helvetica;sans-serif"/>
          <w:b/>
          <w:color w:val="D8E47A"/>
          <w:sz w:val="24"/>
        </w:rPr>
        <w:t xml:space="preserve">Corporate Governance Practices </w:t>
      </w:r>
    </w:p>
    <w:tbl>
      <w:tblPr>
        <w:tblW w:w="10205" w:type="dxa"/>
        <w:jc w:val="left"/>
        <w:tblInd w:w="0" w:type="dxa"/>
        <w:tblLayout w:type="fixed"/>
        <w:tblCellMar>
          <w:top w:w="0" w:type="dxa"/>
          <w:left w:w="0" w:type="dxa"/>
          <w:bottom w:w="0" w:type="dxa"/>
          <w:right w:w="0" w:type="dxa"/>
        </w:tblCellMar>
      </w:tblPr>
      <w:tblGrid>
        <w:gridCol w:w="185"/>
        <w:gridCol w:w="2585"/>
        <w:gridCol w:w="170"/>
        <w:gridCol w:w="170"/>
        <w:gridCol w:w="6879"/>
        <w:gridCol w:w="216"/>
      </w:tblGrid>
      <w:tr>
        <w:trPr/>
        <w:tc>
          <w:tcPr>
            <w:tcW w:w="185" w:type="dxa"/>
            <w:tcBorders/>
            <w:shd w:fill="E6E6E6" w:val="clear"/>
            <w:vAlign w:val="center"/>
          </w:tcPr>
          <w:p>
            <w:pPr>
              <w:pStyle w:val="TableContents"/>
              <w:bidi w:val="0"/>
              <w:spacing w:before="0" w:after="0"/>
              <w:jc w:val="left"/>
              <w:rPr/>
            </w:pPr>
            <w:r>
              <w:rPr/>
              <w:t> </w:t>
            </w:r>
          </w:p>
        </w:tc>
        <w:tc>
          <w:tcPr>
            <w:tcW w:w="258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vMerge w:val="restart"/>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2585" w:type="dxa"/>
            <w:vMerge w:val="restart"/>
            <w:tcBorders>
              <w:bottom w:val="single" w:sz="8" w:space="0" w:color="14202A"/>
            </w:tcBorders>
            <w:shd w:fill="E6E6E6" w:val="clear"/>
            <w:tcMar>
              <w:bottom w:w="83" w:type="dxa"/>
            </w:tcMar>
            <w:vAlign w:val="center"/>
          </w:tcPr>
          <w:p>
            <w:pPr>
              <w:pStyle w:val="TableContents"/>
              <w:bidi w:val="0"/>
              <w:spacing w:before="80" w:after="283"/>
              <w:ind w:left="100" w:right="0" w:hanging="0"/>
              <w:jc w:val="left"/>
              <w:rPr>
                <w:rFonts w:ascii="Arial;Helvetica;sans-serif" w:hAnsi="Arial;Helvetica;sans-serif"/>
                <w:b/>
                <w:color w:val="14202A"/>
                <w:sz w:val="16"/>
              </w:rPr>
            </w:pPr>
            <w:r>
              <w:rPr>
                <w:rFonts w:ascii="Arial;Helvetica;sans-serif" w:hAnsi="Arial;Helvetica;sans-serif"/>
                <w:b/>
                <w:color w:val="14202A"/>
                <w:sz w:val="16"/>
              </w:rPr>
              <w:t>Independent leadership</w:t>
            </w:r>
          </w:p>
        </w:tc>
        <w:tc>
          <w:tcPr>
            <w:tcW w:w="170" w:type="dxa"/>
            <w:vMerge w:val="restart"/>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80" w:after="283"/>
              <w:ind w:left="0" w:right="0" w:hanging="0"/>
              <w:jc w:val="left"/>
              <w:rPr>
                <w:color w:val="D8E47A"/>
              </w:rPr>
            </w:pPr>
            <w:r>
              <w:rPr>
                <w:color w:val="D8E47A"/>
              </w:rPr>
              <w:t>⯀ </w:t>
            </w:r>
          </w:p>
          <w:p>
            <w:pPr>
              <w:pStyle w:val="TableContents"/>
              <w:bidi w:val="0"/>
              <w:spacing w:before="80" w:after="283"/>
              <w:jc w:val="left"/>
              <w:rPr>
                <w:rFonts w:ascii="Arial;Helvetica;sans-serif" w:hAnsi="Arial;Helvetica;sans-serif"/>
                <w:color w:val="14202A"/>
                <w:sz w:val="16"/>
              </w:rPr>
            </w:pPr>
            <w:r>
              <w:rPr>
                <w:rFonts w:ascii="Arial;Helvetica;sans-serif" w:hAnsi="Arial;Helvetica;sans-serif"/>
                <w:color w:val="14202A"/>
                <w:sz w:val="16"/>
              </w:rPr>
              <w:t xml:space="preserve">8 of 9 director nominees and continuing directors are independent (all except our Chief Executive Officer)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2585" w:type="dxa"/>
            <w:vMerge w:val="continue"/>
            <w:tcBorders>
              <w:bottom w:val="single" w:sz="8" w:space="0" w:color="14202A"/>
            </w:tcBorders>
            <w:shd w:fill="E6E6E6" w:val="clear"/>
            <w:tcMar>
              <w:bottom w:w="83" w:type="dxa"/>
            </w:tcMar>
            <w:vAlign w:val="center"/>
          </w:tcPr>
          <w:p>
            <w:pPr>
              <w:pStyle w:val="Normal"/>
              <w:bidi w:val="0"/>
              <w:jc w:val="left"/>
              <w:rPr/>
            </w:pPr>
            <w:r>
              <w:rPr/>
            </w:r>
          </w:p>
        </w:tc>
        <w:tc>
          <w:tcPr>
            <w:tcW w:w="170"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Independent non-employee chair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2585" w:type="dxa"/>
            <w:vMerge w:val="continue"/>
            <w:tcBorders>
              <w:bottom w:val="single" w:sz="8" w:space="0" w:color="14202A"/>
            </w:tcBorders>
            <w:shd w:fill="E6E6E6" w:val="clear"/>
            <w:tcMar>
              <w:bottom w:w="83" w:type="dxa"/>
            </w:tcMar>
            <w:vAlign w:val="center"/>
          </w:tcPr>
          <w:p>
            <w:pPr>
              <w:pStyle w:val="Normal"/>
              <w:bidi w:val="0"/>
              <w:jc w:val="left"/>
              <w:rPr/>
            </w:pPr>
            <w:r>
              <w:rPr/>
            </w:r>
          </w:p>
        </w:tc>
        <w:tc>
          <w:tcPr>
            <w:tcW w:w="170"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All Board committee members are independent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2585" w:type="dxa"/>
            <w:vMerge w:val="continue"/>
            <w:tcBorders>
              <w:bottom w:val="single" w:sz="8" w:space="0" w:color="14202A"/>
            </w:tcBorders>
            <w:shd w:fill="E6E6E6" w:val="clear"/>
            <w:tcMar>
              <w:bottom w:w="83" w:type="dxa"/>
            </w:tcMar>
            <w:vAlign w:val="center"/>
          </w:tcPr>
          <w:p>
            <w:pPr>
              <w:pStyle w:val="Normal"/>
              <w:bidi w:val="0"/>
              <w:jc w:val="left"/>
              <w:rPr/>
            </w:pPr>
            <w:r>
              <w:rPr/>
            </w:r>
          </w:p>
        </w:tc>
        <w:tc>
          <w:tcPr>
            <w:tcW w:w="170"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79" w:type="dxa"/>
            <w:tcBorders>
              <w:bottom w:val="single" w:sz="8" w:space="0" w:color="14202A"/>
            </w:tcBorders>
            <w:tcMar>
              <w:bottom w:w="83" w:type="dxa"/>
            </w:tcMar>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Executive sessions of independent directors before and/or after each regular Board meeting</w:t>
            </w:r>
          </w:p>
          <w:p>
            <w:pPr>
              <w:pStyle w:val="TableContents"/>
              <w:bidi w:val="0"/>
              <w:spacing w:before="0" w:after="283"/>
              <w:ind w:left="0"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2585" w:type="dxa"/>
            <w:vMerge w:val="restart"/>
            <w:tcBorders>
              <w:bottom w:val="single" w:sz="8" w:space="0" w:color="14202A"/>
            </w:tcBorders>
            <w:shd w:fill="E6E6E6" w:val="clear"/>
            <w:tcMar>
              <w:bottom w:w="83" w:type="dxa"/>
            </w:tcMar>
            <w:vAlign w:val="center"/>
          </w:tcPr>
          <w:p>
            <w:pPr>
              <w:pStyle w:val="TableContents"/>
              <w:bidi w:val="0"/>
              <w:spacing w:before="80" w:after="283"/>
              <w:ind w:left="100" w:right="0" w:hanging="0"/>
              <w:jc w:val="left"/>
              <w:rPr>
                <w:rFonts w:ascii="Arial;Helvetica;sans-serif" w:hAnsi="Arial;Helvetica;sans-serif"/>
                <w:b/>
                <w:color w:val="14202A"/>
                <w:sz w:val="16"/>
              </w:rPr>
            </w:pPr>
            <w:r>
              <w:rPr>
                <w:rFonts w:ascii="Arial;Helvetica;sans-serif" w:hAnsi="Arial;Helvetica;sans-serif"/>
                <w:b/>
                <w:color w:val="14202A"/>
                <w:sz w:val="16"/>
              </w:rPr>
              <w:t>Board refreshment</w:t>
            </w:r>
          </w:p>
        </w:tc>
        <w:tc>
          <w:tcPr>
            <w:tcW w:w="170" w:type="dxa"/>
            <w:vMerge w:val="restart"/>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80" w:after="283"/>
              <w:ind w:left="0" w:right="0" w:hanging="0"/>
              <w:jc w:val="left"/>
              <w:rPr>
                <w:color w:val="D8E47A"/>
              </w:rPr>
            </w:pPr>
            <w:r>
              <w:rPr>
                <w:color w:val="D8E47A"/>
              </w:rPr>
              <w:t>⯀ </w:t>
            </w:r>
          </w:p>
          <w:p>
            <w:pPr>
              <w:pStyle w:val="TableContents"/>
              <w:bidi w:val="0"/>
              <w:spacing w:before="80" w:after="283"/>
              <w:jc w:val="left"/>
              <w:rPr>
                <w:rFonts w:ascii="Arial;Helvetica;sans-serif" w:hAnsi="Arial;Helvetica;sans-serif"/>
                <w:color w:val="14202A"/>
                <w:sz w:val="16"/>
              </w:rPr>
            </w:pPr>
            <w:r>
              <w:rPr>
                <w:rFonts w:ascii="Arial;Helvetica;sans-serif" w:hAnsi="Arial;Helvetica;sans-serif"/>
                <w:color w:val="14202A"/>
                <w:sz w:val="16"/>
              </w:rPr>
              <w:t xml:space="preserve">Mix of tenure and diversity of directors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2585" w:type="dxa"/>
            <w:vMerge w:val="continue"/>
            <w:tcBorders>
              <w:bottom w:val="single" w:sz="8" w:space="0" w:color="14202A"/>
            </w:tcBorders>
            <w:shd w:fill="E6E6E6" w:val="clear"/>
            <w:tcMar>
              <w:bottom w:w="83" w:type="dxa"/>
            </w:tcMar>
            <w:vAlign w:val="center"/>
          </w:tcPr>
          <w:p>
            <w:pPr>
              <w:pStyle w:val="Normal"/>
              <w:bidi w:val="0"/>
              <w:jc w:val="left"/>
              <w:rPr/>
            </w:pPr>
            <w:r>
              <w:rPr/>
            </w:r>
          </w:p>
        </w:tc>
        <w:tc>
          <w:tcPr>
            <w:tcW w:w="170"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Age limit for directors (72) </w:t>
            </w:r>
          </w:p>
        </w:tc>
        <w:tc>
          <w:tcPr>
            <w:tcW w:w="216"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2585" w:type="dxa"/>
            <w:vMerge w:val="continue"/>
            <w:tcBorders>
              <w:bottom w:val="single" w:sz="8" w:space="0" w:color="14202A"/>
            </w:tcBorders>
            <w:shd w:fill="E6E6E6" w:val="clear"/>
            <w:tcMar>
              <w:bottom w:w="83" w:type="dxa"/>
            </w:tcMar>
            <w:vAlign w:val="center"/>
          </w:tcPr>
          <w:p>
            <w:pPr>
              <w:pStyle w:val="Normal"/>
              <w:bidi w:val="0"/>
              <w:jc w:val="left"/>
              <w:rPr/>
            </w:pPr>
            <w:r>
              <w:rPr/>
            </w:r>
          </w:p>
        </w:tc>
        <w:tc>
          <w:tcPr>
            <w:tcW w:w="170" w:type="dxa"/>
            <w:vMerge w:val="continue"/>
            <w:tcBorders>
              <w:bottom w:val="single" w:sz="8" w:space="0" w:color="14202A"/>
            </w:tcBorders>
            <w:shd w:fill="E6E6E6" w:val="clear"/>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79" w:type="dxa"/>
            <w:tcBorders>
              <w:bottom w:val="single" w:sz="8" w:space="0" w:color="14202A"/>
            </w:tcBorders>
            <w:tcMar>
              <w:bottom w:w="83" w:type="dxa"/>
            </w:tcMar>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Annual Board and committee self-evaluations </w:t>
            </w:r>
          </w:p>
          <w:p>
            <w:pPr>
              <w:pStyle w:val="TableContents"/>
              <w:bidi w:val="0"/>
              <w:spacing w:before="0" w:after="283"/>
              <w:ind w:left="0"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shd w:fill="E6E6E6" w:val="clear"/>
            <w:vAlign w:val="center"/>
          </w:tcPr>
          <w:p>
            <w:pPr>
              <w:pStyle w:val="TableContents"/>
              <w:bidi w:val="0"/>
              <w:spacing w:before="0" w:after="0"/>
              <w:jc w:val="left"/>
              <w:rPr/>
            </w:pPr>
            <w:r>
              <w:rPr/>
              <w:t> </w:t>
            </w:r>
          </w:p>
        </w:tc>
        <w:tc>
          <w:tcPr>
            <w:tcW w:w="2585" w:type="dxa"/>
            <w:vMerge w:val="restart"/>
            <w:tcBorders/>
            <w:shd w:fill="E6E6E6" w:val="clear"/>
            <w:vAlign w:val="center"/>
          </w:tcPr>
          <w:p>
            <w:pPr>
              <w:pStyle w:val="TableContents"/>
              <w:bidi w:val="0"/>
              <w:spacing w:before="80" w:after="283"/>
              <w:ind w:left="100" w:right="0" w:hanging="0"/>
              <w:jc w:val="left"/>
              <w:rPr>
                <w:rFonts w:ascii="Arial;Helvetica;sans-serif" w:hAnsi="Arial;Helvetica;sans-serif"/>
                <w:b/>
                <w:color w:val="14202A"/>
                <w:sz w:val="16"/>
              </w:rPr>
            </w:pPr>
            <w:r>
              <w:rPr>
                <w:rFonts w:ascii="Arial;Helvetica;sans-serif" w:hAnsi="Arial;Helvetica;sans-serif"/>
                <w:b/>
                <w:color w:val="14202A"/>
                <w:sz w:val="16"/>
              </w:rPr>
              <w:t>Other strong governance practices</w:t>
            </w:r>
          </w:p>
        </w:tc>
        <w:tc>
          <w:tcPr>
            <w:tcW w:w="170" w:type="dxa"/>
            <w:vMerge w:val="restart"/>
            <w:tcBorders/>
            <w:shd w:fill="E6E6E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80" w:after="283"/>
              <w:ind w:left="0" w:right="0" w:hanging="0"/>
              <w:jc w:val="left"/>
              <w:rPr>
                <w:color w:val="D8E47A"/>
              </w:rPr>
            </w:pPr>
            <w:r>
              <w:rPr>
                <w:color w:val="D8E47A"/>
              </w:rPr>
              <w:t>⯀ </w:t>
            </w:r>
          </w:p>
          <w:p>
            <w:pPr>
              <w:pStyle w:val="TableContents"/>
              <w:bidi w:val="0"/>
              <w:spacing w:before="80" w:after="283"/>
              <w:jc w:val="left"/>
              <w:rPr>
                <w:rFonts w:ascii="Arial;Helvetica;sans-serif" w:hAnsi="Arial;Helvetica;sans-serif"/>
                <w:color w:val="14202A"/>
                <w:sz w:val="16"/>
              </w:rPr>
            </w:pPr>
            <w:r>
              <w:rPr>
                <w:rFonts w:ascii="Arial;Helvetica;sans-serif" w:hAnsi="Arial;Helvetica;sans-serif"/>
                <w:color w:val="14202A"/>
                <w:sz w:val="16"/>
              </w:rPr>
              <w:t xml:space="preserve">Single class of outstanding shares with equal voting rights </w:t>
            </w:r>
          </w:p>
        </w:tc>
        <w:tc>
          <w:tcPr>
            <w:tcW w:w="216" w:type="dxa"/>
            <w:tcBorders/>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258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Code of Conduct applicable to all directors, officers and employees </w:t>
            </w:r>
          </w:p>
        </w:tc>
        <w:tc>
          <w:tcPr>
            <w:tcW w:w="216" w:type="dxa"/>
            <w:tcBorders/>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258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Non-employee director and executive stock ownership guidelines </w:t>
            </w:r>
          </w:p>
        </w:tc>
        <w:tc>
          <w:tcPr>
            <w:tcW w:w="216" w:type="dxa"/>
            <w:tcBorders/>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258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All employees and directors prohibited from hedging and pledging Company stock </w:t>
            </w:r>
          </w:p>
        </w:tc>
        <w:tc>
          <w:tcPr>
            <w:tcW w:w="216" w:type="dxa"/>
            <w:tcBorders/>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258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Maintain clawback policies applicable to our executive officers’ incentive awards </w:t>
            </w:r>
          </w:p>
        </w:tc>
        <w:tc>
          <w:tcPr>
            <w:tcW w:w="216" w:type="dxa"/>
            <w:tcBorders/>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258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Excellent meeting attendance </w:t>
            </w:r>
          </w:p>
        </w:tc>
        <w:tc>
          <w:tcPr>
            <w:tcW w:w="216" w:type="dxa"/>
            <w:tcBorders/>
            <w:vAlign w:val="center"/>
          </w:tcPr>
          <w:p>
            <w:pPr>
              <w:pStyle w:val="TableContents"/>
              <w:bidi w:val="0"/>
              <w:spacing w:before="0" w:after="0"/>
              <w:jc w:val="left"/>
              <w:rPr/>
            </w:pPr>
            <w:r>
              <w:rPr/>
              <w:t> </w:t>
            </w:r>
          </w:p>
        </w:tc>
      </w:tr>
      <w:tr>
        <w:trPr/>
        <w:tc>
          <w:tcPr>
            <w:tcW w:w="185" w:type="dxa"/>
            <w:vMerge w:val="continue"/>
            <w:tcBorders/>
            <w:shd w:fill="E6E6E6" w:val="clear"/>
            <w:vAlign w:val="center"/>
          </w:tcPr>
          <w:p>
            <w:pPr>
              <w:pStyle w:val="Normal"/>
              <w:bidi w:val="0"/>
              <w:jc w:val="left"/>
              <w:rPr/>
            </w:pPr>
            <w:r>
              <w:rPr/>
            </w:r>
          </w:p>
        </w:tc>
        <w:tc>
          <w:tcPr>
            <w:tcW w:w="2585" w:type="dxa"/>
            <w:vMerge w:val="continue"/>
            <w:tcBorders/>
            <w:shd w:fill="E6E6E6" w:val="clear"/>
            <w:vAlign w:val="center"/>
          </w:tcPr>
          <w:p>
            <w:pPr>
              <w:pStyle w:val="Normal"/>
              <w:bidi w:val="0"/>
              <w:jc w:val="left"/>
              <w:rPr/>
            </w:pPr>
            <w:r>
              <w:rPr/>
            </w:r>
          </w:p>
        </w:tc>
        <w:tc>
          <w:tcPr>
            <w:tcW w:w="170" w:type="dxa"/>
            <w:vMerge w:val="continue"/>
            <w:tcBorders/>
            <w:shd w:fill="E6E6E6"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879" w:type="dxa"/>
            <w:tcBorders/>
            <w:vAlign w:val="center"/>
          </w:tcPr>
          <w:p>
            <w:pPr>
              <w:pStyle w:val="TableContents"/>
              <w:bidi w:val="0"/>
              <w:spacing w:before="0" w:after="283"/>
              <w:ind w:left="0" w:right="0" w:hanging="0"/>
              <w:jc w:val="left"/>
              <w:rPr>
                <w:color w:val="D8E47A"/>
              </w:rPr>
            </w:pPr>
            <w:r>
              <w:rPr>
                <w:color w:val="D8E47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Director overboarding policy with guidelines and limitations for service on other public company boards</w:t>
            </w:r>
          </w:p>
          <w:p>
            <w:pPr>
              <w:pStyle w:val="TableContents"/>
              <w:bidi w:val="0"/>
              <w:spacing w:before="0" w:after="283"/>
              <w:ind w:left="0" w:right="0" w:hanging="0"/>
              <w:jc w:val="left"/>
              <w:rPr>
                <w:color w:val="14202A"/>
              </w:rPr>
            </w:pPr>
            <w:r>
              <w:rPr>
                <w:color w:val="14202A"/>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25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79"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5970" w:type="dxa"/>
        <w:jc w:val="left"/>
        <w:tblInd w:w="0" w:type="dxa"/>
        <w:tblLayout w:type="fixed"/>
        <w:tblCellMar>
          <w:top w:w="0" w:type="dxa"/>
          <w:left w:w="0" w:type="dxa"/>
          <w:bottom w:w="0" w:type="dxa"/>
          <w:right w:w="0" w:type="dxa"/>
        </w:tblCellMar>
      </w:tblPr>
      <w:tblGrid>
        <w:gridCol w:w="2610"/>
        <w:gridCol w:w="170"/>
        <w:gridCol w:w="170"/>
        <w:gridCol w:w="302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52074x1_def14a_105-corporate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230" w:after="283"/>
        <w:ind w:left="0" w:right="0" w:hanging="0"/>
        <w:jc w:val="left"/>
        <w:rPr>
          <w:rFonts w:ascii="Arial;Helvetica;sans-serif" w:hAnsi="Arial;Helvetica;sans-serif"/>
          <w:b/>
          <w:color w:val="14202A"/>
          <w:sz w:val="34"/>
        </w:rPr>
      </w:pPr>
      <w:bookmarkStart w:id="24" w:name="tCG"/>
      <w:bookmarkEnd w:id="24"/>
      <w:r>
        <w:rPr>
          <w:rFonts w:ascii="Arial;Helvetica;sans-serif" w:hAnsi="Arial;Helvetica;sans-serif"/>
          <w:b/>
          <w:color w:val="14202A"/>
          <w:sz w:val="34"/>
        </w:rPr>
        <w:t xml:space="preserve">Corporate Governance </w:t>
      </w:r>
    </w:p>
    <w:p>
      <w:pPr>
        <w:pStyle w:val="TextBody"/>
        <w:bidi w:val="0"/>
        <w:spacing w:before="250" w:after="283"/>
        <w:ind w:left="0" w:right="0" w:hanging="0"/>
        <w:jc w:val="left"/>
        <w:rPr>
          <w:rFonts w:ascii="Arial;Helvetica;sans-serif" w:hAnsi="Arial;Helvetica;sans-serif"/>
          <w:b/>
          <w:color w:val="D8E47A"/>
          <w:sz w:val="24"/>
        </w:rPr>
      </w:pPr>
      <w:bookmarkStart w:id="25" w:name="tBLS"/>
      <w:bookmarkEnd w:id="25"/>
      <w:r>
        <w:rPr>
          <w:rFonts w:ascii="Arial;Helvetica;sans-serif" w:hAnsi="Arial;Helvetica;sans-serif"/>
          <w:b/>
          <w:color w:val="D8E47A"/>
          <w:sz w:val="24"/>
        </w:rPr>
        <w:t xml:space="preserve">Board Leadership Structure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is committed to robust corporate governance, which enhances long-term stability and value for all of our shareholders.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as part of its continuing obligation to determine the appropriate role for the Chair, has concluded that at this time the Company will have an independent Chair. The Board concluded that this structure provides us with a strong governance and leadership structure that is designed to exercise independent oversight of members of our management team and key issues related to strategy and risk. Mr. David W. Miles, an independent director, has served as Chair since June 2019.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recognizes that, depending on the specific characteristics and circumstances of the Company, other leadership structures might also be appropriate. We are committed to reviewing this determination on an annual basis. </w:t>
      </w:r>
    </w:p>
    <w:p>
      <w:pPr>
        <w:pStyle w:val="TextBody"/>
        <w:bidi w:val="0"/>
        <w:spacing w:before="300" w:after="283"/>
        <w:ind w:left="0" w:right="0" w:hanging="0"/>
        <w:jc w:val="left"/>
        <w:rPr>
          <w:rFonts w:ascii="Arial;Helvetica;sans-serif" w:hAnsi="Arial;Helvetica;sans-serif"/>
          <w:b/>
          <w:color w:val="D8E47A"/>
          <w:sz w:val="24"/>
        </w:rPr>
      </w:pPr>
      <w:bookmarkStart w:id="26" w:name="tSAE"/>
      <w:bookmarkEnd w:id="26"/>
      <w:r>
        <w:rPr>
          <w:rFonts w:ascii="Arial;Helvetica;sans-serif" w:hAnsi="Arial;Helvetica;sans-serif"/>
          <w:b/>
          <w:color w:val="D8E47A"/>
          <w:sz w:val="24"/>
        </w:rPr>
        <w:t xml:space="preserve">Skills and Experiences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chart shows the specific experiences and skills the Board currently believes are important for our directors to collectively possess for effective governance of Winnebago Industries. The chart also provides a high-level summary of the important experiences and skills of each of our directors. We seek to achieve a balance of knowledge, experience and perspective on the Board to contribute to the sound governance of the Company. </w:t>
      </w:r>
    </w:p>
    <w:p>
      <w:pPr>
        <w:pStyle w:val="TextBody"/>
        <w:bidi w:val="0"/>
        <w:spacing w:before="380" w:after="283"/>
        <w:jc w:val="center"/>
        <w:rPr>
          <w:color w:val="14202A"/>
        </w:rPr>
      </w:pPr>
      <w:r>
        <w:rPr>
          <w:color w:val="14202A"/>
        </w:rPr>
        <w:drawing>
          <wp:inline distT="0" distB="0" distL="0" distR="0">
            <wp:extent cx="6353175" cy="4238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2"/>
                    <a:stretch>
                      <a:fillRect/>
                    </a:stretch>
                  </pic:blipFill>
                  <pic:spPr bwMode="auto">
                    <a:xfrm>
                      <a:off x="0" y="0"/>
                      <a:ext cx="6353175" cy="423862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tbl>
      <w:tblPr>
        <w:tblW w:w="5970" w:type="dxa"/>
        <w:jc w:val="left"/>
        <w:tblInd w:w="0" w:type="dxa"/>
        <w:tblLayout w:type="fixed"/>
        <w:tblCellMar>
          <w:top w:w="0" w:type="dxa"/>
          <w:left w:w="0" w:type="dxa"/>
          <w:bottom w:w="0" w:type="dxa"/>
          <w:right w:w="0" w:type="dxa"/>
        </w:tblCellMar>
      </w:tblPr>
      <w:tblGrid>
        <w:gridCol w:w="2610"/>
        <w:gridCol w:w="170"/>
        <w:gridCol w:w="170"/>
        <w:gridCol w:w="302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52074x1_def14a_105-corporate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28" w:name="tELEC"/>
      <w:bookmarkEnd w:id="28"/>
      <w:r>
        <w:rPr>
          <w:rFonts w:ascii="Arial;Helvetica;sans-serif" w:hAnsi="Arial;Helvetica;sans-serif"/>
          <w:b/>
          <w:color w:val="D8E47A"/>
          <w:sz w:val="24"/>
        </w:rPr>
        <w:t xml:space="preserve">Executive Leadership </w:t>
      </w:r>
    </w:p>
    <w:p>
      <w:pPr>
        <w:pStyle w:val="TextBody"/>
        <w:bidi w:val="0"/>
        <w:spacing w:before="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Experience Criteria: Definitions </w:t>
      </w:r>
    </w:p>
    <w:tbl>
      <w:tblPr>
        <w:tblW w:w="10205" w:type="dxa"/>
        <w:jc w:val="left"/>
        <w:tblInd w:w="0" w:type="dxa"/>
        <w:tblLayout w:type="fixed"/>
        <w:tblCellMar>
          <w:top w:w="0" w:type="dxa"/>
          <w:left w:w="0" w:type="dxa"/>
          <w:bottom w:w="0" w:type="dxa"/>
          <w:right w:w="0" w:type="dxa"/>
        </w:tblCellMar>
      </w:tblPr>
      <w:tblGrid>
        <w:gridCol w:w="185"/>
        <w:gridCol w:w="1672"/>
        <w:gridCol w:w="170"/>
        <w:gridCol w:w="170"/>
        <w:gridCol w:w="7792"/>
        <w:gridCol w:w="216"/>
      </w:tblGrid>
      <w:tr>
        <w:trPr/>
        <w:tc>
          <w:tcPr>
            <w:tcW w:w="185" w:type="dxa"/>
            <w:tcBorders/>
            <w:shd w:fill="14202A" w:val="clear"/>
            <w:vAlign w:val="center"/>
          </w:tcPr>
          <w:p>
            <w:pPr>
              <w:pStyle w:val="TableContents"/>
              <w:bidi w:val="0"/>
              <w:spacing w:before="0" w:after="0"/>
              <w:jc w:val="left"/>
              <w:rPr/>
            </w:pPr>
            <w:r>
              <w:rPr/>
              <w:t> </w:t>
            </w:r>
          </w:p>
        </w:tc>
        <w:tc>
          <w:tcPr>
            <w:tcW w:w="1672"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92"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672"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Area of Expertise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92" w:type="dxa"/>
            <w:tcBorders/>
            <w:shd w:fill="14202A"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Description ​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Public/Private </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Company CEO</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Current or recently retired public/private CEO of organization with comparable scale and complexity, preferably with a strong manufacturing base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Financial Expert</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Strong financial acumen through experience in a senior financial leadership role (e.g., CFO, audit, treasurer, accounting), preferably public company CFO experience or as an audit partner in an accounting firm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Global Experience</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Senior experience in a multinational business; understanding of new market entry, navigating complexities of local and regional geopolitical and cultural sensitivities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Technology Leader/ </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Data &amp; Analytics</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Leadership in businesses focused on disruption or technology-driven change leveraging innovative digital technologies and data analytics, focusing on customer experience and connectivity solutions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Mobility Ecosystem</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Leadership within on or off-highway transportation and/or mobility ecosystem; understanding of technology-driven advancements in relevant markets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Marketing/Sales/ </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Branding</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Marketing/managing a portfolio of brands with a focus on data and digital competencies; leadership in customer or user experience within a business-to-business and/or business-to-consumer environment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Strategic Transformation</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Executive experience creating and driving enterprise-wide strategic transformation at scale including experience with development of a strategic acquisition pipeline and business integration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Operations Optimization</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Operations optimization experience including continuous improvement, operational automation relevant to factory operations and supply chain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Human Capital Mgmt/ </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Compensation</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Senior experience in recruiting, developing and retaining an inclusive workforce with a strong track record of driving a high-performing culture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Channel Development</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88" w:type="dxa"/>
            </w:tcMar>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 xml:space="preserve">Experience working with independent dealers and/or complex go-to-market models including leadership in a business with significant aftermarket parts and service and omnichannel market development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672" w:type="dxa"/>
            <w:tcBorders/>
            <w:shd w:fill="E6E6E6" w:val="cle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Public Affairs/Stakeholder </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Mgmt</w:t>
            </w:r>
          </w:p>
        </w:tc>
        <w:tc>
          <w:tcPr>
            <w:tcW w:w="170" w:type="dxa"/>
            <w:tcBorders/>
            <w:shd w:fill="E6E6E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92" w:type="dxa"/>
            <w:tcBorders/>
            <w:vAlign w:val="center"/>
          </w:tcPr>
          <w:p>
            <w:pPr>
              <w:pStyle w:val="TableContents"/>
              <w:bidi w:val="0"/>
              <w:spacing w:lineRule="atLeast" w:line="200" w:before="0" w:after="283"/>
              <w:ind w:left="0" w:right="0" w:hanging="0"/>
              <w:jc w:val="left"/>
              <w:rPr>
                <w:color w:val="D8E47A"/>
              </w:rPr>
            </w:pPr>
            <w:r>
              <w:rPr>
                <w:color w:val="D8E47A"/>
              </w:rPr>
              <w:t>⯀ </w:t>
            </w:r>
            <w:r>
              <w:rPr>
                <w:color w:val="14202A"/>
              </w:rPr>
              <w:t> </w:t>
            </w:r>
          </w:p>
          <w:p>
            <w:pPr>
              <w:pStyle w:val="TableContents"/>
              <w:bidi w:val="0"/>
              <w:spacing w:lineRule="atLeast" w:line="200" w:before="0" w:after="283"/>
              <w:jc w:val="left"/>
              <w:rPr>
                <w:rFonts w:ascii="Arial;Helvetica;sans-serif" w:hAnsi="Arial;Helvetica;sans-serif"/>
                <w:color w:val="14202A"/>
                <w:sz w:val="16"/>
              </w:rPr>
            </w:pPr>
            <w:r>
              <w:rPr>
                <w:rFonts w:ascii="Arial;Helvetica;sans-serif" w:hAnsi="Arial;Helvetica;sans-serif"/>
                <w:color w:val="14202A"/>
                <w:sz w:val="16"/>
              </w:rPr>
              <w:t>Experience in public sector/industry associations/investor community, including venture capital and private equity (as relevant)</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672"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92"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52074x1_def14a_105-corporate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30" w:name="tBSM"/>
      <w:bookmarkEnd w:id="30"/>
      <w:r>
        <w:rPr>
          <w:rFonts w:ascii="Arial;Helvetica;sans-serif" w:hAnsi="Arial;Helvetica;sans-serif"/>
          <w:b/>
          <w:color w:val="D8E47A"/>
          <w:sz w:val="24"/>
        </w:rPr>
        <w:t xml:space="preserve">Board and Shareholder Meeting Attendance; Executive Sessions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During Fiscal 2025, the Board met eight times. Each director who served on the Board during Fiscal 2025 attended at least 75% of the meetings of the Board and the committees on which he or she served that were held during his or her tenure on the Board or relevant committee. It is the Board’s policy that directors are encouraged, but are not required, to attend the annual meeting of shareholders. All of our then-serving directors attended the 2024 annual meeting of shareholders. During the year, our independent directors held executive sessions without the CEO or other management as a routinely scheduled agenda item for every regular Board meeting. </w:t>
      </w:r>
    </w:p>
    <w:p>
      <w:pPr>
        <w:pStyle w:val="TextBody"/>
        <w:bidi w:val="0"/>
        <w:spacing w:before="300" w:after="283"/>
        <w:ind w:left="0" w:right="0" w:hanging="0"/>
        <w:jc w:val="left"/>
        <w:rPr>
          <w:rFonts w:ascii="Arial;Helvetica;sans-serif" w:hAnsi="Arial;Helvetica;sans-serif"/>
          <w:b/>
          <w:color w:val="D8E47A"/>
          <w:sz w:val="24"/>
        </w:rPr>
      </w:pPr>
      <w:bookmarkStart w:id="31" w:name="tBC"/>
      <w:bookmarkEnd w:id="31"/>
      <w:r>
        <w:rPr>
          <w:rFonts w:ascii="Arial;Helvetica;sans-serif" w:hAnsi="Arial;Helvetica;sans-serif"/>
          <w:b/>
          <w:color w:val="D8E47A"/>
          <w:sz w:val="24"/>
        </w:rPr>
        <w:t xml:space="preserve">Board Committees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has established the Audit, Human Resources, and Nominating and Governance Committees to assist it in discharging its responsibilities. In December 2024, the Board also formed a new Technology and Innovation Committee and dissolved the Finance Committee. The formation of the Technology and Innovation Committee aligns with our focus on new product development and integration of new technology to support how our customers engage with our products. At the same time, the Board determined that certain duties of the Finance Committee should be transitioned to the Audit Committee, while other responsibilities are more appropriately overseen by the full Board. Each committee operates under a written charter, each of which is available under “Corporate Governance” in the “Investors” section of our website at </w:t>
      </w:r>
      <w:r>
        <w:rPr>
          <w:rFonts w:ascii="Arial;Helvetica;sans-serif" w:hAnsi="Arial;Helvetica;sans-serif"/>
          <w:b/>
          <w:color w:val="14202A"/>
          <w:sz w:val="18"/>
        </w:rPr>
        <w:t>www.winnebagoind.com</w:t>
      </w:r>
      <w:r>
        <w:rPr>
          <w:rFonts w:ascii="Arial;Helvetica;sans-serif" w:hAnsi="Arial;Helvetica;sans-serif"/>
          <w:color w:val="14202A"/>
          <w:sz w:val="18"/>
        </w:rPr>
        <w:t xml:space="preserve">. The current membership of each committee and its primary responsibilities, as well as the number of meetings held by each of these committees during Fiscal 2025, are described below. </w:t>
      </w:r>
    </w:p>
    <w:tbl>
      <w:tblPr>
        <w:tblW w:w="7155" w:type="dxa"/>
        <w:jc w:val="left"/>
        <w:tblInd w:w="0" w:type="dxa"/>
        <w:tblLayout w:type="fixed"/>
        <w:tblCellMar>
          <w:top w:w="0" w:type="dxa"/>
          <w:left w:w="0" w:type="dxa"/>
          <w:bottom w:w="0" w:type="dxa"/>
          <w:right w:w="0" w:type="dxa"/>
        </w:tblCellMar>
      </w:tblPr>
      <w:tblGrid>
        <w:gridCol w:w="185"/>
        <w:gridCol w:w="1685"/>
        <w:gridCol w:w="170"/>
        <w:gridCol w:w="170"/>
        <w:gridCol w:w="380"/>
        <w:gridCol w:w="170"/>
        <w:gridCol w:w="170"/>
        <w:gridCol w:w="1205"/>
        <w:gridCol w:w="170"/>
        <w:gridCol w:w="170"/>
        <w:gridCol w:w="1085"/>
        <w:gridCol w:w="170"/>
        <w:gridCol w:w="170"/>
        <w:gridCol w:w="1040"/>
        <w:gridCol w:w="215"/>
      </w:tblGrid>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730" w:type="dxa"/>
            <w:gridSpan w:val="10"/>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bottom w:val="single" w:sz="8" w:space="0" w:color="FFFFFF"/>
            </w:tcBorders>
            <w:shd w:fill="14202A" w:val="clear"/>
            <w:tcMar>
              <w:bottom w:w="28" w:type="dxa"/>
            </w:tcMar>
            <w:vAlign w:val="center"/>
          </w:tcPr>
          <w:p>
            <w:pPr>
              <w:pStyle w:val="TableContents"/>
              <w:bidi w:val="0"/>
              <w:spacing w:before="0" w:after="0"/>
              <w:jc w:val="left"/>
              <w:rPr/>
            </w:pPr>
            <w:r>
              <w:rPr/>
              <w:t> </w:t>
            </w:r>
          </w:p>
        </w:tc>
        <w:tc>
          <w:tcPr>
            <w:tcW w:w="4730" w:type="dxa"/>
            <w:gridSpan w:val="10"/>
            <w:tcBorders>
              <w:bottom w:val="single" w:sz="8" w:space="0" w:color="FFFFFF"/>
            </w:tcBorders>
            <w:shd w:fill="14202A" w:val="clear"/>
            <w:tcMar>
              <w:bottom w:w="6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Board Committees </w:t>
            </w:r>
          </w:p>
        </w:tc>
        <w:tc>
          <w:tcPr>
            <w:tcW w:w="215" w:type="dxa"/>
            <w:tcBorders>
              <w:bottom w:val="single" w:sz="8" w:space="0" w:color="FFFFFF"/>
            </w:tcBorders>
            <w:shd w:fill="14202A" w:val="clear"/>
            <w:tcMar>
              <w:bottom w:w="28" w:type="dxa"/>
            </w:tcM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jc w:val="center"/>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8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Audit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0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Human Resources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8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Nominating 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Governance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40" w:type="dxa"/>
            <w:tcBorders/>
            <w:shd w:fill="14202A" w:val="clear"/>
            <w:vAlign w:val="center"/>
          </w:tcPr>
          <w:p>
            <w:pPr>
              <w:pStyle w:val="TableContents"/>
              <w:bidi w:val="0"/>
              <w:spacing w:before="0" w:after="283"/>
              <w:jc w:val="center"/>
              <w:rPr>
                <w:color w:val="FFFFFF"/>
              </w:rPr>
            </w:pPr>
            <w:r>
              <w:rPr>
                <w:color w:val="FFFFFF"/>
              </w:rPr>
              <w:t>​</w:t>
            </w:r>
            <w:r>
              <w:rPr>
                <w:rFonts w:ascii="Arial;Helvetica;sans-serif" w:hAnsi="Arial;Helvetica;sans-serif"/>
                <w:b/>
                <w:color w:val="FFFFFF"/>
                <w:sz w:val="14"/>
              </w:rPr>
              <w:t>Technology and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Innovation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Sara E. Armbruster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5"/>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Christopher J. Braun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6"/>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7"/>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Kevin E. Bryant*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8"/>
                          <a:stretch>
                            <a:fillRect/>
                          </a:stretch>
                        </pic:blipFill>
                        <pic:spPr bwMode="auto">
                          <a:xfrm>
                            <a:off x="0" y="0"/>
                            <a:ext cx="123825" cy="123825"/>
                          </a:xfrm>
                          <a:prstGeom prst="rect">
                            <a:avLst/>
                          </a:prstGeom>
                        </pic:spPr>
                      </pic:pic>
                    </a:graphicData>
                  </a:graphic>
                </wp:inline>
              </w:drawing>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William C. Fisher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9"/>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40"/>
                          <a:stretch>
                            <a:fillRect/>
                          </a:stretch>
                        </pic:blipFill>
                        <pic:spPr bwMode="auto">
                          <a:xfrm>
                            <a:off x="0" y="0"/>
                            <a:ext cx="123825" cy="123825"/>
                          </a:xfrm>
                          <a:prstGeom prst="rect">
                            <a:avLst/>
                          </a:prstGeom>
                        </pic:spPr>
                      </pic:pic>
                    </a:graphicData>
                  </a:graphic>
                </wp:inline>
              </w:drawing>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Staci L. Kroon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1"/>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C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David W. Miles (Chair)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John M. Murabito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5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2"/>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58" w:type="dxa"/>
            </w:tcMar>
            <w:vAlign w:val="center"/>
          </w:tcPr>
          <w:p>
            <w:pPr>
              <w:pStyle w:val="TableContents"/>
              <w:bidi w:val="0"/>
              <w:spacing w:before="0" w:after="283"/>
              <w:jc w:val="center"/>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Michael E. Pack*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3"/>
                          <a:stretch>
                            <a:fillRect/>
                          </a:stretch>
                        </pic:blipFill>
                        <pic:spPr bwMode="auto">
                          <a:xfrm>
                            <a:off x="0" y="0"/>
                            <a:ext cx="123825" cy="1238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color w:val="14202A"/>
              </w:rPr>
            </w:pPr>
            <w:r>
              <w:rPr>
                <w:color w:val="14202A"/>
              </w:rPr>
              <w:drawing>
                <wp:inline distT="0" distB="0" distL="0" distR="0">
                  <wp:extent cx="123825" cy="1238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4"/>
                          <a:stretch>
                            <a:fillRect/>
                          </a:stretch>
                        </pic:blipFill>
                        <pic:spPr bwMode="auto">
                          <a:xfrm>
                            <a:off x="0" y="0"/>
                            <a:ext cx="123825" cy="123825"/>
                          </a:xfrm>
                          <a:prstGeom prst="rect">
                            <a:avLst/>
                          </a:prstGeom>
                        </pic:spPr>
                      </pic:pic>
                    </a:graphicData>
                  </a:graphic>
                </wp:inline>
              </w:drawing>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8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4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580" w:type="dxa"/>
        <w:jc w:val="left"/>
        <w:tblInd w:w="0" w:type="dxa"/>
        <w:tblLayout w:type="fixed"/>
        <w:tblCellMar>
          <w:top w:w="0" w:type="dxa"/>
          <w:left w:w="0" w:type="dxa"/>
          <w:bottom w:w="0" w:type="dxa"/>
          <w:right w:w="0" w:type="dxa"/>
        </w:tblCellMar>
      </w:tblPr>
      <w:tblGrid>
        <w:gridCol w:w="140"/>
        <w:gridCol w:w="440"/>
      </w:tblGrid>
      <w:tr>
        <w:trPr/>
        <w:tc>
          <w:tcPr>
            <w:tcW w:w="140" w:type="dxa"/>
            <w:tcBorders/>
            <w:vAlign w:val="center"/>
          </w:tcPr>
          <w:p>
            <w:pPr>
              <w:pStyle w:val="TableContents"/>
              <w:bidi w:val="0"/>
              <w:spacing w:before="0" w:after="0"/>
              <w:jc w:val="left"/>
              <w:rPr>
                <w:rFonts w:ascii="Arial;Helvetica;sans-serif" w:hAnsi="Arial;Helvetica;sans-serif"/>
                <w:b/>
                <w:color w:val="14202A"/>
                <w:sz w:val="14"/>
              </w:rPr>
            </w:pPr>
            <w:r>
              <w:rPr>
                <w:rFonts w:ascii="Arial;Helvetica;sans-serif" w:hAnsi="Arial;Helvetica;sans-serif"/>
                <w:b/>
                <w:color w:val="14202A"/>
                <w:sz w:val="14"/>
              </w:rPr>
              <w:t>C</w:t>
            </w:r>
          </w:p>
        </w:tc>
        <w:tc>
          <w:tcPr>
            <w:tcW w:w="440" w:type="dxa"/>
            <w:tcBorders/>
            <w:vAlign w:val="center"/>
          </w:tcPr>
          <w:p>
            <w:pPr>
              <w:pStyle w:val="TableContents"/>
              <w:bidi w:val="0"/>
              <w:spacing w:before="0" w:after="0"/>
              <w:jc w:val="left"/>
              <w:rPr>
                <w:rFonts w:ascii="Arial;Helvetica;sans-serif" w:hAnsi="Arial;Helvetica;sans-serif"/>
                <w:b w:val="false"/>
                <w:color w:val="14202A"/>
                <w:sz w:val="14"/>
              </w:rPr>
            </w:pPr>
            <w:r>
              <w:rPr>
                <w:rFonts w:ascii="Arial;Helvetica;sans-serif" w:hAnsi="Arial;Helvetica;sans-serif"/>
                <w:b w:val="false"/>
                <w:color w:val="14202A"/>
                <w:sz w:val="14"/>
              </w:rPr>
              <w:t xml:space="preserve">Chair </w:t>
            </w:r>
          </w:p>
        </w:tc>
      </w:tr>
    </w:tbl>
    <w:tbl>
      <w:tblPr>
        <w:tblW w:w="1285" w:type="dxa"/>
        <w:jc w:val="left"/>
        <w:tblInd w:w="0" w:type="dxa"/>
        <w:tblLayout w:type="fixed"/>
        <w:tblCellMar>
          <w:top w:w="0" w:type="dxa"/>
          <w:left w:w="0" w:type="dxa"/>
          <w:bottom w:w="0" w:type="dxa"/>
          <w:right w:w="0" w:type="dxa"/>
        </w:tblCellMar>
      </w:tblPr>
      <w:tblGrid>
        <w:gridCol w:w="725"/>
        <w:gridCol w:w="560"/>
      </w:tblGrid>
      <w:tr>
        <w:trPr/>
        <w:tc>
          <w:tcPr>
            <w:tcW w:w="725" w:type="dxa"/>
            <w:tcBorders/>
            <w:vAlign w:val="center"/>
          </w:tcPr>
          <w:p>
            <w:pPr>
              <w:pStyle w:val="TableContents"/>
              <w:bidi w:val="0"/>
              <w:spacing w:before="0" w:after="0"/>
              <w:jc w:val="left"/>
              <w:rPr>
                <w:color w:val="14202A"/>
              </w:rPr>
            </w:pPr>
            <w:r>
              <w:rPr>
                <w:color w:val="14202A"/>
              </w:rPr>
              <w:drawing>
                <wp:inline distT="0" distB="0" distL="0" distR="0">
                  <wp:extent cx="123825" cy="1238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5"/>
                          <a:stretch>
                            <a:fillRect/>
                          </a:stretch>
                        </pic:blipFill>
                        <pic:spPr bwMode="auto">
                          <a:xfrm>
                            <a:off x="0" y="0"/>
                            <a:ext cx="123825" cy="123825"/>
                          </a:xfrm>
                          <a:prstGeom prst="rect">
                            <a:avLst/>
                          </a:prstGeom>
                        </pic:spPr>
                      </pic:pic>
                    </a:graphicData>
                  </a:graphic>
                </wp:inline>
              </w:drawing>
            </w:r>
            <w:r>
              <w:rPr>
                <w:color w:val="14202A"/>
              </w:rPr>
              <w:t>  </w:t>
            </w:r>
          </w:p>
        </w:tc>
        <w:tc>
          <w:tcPr>
            <w:tcW w:w="56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Member</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w:t>
            </w:r>
          </w:p>
        </w:tc>
        <w:tc>
          <w:tcPr>
            <w:tcW w:w="600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Designated as an “audit committee financial expert” as that term has been defined by the SEC.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52074x1_def14a_105-corporate_pg4"/>
        <w:bookmarkEnd w:id="3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592"/>
        <w:gridCol w:w="170"/>
        <w:gridCol w:w="170"/>
        <w:gridCol w:w="7872"/>
        <w:gridCol w:w="216"/>
      </w:tblGrid>
      <w:tr>
        <w:trPr/>
        <w:tc>
          <w:tcPr>
            <w:tcW w:w="185" w:type="dxa"/>
            <w:tcBorders/>
            <w:shd w:fill="2E3F4C" w:val="clear"/>
            <w:vAlign w:val="center"/>
          </w:tcPr>
          <w:p>
            <w:pPr>
              <w:pStyle w:val="TableContents"/>
              <w:bidi w:val="0"/>
              <w:spacing w:before="0" w:after="0"/>
              <w:jc w:val="left"/>
              <w:rPr/>
            </w:pPr>
            <w:r>
              <w:rPr/>
              <w:t> </w:t>
            </w:r>
          </w:p>
        </w:tc>
        <w:tc>
          <w:tcPr>
            <w:tcW w:w="1592"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872"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592" w:type="dxa"/>
            <w:tcBorders/>
            <w:shd w:fill="2E3F4C" w:val="clear"/>
            <w:vAlign w:val="center"/>
          </w:tcPr>
          <w:p>
            <w:pPr>
              <w:pStyle w:val="TableContents"/>
              <w:bidi w:val="0"/>
              <w:spacing w:before="0" w:after="283"/>
              <w:ind w:left="120" w:right="0" w:hanging="0"/>
              <w:jc w:val="left"/>
              <w:rPr>
                <w:rFonts w:ascii="Arial;Helvetica;sans-serif" w:hAnsi="Arial;Helvetica;sans-serif"/>
                <w:b/>
                <w:color w:val="FFFFFF"/>
                <w:sz w:val="24"/>
              </w:rPr>
            </w:pPr>
            <w:r>
              <w:rPr>
                <w:rFonts w:ascii="Arial;Helvetica;sans-serif" w:hAnsi="Arial;Helvetica;sans-serif"/>
                <w:b/>
                <w:color w:val="FFFFFF"/>
                <w:sz w:val="24"/>
              </w:rPr>
              <w:t>Audit Committee</w:t>
            </w:r>
            <w:r>
              <w:rPr>
                <w:rFonts w:ascii="Arial;Helvetica;sans-serif" w:hAnsi="Arial;Helvetica;sans-serif"/>
                <w:b/>
                <w:color w:val="FFFFFF"/>
                <w:position w:val="8"/>
                <w:sz w:val="19"/>
                <w:sz w:val="24"/>
              </w:rPr>
              <w:t>1</w:t>
            </w:r>
            <w:r>
              <w:rPr>
                <w:rFonts w:ascii="Arial;Helvetica;sans-serif" w:hAnsi="Arial;Helvetica;sans-serif"/>
                <w:b/>
                <w:color w:val="FFFFFF"/>
                <w:sz w:val="24"/>
              </w:rPr>
              <w:t xml:space="preserve">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Members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val="false"/>
                <w:color w:val="FFFFFF"/>
                <w:sz w:val="20"/>
              </w:rPr>
              <w:t>Kevin E. Bryant (</w:t>
            </w:r>
            <w:r>
              <w:rPr>
                <w:rFonts w:ascii="Arial;Helvetica;sans-serif" w:hAnsi="Arial;Helvetica;sans-serif"/>
                <w:b w:val="false"/>
                <w:i/>
                <w:color w:val="FFFFFF"/>
                <w:sz w:val="20"/>
              </w:rPr>
              <w:t>Chair</w:t>
            </w:r>
            <w:r>
              <w:rPr>
                <w:rFonts w:ascii="Arial;Helvetica;sans-serif" w:hAnsi="Arial;Helvetica;sans-serif"/>
                <w:b w:val="false"/>
                <w:color w:val="FFFFFF"/>
                <w:sz w:val="20"/>
              </w:rPr>
              <w:t>)</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Christopher J. Braun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William C. Fisher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Michael E. Pack</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Number of meetings during Fiscal 2025: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5</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872"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Each year, the Audit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Following the dissolution of the Company’s Finance Committee in December 2024, the Audit Committee also has oversight responsibilities relating to financial management including in the areas of financial returns, liquidity metrics, and total shareholder return performance; credit positioning, capital structure, and capital allocation; financial aspects of mergers and acquisitions; and tax strategy and risk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Those in regular attendance for part of the committee meeting typically include: the Board Chair; the CEO; the Chief Financial Officer (CFO); the Chief Legal Officer; the Chief Compliance Officer; and the Corporate Controller. The Audit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592"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872"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426"/>
        <w:gridCol w:w="170"/>
        <w:gridCol w:w="170"/>
        <w:gridCol w:w="8038"/>
        <w:gridCol w:w="216"/>
      </w:tblGrid>
      <w:tr>
        <w:trPr/>
        <w:tc>
          <w:tcPr>
            <w:tcW w:w="185" w:type="dxa"/>
            <w:tcBorders/>
            <w:shd w:fill="2E3F4C" w:val="clear"/>
            <w:vAlign w:val="center"/>
          </w:tcPr>
          <w:p>
            <w:pPr>
              <w:pStyle w:val="TableContents"/>
              <w:bidi w:val="0"/>
              <w:spacing w:before="0" w:after="0"/>
              <w:jc w:val="left"/>
              <w:rPr/>
            </w:pPr>
            <w:r>
              <w:rPr/>
              <w:t> </w:t>
            </w:r>
          </w:p>
        </w:tc>
        <w:tc>
          <w:tcPr>
            <w:tcW w:w="1426"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38"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426" w:type="dxa"/>
            <w:tcBorders/>
            <w:shd w:fill="2E3F4C" w:val="clear"/>
            <w:vAlign w:val="center"/>
          </w:tcPr>
          <w:p>
            <w:pPr>
              <w:pStyle w:val="TableContents"/>
              <w:bidi w:val="0"/>
              <w:spacing w:before="0" w:after="283"/>
              <w:ind w:left="12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Human Resources Committee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Members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val="false"/>
                <w:color w:val="FFFFFF"/>
                <w:sz w:val="20"/>
              </w:rPr>
              <w:t>John M. Murabito (</w:t>
            </w:r>
            <w:r>
              <w:rPr>
                <w:rFonts w:ascii="Arial;Helvetica;sans-serif" w:hAnsi="Arial;Helvetica;sans-serif"/>
                <w:b w:val="false"/>
                <w:i/>
                <w:color w:val="FFFFFF"/>
                <w:sz w:val="20"/>
              </w:rPr>
              <w:t>Chair</w:t>
            </w:r>
            <w:r>
              <w:rPr>
                <w:rFonts w:ascii="Arial;Helvetica;sans-serif" w:hAnsi="Arial;Helvetica;sans-serif"/>
                <w:b w:val="false"/>
                <w:color w:val="FFFFFF"/>
                <w:sz w:val="20"/>
              </w:rPr>
              <w:t xml:space="preserve">)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Sara E. Armbruster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Staci L. Kroon</w:t>
            </w:r>
          </w:p>
          <w:p>
            <w:pPr>
              <w:pStyle w:val="TableContents"/>
              <w:bidi w:val="0"/>
              <w:spacing w:before="0" w:after="283"/>
              <w:ind w:left="120" w:right="0" w:hanging="0"/>
              <w:jc w:val="left"/>
              <w:rPr>
                <w:color w:val="FFFFFF"/>
              </w:rPr>
            </w:pPr>
            <w:r>
              <w:rPr>
                <w:color w:val="FFFFFF"/>
              </w:rPr>
              <w:t xml:space="preserve">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Number of meetings during Fiscal 2025: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5</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38"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Human Resources Committee is responsible for: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reviewing the list of peer group companies used for compensation purposes when deemed necessary;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 (9) overseeing policies and strategies relating to corporate culture and human capital management.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Human Resources Committee is authorized to retain an outside compensation consultant for matters relating to executive compensation. For Fiscal 2025, the committee retained Semler Brossy Consulting Group LLC (Semler Brossy) to advise on certain executive compensation-related matters, as further described in the Compensation Discussion and Analysis section of this proxy statement.</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426"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8038"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80" w:type="dxa"/>
            <w:tcBorders/>
            <w:vAlign w:val="center"/>
          </w:tcPr>
          <w:p>
            <w:pPr>
              <w:pStyle w:val="TableContents"/>
              <w:bidi w:val="0"/>
              <w:spacing w:before="0" w:after="0"/>
              <w:jc w:val="left"/>
              <w:rPr>
                <w:rFonts w:ascii="Arial;Helvetica;sans-serif" w:hAnsi="Arial;Helvetica;sans-serif"/>
                <w:i/>
                <w:color w:val="14202A"/>
                <w:sz w:val="14"/>
              </w:rPr>
            </w:pPr>
            <w:r>
              <w:rPr>
                <w:rFonts w:ascii="Arial;Helvetica;sans-serif" w:hAnsi="Arial;Helvetica;sans-serif"/>
                <w:i/>
                <w:color w:val="14202A"/>
                <w:sz w:val="14"/>
              </w:rPr>
              <w:t>All members of the Audit Committee are non-employee directors who have been determined to be “independent” under applicable listing standards of the New York Stock Exchange (NYSE).</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3" w:name="ny20052074x1_def14a_105-corporate_pg5"/>
        <w:bookmarkEnd w:id="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735"/>
        <w:gridCol w:w="170"/>
        <w:gridCol w:w="170"/>
        <w:gridCol w:w="7729"/>
        <w:gridCol w:w="216"/>
      </w:tblGrid>
      <w:tr>
        <w:trPr/>
        <w:tc>
          <w:tcPr>
            <w:tcW w:w="185" w:type="dxa"/>
            <w:tcBorders/>
            <w:shd w:fill="2E3F4C" w:val="clear"/>
            <w:vAlign w:val="center"/>
          </w:tcPr>
          <w:p>
            <w:pPr>
              <w:pStyle w:val="TableContents"/>
              <w:bidi w:val="0"/>
              <w:spacing w:before="0" w:after="0"/>
              <w:jc w:val="left"/>
              <w:rPr/>
            </w:pPr>
            <w:r>
              <w:rPr/>
              <w:t> </w:t>
            </w:r>
          </w:p>
        </w:tc>
        <w:tc>
          <w:tcPr>
            <w:tcW w:w="173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29"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735" w:type="dxa"/>
            <w:tcBorders/>
            <w:shd w:fill="2E3F4C" w:val="clear"/>
            <w:vAlign w:val="center"/>
          </w:tcPr>
          <w:p>
            <w:pPr>
              <w:pStyle w:val="TableContents"/>
              <w:bidi w:val="0"/>
              <w:spacing w:before="0" w:after="283"/>
              <w:ind w:left="12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Nominating and Governance Committee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Members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val="false"/>
                <w:color w:val="FFFFFF"/>
                <w:sz w:val="20"/>
              </w:rPr>
              <w:t>Sara E. Armbruster (</w:t>
            </w:r>
            <w:r>
              <w:rPr>
                <w:rFonts w:ascii="Arial;Helvetica;sans-serif" w:hAnsi="Arial;Helvetica;sans-serif"/>
                <w:b w:val="false"/>
                <w:i/>
                <w:color w:val="FFFFFF"/>
                <w:sz w:val="20"/>
              </w:rPr>
              <w:t>Chair</w:t>
            </w:r>
            <w:r>
              <w:rPr>
                <w:rFonts w:ascii="Arial;Helvetica;sans-serif" w:hAnsi="Arial;Helvetica;sans-serif"/>
                <w:b w:val="false"/>
                <w:color w:val="FFFFFF"/>
                <w:sz w:val="20"/>
              </w:rPr>
              <w:t xml:space="preserve">)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Christopher J. Braun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John M. Murabito</w:t>
            </w:r>
          </w:p>
          <w:p>
            <w:pPr>
              <w:pStyle w:val="TableContents"/>
              <w:bidi w:val="0"/>
              <w:spacing w:before="0" w:after="283"/>
              <w:ind w:left="120" w:right="0" w:hanging="0"/>
              <w:jc w:val="left"/>
              <w:rPr>
                <w:color w:val="FFFFFF"/>
              </w:rPr>
            </w:pPr>
            <w:r>
              <w:rPr>
                <w:color w:val="FFFFFF"/>
              </w:rPr>
              <w:t xml:space="preserve">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Number of meetings during Fiscal 2025: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7</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29"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Governance Committee is primarily responsible for: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 (5) reviewing and approving related person transactions; and (6) overseeing the Company’s commitment to corporate responsibility matters, including ESG matters.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Nominating and Governance Committee recommended to the Board the director-nominees proposed in this proxy statement for election by the shareholders. The committee reviews the qualifications of, and recommends to the Board, candidates to fill Board vacancies as they may occur during the year.</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73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29"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52"/>
        <w:gridCol w:w="170"/>
        <w:gridCol w:w="170"/>
        <w:gridCol w:w="7712"/>
        <w:gridCol w:w="216"/>
      </w:tblGrid>
      <w:tr>
        <w:trPr/>
        <w:tc>
          <w:tcPr>
            <w:tcW w:w="185" w:type="dxa"/>
            <w:tcBorders/>
            <w:shd w:fill="2E3F4C" w:val="clear"/>
            <w:vAlign w:val="center"/>
          </w:tcPr>
          <w:p>
            <w:pPr>
              <w:pStyle w:val="TableContents"/>
              <w:bidi w:val="0"/>
              <w:spacing w:before="0" w:after="0"/>
              <w:jc w:val="left"/>
              <w:rPr/>
            </w:pPr>
            <w:r>
              <w:rPr/>
              <w:t> </w:t>
            </w:r>
          </w:p>
        </w:tc>
        <w:tc>
          <w:tcPr>
            <w:tcW w:w="1752"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12"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752" w:type="dxa"/>
            <w:tcBorders/>
            <w:shd w:fill="2E3F4C" w:val="clear"/>
            <w:vAlign w:val="center"/>
          </w:tcPr>
          <w:p>
            <w:pPr>
              <w:pStyle w:val="TableContents"/>
              <w:bidi w:val="0"/>
              <w:spacing w:before="0" w:after="283"/>
              <w:ind w:left="12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Technology and Innovation Committee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val="false"/>
                <w:color w:val="FFFFFF"/>
                <w:sz w:val="20"/>
              </w:rPr>
              <w:t>Staci L. Kroon (</w:t>
            </w:r>
            <w:r>
              <w:rPr>
                <w:rFonts w:ascii="Arial;Helvetica;sans-serif" w:hAnsi="Arial;Helvetica;sans-serif"/>
                <w:b w:val="false"/>
                <w:i/>
                <w:color w:val="FFFFFF"/>
                <w:sz w:val="20"/>
              </w:rPr>
              <w:t>Chair</w:t>
            </w:r>
            <w:r>
              <w:rPr>
                <w:rFonts w:ascii="Arial;Helvetica;sans-serif" w:hAnsi="Arial;Helvetica;sans-serif"/>
                <w:b w:val="false"/>
                <w:color w:val="FFFFFF"/>
                <w:sz w:val="20"/>
              </w:rPr>
              <w:t xml:space="preserve">) </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Kevin E. Bryant</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William C. Fisher</w:t>
            </w:r>
          </w:p>
          <w:p>
            <w:pPr>
              <w:pStyle w:val="TableContents"/>
              <w:bidi w:val="0"/>
              <w:spacing w:before="0" w:after="283"/>
              <w:ind w:left="120"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Michael E. Pack</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Number of meetings during Fiscal 2025: </w:t>
            </w:r>
          </w:p>
          <w:p>
            <w:pPr>
              <w:pStyle w:val="TableContents"/>
              <w:bidi w:val="0"/>
              <w:spacing w:before="0" w:after="283"/>
              <w:ind w:left="120" w:right="0" w:hanging="0"/>
              <w:jc w:val="left"/>
              <w:rPr>
                <w:rFonts w:ascii="Arial;Helvetica;sans-serif" w:hAnsi="Arial;Helvetica;sans-serif"/>
                <w:b/>
                <w:color w:val="FFFFFF"/>
                <w:sz w:val="20"/>
              </w:rPr>
            </w:pPr>
            <w:r>
              <w:rPr>
                <w:rFonts w:ascii="Arial;Helvetica;sans-serif" w:hAnsi="Arial;Helvetica;sans-serif"/>
                <w:b/>
                <w:color w:val="FFFFFF"/>
                <w:sz w:val="20"/>
              </w:rPr>
              <w:t>3</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12"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Technology and Innovation Committee was established by the Board in December 2024.</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Technology and Innovation Committee is primarily responsible for providing oversight with respect to the Company’s use of technology to enable customers, empower employees, optimize operations and transform products, including sub-systems, accessories and on-board software. Specifically, the committee is responsible for (1) assisting the Board in identifying new and emerging technology trends, opportunities and threats that may impact the Company’s overall business strategy, (2) providing oversight over the Company’s technology-based innovation strategy and the effectiveness of its research and development programs, and (3) reviewing risks associated with major innovation and technology investments.</w:t>
            </w:r>
          </w:p>
        </w:tc>
        <w:tc>
          <w:tcPr>
            <w:tcW w:w="216" w:type="dxa"/>
            <w:tcBorders/>
            <w:shd w:fill="E6E6E6"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752"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7712" w:type="dxa"/>
            <w:tcBorders/>
            <w:shd w:fill="E6E6E6" w:val="clear"/>
            <w:vAlign w:val="center"/>
          </w:tcPr>
          <w:p>
            <w:pPr>
              <w:pStyle w:val="TableContents"/>
              <w:bidi w:val="0"/>
              <w:spacing w:before="0" w:after="0"/>
              <w:jc w:val="left"/>
              <w:rPr/>
            </w:pPr>
            <w:r>
              <w:rPr/>
              <w:t> </w:t>
            </w:r>
          </w:p>
        </w:tc>
        <w:tc>
          <w:tcPr>
            <w:tcW w:w="216" w:type="dxa"/>
            <w:tcBorders/>
            <w:shd w:fill="E6E6E6"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b/>
          <w:color w:val="D8E47A"/>
          <w:sz w:val="24"/>
        </w:rPr>
      </w:pPr>
      <w:bookmarkStart w:id="34" w:name="tDI"/>
      <w:bookmarkEnd w:id="34"/>
      <w:r>
        <w:rPr>
          <w:rFonts w:ascii="Arial;Helvetica;sans-serif" w:hAnsi="Arial;Helvetica;sans-serif"/>
          <w:b/>
          <w:color w:val="D8E47A"/>
          <w:sz w:val="24"/>
        </w:rPr>
        <w:t xml:space="preserve">Director Independence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The Board process was designed to identify any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 Based on this review, the Board affirmatively determined that all non-employee directors are independent. Mr. Happe is the only employee director and is not independent. As part of the Board’s independence assessment and determination, the Board specifically considered Ms. Kroon’s appointment as an executive officer of TouchPoint, Inc., from which the Company purchased various components in Fiscal 2025. Because the amount involved in these transactions was less than 1% of both the Company’s and TouchPoint, Inc.’s annual revenues, and Ms. Kroon was not personally involved in these transactions and she received no particular benefit related to these transactions, the Board concluded that these transactions did not impair Ms. Kroon’s independence.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52074x1_def14a_105-corporate_pg6"/>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36" w:name="tRM"/>
      <w:bookmarkEnd w:id="36"/>
      <w:r>
        <w:rPr>
          <w:rFonts w:ascii="Arial;Helvetica;sans-serif" w:hAnsi="Arial;Helvetica;sans-serif"/>
          <w:b/>
          <w:color w:val="D8E47A"/>
          <w:sz w:val="24"/>
        </w:rPr>
        <w:t xml:space="preserve">Risk Oversight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its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Following committee meetings, the Board receives reports by each committee chair regarding the committee’s considerations and actions. In this way, the Board also receives additional information regarding the risk oversight functions performed by each of the Board committees. </w:t>
      </w:r>
    </w:p>
    <w:p>
      <w:pPr>
        <w:pStyle w:val="TextBody"/>
        <w:bidi w:val="0"/>
        <w:spacing w:before="390" w:after="283"/>
        <w:jc w:val="center"/>
        <w:rPr>
          <w:color w:val="14202A"/>
        </w:rPr>
      </w:pPr>
      <w:r>
        <w:rPr>
          <w:color w:val="14202A"/>
        </w:rPr>
        <w:drawing>
          <wp:inline distT="0" distB="0" distL="0" distR="0">
            <wp:extent cx="6486525" cy="585787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9"/>
                    <a:stretch>
                      <a:fillRect/>
                    </a:stretch>
                  </pic:blipFill>
                  <pic:spPr bwMode="auto">
                    <a:xfrm>
                      <a:off x="0" y="0"/>
                      <a:ext cx="6486525" cy="585787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5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52074x1_def14a_105-corporate_pg7"/>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38" w:name="tBR"/>
      <w:bookmarkEnd w:id="38"/>
      <w:r>
        <w:rPr>
          <w:rFonts w:ascii="Arial;Helvetica;sans-serif" w:hAnsi="Arial;Helvetica;sans-serif"/>
          <w:b/>
          <w:color w:val="D8E47A"/>
          <w:sz w:val="24"/>
        </w:rPr>
        <w:t xml:space="preserve">Board Refreshment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 shareholders. The committee retains third-party search firms from time to time to assist in identifying potential Board members who have expertise and experience that would complement the current Board.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believes that having a mix of directors with complementary qualifications, experience and expertise strengthens its oversight ability, provides diverse perspectives, and represents the best interests of our shareholders.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Michael E. Pack was appointed to the Board effective January 8, 2025. The Nominating and Governance Committee led the process for identifying director candidates, selecting Mr. Pack as a director nominee and recommending his selection to the Board. A third party search firm assisted the committee with its recruitment efforts and identified Mr. Pack as a candidate. Mr. Pack was identified and recommended as a director candidate due to a number of factors, including his financial expertise, strong executive leadership and experience, and manufacturing and industry expertise.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 </w:t>
      </w:r>
    </w:p>
    <w:p>
      <w:pPr>
        <w:pStyle w:val="TextBody"/>
        <w:bidi w:val="0"/>
        <w:spacing w:before="300" w:after="283"/>
        <w:ind w:left="0" w:right="0" w:hanging="0"/>
        <w:jc w:val="left"/>
        <w:rPr>
          <w:rFonts w:ascii="Arial;Helvetica;sans-serif" w:hAnsi="Arial;Helvetica;sans-serif"/>
          <w:b/>
          <w:color w:val="D8E47A"/>
          <w:sz w:val="24"/>
        </w:rPr>
      </w:pPr>
      <w:bookmarkStart w:id="39" w:name="tBOCO"/>
      <w:bookmarkEnd w:id="39"/>
      <w:r>
        <w:rPr>
          <w:rFonts w:ascii="Arial;Helvetica;sans-serif" w:hAnsi="Arial;Helvetica;sans-serif"/>
          <w:b/>
          <w:color w:val="D8E47A"/>
          <w:sz w:val="24"/>
        </w:rPr>
        <w:t xml:space="preserve">Board Commitments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To ensure that each director does not have other board commitments that would impair a director’s ability to fulfill his or her duties on the Board, the Board has adopted limitations on the number of public company boards on which a director may serve. Any director who serves as an executive officer of a public company may serve on one other public company board of directors approved by the Board, and any director who does not serve in such capacity may serve on the board of directors of up to three other public companies. No director may join another board of directors without first obtaining approval from the Board Chair. </w:t>
      </w:r>
    </w:p>
    <w:p>
      <w:pPr>
        <w:pStyle w:val="TextBody"/>
        <w:bidi w:val="0"/>
        <w:spacing w:before="300" w:after="283"/>
        <w:ind w:left="0" w:right="0" w:hanging="0"/>
        <w:jc w:val="left"/>
        <w:rPr>
          <w:rFonts w:ascii="Arial;Helvetica;sans-serif" w:hAnsi="Arial;Helvetica;sans-serif"/>
          <w:b/>
          <w:color w:val="D8E47A"/>
          <w:sz w:val="24"/>
        </w:rPr>
      </w:pPr>
      <w:bookmarkStart w:id="40" w:name="tCGP"/>
      <w:bookmarkEnd w:id="40"/>
      <w:r>
        <w:rPr>
          <w:rFonts w:ascii="Arial;Helvetica;sans-serif" w:hAnsi="Arial;Helvetica;sans-serif"/>
          <w:b/>
          <w:color w:val="D8E47A"/>
          <w:sz w:val="24"/>
        </w:rPr>
        <w:t xml:space="preserve">Code of Conduct and Corporate Governance Documents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have adopted a Code of Conduct applicable to all of our directors, officers, employees and business partners. Our Human Rights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 Our Code of Conduct, Human Rights Policy, committee charters, supplier code of conduct, and other governance documents are available under “Corporate Governance” in the “Investors” section of our website at </w:t>
      </w:r>
      <w:r>
        <w:rPr>
          <w:rFonts w:ascii="Arial;Helvetica;sans-serif" w:hAnsi="Arial;Helvetica;sans-serif"/>
          <w:b/>
          <w:color w:val="14202A"/>
          <w:sz w:val="18"/>
        </w:rPr>
        <w:t>www.winnebagoind.com</w:t>
      </w:r>
      <w:r>
        <w:rPr>
          <w:rFonts w:ascii="Arial;Helvetica;sans-serif" w:hAnsi="Arial;Helvetica;sans-serif"/>
          <w:color w:val="14202A"/>
          <w:sz w:val="18"/>
        </w:rPr>
        <w:t xml:space="preserve">. This website and the materials available through it are not incorporated by reference into this proxy statement. </w:t>
      </w:r>
    </w:p>
    <w:p>
      <w:pPr>
        <w:pStyle w:val="TextBody"/>
        <w:bidi w:val="0"/>
        <w:spacing w:before="300" w:after="283"/>
        <w:ind w:left="0" w:right="0" w:hanging="0"/>
        <w:jc w:val="left"/>
        <w:rPr>
          <w:rFonts w:ascii="Arial;Helvetica;sans-serif" w:hAnsi="Arial;Helvetica;sans-serif"/>
          <w:b/>
          <w:color w:val="D8E47A"/>
          <w:sz w:val="24"/>
        </w:rPr>
      </w:pPr>
      <w:bookmarkStart w:id="41" w:name="tPTR"/>
      <w:bookmarkEnd w:id="41"/>
      <w:r>
        <w:rPr>
          <w:rFonts w:ascii="Arial;Helvetica;sans-serif" w:hAnsi="Arial;Helvetica;sans-serif"/>
          <w:b/>
          <w:color w:val="D8E47A"/>
          <w:sz w:val="24"/>
        </w:rPr>
        <w:t xml:space="preserve">Policy on Transactions with Related Persons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have adopted a written policy for review of transactions involving more than $120,000 in any calendar year in which Winnebago Industries is a participant and in which any executive officer, director, director nominee, greater than 5% shareholder or any immediate family member of any of these persons has a direct or indirect material interest. Our Nominating and Governance Committee must review and approve any such transaction before it is entered into, except that the Human Resources Committee reviews and approves the compensation of any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52074x1_def14a_105-corporate_pg8"/>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determining whether to approve or ratify any potential related-party transaction, the Nominating and Governance Committee considers the relevant facts and circumstances, including (if applicable) but not limited to: 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 The committee will not approve any related person transaction that is inconsistent with the interests of the Company and its shareholders.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During Fiscal 2025, the only related party transactions involved Donald Clark, one of our executive officers. Mr. Clark has a 20% ownership interest in Three Oaks, LLC (Three Oaks), an entity which owns certain land and buildings that Grand Design RV, LLC (Grand Design) leases in order to operate its business. Grand Design paid $2,160,000 to Three Oaks under its lease with Three Oaks, which was entered into on October 2, 2016 and most recently amended on March 12, 2024. The transaction with Three Oaks was approved by the Nominating and Governance Committee. In addition, during Fiscal 2025, three of Mr. Clark's relatives were employed by Grand Design and received the following total compensation for Fiscal 2025: (i) his brother, Ray Clark, is a sales representative with total compensation of $382,833, (ii) his son, Austin Clark, is a sales representative with total compensation of $431,544, and (iii) his son-in-law, Matt Eppers, is a product manager with total compensation of $646,813. None of Mr. Clark’s relatives that are employed by Grand Design report directly to Mr. Clark. </w:t>
      </w:r>
    </w:p>
    <w:p>
      <w:pPr>
        <w:pStyle w:val="TextBody"/>
        <w:bidi w:val="0"/>
        <w:spacing w:before="300" w:after="283"/>
        <w:ind w:left="0" w:right="0" w:hanging="0"/>
        <w:jc w:val="left"/>
        <w:rPr>
          <w:rFonts w:ascii="Arial;Helvetica;sans-serif" w:hAnsi="Arial;Helvetica;sans-serif"/>
          <w:b/>
          <w:color w:val="D8E47A"/>
          <w:sz w:val="24"/>
        </w:rPr>
      </w:pPr>
      <w:bookmarkStart w:id="43" w:name="tCD"/>
      <w:bookmarkEnd w:id="43"/>
      <w:r>
        <w:rPr>
          <w:rFonts w:ascii="Arial;Helvetica;sans-serif" w:hAnsi="Arial;Helvetica;sans-serif"/>
          <w:b/>
          <w:color w:val="D8E47A"/>
          <w:sz w:val="24"/>
        </w:rPr>
        <w:t xml:space="preserve">Communications with Directors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Shareholders and other interested parties seeking to communicate with our directors or a particular director may write to: Winnebago Industries, Inc., Attn: Senior Vice President — Chief Legal Officer, Corporate Secretary, Corporate Responsibility, 13200 Pioneer Trail, Eden Prairie, MN 55347 or email: SLBogart@winnebagoind.com. All communications received from shareholders and other interested parties will be reviewed by the Senior Vice President — Chief Legal Officer, Corporate Secretary, Corporate Responsibility, or such other person designated by all non-employee directors of the Board, and if they are relevant and appropriate, they will be forwarded to the Board Chair or applicable Board member or members as soon as reasonably practicable. </w:t>
      </w:r>
    </w:p>
    <w:p>
      <w:pPr>
        <w:pStyle w:val="TextBody"/>
        <w:bidi w:val="0"/>
        <w:spacing w:before="300" w:after="283"/>
        <w:ind w:left="0" w:right="0" w:hanging="0"/>
        <w:jc w:val="left"/>
        <w:rPr>
          <w:rFonts w:ascii="Arial;Helvetica;sans-serif" w:hAnsi="Arial;Helvetica;sans-serif"/>
          <w:b/>
          <w:color w:val="D8E47A"/>
          <w:sz w:val="24"/>
        </w:rPr>
      </w:pPr>
      <w:bookmarkStart w:id="44" w:name="tAH"/>
      <w:bookmarkEnd w:id="44"/>
      <w:r>
        <w:rPr>
          <w:rFonts w:ascii="Arial;Helvetica;sans-serif" w:hAnsi="Arial;Helvetica;sans-serif"/>
          <w:b/>
          <w:color w:val="D8E47A"/>
          <w:sz w:val="24"/>
        </w:rPr>
        <w:t xml:space="preserve">Insider Trading Policy; Anti-Hedging and Anti-Pledging Policy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Company’s insider trading policy prohibits the unauthorized disclosure of any nonpublic information acquired in the workplace and the misuse of material nonpublic information (as defined in the policy) in securities trading. The policy applies to the Company’s directors, officers and employees, as well as certain of their family members and related parties. The policy prohibits covered persons from engaging in transactions in the Company’s securities when aware of material nonpublic information, and also prohibits “tipping” such information. Additionally, our insider trading policy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Under the policy, certain persons are subject to trading windows and pre-clearance requirements. The policy also requires the Company to comply with securities laws when transacting in its own securities.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ny20052074x1_def14a_106-prop1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46" w:name="tED"/>
      <w:bookmarkEnd w:id="46"/>
      <w:r>
        <w:rPr>
          <w:rFonts w:ascii="Arial;Helvetica;sans-serif" w:hAnsi="Arial;Helvetica;sans-serif"/>
          <w:b/>
          <w:color w:val="14202A"/>
          <w:sz w:val="30"/>
        </w:rPr>
        <w:t xml:space="preserve">Proposal 1 – Election of Directors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Our bylaws provide that our Board is comprised of between three and fifteen directors. Mr. Michael E. Pack was elected as a Class II director on January 8, 2025, at which time the size of the Board was increased to ten. The Board accepted Ms. Jacqueline D. Woods’ resignation on August 4, 2025, at which time the size of the Board was reduced to nine.</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Based on the recommendation of the Nominating and Governance Committee, our Board has nominated Mr. Kevin E. Bryant, Mr. John M. Murabito, and Mr. Michael E. Pack for election to serve as Class II directors for three-year terms expiring at the annual meeting of shareholders following Fiscal 2028.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9280"/>
        <w:gridCol w:w="215"/>
      </w:tblGrid>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283"/>
              <w:jc w:val="right"/>
              <w:rPr>
                <w:color w:val="FFFFFF"/>
              </w:rPr>
            </w:pPr>
            <w:r>
              <w:rPr>
                <w:color w:val="FFFFFF"/>
              </w:rPr>
              <w:t>✔</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283"/>
              <w:ind w:left="0" w:right="0" w:hanging="0"/>
              <w:jc w:val="left"/>
              <w:rPr>
                <w:rFonts w:ascii="Arial;Helvetica;sans-serif" w:hAnsi="Arial;Helvetica;sans-serif"/>
                <w:b/>
                <w:color w:val="FFFFFF"/>
                <w:spacing w:val="-4"/>
                <w:sz w:val="22"/>
              </w:rPr>
            </w:pPr>
            <w:r>
              <w:rPr>
                <w:rFonts w:ascii="Arial;Helvetica;sans-serif" w:hAnsi="Arial;Helvetica;sans-serif"/>
                <w:b/>
                <w:color w:val="FFFFFF"/>
                <w:spacing w:val="-4"/>
                <w:sz w:val="22"/>
              </w:rPr>
              <w:t>The Board UNANIMOUSLY RECOMMENDS THAT YOU VOTE FOR THE ELECTION OF EACH OF THE DIRECTOR NOMINEES.</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bl>
    <w:p>
      <w:pPr>
        <w:pStyle w:val="TextBody"/>
        <w:bidi w:val="0"/>
        <w:spacing w:before="0" w:after="283"/>
        <w:ind w:left="0" w:right="0" w:hanging="0"/>
        <w:jc w:val="left"/>
        <w:rPr>
          <w:color w:val="FFFFFF"/>
        </w:rPr>
      </w:pPr>
      <w:r>
        <w:rPr>
          <w:color w:val="FFFFFF"/>
        </w:rPr>
        <w:t xml:space="preserve">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7" w:name="ny20052074x1_def14a_106-prop1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48" w:name="tDN"/>
      <w:bookmarkEnd w:id="48"/>
      <w:r>
        <w:rPr>
          <w:rFonts w:ascii="Arial;Helvetica;sans-serif" w:hAnsi="Arial;Helvetica;sans-serif"/>
          <w:b/>
          <w:color w:val="D8E47A"/>
          <w:sz w:val="24"/>
        </w:rPr>
        <w:t xml:space="preserve">Director Nominees — Class II (Term Ending 2028) </w:t>
      </w:r>
    </w:p>
    <w:tbl>
      <w:tblPr>
        <w:tblW w:w="10205" w:type="dxa"/>
        <w:jc w:val="left"/>
        <w:tblInd w:w="0" w:type="dxa"/>
        <w:tblLayout w:type="fixed"/>
        <w:tblCellMar>
          <w:top w:w="0" w:type="dxa"/>
          <w:left w:w="0" w:type="dxa"/>
          <w:bottom w:w="0" w:type="dxa"/>
          <w:right w:w="0" w:type="dxa"/>
        </w:tblCellMar>
      </w:tblPr>
      <w:tblGrid>
        <w:gridCol w:w="185"/>
        <w:gridCol w:w="1495"/>
        <w:gridCol w:w="170"/>
        <w:gridCol w:w="170"/>
        <w:gridCol w:w="148"/>
        <w:gridCol w:w="280"/>
        <w:gridCol w:w="280"/>
        <w:gridCol w:w="231"/>
        <w:gridCol w:w="280"/>
        <w:gridCol w:w="280"/>
        <w:gridCol w:w="2428"/>
        <w:gridCol w:w="280"/>
        <w:gridCol w:w="280"/>
        <w:gridCol w:w="231"/>
        <w:gridCol w:w="280"/>
        <w:gridCol w:w="280"/>
        <w:gridCol w:w="2681"/>
        <w:gridCol w:w="226"/>
      </w:tblGrid>
      <w:tr>
        <w:trPr/>
        <w:tc>
          <w:tcPr>
            <w:tcW w:w="185" w:type="dxa"/>
            <w:tcBorders/>
            <w:shd w:fill="14202A" w:val="clear"/>
            <w:vAlign w:val="center"/>
          </w:tcPr>
          <w:p>
            <w:pPr>
              <w:pStyle w:val="TableContents"/>
              <w:bidi w:val="0"/>
              <w:spacing w:before="0" w:after="0"/>
              <w:jc w:val="left"/>
              <w:rPr/>
            </w:pPr>
            <w:r>
              <w:rPr/>
              <w:t> </w:t>
            </w:r>
          </w:p>
        </w:tc>
        <w:tc>
          <w:tcPr>
            <w:tcW w:w="14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9" w:type="dxa"/>
            <w:gridSpan w:val="13"/>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495"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23925" cy="11525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4"/>
                          <a:stretch>
                            <a:fillRect/>
                          </a:stretch>
                        </pic:blipFill>
                        <pic:spPr bwMode="auto">
                          <a:xfrm>
                            <a:off x="0" y="0"/>
                            <a:ext cx="923925" cy="11525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Kevin E. Bryant</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 xml:space="preserve">50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2021</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Committees: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Audit (Chair)</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Technology and Innovation</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9"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226"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283"/>
              <w:ind w:left="0" w:right="0" w:hanging="0"/>
              <w:jc w:val="left"/>
              <w:rPr>
                <w:color w:val="14202A"/>
              </w:rPr>
            </w:pPr>
            <w:r>
              <w:rPr>
                <w:color w:val="14202A"/>
              </w:rPr>
              <w:t> </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283"/>
              <w:ind w:left="0" w:right="0" w:hanging="0"/>
              <w:jc w:val="left"/>
              <w:rPr>
                <w:color w:val="14202A"/>
              </w:rPr>
            </w:pPr>
            <w:r>
              <w:rPr>
                <w:color w:val="14202A"/>
              </w:rPr>
              <w:t>•</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Financial Expert</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283"/>
              <w:ind w:left="0" w:right="0" w:hanging="0"/>
              <w:jc w:val="left"/>
              <w:rPr>
                <w:color w:val="14202A"/>
              </w:rPr>
            </w:pPr>
            <w:r>
              <w:rPr>
                <w:color w:val="14202A"/>
              </w:rPr>
              <w:t>•</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681"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Strategic Transformation </w:t>
            </w:r>
          </w:p>
        </w:tc>
        <w:tc>
          <w:tcPr>
            <w:tcW w:w="226"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283"/>
              <w:ind w:left="0" w:right="0" w:hanging="0"/>
              <w:jc w:val="left"/>
              <w:rPr>
                <w:color w:val="14202A"/>
              </w:rPr>
            </w:pPr>
            <w:r>
              <w:rPr>
                <w:color w:val="14202A"/>
              </w:rPr>
              <w:t> </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283"/>
              <w:ind w:left="0" w:right="0" w:hanging="0"/>
              <w:jc w:val="left"/>
              <w:rPr>
                <w:color w:val="14202A"/>
              </w:rPr>
            </w:pPr>
            <w:r>
              <w:rPr>
                <w:color w:val="14202A"/>
              </w:rPr>
              <w:t>•</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Operations Optimization</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283"/>
              <w:ind w:left="0" w:right="0" w:hanging="0"/>
              <w:jc w:val="left"/>
              <w:rPr>
                <w:color w:val="14202A"/>
              </w:rPr>
            </w:pPr>
            <w:r>
              <w:rPr>
                <w:color w:val="14202A"/>
              </w:rPr>
              <w:t> </w:t>
            </w:r>
          </w:p>
        </w:tc>
        <w:tc>
          <w:tcPr>
            <w:tcW w:w="28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pPr>
            <w:r>
              <w:rPr/>
              <w:t> </w:t>
            </w:r>
          </w:p>
        </w:tc>
        <w:tc>
          <w:tcPr>
            <w:tcW w:w="2681" w:type="dxa"/>
            <w:tcBorders/>
            <w:vAlign w:val="center"/>
          </w:tcPr>
          <w:p>
            <w:pPr>
              <w:pStyle w:val="TableContents"/>
              <w:bidi w:val="0"/>
              <w:spacing w:before="0" w:after="283"/>
              <w:ind w:left="0" w:right="0" w:hanging="0"/>
              <w:jc w:val="left"/>
              <w:rPr>
                <w:color w:val="14202A"/>
              </w:rPr>
            </w:pPr>
            <w:r>
              <w:rPr>
                <w:color w:val="14202A"/>
              </w:rPr>
              <w:t> </w:t>
            </w:r>
          </w:p>
        </w:tc>
        <w:tc>
          <w:tcPr>
            <w:tcW w:w="226"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59" w:type="dxa"/>
            <w:gridSpan w:val="13"/>
            <w:tcBorders/>
            <w:vAlign w:val="center"/>
          </w:tcPr>
          <w:p>
            <w:pPr>
              <w:pStyle w:val="TableContents"/>
              <w:bidi w:val="0"/>
              <w:spacing w:before="0" w:after="283"/>
              <w:ind w:left="0" w:right="0" w:hanging="0"/>
              <w:jc w:val="left"/>
              <w:rPr>
                <w:color w:val="14202A"/>
              </w:rPr>
            </w:pPr>
            <w:r>
              <w:rPr>
                <w:color w:val="14202A"/>
              </w:rPr>
              <w:t> </w:t>
            </w:r>
          </w:p>
        </w:tc>
        <w:tc>
          <w:tcPr>
            <w:tcW w:w="226"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59"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Kevin E. Bryant is Executive Vice President of Stakeholder Affairs and Chief Strategy Officer of Southwest Power Pool (SPP), a regional transmission organization, a position he has held since April 2025. In this role, Mr. Bryant oversees the development and execution of SPP’s corporate strategy, leads the administration of SPP’s independent and inclusive stakeholder process and directs the management of the organization’s relationships and communications with internal and external stakeholders. Before joining SPP, Mr. Bryant has held several positions that have drawn on his strategic insight and finance/marketing experience. Prior to his current position, Mr. Bryant served as Executive Vice President and Chief Operating Officer of Evergy, Inc. after holding several roles at Evergy. Before joining Evergy, Mr. Bryant held roles at THQ, Inc., UBS and Hallmark Cards, Inc. Mr. Bryant also serves on the boards of directors of Ralliant Corporation and Children’s Mercy Kansas City. Mr. Bryant brings financial, operational, business development and energy platform expertise to the Company.</w:t>
            </w:r>
          </w:p>
          <w:p>
            <w:pPr>
              <w:pStyle w:val="TableContents"/>
              <w:bidi w:val="0"/>
              <w:spacing w:before="0" w:after="283"/>
              <w:ind w:left="0" w:right="0" w:hanging="0"/>
              <w:jc w:val="left"/>
              <w:rPr>
                <w:color w:val="14202A"/>
              </w:rPr>
            </w:pPr>
            <w:r>
              <w:rPr>
                <w:color w:val="14202A"/>
              </w:rPr>
              <w:t> </w:t>
            </w:r>
          </w:p>
        </w:tc>
        <w:tc>
          <w:tcPr>
            <w:tcW w:w="226"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4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9" w:type="dxa"/>
            <w:gridSpan w:val="13"/>
            <w:tcBorders/>
            <w:vAlign w:val="center"/>
          </w:tcPr>
          <w:p>
            <w:pPr>
              <w:pStyle w:val="TableContents"/>
              <w:bidi w:val="0"/>
              <w:spacing w:before="0" w:after="0"/>
              <w:jc w:val="left"/>
              <w:rPr/>
            </w:pPr>
            <w:r>
              <w:rPr/>
              <w:t> </w:t>
            </w:r>
          </w:p>
        </w:tc>
        <w:tc>
          <w:tcPr>
            <w:tcW w:w="22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498"/>
        <w:gridCol w:w="170"/>
        <w:gridCol w:w="170"/>
        <w:gridCol w:w="133"/>
        <w:gridCol w:w="251"/>
        <w:gridCol w:w="251"/>
        <w:gridCol w:w="207"/>
        <w:gridCol w:w="251"/>
        <w:gridCol w:w="251"/>
        <w:gridCol w:w="3092"/>
        <w:gridCol w:w="251"/>
        <w:gridCol w:w="251"/>
        <w:gridCol w:w="207"/>
        <w:gridCol w:w="251"/>
        <w:gridCol w:w="251"/>
        <w:gridCol w:w="2313"/>
        <w:gridCol w:w="222"/>
      </w:tblGrid>
      <w:tr>
        <w:trPr/>
        <w:tc>
          <w:tcPr>
            <w:tcW w:w="185" w:type="dxa"/>
            <w:tcBorders/>
            <w:shd w:fill="14202A" w:val="clear"/>
            <w:vAlign w:val="center"/>
          </w:tcPr>
          <w:p>
            <w:pPr>
              <w:pStyle w:val="TableContents"/>
              <w:bidi w:val="0"/>
              <w:spacing w:before="0" w:after="0"/>
              <w:jc w:val="left"/>
              <w:rPr/>
            </w:pPr>
            <w:r>
              <w:rPr/>
              <w:t> </w:t>
            </w:r>
          </w:p>
        </w:tc>
        <w:tc>
          <w:tcPr>
            <w:tcW w:w="149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0" w:type="dxa"/>
            <w:gridSpan w:val="13"/>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498"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23925" cy="11525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5"/>
                          <a:stretch>
                            <a:fillRect/>
                          </a:stretch>
                        </pic:blipFill>
                        <pic:spPr bwMode="auto">
                          <a:xfrm>
                            <a:off x="0" y="0"/>
                            <a:ext cx="923925" cy="11525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John M. Murabito</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66</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2017</w:t>
            </w:r>
          </w:p>
          <w:p>
            <w:pPr>
              <w:pStyle w:val="TableContents"/>
              <w:bidi w:val="0"/>
              <w:spacing w:before="0" w:after="283"/>
              <w:ind w:left="120" w:right="0" w:hanging="0"/>
              <w:jc w:val="left"/>
              <w:rPr>
                <w:color w:val="FFFFFF"/>
              </w:rPr>
            </w:pPr>
            <w:r>
              <w:rPr>
                <w:color w:val="FFFFFF"/>
              </w:rPr>
              <w:t xml:space="preserve">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Committees: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 xml:space="preserve">Human Resources (Chair)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Nominating and Governance ​</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0"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Skills and Qualifications</w:t>
            </w:r>
            <w:r>
              <w:rPr>
                <w:rFonts w:ascii="Arial;Helvetica;sans-serif" w:hAnsi="Arial;Helvetica;sans-serif"/>
                <w:b w:val="false"/>
                <w:color w:val="14202A"/>
                <w:sz w:val="18"/>
              </w:rPr>
              <w:t xml:space="preserve">: </w:t>
            </w:r>
          </w:p>
        </w:tc>
        <w:tc>
          <w:tcPr>
            <w:tcW w:w="222"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3" w:type="dxa"/>
            <w:tcBorders/>
            <w:vAlign w:val="center"/>
          </w:tcPr>
          <w:p>
            <w:pPr>
              <w:pStyle w:val="TableContents"/>
              <w:bidi w:val="0"/>
              <w:spacing w:before="0" w:after="283"/>
              <w:ind w:left="0" w:right="0" w:hanging="0"/>
              <w:jc w:val="left"/>
              <w:rPr>
                <w:color w:val="14202A"/>
              </w:rPr>
            </w:pPr>
            <w:r>
              <w:rPr>
                <w:color w:val="14202A"/>
              </w:rPr>
              <w:t> </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3092"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Global Experience</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313"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Strategic Transformation </w:t>
            </w:r>
          </w:p>
        </w:tc>
        <w:tc>
          <w:tcPr>
            <w:tcW w:w="222"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3" w:type="dxa"/>
            <w:tcBorders/>
            <w:vAlign w:val="center"/>
          </w:tcPr>
          <w:p>
            <w:pPr>
              <w:pStyle w:val="TableContents"/>
              <w:bidi w:val="0"/>
              <w:spacing w:before="0" w:after="283"/>
              <w:ind w:left="0" w:right="0" w:hanging="0"/>
              <w:jc w:val="left"/>
              <w:rPr>
                <w:color w:val="14202A"/>
              </w:rPr>
            </w:pPr>
            <w:r>
              <w:rPr>
                <w:color w:val="14202A"/>
              </w:rPr>
              <w:t> </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3092"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Human Capital Management/Compensation</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 </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313" w:type="dxa"/>
            <w:tcBorders/>
            <w:vAlign w:val="center"/>
          </w:tcPr>
          <w:p>
            <w:pPr>
              <w:pStyle w:val="TableContents"/>
              <w:bidi w:val="0"/>
              <w:spacing w:before="0" w:after="283"/>
              <w:ind w:left="0" w:right="0" w:hanging="0"/>
              <w:jc w:val="left"/>
              <w:rPr>
                <w:color w:val="14202A"/>
              </w:rPr>
            </w:pPr>
            <w:r>
              <w:rPr>
                <w:color w:val="14202A"/>
              </w:rPr>
              <w:t> </w:t>
            </w:r>
          </w:p>
        </w:tc>
        <w:tc>
          <w:tcPr>
            <w:tcW w:w="222"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0" w:type="dxa"/>
            <w:gridSpan w:val="13"/>
            <w:tcBorders/>
            <w:vAlign w:val="center"/>
          </w:tcPr>
          <w:p>
            <w:pPr>
              <w:pStyle w:val="TableContents"/>
              <w:bidi w:val="0"/>
              <w:spacing w:before="0" w:after="283"/>
              <w:ind w:left="0" w:right="0" w:hanging="0"/>
              <w:jc w:val="left"/>
              <w:rPr>
                <w:color w:val="14202A"/>
              </w:rPr>
            </w:pPr>
            <w:r>
              <w:rPr>
                <w:color w:val="14202A"/>
              </w:rPr>
              <w:t> </w:t>
            </w:r>
          </w:p>
        </w:tc>
        <w:tc>
          <w:tcPr>
            <w:tcW w:w="222"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0"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John M. Murabito most recently served as Executive Vice President at Cigna Corporation, a global healthcare services company, from 2003 until his retirement in April 2022. Mr. Murabito joined Cigna as its Chief Human Resources Officer and served in that role for 18 years before becoming Chief Administrative Officer in 2021. In that role, he had oversight of human resources, enterprise marketing, security and aviation, civic affairs, and the Cigna Foundation, of which he was the president. Earlier in his career, he served as Senior Vice President of Human Resources and Corporate Services at the Monsanto Company. His background includes over 40 years of extensive related experience with the Frito-Lay division of PepsiCo, Symbion, Inc., and The Trane Company. Mr. Murabito is a Fellow of the National Academy of Human Resources and served as Chair of the Board for many years. He is a former Trustee and Board Chair for his alma mater, Augustana College. Mr. Murabito brings strong executive business leadership and talent management expertise to our Board as a former senior executive of a Fortune 20 public company. He provides valuable insights to the Board on human capital, executive compensation, leadership development and succession planning.</w:t>
            </w:r>
          </w:p>
        </w:tc>
        <w:tc>
          <w:tcPr>
            <w:tcW w:w="222"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49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0" w:type="dxa"/>
            <w:gridSpan w:val="13"/>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9" w:name="ny20052074x1_def14a_106-prop1_pg3"/>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470"/>
        <w:gridCol w:w="170"/>
        <w:gridCol w:w="170"/>
        <w:gridCol w:w="167"/>
        <w:gridCol w:w="316"/>
        <w:gridCol w:w="316"/>
        <w:gridCol w:w="260"/>
        <w:gridCol w:w="316"/>
        <w:gridCol w:w="316"/>
        <w:gridCol w:w="2364"/>
        <w:gridCol w:w="316"/>
        <w:gridCol w:w="316"/>
        <w:gridCol w:w="260"/>
        <w:gridCol w:w="316"/>
        <w:gridCol w:w="316"/>
        <w:gridCol w:w="2406"/>
        <w:gridCol w:w="225"/>
      </w:tblGrid>
      <w:tr>
        <w:trPr/>
        <w:tc>
          <w:tcPr>
            <w:tcW w:w="185" w:type="dxa"/>
            <w:tcBorders/>
            <w:shd w:fill="14202A" w:val="clear"/>
            <w:vAlign w:val="center"/>
          </w:tcPr>
          <w:p>
            <w:pPr>
              <w:pStyle w:val="TableContents"/>
              <w:bidi w:val="0"/>
              <w:spacing w:before="0" w:after="0"/>
              <w:jc w:val="left"/>
              <w:rPr/>
            </w:pPr>
            <w:r>
              <w:rPr/>
              <w:t> </w:t>
            </w:r>
          </w:p>
        </w:tc>
        <w:tc>
          <w:tcPr>
            <w:tcW w:w="14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gridSpan w:val="13"/>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470"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04875" cy="11144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7"/>
                          <a:stretch>
                            <a:fillRect/>
                          </a:stretch>
                        </pic:blipFill>
                        <pic:spPr bwMode="auto">
                          <a:xfrm>
                            <a:off x="0" y="0"/>
                            <a:ext cx="904875" cy="11144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Michael E. Pack</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50</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2025</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Committees: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Audit</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Technology and Innovation</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225"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67" w:type="dxa"/>
            <w:tcBorders/>
            <w:vAlign w:val="center"/>
          </w:tcPr>
          <w:p>
            <w:pPr>
              <w:pStyle w:val="TableContents"/>
              <w:bidi w:val="0"/>
              <w:spacing w:before="0" w:after="283"/>
              <w:ind w:left="0" w:right="0" w:hanging="0"/>
              <w:jc w:val="left"/>
              <w:rPr>
                <w:color w:val="14202A"/>
              </w:rPr>
            </w:pPr>
            <w:r>
              <w:rPr>
                <w:color w:val="14202A"/>
              </w:rPr>
              <w:t> </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color w:val="14202A"/>
              </w:rPr>
            </w:pPr>
            <w:r>
              <w:rPr>
                <w:color w:val="14202A"/>
              </w:rPr>
              <w:t>•</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364"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Financial Expert</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color w:val="14202A"/>
              </w:rPr>
            </w:pPr>
            <w:r>
              <w:rPr>
                <w:color w:val="14202A"/>
              </w:rPr>
              <w:t>•</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406"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Global Experience </w:t>
            </w:r>
          </w:p>
        </w:tc>
        <w:tc>
          <w:tcPr>
            <w:tcW w:w="225"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67" w:type="dxa"/>
            <w:tcBorders/>
            <w:vAlign w:val="center"/>
          </w:tcPr>
          <w:p>
            <w:pPr>
              <w:pStyle w:val="TableContents"/>
              <w:bidi w:val="0"/>
              <w:spacing w:before="0" w:after="283"/>
              <w:ind w:left="0" w:right="0" w:hanging="0"/>
              <w:jc w:val="left"/>
              <w:rPr>
                <w:color w:val="14202A"/>
              </w:rPr>
            </w:pPr>
            <w:r>
              <w:rPr>
                <w:color w:val="14202A"/>
              </w:rPr>
              <w:t> </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color w:val="14202A"/>
              </w:rPr>
            </w:pPr>
            <w:r>
              <w:rPr>
                <w:color w:val="14202A"/>
              </w:rPr>
              <w:t>•</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364"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Mobility Ecosystem</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color w:val="14202A"/>
              </w:rPr>
            </w:pPr>
            <w:r>
              <w:rPr>
                <w:color w:val="14202A"/>
              </w:rPr>
              <w:t> </w:t>
            </w:r>
          </w:p>
        </w:tc>
        <w:tc>
          <w:tcPr>
            <w:tcW w:w="316"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2406" w:type="dxa"/>
            <w:tcBorders/>
            <w:vAlign w:val="center"/>
          </w:tcPr>
          <w:p>
            <w:pPr>
              <w:pStyle w:val="TableContents"/>
              <w:bidi w:val="0"/>
              <w:spacing w:before="0" w:after="283"/>
              <w:ind w:left="0" w:right="0" w:hanging="0"/>
              <w:jc w:val="left"/>
              <w:rPr>
                <w:color w:val="14202A"/>
              </w:rPr>
            </w:pPr>
            <w:r>
              <w:rPr>
                <w:color w:val="14202A"/>
              </w:rPr>
              <w:t> </w:t>
            </w:r>
          </w:p>
        </w:tc>
        <w:tc>
          <w:tcPr>
            <w:tcW w:w="225"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85" w:type="dxa"/>
            <w:gridSpan w:val="13"/>
            <w:tcBorders/>
            <w:vAlign w:val="center"/>
          </w:tcPr>
          <w:p>
            <w:pPr>
              <w:pStyle w:val="TableContents"/>
              <w:bidi w:val="0"/>
              <w:spacing w:before="0" w:after="283"/>
              <w:ind w:left="0" w:right="0" w:hanging="0"/>
              <w:jc w:val="left"/>
              <w:rPr>
                <w:color w:val="14202A"/>
              </w:rPr>
            </w:pPr>
            <w:r>
              <w:rPr>
                <w:color w:val="14202A"/>
              </w:rPr>
              <w:t> </w:t>
            </w:r>
          </w:p>
        </w:tc>
        <w:tc>
          <w:tcPr>
            <w:tcW w:w="225"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85"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Michael E. Pack is Executive Vice President and President, Vocational of Oshkosh Corporation (Oshkosh), a global industrial technology company focused on innovating purpose-built vehicles and equipment, a position he has held since June 2024. In this role, he is responsible for leading all aspects of the Vocational segment, which includes Pierce fire trucks, McNeilus refuse and recycling vehicles, and Oshkosh AeroTech airport ground support equipment and jet bridges. Mr. Pack has been with Oshkosh since 2006. During his tenure, he has served as Executive Vice President and Chief Financial Officer and held various domestic and international assignments of increasing responsibility across Oshkosh. Prior to joining Oshkosh, he was a senior audit manager at Grant Thornton LLP. He is a certified public accountant. Mr. Pack brings financial expertise, strong executive leadership and experience, and manufacturing and industry expertise to the Board.</w:t>
            </w:r>
          </w:p>
          <w:p>
            <w:pPr>
              <w:pStyle w:val="TableContents"/>
              <w:bidi w:val="0"/>
              <w:spacing w:before="0" w:after="283"/>
              <w:ind w:left="0" w:right="0" w:hanging="0"/>
              <w:jc w:val="left"/>
              <w:rPr>
                <w:color w:val="14202A"/>
              </w:rPr>
            </w:pPr>
            <w:r>
              <w:rPr>
                <w:color w:val="14202A"/>
              </w:rPr>
              <w:t> </w:t>
            </w:r>
          </w:p>
          <w:p>
            <w:pPr>
              <w:pStyle w:val="TableContents"/>
              <w:bidi w:val="0"/>
              <w:spacing w:before="0" w:after="283"/>
              <w:ind w:left="0" w:right="0" w:hanging="0"/>
              <w:jc w:val="left"/>
              <w:rPr>
                <w:color w:val="14202A"/>
              </w:rPr>
            </w:pPr>
            <w:r>
              <w:rPr>
                <w:color w:val="14202A"/>
              </w:rPr>
              <w:t> </w:t>
            </w:r>
          </w:p>
        </w:tc>
        <w:tc>
          <w:tcPr>
            <w:tcW w:w="225"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4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gridSpan w:val="13"/>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0"/>
              <w:jc w:val="left"/>
              <w:rPr/>
            </w:pPr>
            <w:r>
              <w:rPr/>
              <w:t> </w:t>
            </w:r>
          </w:p>
        </w:tc>
      </w:tr>
    </w:tbl>
    <w:p>
      <w:pPr>
        <w:pStyle w:val="TextBody"/>
        <w:bidi w:val="0"/>
        <w:spacing w:before="710" w:after="283"/>
        <w:ind w:left="0" w:right="0" w:hanging="0"/>
        <w:jc w:val="left"/>
        <w:rPr>
          <w:rFonts w:ascii="Arial;Helvetica;sans-serif" w:hAnsi="Arial;Helvetica;sans-serif"/>
          <w:b/>
          <w:color w:val="D8E47A"/>
          <w:sz w:val="24"/>
        </w:rPr>
      </w:pPr>
      <w:bookmarkStart w:id="50" w:name="tDCIO"/>
      <w:bookmarkEnd w:id="50"/>
      <w:r>
        <w:rPr>
          <w:rFonts w:ascii="Arial;Helvetica;sans-serif" w:hAnsi="Arial;Helvetica;sans-serif"/>
          <w:b/>
          <w:color w:val="D8E47A"/>
          <w:sz w:val="24"/>
        </w:rPr>
        <w:t xml:space="preserve">Directors Continuing in Office — Class III (Term Ending 2026) </w:t>
      </w:r>
    </w:p>
    <w:tbl>
      <w:tblPr>
        <w:tblW w:w="10205" w:type="dxa"/>
        <w:jc w:val="left"/>
        <w:tblInd w:w="0" w:type="dxa"/>
        <w:tblLayout w:type="fixed"/>
        <w:tblCellMar>
          <w:top w:w="0" w:type="dxa"/>
          <w:left w:w="0" w:type="dxa"/>
          <w:bottom w:w="0" w:type="dxa"/>
          <w:right w:w="0" w:type="dxa"/>
        </w:tblCellMar>
      </w:tblPr>
      <w:tblGrid>
        <w:gridCol w:w="185"/>
        <w:gridCol w:w="1508"/>
        <w:gridCol w:w="170"/>
        <w:gridCol w:w="170"/>
        <w:gridCol w:w="150"/>
        <w:gridCol w:w="284"/>
        <w:gridCol w:w="284"/>
        <w:gridCol w:w="234"/>
        <w:gridCol w:w="284"/>
        <w:gridCol w:w="284"/>
        <w:gridCol w:w="2971"/>
        <w:gridCol w:w="284"/>
        <w:gridCol w:w="284"/>
        <w:gridCol w:w="234"/>
        <w:gridCol w:w="284"/>
        <w:gridCol w:w="284"/>
        <w:gridCol w:w="2087"/>
        <w:gridCol w:w="224"/>
      </w:tblGrid>
      <w:tr>
        <w:trPr/>
        <w:tc>
          <w:tcPr>
            <w:tcW w:w="185" w:type="dxa"/>
            <w:tcBorders/>
            <w:shd w:fill="14202A" w:val="clear"/>
            <w:vAlign w:val="center"/>
          </w:tcPr>
          <w:p>
            <w:pPr>
              <w:pStyle w:val="TableContents"/>
              <w:bidi w:val="0"/>
              <w:spacing w:before="0" w:after="0"/>
              <w:jc w:val="left"/>
              <w:rPr/>
            </w:pPr>
            <w:r>
              <w:rPr/>
              <w:t> </w:t>
            </w:r>
          </w:p>
        </w:tc>
        <w:tc>
          <w:tcPr>
            <w:tcW w:w="150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8" w:type="dxa"/>
            <w:gridSpan w:val="13"/>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508"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23925" cy="11525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8"/>
                          <a:stretch>
                            <a:fillRect/>
                          </a:stretch>
                        </pic:blipFill>
                        <pic:spPr bwMode="auto">
                          <a:xfrm>
                            <a:off x="0" y="0"/>
                            <a:ext cx="923925" cy="11525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Sara E. Armbruster</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 xml:space="preserve">54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2019</w:t>
            </w:r>
          </w:p>
          <w:p>
            <w:pPr>
              <w:pStyle w:val="TableContents"/>
              <w:bidi w:val="0"/>
              <w:spacing w:before="0" w:after="283"/>
              <w:ind w:left="120" w:right="0" w:hanging="0"/>
              <w:jc w:val="left"/>
              <w:rPr>
                <w:color w:val="FFFFFF"/>
              </w:rPr>
            </w:pPr>
            <w:r>
              <w:rPr>
                <w:color w:val="FFFFFF"/>
              </w:rPr>
              <w:t xml:space="preserve">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Committees: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Human Resources</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Nominating and Governance (Chair)</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8"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50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283"/>
              <w:ind w:left="0" w:right="0" w:hanging="0"/>
              <w:jc w:val="left"/>
              <w:rPr>
                <w:color w:val="14202A"/>
              </w:rPr>
            </w:pPr>
            <w:r>
              <w:rPr>
                <w:color w:val="14202A"/>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283"/>
              <w:ind w:left="0" w:right="0" w:hanging="0"/>
              <w:jc w:val="left"/>
              <w:rPr>
                <w:color w:val="14202A"/>
              </w:rPr>
            </w:pPr>
            <w:r>
              <w:rPr>
                <w:color w:val="14202A"/>
              </w:rPr>
              <w:t>•</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971"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Public/Private Company CEO</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283"/>
              <w:ind w:left="0" w:right="0" w:hanging="0"/>
              <w:jc w:val="left"/>
              <w:rPr>
                <w:color w:val="14202A"/>
              </w:rPr>
            </w:pPr>
            <w:r>
              <w:rPr>
                <w:color w:val="14202A"/>
              </w:rPr>
              <w:t>•</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087"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Global Experience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50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283"/>
              <w:ind w:left="0" w:right="0" w:hanging="0"/>
              <w:jc w:val="left"/>
              <w:rPr>
                <w:color w:val="14202A"/>
              </w:rPr>
            </w:pPr>
            <w:r>
              <w:rPr>
                <w:color w:val="14202A"/>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283"/>
              <w:ind w:left="0" w:right="0" w:hanging="0"/>
              <w:jc w:val="left"/>
              <w:rPr>
                <w:color w:val="14202A"/>
              </w:rPr>
            </w:pPr>
            <w:r>
              <w:rPr>
                <w:color w:val="14202A"/>
              </w:rPr>
              <w:t>•</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971"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Strategic Transformation</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283"/>
              <w:ind w:left="0" w:right="0" w:hanging="0"/>
              <w:jc w:val="left"/>
              <w:rPr>
                <w:color w:val="14202A"/>
              </w:rPr>
            </w:pPr>
            <w:r>
              <w:rPr>
                <w:color w:val="14202A"/>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2087" w:type="dxa"/>
            <w:tcBorders/>
            <w:vAlign w:val="center"/>
          </w:tcPr>
          <w:p>
            <w:pPr>
              <w:pStyle w:val="TableContents"/>
              <w:bidi w:val="0"/>
              <w:spacing w:before="0" w:after="283"/>
              <w:ind w:left="0" w:right="0" w:hanging="0"/>
              <w:jc w:val="left"/>
              <w:rPr>
                <w:color w:val="14202A"/>
              </w:rPr>
            </w:pPr>
            <w:r>
              <w:rPr>
                <w:color w:val="14202A"/>
              </w:rPr>
              <w:t>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50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48" w:type="dxa"/>
            <w:gridSpan w:val="13"/>
            <w:tcBorders/>
            <w:vAlign w:val="center"/>
          </w:tcPr>
          <w:p>
            <w:pPr>
              <w:pStyle w:val="TableContents"/>
              <w:bidi w:val="0"/>
              <w:spacing w:before="0" w:after="283"/>
              <w:ind w:left="0" w:right="0" w:hanging="0"/>
              <w:jc w:val="left"/>
              <w:rPr>
                <w:color w:val="14202A"/>
              </w:rPr>
            </w:pPr>
            <w:r>
              <w:rPr>
                <w:color w:val="14202A"/>
              </w:rPr>
              <w:t>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50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48"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Sara E. Armbruster is President and Chief Executive Officer of Steelcase Inc., a global office furniture manufacturer, a position she has held since October 2021. Ms. Armbruster also serves on the board of directors of Steelcase. Ms. Armbruster has held several leadership positions since joining Steelcase in 2007 as Vice President of Corporate Strategy, including as Vice President, Strategy, Research and Digital Transformation and Executive Vice President. In her roles, Ms. Armbruster oversaw Steelcase’s technology efforts and was responsible for advancing the embrace of digital technologies and for digital transformation of Steelcase. Ms. Armbruster also has had responsibility for a range of innovation activities, including global design research, the design and implementation of new business models, and the development of external growth opportunities, including acquisitions and partnerships. In August 2025, Steelcase announced that it entered into an agreement pursuant to which HNI Corporation will acquire Steelcase, subject to required approvals and customary closing conditions.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tc>
        <w:tc>
          <w:tcPr>
            <w:tcW w:w="224"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50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8" w:type="dxa"/>
            <w:gridSpan w:val="13"/>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19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1" w:name="ny20052074x1_def14a_106-prop1_pg4"/>
        <w:bookmarkEnd w:id="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495"/>
        <w:gridCol w:w="170"/>
        <w:gridCol w:w="170"/>
        <w:gridCol w:w="142"/>
        <w:gridCol w:w="268"/>
        <w:gridCol w:w="268"/>
        <w:gridCol w:w="221"/>
        <w:gridCol w:w="268"/>
        <w:gridCol w:w="268"/>
        <w:gridCol w:w="2353"/>
        <w:gridCol w:w="268"/>
        <w:gridCol w:w="268"/>
        <w:gridCol w:w="221"/>
        <w:gridCol w:w="268"/>
        <w:gridCol w:w="268"/>
        <w:gridCol w:w="2880"/>
        <w:gridCol w:w="224"/>
      </w:tblGrid>
      <w:tr>
        <w:trPr/>
        <w:tc>
          <w:tcPr>
            <w:tcW w:w="185" w:type="dxa"/>
            <w:tcBorders/>
            <w:shd w:fill="14202A" w:val="clear"/>
            <w:vAlign w:val="center"/>
          </w:tcPr>
          <w:p>
            <w:pPr>
              <w:pStyle w:val="TableContents"/>
              <w:bidi w:val="0"/>
              <w:spacing w:before="0" w:after="0"/>
              <w:jc w:val="left"/>
              <w:rPr/>
            </w:pPr>
            <w:r>
              <w:rPr/>
              <w:t> </w:t>
            </w:r>
          </w:p>
        </w:tc>
        <w:tc>
          <w:tcPr>
            <w:tcW w:w="14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1" w:type="dxa"/>
            <w:gridSpan w:val="13"/>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495"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23925" cy="11525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60"/>
                          <a:stretch>
                            <a:fillRect/>
                          </a:stretch>
                        </pic:blipFill>
                        <pic:spPr bwMode="auto">
                          <a:xfrm>
                            <a:off x="0" y="0"/>
                            <a:ext cx="923925" cy="11525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William C. Fisher</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71</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2015</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Committees: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 xml:space="preserve">Audit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Technology and Innovation</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1"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283"/>
              <w:ind w:left="0" w:right="0" w:hanging="0"/>
              <w:jc w:val="left"/>
              <w:rPr>
                <w:color w:val="14202A"/>
              </w:rPr>
            </w:pPr>
            <w:r>
              <w:rPr>
                <w:color w:val="14202A"/>
              </w:rPr>
              <w:t> </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ind w:left="0" w:right="0" w:hanging="0"/>
              <w:jc w:val="left"/>
              <w:rPr>
                <w:color w:val="14202A"/>
              </w:rPr>
            </w:pPr>
            <w:r>
              <w:rPr>
                <w:color w:val="14202A"/>
              </w:rPr>
              <w:t>•</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353"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Operations Optimization</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ind w:left="0" w:right="0" w:hanging="0"/>
              <w:jc w:val="left"/>
              <w:rPr>
                <w:color w:val="14202A"/>
              </w:rPr>
            </w:pPr>
            <w:r>
              <w:rPr>
                <w:color w:val="14202A"/>
              </w:rPr>
              <w:t>•</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880"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Mobility Ecosystem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283"/>
              <w:ind w:left="0" w:right="0" w:hanging="0"/>
              <w:jc w:val="left"/>
              <w:rPr>
                <w:color w:val="14202A"/>
              </w:rPr>
            </w:pPr>
            <w:r>
              <w:rPr>
                <w:color w:val="14202A"/>
              </w:rPr>
              <w:t> </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ind w:left="0" w:right="0" w:hanging="0"/>
              <w:jc w:val="left"/>
              <w:rPr>
                <w:color w:val="14202A"/>
              </w:rPr>
            </w:pPr>
            <w:r>
              <w:rPr>
                <w:color w:val="14202A"/>
              </w:rPr>
              <w:t>•</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353"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Global Experience</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ind w:left="0" w:right="0" w:hanging="0"/>
              <w:jc w:val="left"/>
              <w:rPr>
                <w:color w:val="14202A"/>
              </w:rPr>
            </w:pPr>
            <w:r>
              <w:rPr>
                <w:color w:val="14202A"/>
              </w:rPr>
              <w:t>•</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880"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Technology Leader/Data &amp; Analytics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283"/>
              <w:ind w:left="0" w:right="0" w:hanging="0"/>
              <w:jc w:val="left"/>
              <w:rPr>
                <w:color w:val="14202A"/>
              </w:rPr>
            </w:pPr>
            <w:r>
              <w:rPr>
                <w:color w:val="14202A"/>
              </w:rPr>
              <w:t> </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ind w:left="0" w:right="0" w:hanging="0"/>
              <w:jc w:val="left"/>
              <w:rPr>
                <w:color w:val="14202A"/>
              </w:rPr>
            </w:pPr>
            <w:r>
              <w:rPr>
                <w:color w:val="14202A"/>
              </w:rPr>
              <w:t>•</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353"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Channel Development</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21" w:type="dxa"/>
            <w:tcBorders/>
            <w:vAlign w:val="center"/>
          </w:tcPr>
          <w:p>
            <w:pPr>
              <w:pStyle w:val="TableContents"/>
              <w:bidi w:val="0"/>
              <w:spacing w:before="0" w:after="283"/>
              <w:ind w:left="0" w:right="0" w:hanging="0"/>
              <w:jc w:val="left"/>
              <w:rPr>
                <w:color w:val="14202A"/>
              </w:rPr>
            </w:pPr>
            <w:r>
              <w:rPr>
                <w:color w:val="14202A"/>
              </w:rPr>
              <w:t> </w:t>
            </w:r>
          </w:p>
        </w:tc>
        <w:tc>
          <w:tcPr>
            <w:tcW w:w="268" w:type="dxa"/>
            <w:tcBorders/>
            <w:vAlign w:val="center"/>
          </w:tcPr>
          <w:p>
            <w:pPr>
              <w:pStyle w:val="TableContents"/>
              <w:bidi w:val="0"/>
              <w:spacing w:before="0" w:after="0"/>
              <w:jc w:val="left"/>
              <w:rPr/>
            </w:pPr>
            <w:r>
              <w:rPr/>
              <w:t> </w:t>
            </w:r>
          </w:p>
        </w:tc>
        <w:tc>
          <w:tcPr>
            <w:tcW w:w="268" w:type="dxa"/>
            <w:tcBorders/>
            <w:vAlign w:val="center"/>
          </w:tcPr>
          <w:p>
            <w:pPr>
              <w:pStyle w:val="TableContents"/>
              <w:bidi w:val="0"/>
              <w:spacing w:before="0" w:after="0"/>
              <w:jc w:val="left"/>
              <w:rPr/>
            </w:pPr>
            <w:r>
              <w:rPr/>
              <w:t> </w:t>
            </w:r>
          </w:p>
        </w:tc>
        <w:tc>
          <w:tcPr>
            <w:tcW w:w="2880" w:type="dxa"/>
            <w:tcBorders/>
            <w:vAlign w:val="center"/>
          </w:tcPr>
          <w:p>
            <w:pPr>
              <w:pStyle w:val="TableContents"/>
              <w:bidi w:val="0"/>
              <w:spacing w:before="0" w:after="283"/>
              <w:ind w:left="0" w:right="0" w:hanging="0"/>
              <w:jc w:val="left"/>
              <w:rPr>
                <w:color w:val="14202A"/>
              </w:rPr>
            </w:pPr>
            <w:r>
              <w:rPr>
                <w:color w:val="14202A"/>
              </w:rPr>
              <w:t>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1" w:type="dxa"/>
            <w:gridSpan w:val="13"/>
            <w:tcBorders/>
            <w:vAlign w:val="center"/>
          </w:tcPr>
          <w:p>
            <w:pPr>
              <w:pStyle w:val="TableContents"/>
              <w:bidi w:val="0"/>
              <w:spacing w:before="0" w:after="283"/>
              <w:ind w:left="0" w:right="0" w:hanging="0"/>
              <w:jc w:val="left"/>
              <w:rPr>
                <w:color w:val="14202A"/>
              </w:rPr>
            </w:pPr>
            <w:r>
              <w:rPr>
                <w:color w:val="14202A"/>
              </w:rPr>
              <w:t> </w:t>
            </w:r>
          </w:p>
        </w:tc>
        <w:tc>
          <w:tcPr>
            <w:tcW w:w="224"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9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1"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William C. Fisher was the Chief Information Officer of Polaris Industries Inc., a manufacturer of power sports products, from 1999 until his retirement in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later joined Autocon Industries, where he developed process control software. Mr. Fisher brings substantial experience with information technology and cybersecurity issues to our Board, and his experience as an engineer and in executive positions in service and consumer service operations provides valuable insight for our customer service function as well as relationships with channel partners. Additionally, his familiarity with highly discretionary consumer products is a key asset as we focus on improved service and operational efficiency.</w:t>
            </w:r>
          </w:p>
        </w:tc>
        <w:tc>
          <w:tcPr>
            <w:tcW w:w="224"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4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1" w:type="dxa"/>
            <w:gridSpan w:val="13"/>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489"/>
        <w:gridCol w:w="170"/>
        <w:gridCol w:w="170"/>
        <w:gridCol w:w="143"/>
        <w:gridCol w:w="271"/>
        <w:gridCol w:w="271"/>
        <w:gridCol w:w="223"/>
        <w:gridCol w:w="271"/>
        <w:gridCol w:w="271"/>
        <w:gridCol w:w="2651"/>
        <w:gridCol w:w="271"/>
        <w:gridCol w:w="271"/>
        <w:gridCol w:w="223"/>
        <w:gridCol w:w="271"/>
        <w:gridCol w:w="271"/>
        <w:gridCol w:w="2556"/>
        <w:gridCol w:w="227"/>
      </w:tblGrid>
      <w:tr>
        <w:trPr/>
        <w:tc>
          <w:tcPr>
            <w:tcW w:w="185" w:type="dxa"/>
            <w:tcBorders/>
            <w:shd w:fill="14202A" w:val="clear"/>
            <w:vAlign w:val="center"/>
          </w:tcPr>
          <w:p>
            <w:pPr>
              <w:pStyle w:val="TableContents"/>
              <w:bidi w:val="0"/>
              <w:spacing w:before="0" w:after="0"/>
              <w:jc w:val="left"/>
              <w:rPr/>
            </w:pPr>
            <w:r>
              <w:rPr/>
              <w:t> </w:t>
            </w:r>
          </w:p>
        </w:tc>
        <w:tc>
          <w:tcPr>
            <w:tcW w:w="1489"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4" w:type="dxa"/>
            <w:gridSpan w:val="13"/>
            <w:tcBorders/>
            <w:vAlign w:val="center"/>
          </w:tcPr>
          <w:p>
            <w:pPr>
              <w:pStyle w:val="TableContents"/>
              <w:bidi w:val="0"/>
              <w:spacing w:before="0" w:after="0"/>
              <w:jc w:val="left"/>
              <w:rPr/>
            </w:pPr>
            <w:r>
              <w:rPr/>
              <w:t> </w:t>
            </w:r>
          </w:p>
        </w:tc>
        <w:tc>
          <w:tcPr>
            <w:tcW w:w="227"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489"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23925" cy="11525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1"/>
                          <a:stretch>
                            <a:fillRect/>
                          </a:stretch>
                        </pic:blipFill>
                        <pic:spPr bwMode="auto">
                          <a:xfrm>
                            <a:off x="0" y="0"/>
                            <a:ext cx="923925" cy="11525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Michael J. Happe</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 xml:space="preserve">54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2016</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4"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227"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9"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color w:val="14202A"/>
              </w:rPr>
            </w:pPr>
            <w:r>
              <w:rPr>
                <w:color w:val="14202A"/>
              </w:rPr>
              <w:t> </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0" w:right="0" w:hanging="0"/>
              <w:jc w:val="left"/>
              <w:rPr>
                <w:color w:val="14202A"/>
              </w:rPr>
            </w:pPr>
            <w:r>
              <w:rPr>
                <w:color w:val="14202A"/>
              </w:rPr>
              <w:t>•</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651"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Public/Private Company CEO</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0" w:right="0" w:hanging="0"/>
              <w:jc w:val="left"/>
              <w:rPr>
                <w:color w:val="14202A"/>
              </w:rPr>
            </w:pPr>
            <w:r>
              <w:rPr>
                <w:color w:val="14202A"/>
              </w:rPr>
              <w:t>•</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556"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Strategic Transformation </w:t>
            </w:r>
          </w:p>
        </w:tc>
        <w:tc>
          <w:tcPr>
            <w:tcW w:w="227"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9"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color w:val="14202A"/>
              </w:rPr>
            </w:pPr>
            <w:r>
              <w:rPr>
                <w:color w:val="14202A"/>
              </w:rPr>
              <w:t> </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0" w:right="0" w:hanging="0"/>
              <w:jc w:val="left"/>
              <w:rPr>
                <w:color w:val="14202A"/>
              </w:rPr>
            </w:pPr>
            <w:r>
              <w:rPr>
                <w:color w:val="14202A"/>
              </w:rPr>
              <w:t>•</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651"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Marketing/Sales/Branding</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0" w:right="0" w:hanging="0"/>
              <w:jc w:val="left"/>
              <w:rPr>
                <w:color w:val="14202A"/>
              </w:rPr>
            </w:pPr>
            <w:r>
              <w:rPr>
                <w:color w:val="14202A"/>
              </w:rPr>
              <w:t>•</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556"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Global Experience </w:t>
            </w:r>
          </w:p>
        </w:tc>
        <w:tc>
          <w:tcPr>
            <w:tcW w:w="227"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9"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color w:val="14202A"/>
              </w:rPr>
            </w:pPr>
            <w:r>
              <w:rPr>
                <w:color w:val="14202A"/>
              </w:rPr>
              <w:t> </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0" w:right="0" w:hanging="0"/>
              <w:jc w:val="left"/>
              <w:rPr>
                <w:color w:val="14202A"/>
              </w:rPr>
            </w:pPr>
            <w:r>
              <w:rPr>
                <w:color w:val="14202A"/>
              </w:rPr>
              <w:t>•</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651"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Channel Development</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0" w:right="0" w:hanging="0"/>
              <w:jc w:val="left"/>
              <w:rPr>
                <w:color w:val="14202A"/>
              </w:rPr>
            </w:pPr>
            <w:r>
              <w:rPr>
                <w:color w:val="14202A"/>
              </w:rPr>
              <w:t> </w:t>
            </w:r>
          </w:p>
        </w:tc>
        <w:tc>
          <w:tcPr>
            <w:tcW w:w="271" w:type="dxa"/>
            <w:tcBorders/>
            <w:vAlign w:val="center"/>
          </w:tcPr>
          <w:p>
            <w:pPr>
              <w:pStyle w:val="TableContents"/>
              <w:bidi w:val="0"/>
              <w:spacing w:before="0" w:after="0"/>
              <w:jc w:val="left"/>
              <w:rPr/>
            </w:pPr>
            <w:r>
              <w:rPr/>
              <w:t> </w:t>
            </w:r>
          </w:p>
        </w:tc>
        <w:tc>
          <w:tcPr>
            <w:tcW w:w="271" w:type="dxa"/>
            <w:tcBorders/>
            <w:vAlign w:val="center"/>
          </w:tcPr>
          <w:p>
            <w:pPr>
              <w:pStyle w:val="TableContents"/>
              <w:bidi w:val="0"/>
              <w:spacing w:before="0" w:after="0"/>
              <w:jc w:val="left"/>
              <w:rPr/>
            </w:pPr>
            <w:r>
              <w:rPr/>
              <w:t> </w:t>
            </w:r>
          </w:p>
        </w:tc>
        <w:tc>
          <w:tcPr>
            <w:tcW w:w="2556" w:type="dxa"/>
            <w:tcBorders/>
            <w:vAlign w:val="center"/>
          </w:tcPr>
          <w:p>
            <w:pPr>
              <w:pStyle w:val="TableContents"/>
              <w:bidi w:val="0"/>
              <w:spacing w:before="0" w:after="283"/>
              <w:ind w:left="0" w:right="0" w:hanging="0"/>
              <w:jc w:val="left"/>
              <w:rPr>
                <w:color w:val="14202A"/>
              </w:rPr>
            </w:pPr>
            <w:r>
              <w:rPr>
                <w:color w:val="14202A"/>
              </w:rPr>
              <w:t> </w:t>
            </w:r>
          </w:p>
        </w:tc>
        <w:tc>
          <w:tcPr>
            <w:tcW w:w="227"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9"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4" w:type="dxa"/>
            <w:gridSpan w:val="13"/>
            <w:tcBorders/>
            <w:vAlign w:val="center"/>
          </w:tcPr>
          <w:p>
            <w:pPr>
              <w:pStyle w:val="TableContents"/>
              <w:bidi w:val="0"/>
              <w:spacing w:before="0" w:after="283"/>
              <w:ind w:left="0" w:right="0" w:hanging="0"/>
              <w:jc w:val="left"/>
              <w:rPr>
                <w:color w:val="14202A"/>
              </w:rPr>
            </w:pPr>
            <w:r>
              <w:rPr>
                <w:color w:val="14202A"/>
              </w:rPr>
              <w:t> </w:t>
            </w:r>
          </w:p>
        </w:tc>
        <w:tc>
          <w:tcPr>
            <w:tcW w:w="227"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9"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4"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Michael J. Happe joined Winnebago Industries in January 2016, as the President, Chief Executive Officer and a director. Mr. Happe has led a transformation of the Company into an outdoor recreation/lifestyle enterprise. Under his leadership, Winnebago Industries has grown both organically and inorganically; completed acquisitions of Grand Design RV, Chris-Craft, Newmar, Barletta Boats, and Lithionics Battery; and expanded its industry and geographic footprint. Winnebago Industries’ net sales, net income, RV and marine market share, and total shareholder returns have all grown significantly under Mr. Happe’s leadership, as has the Company’s commitment to corporate responsibility. In 2023, Mr. Happe was named the Ernst &amp; Young National Entrepreneur of the Year for the United States. He worked previously at The Toro Company, a global manufacturer of turf and landscape maintenance and development solutions, where he most recently served as an Executive Officer and Group Vice President of Toro’s Residential and Contractor business until 2015. A 19-year veteran of The Toro Company, Mr. Happe held a series of senior leadership positions throughout his career across a variety of the company’s domestic and international divisions. Mr. Happe also serves as a director for H.B. Fuller Company. His knowledge of all aspects of the Winnebago Industries business positions him well to serve on the Board. Mr. Happe’s extensive experience and positions rising in complexity and breadth at Toro, including global business affairs, as well as his director position at H.B. Fuller, brings further expertise in corporate leadership and development and execution of profitable business growth strategy.</w:t>
            </w:r>
          </w:p>
        </w:tc>
        <w:tc>
          <w:tcPr>
            <w:tcW w:w="227"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489"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4" w:type="dxa"/>
            <w:gridSpan w:val="13"/>
            <w:tcBorders/>
            <w:vAlign w:val="center"/>
          </w:tcPr>
          <w:p>
            <w:pPr>
              <w:pStyle w:val="TableContents"/>
              <w:bidi w:val="0"/>
              <w:spacing w:before="0" w:after="0"/>
              <w:jc w:val="left"/>
              <w:rPr/>
            </w:pPr>
            <w:r>
              <w:rPr/>
              <w:t> </w:t>
            </w:r>
          </w:p>
        </w:tc>
        <w:tc>
          <w:tcPr>
            <w:tcW w:w="227" w:type="dxa"/>
            <w:tcBorders/>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52074x1_def14a_106-prop1_pg5"/>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532"/>
        <w:gridCol w:w="170"/>
        <w:gridCol w:w="170"/>
        <w:gridCol w:w="133"/>
        <w:gridCol w:w="251"/>
        <w:gridCol w:w="251"/>
        <w:gridCol w:w="207"/>
        <w:gridCol w:w="251"/>
        <w:gridCol w:w="251"/>
        <w:gridCol w:w="2342"/>
        <w:gridCol w:w="251"/>
        <w:gridCol w:w="251"/>
        <w:gridCol w:w="207"/>
        <w:gridCol w:w="251"/>
        <w:gridCol w:w="251"/>
        <w:gridCol w:w="2599"/>
        <w:gridCol w:w="170"/>
        <w:gridCol w:w="170"/>
        <w:gridCol w:w="90"/>
        <w:gridCol w:w="222"/>
      </w:tblGrid>
      <w:tr>
        <w:trPr/>
        <w:tc>
          <w:tcPr>
            <w:tcW w:w="185" w:type="dxa"/>
            <w:tcBorders/>
            <w:shd w:fill="14202A" w:val="clear"/>
            <w:vAlign w:val="center"/>
          </w:tcPr>
          <w:p>
            <w:pPr>
              <w:pStyle w:val="TableContents"/>
              <w:bidi w:val="0"/>
              <w:spacing w:before="0" w:after="0"/>
              <w:jc w:val="left"/>
              <w:rPr/>
            </w:pPr>
            <w:r>
              <w:rPr/>
              <w:t> </w:t>
            </w:r>
          </w:p>
        </w:tc>
        <w:tc>
          <w:tcPr>
            <w:tcW w:w="1532"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96"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22" w:type="dxa"/>
            <w:tcBorders/>
          </w:tcPr>
          <w:p>
            <w:pPr>
              <w:pStyle w:val="TableContents"/>
              <w:bidi w:val="0"/>
              <w:spacing w:before="0" w:after="283"/>
              <w:jc w:val="left"/>
              <w:rPr>
                <w:sz w:val="4"/>
                <w:szCs w:val="4"/>
              </w:rPr>
            </w:pPr>
            <w:r>
              <w:rPr>
                <w:sz w:val="4"/>
                <w:szCs w:val="4"/>
              </w:rPr>
            </w:r>
          </w:p>
        </w:tc>
      </w:tr>
      <w:tr>
        <w:trPr/>
        <w:tc>
          <w:tcPr>
            <w:tcW w:w="185" w:type="dxa"/>
            <w:vMerge w:val="restart"/>
            <w:tcBorders/>
            <w:shd w:fill="14202A" w:val="clear"/>
            <w:vAlign w:val="center"/>
          </w:tcPr>
          <w:p>
            <w:pPr>
              <w:pStyle w:val="TableContents"/>
              <w:bidi w:val="0"/>
              <w:spacing w:before="0" w:after="0"/>
              <w:jc w:val="left"/>
              <w:rPr/>
            </w:pPr>
            <w:r>
              <w:rPr/>
              <w:t> </w:t>
            </w:r>
          </w:p>
        </w:tc>
        <w:tc>
          <w:tcPr>
            <w:tcW w:w="1532"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23925" cy="11525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3"/>
                          <a:stretch>
                            <a:fillRect/>
                          </a:stretch>
                        </pic:blipFill>
                        <pic:spPr bwMode="auto">
                          <a:xfrm>
                            <a:off x="0" y="0"/>
                            <a:ext cx="923925" cy="11525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Staci L. Kroon</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 xml:space="preserve">52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2023</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Committees: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Human Resources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Technology and Innovation (Chair)</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96"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22" w:type="dxa"/>
            <w:tcBorders/>
          </w:tcPr>
          <w:p>
            <w:pPr>
              <w:pStyle w:val="TableContents"/>
              <w:bidi w:val="0"/>
              <w:spacing w:before="0" w:after="283"/>
              <w:jc w:val="left"/>
              <w:rPr>
                <w:sz w:val="4"/>
                <w:szCs w:val="4"/>
              </w:rPr>
            </w:pPr>
            <w:r>
              <w:rPr>
                <w:sz w:val="4"/>
                <w:szCs w:val="4"/>
              </w:rPr>
            </w:r>
          </w:p>
        </w:tc>
      </w:tr>
      <w:tr>
        <w:trPr/>
        <w:tc>
          <w:tcPr>
            <w:tcW w:w="185" w:type="dxa"/>
            <w:vMerge w:val="continue"/>
            <w:tcBorders/>
            <w:shd w:fill="14202A" w:val="clear"/>
            <w:vAlign w:val="center"/>
          </w:tcPr>
          <w:p>
            <w:pPr>
              <w:pStyle w:val="Normal"/>
              <w:bidi w:val="0"/>
              <w:jc w:val="left"/>
              <w:rPr/>
            </w:pPr>
            <w:r>
              <w:rPr/>
            </w:r>
          </w:p>
        </w:tc>
        <w:tc>
          <w:tcPr>
            <w:tcW w:w="1532"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3" w:type="dxa"/>
            <w:tcBorders/>
            <w:vAlign w:val="center"/>
          </w:tcPr>
          <w:p>
            <w:pPr>
              <w:pStyle w:val="TableContents"/>
              <w:bidi w:val="0"/>
              <w:spacing w:before="0" w:after="283"/>
              <w:ind w:left="0" w:right="0" w:hanging="0"/>
              <w:jc w:val="left"/>
              <w:rPr>
                <w:color w:val="14202A"/>
              </w:rPr>
            </w:pPr>
            <w:r>
              <w:rPr>
                <w:color w:val="14202A"/>
              </w:rPr>
              <w:t> </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342"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Public/Private Company CEO</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599"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Mobility Ecosystem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22" w:type="dxa"/>
            <w:tcBorders/>
          </w:tcPr>
          <w:p>
            <w:pPr>
              <w:pStyle w:val="TableContents"/>
              <w:bidi w:val="0"/>
              <w:spacing w:before="0" w:after="283"/>
              <w:jc w:val="left"/>
              <w:rPr>
                <w:sz w:val="4"/>
                <w:szCs w:val="4"/>
              </w:rPr>
            </w:pPr>
            <w:r>
              <w:rPr>
                <w:sz w:val="4"/>
                <w:szCs w:val="4"/>
              </w:rPr>
            </w:r>
          </w:p>
        </w:tc>
      </w:tr>
      <w:tr>
        <w:trPr/>
        <w:tc>
          <w:tcPr>
            <w:tcW w:w="185" w:type="dxa"/>
            <w:vMerge w:val="continue"/>
            <w:tcBorders/>
            <w:shd w:fill="14202A" w:val="clear"/>
            <w:vAlign w:val="center"/>
          </w:tcPr>
          <w:p>
            <w:pPr>
              <w:pStyle w:val="Normal"/>
              <w:bidi w:val="0"/>
              <w:jc w:val="left"/>
              <w:rPr/>
            </w:pPr>
            <w:r>
              <w:rPr/>
            </w:r>
          </w:p>
        </w:tc>
        <w:tc>
          <w:tcPr>
            <w:tcW w:w="1532"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3" w:type="dxa"/>
            <w:tcBorders/>
            <w:vAlign w:val="center"/>
          </w:tcPr>
          <w:p>
            <w:pPr>
              <w:pStyle w:val="TableContents"/>
              <w:bidi w:val="0"/>
              <w:spacing w:before="0" w:after="283"/>
              <w:ind w:left="0" w:right="0" w:hanging="0"/>
              <w:jc w:val="left"/>
              <w:rPr>
                <w:color w:val="14202A"/>
              </w:rPr>
            </w:pPr>
            <w:r>
              <w:rPr>
                <w:color w:val="14202A"/>
              </w:rPr>
              <w:t> </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342"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Operations Optimization</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283"/>
              <w:ind w:left="0" w:right="0" w:hanging="0"/>
              <w:jc w:val="left"/>
              <w:rPr>
                <w:color w:val="14202A"/>
              </w:rPr>
            </w:pPr>
            <w:r>
              <w:rPr>
                <w:color w:val="14202A"/>
              </w:rPr>
              <w:t>•</w:t>
            </w:r>
          </w:p>
        </w:tc>
        <w:tc>
          <w:tcPr>
            <w:tcW w:w="251" w:type="dxa"/>
            <w:tcBorders/>
            <w:vAlign w:val="center"/>
          </w:tcPr>
          <w:p>
            <w:pPr>
              <w:pStyle w:val="TableContents"/>
              <w:bidi w:val="0"/>
              <w:spacing w:before="0" w:after="0"/>
              <w:jc w:val="left"/>
              <w:rPr/>
            </w:pPr>
            <w:r>
              <w:rPr/>
              <w:t> </w:t>
            </w:r>
          </w:p>
        </w:tc>
        <w:tc>
          <w:tcPr>
            <w:tcW w:w="251" w:type="dxa"/>
            <w:tcBorders/>
            <w:vAlign w:val="center"/>
          </w:tcPr>
          <w:p>
            <w:pPr>
              <w:pStyle w:val="TableContents"/>
              <w:bidi w:val="0"/>
              <w:spacing w:before="0" w:after="0"/>
              <w:jc w:val="left"/>
              <w:rPr/>
            </w:pPr>
            <w:r>
              <w:rPr/>
              <w:t> </w:t>
            </w:r>
          </w:p>
        </w:tc>
        <w:tc>
          <w:tcPr>
            <w:tcW w:w="2599"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Technology Leader/Data &amp; Analytics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283"/>
              <w:ind w:left="0" w:right="0" w:hanging="0"/>
              <w:jc w:val="left"/>
              <w:rPr>
                <w:color w:val="14202A"/>
              </w:rPr>
            </w:pPr>
            <w:r>
              <w:rPr>
                <w:color w:val="14202A"/>
              </w:rPr>
              <w:t> </w:t>
            </w:r>
          </w:p>
        </w:tc>
        <w:tc>
          <w:tcPr>
            <w:tcW w:w="222"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532"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496" w:type="dxa"/>
            <w:gridSpan w:val="13"/>
            <w:tcBorders/>
            <w:vAlign w:val="center"/>
          </w:tcPr>
          <w:p>
            <w:pPr>
              <w:pStyle w:val="TableContents"/>
              <w:bidi w:val="0"/>
              <w:spacing w:before="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482" w:type="dxa"/>
            <w:gridSpan w:val="3"/>
            <w:tcBorders/>
          </w:tcPr>
          <w:p>
            <w:pPr>
              <w:pStyle w:val="TableContents"/>
              <w:bidi w:val="0"/>
              <w:spacing w:before="0" w:after="283"/>
              <w:jc w:val="left"/>
              <w:rPr>
                <w:sz w:val="4"/>
                <w:szCs w:val="4"/>
              </w:rPr>
            </w:pPr>
            <w:r>
              <w:rPr>
                <w:sz w:val="4"/>
                <w:szCs w:val="4"/>
              </w:rPr>
            </w:r>
          </w:p>
        </w:tc>
      </w:tr>
      <w:tr>
        <w:trPr/>
        <w:tc>
          <w:tcPr>
            <w:tcW w:w="185" w:type="dxa"/>
            <w:vMerge w:val="continue"/>
            <w:tcBorders/>
            <w:shd w:fill="14202A" w:val="clear"/>
            <w:vAlign w:val="center"/>
          </w:tcPr>
          <w:p>
            <w:pPr>
              <w:pStyle w:val="Normal"/>
              <w:bidi w:val="0"/>
              <w:jc w:val="left"/>
              <w:rPr/>
            </w:pPr>
            <w:r>
              <w:rPr/>
            </w:r>
          </w:p>
        </w:tc>
        <w:tc>
          <w:tcPr>
            <w:tcW w:w="1532"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496"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Staci L. Kroon is President and Chief Executive Officer of TouchPoint, Inc. a global industrial company, a position she has held since 2025. Before joining TouchPoint, Ms. Kroon was President and Chief Executive Officer of BraunAbility, a position she held from 2017 to 2024. Before joining BraunAbility, Ms. Kroon spent 20 years at Eaton, a global power management company, holding several roles with increasing scope and complexity in operations, business development and general management before being named Executive Vice President of Eaton Business System in September 2015. Ms. Kroon brings substantial experience in operational excellence, strategic growth, and product innovation.</w:t>
            </w:r>
          </w:p>
          <w:p>
            <w:pPr>
              <w:pStyle w:val="TableContents"/>
              <w:bidi w:val="0"/>
              <w:spacing w:before="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482" w:type="dxa"/>
            <w:gridSpan w:val="3"/>
            <w:tcBorders/>
          </w:tcPr>
          <w:p>
            <w:pPr>
              <w:pStyle w:val="TableContents"/>
              <w:bidi w:val="0"/>
              <w:spacing w:before="0" w:after="283"/>
              <w:jc w:val="left"/>
              <w:rPr>
                <w:sz w:val="4"/>
                <w:szCs w:val="4"/>
              </w:rPr>
            </w:pPr>
            <w:r>
              <w:rPr>
                <w:sz w:val="4"/>
                <w:szCs w:val="4"/>
              </w:rPr>
            </w:r>
          </w:p>
        </w:tc>
      </w:tr>
      <w:tr>
        <w:trPr/>
        <w:tc>
          <w:tcPr>
            <w:tcW w:w="185" w:type="dxa"/>
            <w:tcBorders/>
            <w:shd w:fill="14202A" w:val="clear"/>
            <w:vAlign w:val="center"/>
          </w:tcPr>
          <w:p>
            <w:pPr>
              <w:pStyle w:val="TableContents"/>
              <w:bidi w:val="0"/>
              <w:spacing w:before="0" w:after="0"/>
              <w:jc w:val="left"/>
              <w:rPr/>
            </w:pPr>
            <w:r>
              <w:rPr/>
              <w:t> </w:t>
            </w:r>
          </w:p>
        </w:tc>
        <w:tc>
          <w:tcPr>
            <w:tcW w:w="1532"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96"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gridSpan w:val="3"/>
            <w:tcBorders/>
          </w:tcPr>
          <w:p>
            <w:pPr>
              <w:pStyle w:val="TableContents"/>
              <w:bidi w:val="0"/>
              <w:spacing w:before="0" w:after="283"/>
              <w:jc w:val="left"/>
              <w:rPr>
                <w:sz w:val="4"/>
                <w:szCs w:val="4"/>
              </w:rPr>
            </w:pPr>
            <w:r>
              <w:rPr>
                <w:sz w:val="4"/>
                <w:szCs w:val="4"/>
              </w:rPr>
            </w:r>
          </w:p>
        </w:tc>
      </w:tr>
    </w:tbl>
    <w:p>
      <w:pPr>
        <w:pStyle w:val="TextBody"/>
        <w:bidi w:val="0"/>
        <w:spacing w:before="45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Directors Continuing in Office — Class I (Term Ending 2027) </w:t>
      </w:r>
    </w:p>
    <w:tbl>
      <w:tblPr>
        <w:tblW w:w="10205" w:type="dxa"/>
        <w:jc w:val="left"/>
        <w:tblInd w:w="0" w:type="dxa"/>
        <w:tblLayout w:type="fixed"/>
        <w:tblCellMar>
          <w:top w:w="0" w:type="dxa"/>
          <w:left w:w="0" w:type="dxa"/>
          <w:bottom w:w="0" w:type="dxa"/>
          <w:right w:w="0" w:type="dxa"/>
        </w:tblCellMar>
      </w:tblPr>
      <w:tblGrid>
        <w:gridCol w:w="185"/>
        <w:gridCol w:w="1460"/>
        <w:gridCol w:w="170"/>
        <w:gridCol w:w="170"/>
        <w:gridCol w:w="152"/>
        <w:gridCol w:w="288"/>
        <w:gridCol w:w="288"/>
        <w:gridCol w:w="237"/>
        <w:gridCol w:w="288"/>
        <w:gridCol w:w="288"/>
        <w:gridCol w:w="2509"/>
        <w:gridCol w:w="288"/>
        <w:gridCol w:w="288"/>
        <w:gridCol w:w="237"/>
        <w:gridCol w:w="288"/>
        <w:gridCol w:w="288"/>
        <w:gridCol w:w="2563"/>
        <w:gridCol w:w="218"/>
      </w:tblGrid>
      <w:tr>
        <w:trPr/>
        <w:tc>
          <w:tcPr>
            <w:tcW w:w="185" w:type="dxa"/>
            <w:tcBorders/>
            <w:shd w:fill="14202A" w:val="clear"/>
            <w:vAlign w:val="center"/>
          </w:tcPr>
          <w:p>
            <w:pPr>
              <w:pStyle w:val="TableContents"/>
              <w:bidi w:val="0"/>
              <w:spacing w:before="0" w:after="0"/>
              <w:jc w:val="left"/>
              <w:rPr/>
            </w:pPr>
            <w:r>
              <w:rPr/>
              <w:t> </w:t>
            </w:r>
          </w:p>
        </w:tc>
        <w:tc>
          <w:tcPr>
            <w:tcW w:w="14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2" w:type="dxa"/>
            <w:gridSpan w:val="13"/>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460"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885825" cy="109537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4"/>
                          <a:stretch>
                            <a:fillRect/>
                          </a:stretch>
                        </pic:blipFill>
                        <pic:spPr bwMode="auto">
                          <a:xfrm>
                            <a:off x="0" y="0"/>
                            <a:ext cx="885825" cy="109537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Christopher J. Braun</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 xml:space="preserve">65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2015</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Committees: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 xml:space="preserve">Audit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 xml:space="preserve">Nominating and Governance </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2"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6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283"/>
              <w:ind w:left="0" w:right="0" w:hanging="0"/>
              <w:jc w:val="left"/>
              <w:rPr>
                <w:color w:val="14202A"/>
              </w:rPr>
            </w:pPr>
            <w:r>
              <w:rPr>
                <w:color w:val="14202A"/>
              </w:rPr>
              <w:t> </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283"/>
              <w:ind w:left="0" w:right="0" w:hanging="0"/>
              <w:jc w:val="left"/>
              <w:rPr>
                <w:color w:val="14202A"/>
              </w:rPr>
            </w:pPr>
            <w:r>
              <w:rPr>
                <w:color w:val="14202A"/>
              </w:rPr>
              <w:t>•</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509"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Global Experience</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283"/>
              <w:ind w:left="0" w:right="0" w:hanging="0"/>
              <w:jc w:val="left"/>
              <w:rPr>
                <w:color w:val="14202A"/>
              </w:rPr>
            </w:pPr>
            <w:r>
              <w:rPr>
                <w:color w:val="14202A"/>
              </w:rPr>
              <w:t>•</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563"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Operations Optimization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6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283"/>
              <w:ind w:left="0" w:right="0" w:hanging="0"/>
              <w:jc w:val="left"/>
              <w:rPr>
                <w:color w:val="14202A"/>
              </w:rPr>
            </w:pPr>
            <w:r>
              <w:rPr>
                <w:color w:val="14202A"/>
              </w:rPr>
              <w:t> </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283"/>
              <w:ind w:left="0" w:right="0" w:hanging="0"/>
              <w:jc w:val="left"/>
              <w:rPr>
                <w:color w:val="14202A"/>
              </w:rPr>
            </w:pPr>
            <w:r>
              <w:rPr>
                <w:color w:val="14202A"/>
              </w:rPr>
              <w:t>•</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509"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Channel Development</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283"/>
              <w:ind w:left="0" w:right="0" w:hanging="0"/>
              <w:jc w:val="left"/>
              <w:rPr>
                <w:color w:val="14202A"/>
              </w:rPr>
            </w:pPr>
            <w:r>
              <w:rPr>
                <w:color w:val="14202A"/>
              </w:rPr>
              <w:t> </w:t>
            </w:r>
          </w:p>
        </w:tc>
        <w:tc>
          <w:tcPr>
            <w:tcW w:w="288" w:type="dxa"/>
            <w:tcBorders/>
            <w:vAlign w:val="center"/>
          </w:tcPr>
          <w:p>
            <w:pPr>
              <w:pStyle w:val="TableContents"/>
              <w:bidi w:val="0"/>
              <w:spacing w:before="0" w:after="0"/>
              <w:jc w:val="left"/>
              <w:rPr/>
            </w:pPr>
            <w:r>
              <w:rPr/>
              <w:t> </w:t>
            </w:r>
          </w:p>
        </w:tc>
        <w:tc>
          <w:tcPr>
            <w:tcW w:w="288" w:type="dxa"/>
            <w:tcBorders/>
            <w:vAlign w:val="center"/>
          </w:tcPr>
          <w:p>
            <w:pPr>
              <w:pStyle w:val="TableContents"/>
              <w:bidi w:val="0"/>
              <w:spacing w:before="0" w:after="0"/>
              <w:jc w:val="left"/>
              <w:rPr/>
            </w:pPr>
            <w:r>
              <w:rPr/>
              <w:t> </w:t>
            </w:r>
          </w:p>
        </w:tc>
        <w:tc>
          <w:tcPr>
            <w:tcW w:w="2563" w:type="dxa"/>
            <w:tcBorders/>
            <w:vAlign w:val="center"/>
          </w:tcPr>
          <w:p>
            <w:pPr>
              <w:pStyle w:val="TableContents"/>
              <w:bidi w:val="0"/>
              <w:spacing w:before="0" w:after="283"/>
              <w:ind w:left="0" w:right="0" w:hanging="0"/>
              <w:jc w:val="left"/>
              <w:rPr>
                <w:color w:val="14202A"/>
              </w:rPr>
            </w:pPr>
            <w:r>
              <w:rPr>
                <w:color w:val="14202A"/>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6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02" w:type="dxa"/>
            <w:gridSpan w:val="13"/>
            <w:tcBorders/>
            <w:vAlign w:val="center"/>
          </w:tcPr>
          <w:p>
            <w:pPr>
              <w:pStyle w:val="TableContents"/>
              <w:bidi w:val="0"/>
              <w:spacing w:before="0" w:after="283"/>
              <w:ind w:left="0" w:right="0" w:hanging="0"/>
              <w:jc w:val="left"/>
              <w:rPr>
                <w:color w:val="14202A"/>
              </w:rPr>
            </w:pPr>
            <w:r>
              <w:rPr>
                <w:color w:val="14202A"/>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6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02"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Inc.,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pStyle w:val="TableContents"/>
              <w:bidi w:val="0"/>
              <w:spacing w:before="0" w:after="283"/>
              <w:ind w:left="0" w:right="0" w:hanging="0"/>
              <w:jc w:val="left"/>
              <w:rPr>
                <w:color w:val="14202A"/>
              </w:rPr>
            </w:pPr>
            <w:r>
              <w:rPr>
                <w:color w:val="14202A"/>
              </w:rPr>
              <w:t> </w:t>
            </w:r>
          </w:p>
        </w:tc>
        <w:tc>
          <w:tcPr>
            <w:tcW w:w="218"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4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2" w:type="dxa"/>
            <w:gridSpan w:val="13"/>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52074x1_def14a_106-prop1_pg6"/>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485"/>
        <w:gridCol w:w="170"/>
        <w:gridCol w:w="170"/>
        <w:gridCol w:w="134"/>
        <w:gridCol w:w="254"/>
        <w:gridCol w:w="254"/>
        <w:gridCol w:w="209"/>
        <w:gridCol w:w="254"/>
        <w:gridCol w:w="254"/>
        <w:gridCol w:w="2537"/>
        <w:gridCol w:w="254"/>
        <w:gridCol w:w="254"/>
        <w:gridCol w:w="209"/>
        <w:gridCol w:w="254"/>
        <w:gridCol w:w="254"/>
        <w:gridCol w:w="2856"/>
        <w:gridCol w:w="218"/>
      </w:tblGrid>
      <w:tr>
        <w:trPr/>
        <w:tc>
          <w:tcPr>
            <w:tcW w:w="185" w:type="dxa"/>
            <w:tcBorders/>
            <w:shd w:fill="14202A" w:val="clear"/>
            <w:vAlign w:val="center"/>
          </w:tcPr>
          <w:p>
            <w:pPr>
              <w:pStyle w:val="TableContents"/>
              <w:bidi w:val="0"/>
              <w:spacing w:before="0" w:after="0"/>
              <w:jc w:val="left"/>
              <w:rPr/>
            </w:pPr>
            <w:r>
              <w:rPr/>
              <w:t> </w:t>
            </w:r>
          </w:p>
        </w:tc>
        <w:tc>
          <w:tcPr>
            <w:tcW w:w="14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7" w:type="dxa"/>
            <w:gridSpan w:val="13"/>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1485" w:type="dxa"/>
            <w:vMerge w:val="restart"/>
            <w:tcBorders/>
            <w:shd w:fill="14202A" w:val="clear"/>
            <w:vAlign w:val="center"/>
          </w:tcPr>
          <w:p>
            <w:pPr>
              <w:pStyle w:val="TableContents"/>
              <w:bidi w:val="0"/>
              <w:spacing w:before="0" w:after="283"/>
              <w:ind w:left="120" w:right="0" w:hanging="0"/>
              <w:jc w:val="left"/>
              <w:rPr>
                <w:color w:val="FFFFFF"/>
              </w:rPr>
            </w:pPr>
            <w:r>
              <w:rPr>
                <w:color w:val="FFFFFF"/>
              </w:rPr>
              <w:drawing>
                <wp:inline distT="0" distB="0" distL="0" distR="0">
                  <wp:extent cx="923925" cy="11525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6"/>
                          <a:stretch>
                            <a:fillRect/>
                          </a:stretch>
                        </pic:blipFill>
                        <pic:spPr bwMode="auto">
                          <a:xfrm>
                            <a:off x="0" y="0"/>
                            <a:ext cx="923925" cy="1152525"/>
                          </a:xfrm>
                          <a:prstGeom prst="rect">
                            <a:avLst/>
                          </a:prstGeom>
                        </pic:spPr>
                      </pic:pic>
                    </a:graphicData>
                  </a:graphic>
                </wp:inline>
              </w:drawing>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9"/>
              </w:rPr>
            </w:pPr>
            <w:r>
              <w:rPr>
                <w:rFonts w:ascii="Arial;Helvetica;sans-serif" w:hAnsi="Arial;Helvetica;sans-serif"/>
                <w:b/>
                <w:color w:val="FFFFFF"/>
                <w:sz w:val="19"/>
              </w:rPr>
              <w:t xml:space="preserve">David W. Miles </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Age </w:t>
            </w:r>
            <w:r>
              <w:rPr>
                <w:rFonts w:ascii="Arial;Helvetica;sans-serif" w:hAnsi="Arial;Helvetica;sans-serif"/>
                <w:b w:val="false"/>
                <w:color w:val="FFFFFF"/>
                <w:sz w:val="14"/>
              </w:rPr>
              <w:t>68</w:t>
            </w:r>
          </w:p>
          <w:p>
            <w:pPr>
              <w:pStyle w:val="TableContents"/>
              <w:bidi w:val="0"/>
              <w:spacing w:before="0" w:after="283"/>
              <w:ind w:left="12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Director since </w:t>
            </w:r>
            <w:r>
              <w:rPr>
                <w:rFonts w:ascii="Arial;Helvetica;sans-serif" w:hAnsi="Arial;Helvetica;sans-serif"/>
                <w:b w:val="false"/>
                <w:color w:val="FFFFFF"/>
                <w:sz w:val="14"/>
              </w:rPr>
              <w:t>2015</w:t>
            </w:r>
          </w:p>
          <w:p>
            <w:pPr>
              <w:pStyle w:val="TableContents"/>
              <w:bidi w:val="0"/>
              <w:spacing w:before="0" w:after="283"/>
              <w:ind w:left="120" w:right="0" w:hanging="0"/>
              <w:jc w:val="left"/>
              <w:rPr>
                <w:color w:val="FFFFFF"/>
              </w:rPr>
            </w:pPr>
            <w:r>
              <w:rPr>
                <w:color w:val="FFFFFF"/>
              </w:rPr>
              <w:t> </w:t>
            </w:r>
          </w:p>
          <w:p>
            <w:pPr>
              <w:pStyle w:val="TableContents"/>
              <w:bidi w:val="0"/>
              <w:spacing w:before="0" w:after="283"/>
              <w:ind w:left="120" w:right="0" w:hanging="0"/>
              <w:jc w:val="left"/>
              <w:rPr>
                <w:rFonts w:ascii="Arial;Helvetica;sans-serif" w:hAnsi="Arial;Helvetica;sans-serif"/>
                <w:b w:val="false"/>
                <w:color w:val="FFFFFF"/>
                <w:sz w:val="14"/>
              </w:rPr>
            </w:pPr>
            <w:r>
              <w:rPr>
                <w:rFonts w:ascii="Arial;Helvetica;sans-serif" w:hAnsi="Arial;Helvetica;sans-serif"/>
                <w:b w:val="false"/>
                <w:color w:val="FFFFFF"/>
                <w:sz w:val="14"/>
              </w:rPr>
              <w:t>Chair of the Board</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7" w:type="dxa"/>
            <w:gridSpan w:val="13"/>
            <w:tcBorders/>
            <w:vAlign w:val="center"/>
          </w:tcPr>
          <w:p>
            <w:pPr>
              <w:pStyle w:val="TableContents"/>
              <w:bidi w:val="0"/>
              <w:spacing w:before="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Skills and Qualifications: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4" w:type="dxa"/>
            <w:tcBorders/>
            <w:vAlign w:val="center"/>
          </w:tcPr>
          <w:p>
            <w:pPr>
              <w:pStyle w:val="TableContents"/>
              <w:bidi w:val="0"/>
              <w:spacing w:before="0" w:after="283"/>
              <w:ind w:left="0" w:right="0" w:hanging="0"/>
              <w:jc w:val="left"/>
              <w:rPr>
                <w:color w:val="14202A"/>
              </w:rPr>
            </w:pPr>
            <w:r>
              <w:rPr>
                <w:color w:val="14202A"/>
              </w:rPr>
              <w:t> </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283"/>
              <w:ind w:left="0" w:right="0" w:hanging="0"/>
              <w:jc w:val="left"/>
              <w:rPr>
                <w:color w:val="14202A"/>
              </w:rPr>
            </w:pPr>
            <w:r>
              <w:rPr>
                <w:color w:val="14202A"/>
              </w:rPr>
              <w:t>•</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Public/Private Company CEO</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283"/>
              <w:ind w:left="0" w:right="0" w:hanging="0"/>
              <w:jc w:val="left"/>
              <w:rPr>
                <w:color w:val="14202A"/>
              </w:rPr>
            </w:pPr>
            <w:r>
              <w:rPr>
                <w:color w:val="14202A"/>
              </w:rPr>
              <w:t>•</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Technology Leader/Data &amp; Analytics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4" w:type="dxa"/>
            <w:tcBorders/>
            <w:vAlign w:val="center"/>
          </w:tcPr>
          <w:p>
            <w:pPr>
              <w:pStyle w:val="TableContents"/>
              <w:bidi w:val="0"/>
              <w:spacing w:before="0" w:after="283"/>
              <w:ind w:left="0" w:right="0" w:hanging="0"/>
              <w:jc w:val="left"/>
              <w:rPr>
                <w:color w:val="14202A"/>
              </w:rPr>
            </w:pPr>
            <w:r>
              <w:rPr>
                <w:color w:val="14202A"/>
              </w:rPr>
              <w:t> </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283"/>
              <w:ind w:left="0" w:right="0" w:hanging="0"/>
              <w:jc w:val="left"/>
              <w:rPr>
                <w:color w:val="14202A"/>
              </w:rPr>
            </w:pPr>
            <w:r>
              <w:rPr>
                <w:color w:val="14202A"/>
              </w:rPr>
              <w:t>•</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537"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Strategic Transformation</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283"/>
              <w:ind w:left="0" w:right="0" w:hanging="0"/>
              <w:jc w:val="left"/>
              <w:rPr>
                <w:color w:val="14202A"/>
              </w:rPr>
            </w:pPr>
            <w:r>
              <w:rPr>
                <w:color w:val="14202A"/>
              </w:rPr>
              <w:t>•</w:t>
            </w:r>
          </w:p>
        </w:tc>
        <w:tc>
          <w:tcPr>
            <w:tcW w:w="254"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Public Affairs/Stakeholder Management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77" w:type="dxa"/>
            <w:gridSpan w:val="13"/>
            <w:tcBorders/>
            <w:vAlign w:val="center"/>
          </w:tcPr>
          <w:p>
            <w:pPr>
              <w:pStyle w:val="TableContents"/>
              <w:bidi w:val="0"/>
              <w:spacing w:before="0" w:after="283"/>
              <w:ind w:left="0" w:right="0" w:hanging="0"/>
              <w:jc w:val="left"/>
              <w:rPr>
                <w:color w:val="14202A"/>
              </w:rPr>
            </w:pPr>
            <w:r>
              <w:rPr>
                <w:color w:val="14202A"/>
              </w:rPr>
              <w:t> </w:t>
            </w:r>
          </w:p>
        </w:tc>
        <w:tc>
          <w:tcPr>
            <w:tcW w:w="218" w:type="dxa"/>
            <w:tcBorders/>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148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77" w:type="dxa"/>
            <w:gridSpan w:val="13"/>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David W. Miles, a financial adviser, entrepreneur and investor, was elected as Chair of the Board in June 2019. Mr. Miles is co-founder and Managing Principal of ManchesterStory Group, an early-stage venture capital firm, and founder and manager of The Miles Group, LLC, which makes direct and indirect private equity investments. He is also a director and member of the Audit Committee of Northwest Financial Corporation. Until the company’s sale in March 2020, Mr. Miles was the principal owner of Miles Capital, Inc., an institutional asset management firm serving insurance companies, public bodies, foundations and endowments, and high net worth investors, where he worked for over 23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 $30 billion. Mr. Miles brings legal and investment transaction experience to the Board and holds a J.D. from Harvard Law School. He also brings significant expertise in financial reporting and capital allocation strategy.</w:t>
            </w:r>
          </w:p>
        </w:tc>
        <w:tc>
          <w:tcPr>
            <w:tcW w:w="218" w:type="dxa"/>
            <w:tcBorders/>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4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7" w:type="dxa"/>
            <w:gridSpan w:val="13"/>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52074x1_def14a_107-director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55" w:name="tDC"/>
      <w:bookmarkEnd w:id="55"/>
      <w:r>
        <w:rPr>
          <w:rFonts w:ascii="Arial;Helvetica;sans-serif" w:hAnsi="Arial;Helvetica;sans-serif"/>
          <w:b/>
          <w:color w:val="14202A"/>
          <w:sz w:val="30"/>
        </w:rPr>
        <w:t xml:space="preserve">Director Compensation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approves non-employee director compensation based on recommendations of the Human Resources Committee.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 Based on the committee’s review of our director compensation program with Semler Brossy, the committee recommended, and the Board approved, maintaining the current director compensation program for Fiscal 2026.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Employee directors receive no additional compensation for serving on the Board or its committees. Non-employee directors receive the following for their service on the Board: </w:t>
      </w:r>
    </w:p>
    <w:tbl>
      <w:tblPr>
        <w:tblW w:w="8640" w:type="dxa"/>
        <w:jc w:val="left"/>
        <w:tblInd w:w="0" w:type="dxa"/>
        <w:tblLayout w:type="fixed"/>
        <w:tblCellMar>
          <w:top w:w="0" w:type="dxa"/>
          <w:left w:w="0" w:type="dxa"/>
          <w:bottom w:w="0" w:type="dxa"/>
          <w:right w:w="0" w:type="dxa"/>
        </w:tblCellMar>
      </w:tblPr>
      <w:tblGrid>
        <w:gridCol w:w="185"/>
        <w:gridCol w:w="5345"/>
        <w:gridCol w:w="170"/>
        <w:gridCol w:w="170"/>
        <w:gridCol w:w="1385"/>
        <w:gridCol w:w="170"/>
        <w:gridCol w:w="170"/>
        <w:gridCol w:w="830"/>
        <w:gridCol w:w="215"/>
      </w:tblGrid>
      <w:tr>
        <w:trPr/>
        <w:tc>
          <w:tcPr>
            <w:tcW w:w="185" w:type="dxa"/>
            <w:tcBorders/>
            <w:shd w:fill="14202A" w:val="clear"/>
            <w:vAlign w:val="center"/>
          </w:tcPr>
          <w:p>
            <w:pPr>
              <w:pStyle w:val="TableContents"/>
              <w:bidi w:val="0"/>
              <w:spacing w:before="0" w:after="0"/>
              <w:jc w:val="left"/>
              <w:rPr/>
            </w:pPr>
            <w:r>
              <w:rPr/>
              <w:t> </w:t>
            </w:r>
          </w:p>
        </w:tc>
        <w:tc>
          <w:tcPr>
            <w:tcW w:w="534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534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Compensation Element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85" w:type="dxa"/>
            <w:tcBorders/>
            <w:shd w:fill="14202A" w:val="clear"/>
            <w:vAlign w:val="center"/>
          </w:tcPr>
          <w:p>
            <w:pPr>
              <w:pStyle w:val="TableContents"/>
              <w:bidi w:val="0"/>
              <w:spacing w:before="0" w:after="283"/>
              <w:jc w:val="center"/>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45"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Annual Board Cash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748"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0" w:type="dxa"/>
            <w:vMerge w:val="restart"/>
            <w:tcBorders>
              <w:bottom w:val="single" w:sz="8" w:space="0" w:color="14202A"/>
            </w:tcBorders>
            <w:tcMar>
              <w:bottom w:w="88" w:type="dxa"/>
            </w:tcMar>
            <w:vAlign w:val="center"/>
          </w:tcPr>
          <w:p>
            <w:pPr>
              <w:pStyle w:val="TableContents"/>
              <w:bidi w:val="0"/>
              <w:spacing w:before="0" w:after="283"/>
              <w:ind w:left="45"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 xml:space="preserve">90,000 </w:t>
            </w:r>
          </w:p>
        </w:tc>
        <w:tc>
          <w:tcPr>
            <w:tcW w:w="21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534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 • </w:t>
            </w:r>
          </w:p>
          <w:p>
            <w:pPr>
              <w:pStyle w:val="TableContents"/>
              <w:bidi w:val="0"/>
              <w:spacing w:before="0" w:after="283"/>
              <w:jc w:val="left"/>
              <w:rPr>
                <w:rFonts w:ascii="Arial;Helvetica;sans-serif" w:hAnsi="Arial;Helvetica;sans-serif"/>
                <w:b/>
                <w:color w:val="14202A"/>
                <w:sz w:val="16"/>
              </w:rPr>
            </w:pPr>
            <w:r>
              <w:rPr>
                <w:rFonts w:ascii="Arial;Helvetica;sans-serif" w:hAnsi="Arial;Helvetica;sans-serif"/>
                <w:b/>
                <w:color w:val="14202A"/>
                <w:sz w:val="16"/>
              </w:rPr>
              <w:t>Payable in quarterly installments in arrears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85" w:type="dxa"/>
            <w:tcBorders>
              <w:bottom w:val="single" w:sz="8" w:space="0" w:color="14202A"/>
            </w:tcBorders>
            <w:tcMar>
              <w:bottom w:w="88" w:type="dxa"/>
            </w:tcMar>
            <w:vAlign w:val="center"/>
          </w:tcPr>
          <w:p>
            <w:pPr>
              <w:pStyle w:val="TableContents"/>
              <w:bidi w:val="0"/>
              <w:spacing w:before="0" w:after="283"/>
              <w:ind w:left="74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0" w:type="dxa"/>
            <w:vMerge w:val="continue"/>
            <w:tcBorders>
              <w:bottom w:val="single" w:sz="8" w:space="0" w:color="14202A"/>
            </w:tcBorders>
            <w:tcMar>
              <w:bottom w:w="88" w:type="dxa"/>
            </w:tcMar>
            <w:vAlign w:val="center"/>
          </w:tcPr>
          <w:p>
            <w:pPr>
              <w:pStyle w:val="Normal"/>
              <w:bidi w:val="0"/>
              <w:jc w:val="left"/>
              <w:rPr/>
            </w:pPr>
            <w:r>
              <w:rPr/>
            </w:r>
          </w:p>
        </w:tc>
        <w:tc>
          <w:tcPr>
            <w:tcW w:w="215" w:type="dxa"/>
            <w:vMerge w:val="continue"/>
            <w:tcBorders>
              <w:bottom w:val="single" w:sz="8" w:space="0" w:color="14202A"/>
            </w:tcBorders>
            <w:tcMar>
              <w:bottom w:w="28" w:type="dxa"/>
            </w:tcM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5345" w:type="dxa"/>
            <w:tcBorders/>
            <w:vAlign w:val="center"/>
          </w:tcPr>
          <w:p>
            <w:pPr>
              <w:pStyle w:val="TableContents"/>
              <w:bidi w:val="0"/>
              <w:spacing w:before="0" w:after="283"/>
              <w:ind w:left="240" w:right="0" w:hanging="180"/>
              <w:jc w:val="left"/>
              <w:rPr>
                <w:rFonts w:ascii="Arial;Helvetica;sans-serif" w:hAnsi="Arial;Helvetica;sans-serif"/>
                <w:b/>
                <w:color w:val="14202A"/>
                <w:sz w:val="16"/>
              </w:rPr>
            </w:pPr>
            <w:r>
              <w:rPr>
                <w:rFonts w:ascii="Arial;Helvetica;sans-serif" w:hAnsi="Arial;Helvetica;sans-serif"/>
                <w:b/>
                <w:color w:val="14202A"/>
                <w:sz w:val="16"/>
              </w:rPr>
              <w:t>Annual Board/New Board Member Equity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748"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0" w:type="dxa"/>
            <w:vMerge w:val="restart"/>
            <w:tcBorders>
              <w:bottom w:val="single" w:sz="8" w:space="0" w:color="14202A"/>
            </w:tcBorders>
            <w:tcMar>
              <w:bottom w:w="88" w:type="dxa"/>
            </w:tcMar>
            <w:vAlign w:val="center"/>
          </w:tcPr>
          <w:p>
            <w:pPr>
              <w:pStyle w:val="TableContents"/>
              <w:bidi w:val="0"/>
              <w:spacing w:before="0" w:after="283"/>
              <w:ind w:left="45" w:right="0" w:hanging="0"/>
              <w:jc w:val="left"/>
              <w:rPr>
                <w:rFonts w:ascii="Arial;Helvetica;sans-serif" w:hAnsi="Arial;Helvetica;sans-serif"/>
                <w:color w:val="14202A"/>
                <w:sz w:val="16"/>
              </w:rPr>
            </w:pPr>
            <w:r>
              <w:rPr>
                <w:rFonts w:ascii="Arial;Helvetica;sans-serif" w:hAnsi="Arial;Helvetica;sans-serif"/>
                <w:color w:val="14202A"/>
                <w:sz w:val="16"/>
              </w:rPr>
              <w:t xml:space="preserve">$150,000 </w:t>
            </w:r>
          </w:p>
        </w:tc>
        <w:tc>
          <w:tcPr>
            <w:tcW w:w="21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534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 • </w:t>
            </w:r>
          </w:p>
          <w:p>
            <w:pPr>
              <w:pStyle w:val="TableContents"/>
              <w:bidi w:val="0"/>
              <w:spacing w:before="0" w:after="283"/>
              <w:jc w:val="left"/>
              <w:rPr>
                <w:rFonts w:ascii="Arial;Helvetica;sans-serif" w:hAnsi="Arial;Helvetica;sans-serif"/>
                <w:b/>
                <w:color w:val="14202A"/>
                <w:sz w:val="16"/>
              </w:rPr>
            </w:pPr>
            <w:r>
              <w:rPr>
                <w:rFonts w:ascii="Arial;Helvetica;sans-serif" w:hAnsi="Arial;Helvetica;sans-serif"/>
                <w:b/>
                <w:color w:val="14202A"/>
                <w:sz w:val="16"/>
              </w:rPr>
              <w:t>Granted in the form of restricted stock units for the upcoming year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85" w:type="dxa"/>
            <w:tcBorders>
              <w:bottom w:val="single" w:sz="8" w:space="0" w:color="14202A"/>
            </w:tcBorders>
            <w:tcMar>
              <w:bottom w:w="88" w:type="dxa"/>
            </w:tcMar>
            <w:vAlign w:val="center"/>
          </w:tcPr>
          <w:p>
            <w:pPr>
              <w:pStyle w:val="TableContents"/>
              <w:bidi w:val="0"/>
              <w:spacing w:before="0" w:after="283"/>
              <w:ind w:left="74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0" w:type="dxa"/>
            <w:vMerge w:val="continue"/>
            <w:tcBorders>
              <w:bottom w:val="single" w:sz="8" w:space="0" w:color="14202A"/>
            </w:tcBorders>
            <w:tcMar>
              <w:bottom w:w="88" w:type="dxa"/>
            </w:tcMar>
            <w:vAlign w:val="center"/>
          </w:tcPr>
          <w:p>
            <w:pPr>
              <w:pStyle w:val="Normal"/>
              <w:bidi w:val="0"/>
              <w:jc w:val="left"/>
              <w:rPr/>
            </w:pPr>
            <w:r>
              <w:rPr/>
            </w:r>
          </w:p>
        </w:tc>
        <w:tc>
          <w:tcPr>
            <w:tcW w:w="215" w:type="dxa"/>
            <w:vMerge w:val="continue"/>
            <w:tcBorders>
              <w:bottom w:val="single" w:sz="8" w:space="0" w:color="14202A"/>
            </w:tcBorders>
            <w:tcMar>
              <w:bottom w:w="28" w:type="dxa"/>
            </w:tcM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5345"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Annual Board Chair Cash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748"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830" w:type="dxa"/>
            <w:vMerge w:val="restart"/>
            <w:tcBorders>
              <w:bottom w:val="single" w:sz="8" w:space="0" w:color="14202A"/>
            </w:tcBorders>
            <w:tcMar>
              <w:bottom w:w="88" w:type="dxa"/>
            </w:tcMar>
            <w:vAlign w:val="center"/>
          </w:tcPr>
          <w:p>
            <w:pPr>
              <w:pStyle w:val="TableContents"/>
              <w:bidi w:val="0"/>
              <w:spacing w:before="0" w:after="283"/>
              <w:ind w:left="45" w:right="0" w:hanging="0"/>
              <w:jc w:val="left"/>
              <w:rPr>
                <w:rFonts w:ascii="Arial;Helvetica;sans-serif" w:hAnsi="Arial;Helvetica;sans-serif"/>
                <w:color w:val="14202A"/>
                <w:sz w:val="16"/>
              </w:rPr>
            </w:pPr>
            <w:r>
              <w:rPr>
                <w:rFonts w:ascii="Arial;Helvetica;sans-serif" w:hAnsi="Arial;Helvetica;sans-serif"/>
                <w:color w:val="14202A"/>
                <w:sz w:val="16"/>
              </w:rPr>
              <w:t xml:space="preserve">$150,000 </w:t>
            </w:r>
          </w:p>
        </w:tc>
        <w:tc>
          <w:tcPr>
            <w:tcW w:w="21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534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 • </w:t>
            </w:r>
          </w:p>
          <w:p>
            <w:pPr>
              <w:pStyle w:val="TableContents"/>
              <w:bidi w:val="0"/>
              <w:spacing w:before="0" w:after="283"/>
              <w:jc w:val="left"/>
              <w:rPr>
                <w:rFonts w:ascii="Arial;Helvetica;sans-serif" w:hAnsi="Arial;Helvetica;sans-serif"/>
                <w:b/>
                <w:color w:val="14202A"/>
                <w:sz w:val="16"/>
              </w:rPr>
            </w:pPr>
            <w:r>
              <w:rPr>
                <w:rFonts w:ascii="Arial;Helvetica;sans-serif" w:hAnsi="Arial;Helvetica;sans-serif"/>
                <w:b/>
                <w:color w:val="14202A"/>
                <w:sz w:val="16"/>
              </w:rPr>
              <w:t>Payable in quarterly installments in arrears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85" w:type="dxa"/>
            <w:tcBorders>
              <w:bottom w:val="single" w:sz="8" w:space="0" w:color="14202A"/>
            </w:tcBorders>
            <w:tcMar>
              <w:bottom w:w="88" w:type="dxa"/>
            </w:tcMar>
            <w:vAlign w:val="center"/>
          </w:tcPr>
          <w:p>
            <w:pPr>
              <w:pStyle w:val="TableContents"/>
              <w:bidi w:val="0"/>
              <w:spacing w:before="0" w:after="283"/>
              <w:ind w:left="74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830" w:type="dxa"/>
            <w:vMerge w:val="continue"/>
            <w:tcBorders>
              <w:bottom w:val="single" w:sz="8" w:space="0" w:color="14202A"/>
            </w:tcBorders>
            <w:tcMar>
              <w:bottom w:w="88" w:type="dxa"/>
            </w:tcMar>
            <w:vAlign w:val="center"/>
          </w:tcPr>
          <w:p>
            <w:pPr>
              <w:pStyle w:val="Normal"/>
              <w:bidi w:val="0"/>
              <w:jc w:val="left"/>
              <w:rPr/>
            </w:pPr>
            <w:r>
              <w:rPr/>
            </w:r>
          </w:p>
        </w:tc>
        <w:tc>
          <w:tcPr>
            <w:tcW w:w="215" w:type="dxa"/>
            <w:vMerge w:val="continue"/>
            <w:tcBorders>
              <w:bottom w:val="single" w:sz="8" w:space="0" w:color="14202A"/>
            </w:tcBorders>
            <w:tcMar>
              <w:bottom w:w="28" w:type="dxa"/>
            </w:tcM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5345"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Annual Committee Chair Cash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5"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 xml:space="preserve">20,000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45" w:type="dxa"/>
            <w:tcBorders/>
            <w:vAlign w:val="center"/>
          </w:tcPr>
          <w:p>
            <w:pPr>
              <w:pStyle w:val="TableContents"/>
              <w:bidi w:val="0"/>
              <w:spacing w:before="0" w:after="283"/>
              <w:ind w:left="60" w:right="0" w:hanging="0"/>
              <w:jc w:val="left"/>
              <w:rPr>
                <w:color w:val="14202A"/>
              </w:rPr>
            </w:pPr>
            <w:r>
              <w:rPr>
                <w:color w:val="14202A"/>
              </w:rPr>
              <w:t> • </w:t>
            </w:r>
          </w:p>
          <w:p>
            <w:pPr>
              <w:pStyle w:val="TableContents"/>
              <w:bidi w:val="0"/>
              <w:spacing w:before="0" w:after="283"/>
              <w:jc w:val="left"/>
              <w:rPr>
                <w:rFonts w:ascii="Arial;Helvetica;sans-serif" w:hAnsi="Arial;Helvetica;sans-serif"/>
                <w:b/>
                <w:color w:val="14202A"/>
                <w:sz w:val="16"/>
              </w:rPr>
            </w:pPr>
            <w:r>
              <w:rPr>
                <w:rFonts w:ascii="Arial;Helvetica;sans-serif" w:hAnsi="Arial;Helvetica;sans-serif"/>
                <w:b/>
                <w:color w:val="14202A"/>
                <w:sz w:val="16"/>
              </w:rPr>
              <w:t>Payable in quarterly installments in arrears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Other Committees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5"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15,000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534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8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 that provides for accelerated vesting of the award upon retirement from the Board at the conclusion of his or her term.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6" w:name="ny20052074x1_def14a_107-director_pg2"/>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57" w:name="tUOWI"/>
      <w:bookmarkEnd w:id="57"/>
      <w:r>
        <w:rPr>
          <w:rFonts w:ascii="Arial;Helvetica;sans-serif" w:hAnsi="Arial;Helvetica;sans-serif"/>
          <w:b/>
          <w:color w:val="D8E47A"/>
          <w:sz w:val="24"/>
        </w:rPr>
        <w:t xml:space="preserve">Use of Winnebago Industries Products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encourage each of our independent directors to use our recreational vehicles and boats on a periodic and temporary basis at no charge to gain a first-hand understanding of the outdoor lifestyle experienced by our customers and to provide our directors with the opportunity to evaluate product design and efficiency. </w:t>
      </w:r>
    </w:p>
    <w:p>
      <w:pPr>
        <w:pStyle w:val="TextBody"/>
        <w:bidi w:val="0"/>
        <w:spacing w:before="300" w:after="283"/>
        <w:ind w:left="0" w:right="0" w:hanging="0"/>
        <w:jc w:val="left"/>
        <w:rPr>
          <w:rFonts w:ascii="Arial;Helvetica;sans-serif" w:hAnsi="Arial;Helvetica;sans-serif"/>
          <w:b/>
          <w:color w:val="D8E47A"/>
          <w:sz w:val="24"/>
        </w:rPr>
      </w:pPr>
      <w:bookmarkStart w:id="58" w:name="tDCT"/>
      <w:bookmarkEnd w:id="58"/>
      <w:r>
        <w:rPr>
          <w:rFonts w:ascii="Arial;Helvetica;sans-serif" w:hAnsi="Arial;Helvetica;sans-serif"/>
          <w:b/>
          <w:color w:val="D8E47A"/>
          <w:sz w:val="24"/>
        </w:rPr>
        <w:t xml:space="preserve">Director Compensation Table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sets forth the total compensation paid to each non-employee director for Fiscal 2025: </w:t>
      </w:r>
    </w:p>
    <w:tbl>
      <w:tblPr>
        <w:tblW w:w="6765" w:type="dxa"/>
        <w:jc w:val="left"/>
        <w:tblInd w:w="0" w:type="dxa"/>
        <w:tblLayout w:type="fixed"/>
        <w:tblCellMar>
          <w:top w:w="0" w:type="dxa"/>
          <w:left w:w="0" w:type="dxa"/>
          <w:bottom w:w="0" w:type="dxa"/>
          <w:right w:w="0" w:type="dxa"/>
        </w:tblCellMar>
      </w:tblPr>
      <w:tblGrid>
        <w:gridCol w:w="185"/>
        <w:gridCol w:w="1760"/>
        <w:gridCol w:w="170"/>
        <w:gridCol w:w="170"/>
        <w:gridCol w:w="845"/>
        <w:gridCol w:w="170"/>
        <w:gridCol w:w="170"/>
        <w:gridCol w:w="650"/>
        <w:gridCol w:w="170"/>
        <w:gridCol w:w="170"/>
        <w:gridCol w:w="1070"/>
        <w:gridCol w:w="170"/>
        <w:gridCol w:w="170"/>
        <w:gridCol w:w="680"/>
        <w:gridCol w:w="215"/>
      </w:tblGrid>
      <w:tr>
        <w:trPr/>
        <w:tc>
          <w:tcPr>
            <w:tcW w:w="185" w:type="dxa"/>
            <w:tcBorders/>
            <w:shd w:fill="14202A" w:val="clear"/>
            <w:vAlign w:val="center"/>
          </w:tcPr>
          <w:p>
            <w:pPr>
              <w:pStyle w:val="TableContents"/>
              <w:bidi w:val="0"/>
              <w:spacing w:before="0" w:after="0"/>
              <w:jc w:val="left"/>
              <w:rPr/>
            </w:pPr>
            <w:r>
              <w:rPr/>
              <w:t> </w:t>
            </w:r>
          </w:p>
        </w:tc>
        <w:tc>
          <w:tcPr>
            <w:tcW w:w="17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4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8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760"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Director</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4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Fees Earned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or Paid in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Cash</w:t>
            </w:r>
            <w:r>
              <w:rPr>
                <w:rFonts w:ascii="Arial;Helvetica;sans-serif" w:hAnsi="Arial;Helvetica;sans-serif"/>
                <w:b/>
                <w:color w:val="FFFFFF"/>
                <w:position w:val="5"/>
                <w:sz w:val="11"/>
                <w:sz w:val="14"/>
              </w:rPr>
              <w:t>(1)(2)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r>
              <w:rPr>
                <w:rFonts w:ascii="Arial;Helvetica;sans-serif" w:hAnsi="Arial;Helvetica;sans-serif"/>
                <w:b/>
                <w:color w:val="FFFFFF"/>
                <w:position w:val="5"/>
                <w:sz w:val="11"/>
                <w:sz w:val="14"/>
              </w:rPr>
              <w:t>(3)</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r>
              <w:rPr>
                <w:rFonts w:ascii="Arial;Helvetica;sans-serif" w:hAnsi="Arial;Helvetica;sans-serif"/>
                <w:b/>
                <w:color w:val="FFFFFF"/>
                <w:position w:val="5"/>
                <w:sz w:val="11"/>
                <w:sz w:val="14"/>
              </w:rPr>
              <w:t>(4)</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8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Sara E. Armbruster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100,574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250,574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Christopher J. Braun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90,000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240,000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Kevin E. Bryant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107,841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257,841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William C. Fisher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94,488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244,488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Staci L. Kroon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color w:val="14202A"/>
              </w:rPr>
            </w:pPr>
            <w:r>
              <w:rPr>
                <w:color w:val="14202A"/>
              </w:rPr>
              <w:t>​</w:t>
            </w:r>
            <w:r>
              <w:rPr>
                <w:rFonts w:ascii="Arial;Helvetica;sans-serif" w:hAnsi="Arial;Helvetica;sans-serif"/>
                <w:color w:val="14202A"/>
                <w:sz w:val="16"/>
              </w:rPr>
              <w:t>100,574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250,574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David W. Miles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240,000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390,000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Richard D. Moss</w:t>
            </w:r>
            <w:r>
              <w:rPr>
                <w:rFonts w:ascii="Arial;Helvetica;sans-serif" w:hAnsi="Arial;Helvetica;sans-serif"/>
                <w:color w:val="14202A"/>
                <w:position w:val="5"/>
                <w:sz w:val="13"/>
                <w:sz w:val="16"/>
              </w:rPr>
              <w:t>(5)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27,501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177,501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John M. Murabito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105,000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255,000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E. Pack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58,308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96,698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88" w:type="dxa"/>
            </w:tcMar>
            <w:vAlign w:val="center"/>
          </w:tcPr>
          <w:p>
            <w:pPr>
              <w:pStyle w:val="TableContents"/>
              <w:bidi w:val="0"/>
              <w:spacing w:before="0" w:after="283"/>
              <w:ind w:left="64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 xml:space="preserve">155,006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Jacqueline D. Woods</w:t>
            </w:r>
            <w:r>
              <w:rPr>
                <w:rFonts w:ascii="Arial;Helvetica;sans-serif" w:hAnsi="Arial;Helvetica;sans-serif"/>
                <w:color w:val="14202A"/>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421" w:right="0" w:hanging="0"/>
              <w:jc w:val="left"/>
              <w:rPr>
                <w:rFonts w:ascii="Arial;Helvetica;sans-serif" w:hAnsi="Arial;Helvetica;sans-serif"/>
                <w:color w:val="14202A"/>
                <w:sz w:val="16"/>
              </w:rPr>
            </w:pPr>
            <w:r>
              <w:rPr>
                <w:rFonts w:ascii="Arial;Helvetica;sans-serif" w:hAnsi="Arial;Helvetica;sans-serif"/>
                <w:color w:val="14202A"/>
                <w:sz w:val="16"/>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640"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96" w:right="0" w:hanging="0"/>
              <w:jc w:val="left"/>
              <w:rPr>
                <w:rFonts w:ascii="Arial;Helvetica;sans-serif" w:hAnsi="Arial;Helvetica;sans-serif"/>
                <w:color w:val="14202A"/>
                <w:sz w:val="16"/>
              </w:rPr>
            </w:pPr>
            <w:r>
              <w:rPr>
                <w:rFonts w:ascii="Arial;Helvetica;sans-serif" w:hAnsi="Arial;Helvetica;sans-serif"/>
                <w:color w:val="14202A"/>
                <w:sz w:val="16"/>
              </w:rPr>
              <w:t>240,000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7810" w:type="dxa"/>
        <w:jc w:val="left"/>
        <w:tblInd w:w="0" w:type="dxa"/>
        <w:tblLayout w:type="fixed"/>
        <w:tblCellMar>
          <w:top w:w="0" w:type="dxa"/>
          <w:left w:w="0" w:type="dxa"/>
          <w:bottom w:w="0" w:type="dxa"/>
          <w:right w:w="0" w:type="dxa"/>
        </w:tblCellMar>
      </w:tblPr>
      <w:tblGrid>
        <w:gridCol w:w="215"/>
        <w:gridCol w:w="759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75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Our directors may elect to receive retainer fees in cash or may defer their retainer fees into the Directors’ Deferred Plan.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1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During Fiscal 2025, the Board Chair received an additional $150,000 per year, the Audit Committee Chair received an additional $20,000 annual retainer, and the Chairs of the other Board committees received an additional $15,000 annual retainer, each of which are reflected in these figures.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These awards are valued at $58.87 per share, the closing stock price on October 15, 2024, the date of the restricted stock unit grant, except for Mr. Pack’s award, which is valued at $48.47, the closing stock price on January 8, 2025, the date of his restricted stock unit grant. </w:t>
            </w:r>
          </w:p>
        </w:tc>
      </w:tr>
    </w:tbl>
    <w:tbl>
      <w:tblPr>
        <w:tblW w:w="7435" w:type="dxa"/>
        <w:jc w:val="left"/>
        <w:tblInd w:w="0" w:type="dxa"/>
        <w:tblLayout w:type="fixed"/>
        <w:tblCellMar>
          <w:top w:w="0" w:type="dxa"/>
          <w:left w:w="0" w:type="dxa"/>
          <w:bottom w:w="0" w:type="dxa"/>
          <w:right w:w="0" w:type="dxa"/>
        </w:tblCellMar>
      </w:tblPr>
      <w:tblGrid>
        <w:gridCol w:w="215"/>
        <w:gridCol w:w="722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722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None of the directors received perquisites and other personal benefits in an aggregate amount of $10,000 or more. </w:t>
            </w:r>
          </w:p>
        </w:tc>
      </w:tr>
    </w:tbl>
    <w:tbl>
      <w:tblPr>
        <w:tblW w:w="5080" w:type="dxa"/>
        <w:jc w:val="left"/>
        <w:tblInd w:w="0" w:type="dxa"/>
        <w:tblLayout w:type="fixed"/>
        <w:tblCellMar>
          <w:top w:w="0" w:type="dxa"/>
          <w:left w:w="0" w:type="dxa"/>
          <w:bottom w:w="0" w:type="dxa"/>
          <w:right w:w="0" w:type="dxa"/>
        </w:tblCellMar>
      </w:tblPr>
      <w:tblGrid>
        <w:gridCol w:w="215"/>
        <w:gridCol w:w="486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486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Mr. Moss retired from the Board at the 2024 annual meeting of shareholders.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(6)</w:t>
            </w:r>
          </w:p>
        </w:tc>
        <w:tc>
          <w:tcPr>
            <w:tcW w:w="999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In connection with Ms. Woods’ resignation from the Board effective August 4, 2025, the Board accelerated the vesting of Ms. Woods’ restricted stock unit effective as of her resignation.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52074x1_def14a_107-director_pg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60" w:name="tNMDEAOA"/>
      <w:bookmarkEnd w:id="60"/>
      <w:r>
        <w:rPr>
          <w:rFonts w:ascii="Arial;Helvetica;sans-serif" w:hAnsi="Arial;Helvetica;sans-serif"/>
          <w:b/>
          <w:color w:val="D8E47A"/>
          <w:sz w:val="24"/>
        </w:rPr>
        <w:t xml:space="preserve">Non-Employee Director Equity Awards Outstanding as of August 30, 2025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of August 30, 2025, our non-employee directors held the unvested restricted stock awards and stock units set forth below. The stock units in the right column were granted under the Directors’ Deferred Plan described below. </w:t>
      </w:r>
    </w:p>
    <w:tbl>
      <w:tblPr>
        <w:tblW w:w="4395" w:type="dxa"/>
        <w:jc w:val="left"/>
        <w:tblInd w:w="0" w:type="dxa"/>
        <w:tblLayout w:type="fixed"/>
        <w:tblCellMar>
          <w:top w:w="0" w:type="dxa"/>
          <w:left w:w="0" w:type="dxa"/>
          <w:bottom w:w="0" w:type="dxa"/>
          <w:right w:w="0" w:type="dxa"/>
        </w:tblCellMar>
      </w:tblPr>
      <w:tblGrid>
        <w:gridCol w:w="185"/>
        <w:gridCol w:w="1595"/>
        <w:gridCol w:w="170"/>
        <w:gridCol w:w="170"/>
        <w:gridCol w:w="1070"/>
        <w:gridCol w:w="170"/>
        <w:gridCol w:w="170"/>
        <w:gridCol w:w="650"/>
        <w:gridCol w:w="215"/>
      </w:tblGrid>
      <w:tr>
        <w:trPr/>
        <w:tc>
          <w:tcPr>
            <w:tcW w:w="185" w:type="dxa"/>
            <w:tcBorders/>
            <w:shd w:fill="14202A" w:val="clear"/>
            <w:vAlign w:val="center"/>
          </w:tcPr>
          <w:p>
            <w:pPr>
              <w:pStyle w:val="TableContents"/>
              <w:bidi w:val="0"/>
              <w:spacing w:before="0" w:after="0"/>
              <w:jc w:val="left"/>
              <w:rPr/>
            </w:pPr>
            <w:r>
              <w:rPr/>
              <w:t> </w:t>
            </w:r>
          </w:p>
        </w:tc>
        <w:tc>
          <w:tcPr>
            <w:tcW w:w="15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5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59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Director</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Restricted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Awards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Units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Deferred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Sara E. Armbruster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2,548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Christopher J. Braun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7,288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Kevin E. Bryant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2,548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William C. Fisher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13,288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rFonts w:ascii="Arial;Helvetica;sans-serif" w:hAnsi="Arial;Helvetica;sans-serif"/>
                <w:color w:val="14202A"/>
                <w:sz w:val="16"/>
              </w:rPr>
            </w:pPr>
            <w:r>
              <w:rPr>
                <w:rFonts w:ascii="Arial;Helvetica;sans-serif" w:hAnsi="Arial;Helvetica;sans-serif"/>
                <w:color w:val="14202A"/>
                <w:sz w:val="16"/>
              </w:rPr>
              <w:t xml:space="preserve">6,327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Staci L. Kroon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2,548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David W. Miles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7,288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color w:val="14202A"/>
              </w:rPr>
            </w:pPr>
            <w:r>
              <w:rPr>
                <w:color w:val="14202A"/>
              </w:rPr>
              <w:t>​</w:t>
            </w:r>
            <w:r>
              <w:rPr>
                <w:rFonts w:ascii="Arial;Helvetica;sans-serif" w:hAnsi="Arial;Helvetica;sans-serif"/>
                <w:color w:val="14202A"/>
                <w:sz w:val="16"/>
              </w:rPr>
              <w:t xml:space="preserve">12,346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Richard D. Moss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John M. Murabito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4,688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E. Pack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63" w:type="dxa"/>
            </w:tcMar>
            <w:vAlign w:val="center"/>
          </w:tcPr>
          <w:p>
            <w:pPr>
              <w:pStyle w:val="TableContents"/>
              <w:bidi w:val="0"/>
              <w:spacing w:before="0" w:after="283"/>
              <w:ind w:left="304" w:right="0" w:hanging="0"/>
              <w:jc w:val="left"/>
              <w:rPr>
                <w:rFonts w:ascii="Arial;Helvetica;sans-serif" w:hAnsi="Arial;Helvetica;sans-serif"/>
                <w:color w:val="14202A"/>
                <w:sz w:val="16"/>
              </w:rPr>
            </w:pPr>
            <w:r>
              <w:rPr>
                <w:rFonts w:ascii="Arial;Helvetica;sans-serif" w:hAnsi="Arial;Helvetica;sans-serif"/>
                <w:color w:val="14202A"/>
                <w:sz w:val="16"/>
              </w:rPr>
              <w:t>1,995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63" w:type="dxa"/>
            </w:tcMar>
            <w:vAlign w:val="center"/>
          </w:tcPr>
          <w:p>
            <w:pPr>
              <w:pStyle w:val="TableContents"/>
              <w:bidi w:val="0"/>
              <w:spacing w:before="0" w:after="283"/>
              <w:ind w:left="87" w:right="0" w:hanging="0"/>
              <w:jc w:val="left"/>
              <w:rPr>
                <w:rFonts w:ascii="Arial;Helvetica;sans-serif" w:hAnsi="Arial;Helvetica;sans-serif"/>
                <w:color w:val="14202A"/>
                <w:sz w:val="16"/>
              </w:rPr>
            </w:pPr>
            <w:r>
              <w:rPr>
                <w:rFonts w:ascii="Arial;Helvetica;sans-serif" w:hAnsi="Arial;Helvetica;sans-serif"/>
                <w:color w:val="14202A"/>
                <w:sz w:val="16"/>
              </w:rPr>
              <w:t xml:space="preserve">1,629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Jacqueline D. Woods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04"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87" w:right="0" w:hanging="0"/>
              <w:jc w:val="left"/>
              <w:rPr>
                <w:color w:val="14202A"/>
              </w:rPr>
            </w:pPr>
            <w:r>
              <w:rPr>
                <w:color w:val="14202A"/>
              </w:rPr>
              <w:t>​—</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9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Arial;Helvetica;sans-serif" w:hAnsi="Arial;Helvetica;sans-serif"/>
          <w:b/>
          <w:color w:val="D8E47A"/>
          <w:sz w:val="24"/>
        </w:rPr>
      </w:pPr>
      <w:bookmarkStart w:id="61" w:name="tDIROWNG"/>
      <w:bookmarkEnd w:id="61"/>
      <w:r>
        <w:rPr>
          <w:rFonts w:ascii="Arial;Helvetica;sans-serif" w:hAnsi="Arial;Helvetica;sans-serif"/>
          <w:b/>
          <w:color w:val="D8E47A"/>
          <w:sz w:val="24"/>
        </w:rPr>
        <w:t xml:space="preserve">Director Ownership Guidelines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All non-employee directors have met this goal or are on track to meet this goal within the prescribed five-year time frame.</w:t>
      </w:r>
    </w:p>
    <w:p>
      <w:pPr>
        <w:pStyle w:val="TextBody"/>
        <w:bidi w:val="0"/>
        <w:spacing w:before="310" w:after="283"/>
        <w:ind w:left="0" w:right="0" w:hanging="0"/>
        <w:jc w:val="left"/>
        <w:rPr>
          <w:rFonts w:ascii="Arial;Helvetica;sans-serif" w:hAnsi="Arial;Helvetica;sans-serif"/>
          <w:b/>
          <w:color w:val="D8E47A"/>
          <w:sz w:val="24"/>
        </w:rPr>
      </w:pPr>
      <w:bookmarkStart w:id="62" w:name="tDIRDEFCP"/>
      <w:bookmarkEnd w:id="62"/>
      <w:r>
        <w:rPr>
          <w:rFonts w:ascii="Arial;Helvetica;sans-serif" w:hAnsi="Arial;Helvetica;sans-serif"/>
          <w:b/>
          <w:color w:val="D8E47A"/>
          <w:sz w:val="24"/>
        </w:rPr>
        <w:t xml:space="preserve">Directors’ Deferred Compensation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maintain the Winnebago Industries, Inc. Directors’ Deferred Compensation Plan (the Directors’ Deferred Plan) for all non-employee directors. A non-employee director can defer 50% or 100% of the retainer and fee payments that would otherwise be paid to him or her in cash and can defer taxes on such compensation.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participant may elect to apply his or her annual cash retainer amounts to either, but not both, money credits or Winnebago stock units.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Winnebago Industries stock units are denominated in the form of the Company’s common stock. The stock units accrue dividends, if any, paid by us on our common stock. The number of Winnebago Industries stock units recorded in a participant’s account is determined based on the closing price of a share of our common stock on the NYSE on the date upon which the account is credited.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participant will generally receive payment of his or her Directors’ Deferred Plan account (either in a lump sum payment or annual installments, as elected by the participant) at the earlier of a “change in control” of the Company, as defined in the Directors’ Deferred Plan, termination of service as a director, or, if elected by the participant, at the time elected by the participant; provided that a participant will receive a lump-sum distribution of his or her account within 30 days following his or her termination of service as a director after such change in control.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Winnebago Industries stock units credited to a participant’s account are included in the “Security Ownership of Certain Beneficial Owners and Management” table in this proxy statement.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7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52074x1_def14a_107-director_pg4"/>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64" w:name="tDIRANNEG"/>
      <w:bookmarkEnd w:id="64"/>
      <w:r>
        <w:rPr>
          <w:rFonts w:ascii="Arial;Helvetica;sans-serif" w:hAnsi="Arial;Helvetica;sans-serif"/>
          <w:b/>
          <w:color w:val="D8E47A"/>
          <w:sz w:val="24"/>
        </w:rPr>
        <w:t xml:space="preserve">Director Annual Equity Grants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Fiscal 2025 equity awards, issued in the form of restricted stock units, were granted in October 2024 pursuant to the Winnebago Industries, Inc. Amended &amp; Restated 2019 Omnibus Incentive Plan (2019 Plan), which limits the aggregate grant date fair value of all equity awards to a non-employee director during a calendar year to not more than $400,000, excluding awards granted at a director’s request in lieu of cash retainers or other fees payable in cash.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Each restricted stock unit vests approximately one year from the date of the applicable grant. If a participant terminates his or her service as a director prior to the vesting of the underlying restricted stock unit award, the award will be forfeited by the director, except as follows: (i) in the event of the director’s death or disability prior to vesting, all unvested restricted stock units will vest as of the termination date and (ii) in the event of a change in control while the director is serving on the Board, all unvested restricted stock units will vest on the date of termination. Directors may also elect to defer settlement of their vested restricted stock units until the director’s service to the Company terminates or, if earlier, upon a change in control.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52074x1_def14a_108-executive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230" w:after="283"/>
        <w:ind w:left="0" w:right="0" w:hanging="0"/>
        <w:jc w:val="left"/>
        <w:rPr>
          <w:rFonts w:ascii="Arial;Helvetica;sans-serif" w:hAnsi="Arial;Helvetica;sans-serif"/>
          <w:b/>
          <w:color w:val="14202A"/>
          <w:sz w:val="34"/>
        </w:rPr>
      </w:pPr>
      <w:bookmarkStart w:id="66" w:name="tCDA"/>
      <w:bookmarkEnd w:id="66"/>
      <w:r>
        <w:rPr>
          <w:rFonts w:ascii="Arial;Helvetica;sans-serif" w:hAnsi="Arial;Helvetica;sans-serif"/>
          <w:b/>
          <w:color w:val="14202A"/>
          <w:sz w:val="34"/>
        </w:rPr>
        <w:t xml:space="preserve">Compensation Discussion and Analysis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Compensation Discussion and Analysis describes the material elements of our executive compensation program. Throughout this discussion, we refer to named executive officers (NEOs). The following individuals are our NEOs for Fiscal 2025: </w:t>
      </w:r>
    </w:p>
    <w:tbl>
      <w:tblPr>
        <w:tblW w:w="10205" w:type="dxa"/>
        <w:jc w:val="left"/>
        <w:tblInd w:w="0" w:type="dxa"/>
        <w:tblLayout w:type="fixed"/>
        <w:tblCellMar>
          <w:top w:w="0" w:type="dxa"/>
          <w:left w:w="0" w:type="dxa"/>
          <w:bottom w:w="0" w:type="dxa"/>
          <w:right w:w="0" w:type="dxa"/>
        </w:tblCellMar>
      </w:tblPr>
      <w:tblGrid>
        <w:gridCol w:w="185"/>
        <w:gridCol w:w="1348"/>
        <w:gridCol w:w="170"/>
        <w:gridCol w:w="170"/>
        <w:gridCol w:w="8116"/>
        <w:gridCol w:w="216"/>
      </w:tblGrid>
      <w:tr>
        <w:trPr/>
        <w:tc>
          <w:tcPr>
            <w:tcW w:w="185" w:type="dxa"/>
            <w:tcBorders/>
            <w:shd w:fill="14202A" w:val="clear"/>
            <w:vAlign w:val="center"/>
          </w:tcPr>
          <w:p>
            <w:pPr>
              <w:pStyle w:val="TableContents"/>
              <w:bidi w:val="0"/>
              <w:spacing w:before="0" w:after="0"/>
              <w:jc w:val="left"/>
              <w:rPr/>
            </w:pPr>
            <w:r>
              <w:rPr/>
              <w:t> </w:t>
            </w:r>
          </w:p>
        </w:tc>
        <w:tc>
          <w:tcPr>
            <w:tcW w:w="134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116"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48"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116" w:type="dxa"/>
            <w:tcBorders/>
            <w:shd w:fill="14202A"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Position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48" w:type="dxa"/>
            <w:tcBorders>
              <w:bottom w:val="single" w:sz="8" w:space="0" w:color="14202A"/>
            </w:tcBorders>
            <w:tcMar>
              <w:bottom w:w="12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16" w:type="dxa"/>
            <w:tcBorders>
              <w:bottom w:val="single" w:sz="8" w:space="0" w:color="14202A"/>
            </w:tcBorders>
            <w:tcMar>
              <w:bottom w:w="12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President and Chief Executive Officer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48" w:type="dxa"/>
            <w:tcBorders>
              <w:bottom w:val="single" w:sz="8" w:space="0" w:color="14202A"/>
            </w:tcBorders>
            <w:tcMar>
              <w:bottom w:w="12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16" w:type="dxa"/>
            <w:tcBorders>
              <w:bottom w:val="single" w:sz="8" w:space="0" w:color="14202A"/>
            </w:tcBorders>
            <w:tcMar>
              <w:bottom w:w="128"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6"/>
              </w:rPr>
              <w:t>Senior Vice President – Chief Financial Officer, Investor Relations, Information Technology and Business Development</w:t>
            </w:r>
            <w:r>
              <w:rPr>
                <w:rFonts w:ascii="Arial;Helvetica;sans-serif" w:hAnsi="Arial;Helvetica;sans-serif"/>
                <w:color w:val="14202A"/>
                <w:position w:val="5"/>
                <w:sz w:val="13"/>
                <w:sz w:val="16"/>
              </w:rPr>
              <w:t>(1)</w:t>
            </w:r>
            <w:r>
              <w:rPr>
                <w:rFonts w:ascii="Arial;Helvetica;sans-serif" w:hAnsi="Arial;Helvetica;sans-serif"/>
                <w:color w:val="14202A"/>
                <w:sz w:val="16"/>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48" w:type="dxa"/>
            <w:tcBorders>
              <w:bottom w:val="single" w:sz="8" w:space="0" w:color="14202A"/>
            </w:tcBorders>
            <w:tcMar>
              <w:bottom w:w="12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Donald J. Clark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16" w:type="dxa"/>
            <w:tcBorders>
              <w:bottom w:val="single" w:sz="8" w:space="0" w:color="14202A"/>
            </w:tcBorders>
            <w:tcMar>
              <w:bottom w:w="12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Group President – Towable RV Segment; President – Grand Design RV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48" w:type="dxa"/>
            <w:tcBorders>
              <w:bottom w:val="single" w:sz="8" w:space="0" w:color="14202A"/>
            </w:tcBorders>
            <w:tcMar>
              <w:bottom w:w="12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16" w:type="dxa"/>
            <w:tcBorders>
              <w:bottom w:val="single" w:sz="8" w:space="0" w:color="14202A"/>
            </w:tcBorders>
            <w:tcMar>
              <w:bottom w:w="12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Group President – Newmar and Winnebago Motorized</w:t>
            </w:r>
            <w:r>
              <w:rPr>
                <w:rFonts w:ascii="Arial;Helvetica;sans-serif" w:hAnsi="Arial;Helvetica;sans-serif"/>
                <w:color w:val="14202A"/>
                <w:position w:val="5"/>
                <w:sz w:val="13"/>
                <w:sz w:val="16"/>
              </w:rPr>
              <w:t>(2)</w:t>
            </w:r>
            <w:r>
              <w:rPr>
                <w:rFonts w:ascii="Arial;Helvetica;sans-serif" w:hAnsi="Arial;Helvetica;sans-serif"/>
                <w:color w:val="14202A"/>
                <w:sz w:val="16"/>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8"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Stacy L. Bogart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6"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Senior Vice President – Chief Legal Officer, Corporate Secretary and Corporate Responsibility</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48"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16"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0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Mr. Hughes was named to this position effective as of September 1, 2025 and was previously Senior Vice President — Chief Financial Officer, Finance, Investor Relations, and Business Development. </w:t>
            </w:r>
          </w:p>
        </w:tc>
      </w:tr>
    </w:tbl>
    <w:tbl>
      <w:tblPr>
        <w:tblW w:w="7390" w:type="dxa"/>
        <w:jc w:val="left"/>
        <w:tblInd w:w="0" w:type="dxa"/>
        <w:tblLayout w:type="fixed"/>
        <w:tblCellMar>
          <w:top w:w="0" w:type="dxa"/>
          <w:left w:w="0" w:type="dxa"/>
          <w:bottom w:w="0" w:type="dxa"/>
          <w:right w:w="0" w:type="dxa"/>
        </w:tblCellMar>
      </w:tblPr>
      <w:tblGrid>
        <w:gridCol w:w="215"/>
        <w:gridCol w:w="717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717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Mr. Tubman was named to this position effective as of September 1, 2025 and was previously President, Newmar. </w:t>
            </w:r>
          </w:p>
        </w:tc>
      </w:tr>
    </w:tbl>
    <w:p>
      <w:pPr>
        <w:pStyle w:val="TextBody"/>
        <w:bidi w:val="0"/>
        <w:spacing w:before="280" w:after="283"/>
        <w:ind w:left="0" w:right="0" w:hanging="0"/>
        <w:jc w:val="left"/>
        <w:rPr>
          <w:rFonts w:ascii="Arial;Helvetica;sans-serif" w:hAnsi="Arial;Helvetica;sans-serif"/>
          <w:b/>
          <w:color w:val="D8E47A"/>
          <w:sz w:val="24"/>
        </w:rPr>
      </w:pPr>
      <w:bookmarkStart w:id="67" w:name="tFP11"/>
      <w:bookmarkEnd w:id="67"/>
      <w:r>
        <w:rPr>
          <w:rFonts w:ascii="Arial;Helvetica;sans-serif" w:hAnsi="Arial;Helvetica;sans-serif"/>
          <w:b/>
          <w:color w:val="D8E47A"/>
          <w:sz w:val="24"/>
        </w:rPr>
        <w:t xml:space="preserve">Executive Summary </w:t>
      </w:r>
    </w:p>
    <w:p>
      <w:pPr>
        <w:pStyle w:val="TextBody"/>
        <w:bidi w:val="0"/>
        <w:spacing w:before="18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Executive Compensation Philosophy and Program Objectives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Human Resources Committee (referred to in this Compensation Discussion and Analysis section of this proxy statement as the “committee”) believes that the most effective compensation program is one that is designed to pay for performance. Towards this end, we strive to reward the achievement of our specific annual, long-term and strategic goals and align executives’ interests with those of our shareholders,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our peer group. The committee believes executive compensation packages provided to our executives, including the NEOs, should include both cash and stock-based compensation that reward performance as measured against established goals.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 </w:t>
      </w:r>
    </w:p>
    <w:tbl>
      <w:tblPr>
        <w:tblW w:w="5665" w:type="dxa"/>
        <w:jc w:val="left"/>
        <w:tblInd w:w="0" w:type="dxa"/>
        <w:tblLayout w:type="fixed"/>
        <w:tblCellMar>
          <w:top w:w="0" w:type="dxa"/>
          <w:left w:w="0" w:type="dxa"/>
          <w:bottom w:w="0" w:type="dxa"/>
          <w:right w:w="0" w:type="dxa"/>
        </w:tblCellMar>
      </w:tblPr>
      <w:tblGrid>
        <w:gridCol w:w="260"/>
        <w:gridCol w:w="5405"/>
      </w:tblGrid>
      <w:tr>
        <w:trPr/>
        <w:tc>
          <w:tcPr>
            <w:tcW w:w="260" w:type="dxa"/>
            <w:tcBorders/>
            <w:vAlign w:val="center"/>
          </w:tcPr>
          <w:p>
            <w:pPr>
              <w:pStyle w:val="TableContents"/>
              <w:bidi w:val="0"/>
              <w:spacing w:before="0" w:after="283"/>
              <w:jc w:val="left"/>
              <w:rPr>
                <w:color w:val="D8E47A"/>
              </w:rPr>
            </w:pPr>
            <w:r>
              <w:rPr>
                <w:color w:val="D8E47A"/>
              </w:rPr>
              <w:t>⯀</w:t>
            </w:r>
          </w:p>
        </w:tc>
        <w:tc>
          <w:tcPr>
            <w:tcW w:w="540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Align the interests of management with those of our shareholders </w:t>
            </w:r>
          </w:p>
        </w:tc>
      </w:tr>
    </w:tbl>
    <w:tbl>
      <w:tblPr>
        <w:tblW w:w="3850" w:type="dxa"/>
        <w:jc w:val="left"/>
        <w:tblInd w:w="0" w:type="dxa"/>
        <w:tblLayout w:type="fixed"/>
        <w:tblCellMar>
          <w:top w:w="0" w:type="dxa"/>
          <w:left w:w="0" w:type="dxa"/>
          <w:bottom w:w="0" w:type="dxa"/>
          <w:right w:w="0" w:type="dxa"/>
        </w:tblCellMar>
      </w:tblPr>
      <w:tblGrid>
        <w:gridCol w:w="260"/>
        <w:gridCol w:w="3590"/>
      </w:tblGrid>
      <w:tr>
        <w:trPr/>
        <w:tc>
          <w:tcPr>
            <w:tcW w:w="260" w:type="dxa"/>
            <w:tcBorders/>
            <w:vAlign w:val="center"/>
          </w:tcPr>
          <w:p>
            <w:pPr>
              <w:pStyle w:val="TableContents"/>
              <w:bidi w:val="0"/>
              <w:spacing w:before="0" w:after="283"/>
              <w:jc w:val="left"/>
              <w:rPr>
                <w:color w:val="D8E47A"/>
              </w:rPr>
            </w:pPr>
            <w:r>
              <w:rPr>
                <w:color w:val="D8E47A"/>
              </w:rPr>
              <w:t>⯀</w:t>
            </w:r>
          </w:p>
        </w:tc>
        <w:tc>
          <w:tcPr>
            <w:tcW w:w="359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Provide fair and competitive compensation </w:t>
            </w:r>
          </w:p>
        </w:tc>
      </w:tr>
    </w:tbl>
    <w:tbl>
      <w:tblPr>
        <w:tblW w:w="4270" w:type="dxa"/>
        <w:jc w:val="left"/>
        <w:tblInd w:w="0" w:type="dxa"/>
        <w:tblLayout w:type="fixed"/>
        <w:tblCellMar>
          <w:top w:w="0" w:type="dxa"/>
          <w:left w:w="0" w:type="dxa"/>
          <w:bottom w:w="0" w:type="dxa"/>
          <w:right w:w="0" w:type="dxa"/>
        </w:tblCellMar>
      </w:tblPr>
      <w:tblGrid>
        <w:gridCol w:w="260"/>
        <w:gridCol w:w="4010"/>
      </w:tblGrid>
      <w:tr>
        <w:trPr/>
        <w:tc>
          <w:tcPr>
            <w:tcW w:w="260" w:type="dxa"/>
            <w:tcBorders/>
            <w:vAlign w:val="center"/>
          </w:tcPr>
          <w:p>
            <w:pPr>
              <w:pStyle w:val="TableContents"/>
              <w:bidi w:val="0"/>
              <w:spacing w:before="0" w:after="283"/>
              <w:jc w:val="left"/>
              <w:rPr>
                <w:color w:val="D8E47A"/>
              </w:rPr>
            </w:pPr>
            <w:r>
              <w:rPr>
                <w:color w:val="D8E47A"/>
              </w:rPr>
              <w:t>⯀</w:t>
            </w:r>
          </w:p>
        </w:tc>
        <w:tc>
          <w:tcPr>
            <w:tcW w:w="401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Integrate compensation with our business plans </w:t>
            </w:r>
          </w:p>
        </w:tc>
      </w:tr>
    </w:tbl>
    <w:tbl>
      <w:tblPr>
        <w:tblW w:w="4495" w:type="dxa"/>
        <w:jc w:val="left"/>
        <w:tblInd w:w="0" w:type="dxa"/>
        <w:tblLayout w:type="fixed"/>
        <w:tblCellMar>
          <w:top w:w="0" w:type="dxa"/>
          <w:left w:w="0" w:type="dxa"/>
          <w:bottom w:w="0" w:type="dxa"/>
          <w:right w:w="0" w:type="dxa"/>
        </w:tblCellMar>
      </w:tblPr>
      <w:tblGrid>
        <w:gridCol w:w="260"/>
        <w:gridCol w:w="4235"/>
      </w:tblGrid>
      <w:tr>
        <w:trPr/>
        <w:tc>
          <w:tcPr>
            <w:tcW w:w="260" w:type="dxa"/>
            <w:tcBorders/>
            <w:vAlign w:val="center"/>
          </w:tcPr>
          <w:p>
            <w:pPr>
              <w:pStyle w:val="TableContents"/>
              <w:bidi w:val="0"/>
              <w:spacing w:before="0" w:after="283"/>
              <w:jc w:val="left"/>
              <w:rPr>
                <w:color w:val="D8E47A"/>
              </w:rPr>
            </w:pPr>
            <w:r>
              <w:rPr>
                <w:color w:val="D8E47A"/>
              </w:rPr>
              <w:t>⯀</w:t>
            </w:r>
          </w:p>
        </w:tc>
        <w:tc>
          <w:tcPr>
            <w:tcW w:w="423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Reward both business and individual performance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283"/>
              <w:jc w:val="left"/>
              <w:rPr>
                <w:color w:val="D8E47A"/>
              </w:rPr>
            </w:pPr>
            <w:r>
              <w:rPr>
                <w:color w:val="D8E47A"/>
              </w:rPr>
              <w:t>⯀</w:t>
            </w:r>
          </w:p>
        </w:tc>
        <w:tc>
          <w:tcPr>
            <w:tcW w:w="453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Attract and retain key executives critical to our success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These objectives emphasize pay for performance by providing an incentive opportunity for performance that meets or exceeds Company objectives.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52074x1_def14a_108-executive_pg2"/>
        <w:bookmarkEnd w:id="6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69" w:name="tFPH2020"/>
      <w:bookmarkStart w:id="70" w:name="tFPH2020"/>
      <w:bookmarkEnd w:id="70"/>
    </w:p>
    <w:tbl>
      <w:tblPr>
        <w:tblW w:w="11450" w:type="dxa"/>
        <w:jc w:val="left"/>
        <w:tblInd w:w="0" w:type="dxa"/>
        <w:tblLayout w:type="fixed"/>
        <w:tblCellMar>
          <w:top w:w="0" w:type="dxa"/>
          <w:left w:w="0" w:type="dxa"/>
          <w:bottom w:w="0" w:type="dxa"/>
          <w:right w:w="0" w:type="dxa"/>
        </w:tblCellMar>
      </w:tblPr>
      <w:tblGrid>
        <w:gridCol w:w="11450"/>
      </w:tblGrid>
      <w:tr>
        <w:trPr/>
        <w:tc>
          <w:tcPr>
            <w:tcW w:w="11450" w:type="dxa"/>
            <w:tcBorders/>
            <w:shd w:fill="F0F0F0" w:val="clear"/>
            <w:vAlign w:val="center"/>
          </w:tcPr>
          <w:p>
            <w:pPr>
              <w:pStyle w:val="TableContents"/>
              <w:bidi w:val="0"/>
              <w:spacing w:before="0" w:after="0"/>
              <w:jc w:val="left"/>
              <w:rPr/>
            </w:pPr>
            <w:r>
              <w:rPr/>
              <w:t> </w:t>
            </w:r>
          </w:p>
        </w:tc>
      </w:tr>
      <w:tr>
        <w:trPr/>
        <w:tc>
          <w:tcPr>
            <w:tcW w:w="11450" w:type="dxa"/>
            <w:tcBorders/>
            <w:shd w:fill="F0F0F0" w:val="clear"/>
            <w:vAlign w:val="center"/>
          </w:tcPr>
          <w:p>
            <w:pPr>
              <w:pStyle w:val="TableContents"/>
              <w:bidi w:val="0"/>
              <w:spacing w:before="0" w:after="283"/>
              <w:ind w:left="480" w:right="0" w:hanging="0"/>
              <w:jc w:val="left"/>
              <w:rPr>
                <w:rFonts w:ascii="Arial;Helvetica;sans-serif" w:hAnsi="Arial;Helvetica;sans-serif"/>
                <w:b/>
                <w:color w:val="000000"/>
                <w:sz w:val="28"/>
              </w:rPr>
            </w:pPr>
            <w:r>
              <w:rPr>
                <w:rFonts w:ascii="Arial;Helvetica;sans-serif" w:hAnsi="Arial;Helvetica;sans-serif"/>
                <w:b/>
                <w:color w:val="000000"/>
                <w:sz w:val="28"/>
              </w:rPr>
              <w:t xml:space="preserve">Fiscal 2025 Performance Results </w:t>
            </w:r>
          </w:p>
        </w:tc>
      </w:tr>
      <w:tr>
        <w:trPr/>
        <w:tc>
          <w:tcPr>
            <w:tcW w:w="11450" w:type="dxa"/>
            <w:tcBorders/>
            <w:shd w:fill="F0F0F0" w:val="clear"/>
            <w:vAlign w:val="center"/>
          </w:tcPr>
          <w:p>
            <w:pPr>
              <w:pStyle w:val="TableContents"/>
              <w:bidi w:val="0"/>
              <w:spacing w:before="0" w:after="283"/>
              <w:ind w:left="0" w:right="0" w:hanging="0"/>
              <w:jc w:val="left"/>
              <w:rPr>
                <w:color w:val="000000"/>
              </w:rPr>
            </w:pPr>
            <w:r>
              <w:rPr>
                <w:color w:val="000000"/>
              </w:rPr>
              <w:t> </w:t>
            </w:r>
          </w:p>
        </w:tc>
      </w:tr>
      <w:tr>
        <w:trPr/>
        <w:tc>
          <w:tcPr>
            <w:tcW w:w="11450" w:type="dxa"/>
            <w:tcBorders/>
            <w:shd w:fill="F0F0F0" w:val="clear"/>
            <w:vAlign w:val="center"/>
          </w:tcPr>
          <w:p>
            <w:pPr>
              <w:pStyle w:val="TableContents"/>
              <w:bidi w:val="0"/>
              <w:spacing w:before="0" w:after="283"/>
              <w:ind w:left="480" w:right="480" w:hanging="0"/>
              <w:jc w:val="left"/>
              <w:rPr>
                <w:rFonts w:ascii="Arial;Helvetica;sans-serif" w:hAnsi="Arial;Helvetica;sans-serif"/>
                <w:color w:val="000000"/>
                <w:sz w:val="18"/>
              </w:rPr>
            </w:pPr>
            <w:r>
              <w:rPr>
                <w:rFonts w:ascii="Arial;Helvetica;sans-serif" w:hAnsi="Arial;Helvetica;sans-serif"/>
                <w:color w:val="000000"/>
                <w:sz w:val="18"/>
              </w:rPr>
              <w:t xml:space="preserve">The Company’s financial results tied to annual incentive compensation measures for Fiscal 2025 are set forth below. </w:t>
            </w:r>
          </w:p>
        </w:tc>
      </w:tr>
      <w:tr>
        <w:trPr/>
        <w:tc>
          <w:tcPr>
            <w:tcW w:w="11450" w:type="dxa"/>
            <w:tcBorders/>
            <w:shd w:fill="F0F0F0" w:val="clear"/>
            <w:vAlign w:val="center"/>
          </w:tcPr>
          <w:p>
            <w:pPr>
              <w:pStyle w:val="TableContents"/>
              <w:bidi w:val="0"/>
              <w:spacing w:before="0" w:after="283"/>
              <w:ind w:left="0" w:right="0" w:hanging="0"/>
              <w:jc w:val="left"/>
              <w:rPr>
                <w:color w:val="000000"/>
              </w:rPr>
            </w:pPr>
            <w:r>
              <w:rPr>
                <w:color w:val="000000"/>
              </w:rPr>
              <w:t> </w:t>
            </w:r>
          </w:p>
        </w:tc>
      </w:tr>
      <w:tr>
        <w:trPr/>
        <w:tc>
          <w:tcPr>
            <w:tcW w:w="11450" w:type="dxa"/>
            <w:tcBorders/>
            <w:shd w:fill="F0F0F0" w:val="clear"/>
            <w:vAlign w:val="center"/>
          </w:tcPr>
          <w:p>
            <w:pPr>
              <w:pStyle w:val="TableContents"/>
              <w:bidi w:val="0"/>
              <w:spacing w:before="0" w:after="283"/>
              <w:ind w:left="0" w:right="0" w:hanging="0"/>
              <w:jc w:val="left"/>
              <w:rPr>
                <w:color w:val="000000"/>
              </w:rPr>
            </w:pPr>
            <w:r>
              <w:rPr>
                <w:color w:val="000000"/>
              </w:rPr>
              <w:drawing>
                <wp:inline distT="0" distB="0" distL="0" distR="0">
                  <wp:extent cx="7200900" cy="22574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3"/>
                          <a:stretch>
                            <a:fillRect/>
                          </a:stretch>
                        </pic:blipFill>
                        <pic:spPr bwMode="auto">
                          <a:xfrm>
                            <a:off x="0" y="0"/>
                            <a:ext cx="7200900" cy="2257425"/>
                          </a:xfrm>
                          <a:prstGeom prst="rect">
                            <a:avLst/>
                          </a:prstGeom>
                        </pic:spPr>
                      </pic:pic>
                    </a:graphicData>
                  </a:graphic>
                </wp:inline>
              </w:drawing>
            </w:r>
            <w:r>
              <w:rPr>
                <w:color w:val="000000"/>
              </w:rPr>
              <w:t> </w:t>
            </w:r>
          </w:p>
        </w:tc>
      </w:tr>
    </w:tbl>
    <w:tbl>
      <w:tblPr>
        <w:tblW w:w="8790" w:type="dxa"/>
        <w:jc w:val="left"/>
        <w:tblInd w:w="480" w:type="dxa"/>
        <w:tblLayout w:type="fixed"/>
        <w:tblCellMar>
          <w:top w:w="0" w:type="dxa"/>
          <w:left w:w="0" w:type="dxa"/>
          <w:bottom w:w="0" w:type="dxa"/>
          <w:right w:w="0" w:type="dxa"/>
        </w:tblCellMar>
      </w:tblPr>
      <w:tblGrid>
        <w:gridCol w:w="185"/>
        <w:gridCol w:w="4100"/>
        <w:gridCol w:w="170"/>
        <w:gridCol w:w="170"/>
        <w:gridCol w:w="605"/>
        <w:gridCol w:w="170"/>
        <w:gridCol w:w="170"/>
        <w:gridCol w:w="845"/>
        <w:gridCol w:w="170"/>
        <w:gridCol w:w="170"/>
        <w:gridCol w:w="860"/>
        <w:gridCol w:w="170"/>
        <w:gridCol w:w="170"/>
        <w:gridCol w:w="620"/>
        <w:gridCol w:w="215"/>
      </w:tblGrid>
      <w:tr>
        <w:trPr/>
        <w:tc>
          <w:tcPr>
            <w:tcW w:w="185" w:type="dxa"/>
            <w:tcBorders/>
            <w:shd w:fill="14202A" w:val="clear"/>
            <w:vAlign w:val="center"/>
          </w:tcPr>
          <w:p>
            <w:pPr>
              <w:pStyle w:val="TableContents"/>
              <w:bidi w:val="0"/>
              <w:spacing w:before="0" w:after="0"/>
              <w:jc w:val="left"/>
              <w:rPr/>
            </w:pPr>
            <w:r>
              <w:rPr/>
              <w:t> </w:t>
            </w:r>
          </w:p>
        </w:tc>
        <w:tc>
          <w:tcPr>
            <w:tcW w:w="410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90"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820" w:type="dxa"/>
            <w:gridSpan w:val="4"/>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410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90"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Incentive Plan</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820"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Performance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410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0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Annual</w:t>
            </w:r>
            <w:r>
              <w:rPr>
                <w:rFonts w:ascii="Arial;Helvetica;sans-serif" w:hAnsi="Arial;Helvetica;sans-serif"/>
                <w:b/>
                <w:color w:val="FFFFFF"/>
                <w:position w:val="5"/>
                <w:sz w:val="11"/>
                <w:sz w:val="14"/>
              </w:rPr>
              <w:t>(1)</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4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Long-Term</w:t>
            </w:r>
            <w:r>
              <w:rPr>
                <w:rFonts w:ascii="Arial;Helvetica;sans-serif" w:hAnsi="Arial;Helvetica;sans-serif"/>
                <w:b/>
                <w:color w:val="FFFFFF"/>
                <w:position w:val="5"/>
                <w:sz w:val="11"/>
                <w:sz w:val="14"/>
              </w:rPr>
              <w:t>(2)</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1-year</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2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3-year</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Net Revenue </w:t>
            </w:r>
            <w:r>
              <w:rPr>
                <w:rFonts w:ascii="Arial;Helvetica;sans-serif" w:hAnsi="Arial;Helvetica;sans-serif"/>
                <w:i/>
                <w:color w:val="14202A"/>
                <w:sz w:val="16"/>
              </w:rPr>
              <w:t>($ in thousands)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05" w:type="dxa"/>
            <w:tcBorders>
              <w:bottom w:val="single" w:sz="8" w:space="0" w:color="14202A"/>
            </w:tcBorders>
            <w:tcMar>
              <w:bottom w:w="88" w:type="dxa"/>
            </w:tcMar>
            <w:vAlign w:val="center"/>
          </w:tcPr>
          <w:p>
            <w:pPr>
              <w:pStyle w:val="TableContents"/>
              <w:bidi w:val="0"/>
              <w:spacing w:before="0" w:after="283"/>
              <w:ind w:left="25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40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$2,798,170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88" w:type="dxa"/>
            </w:tcMar>
            <w:vAlign w:val="center"/>
          </w:tcPr>
          <w:p>
            <w:pPr>
              <w:pStyle w:val="TableContents"/>
              <w:bidi w:val="0"/>
              <w:spacing w:before="0" w:after="283"/>
              <w:ind w:left="98" w:right="0" w:hanging="0"/>
              <w:jc w:val="left"/>
              <w:rPr>
                <w:rFonts w:ascii="Arial;Helvetica;sans-serif" w:hAnsi="Arial;Helvetica;sans-serif"/>
                <w:color w:val="14202A"/>
                <w:sz w:val="16"/>
              </w:rPr>
            </w:pPr>
            <w:r>
              <w:rPr>
                <w:rFonts w:ascii="Arial;Helvetica;sans-serif" w:hAnsi="Arial;Helvetica;sans-serif"/>
                <w:color w:val="14202A"/>
                <w:sz w:val="16"/>
              </w:rPr>
              <w:t xml:space="preserve">N/A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Operating Income </w:t>
            </w:r>
            <w:r>
              <w:rPr>
                <w:rFonts w:ascii="Arial;Helvetica;sans-serif" w:hAnsi="Arial;Helvetica;sans-serif"/>
                <w:i/>
                <w:color w:val="14202A"/>
                <w:sz w:val="16"/>
              </w:rPr>
              <w:t>($ in thousands)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05" w:type="dxa"/>
            <w:tcBorders>
              <w:bottom w:val="single" w:sz="8" w:space="0" w:color="14202A"/>
            </w:tcBorders>
            <w:tcMar>
              <w:bottom w:w="88" w:type="dxa"/>
            </w:tcMar>
            <w:vAlign w:val="center"/>
          </w:tcPr>
          <w:p>
            <w:pPr>
              <w:pStyle w:val="TableContents"/>
              <w:bidi w:val="0"/>
              <w:spacing w:before="0" w:after="283"/>
              <w:ind w:left="25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40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​57,185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88" w:type="dxa"/>
            </w:tcMar>
            <w:vAlign w:val="center"/>
          </w:tcPr>
          <w:p>
            <w:pPr>
              <w:pStyle w:val="TableContents"/>
              <w:bidi w:val="0"/>
              <w:spacing w:before="0" w:after="283"/>
              <w:ind w:left="98" w:right="0" w:hanging="0"/>
              <w:jc w:val="left"/>
              <w:rPr>
                <w:rFonts w:ascii="Arial;Helvetica;sans-serif" w:hAnsi="Arial;Helvetica;sans-serif"/>
                <w:color w:val="14202A"/>
                <w:sz w:val="16"/>
              </w:rPr>
            </w:pPr>
            <w:r>
              <w:rPr>
                <w:rFonts w:ascii="Arial;Helvetica;sans-serif" w:hAnsi="Arial;Helvetica;sans-serif"/>
                <w:color w:val="14202A"/>
                <w:sz w:val="16"/>
              </w:rPr>
              <w:t xml:space="preserve">N/A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Net Working Capital</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05" w:type="dxa"/>
            <w:tcBorders>
              <w:bottom w:val="single" w:sz="8" w:space="0" w:color="14202A"/>
            </w:tcBorders>
            <w:tcMar>
              <w:bottom w:w="88" w:type="dxa"/>
            </w:tcMar>
            <w:vAlign w:val="center"/>
          </w:tcPr>
          <w:p>
            <w:pPr>
              <w:pStyle w:val="TableContents"/>
              <w:bidi w:val="0"/>
              <w:spacing w:before="0" w:after="283"/>
              <w:ind w:left="25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40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6"/>
              </w:rPr>
              <w:t>20.7%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88" w:type="dxa"/>
            </w:tcMar>
            <w:vAlign w:val="center"/>
          </w:tcPr>
          <w:p>
            <w:pPr>
              <w:pStyle w:val="TableContents"/>
              <w:bidi w:val="0"/>
              <w:spacing w:before="0" w:after="283"/>
              <w:ind w:left="98" w:right="0" w:hanging="0"/>
              <w:jc w:val="left"/>
              <w:rPr>
                <w:rFonts w:ascii="Arial;Helvetica;sans-serif" w:hAnsi="Arial;Helvetica;sans-serif"/>
                <w:color w:val="14202A"/>
                <w:sz w:val="16"/>
              </w:rPr>
            </w:pPr>
            <w:r>
              <w:rPr>
                <w:rFonts w:ascii="Arial;Helvetica;sans-serif" w:hAnsi="Arial;Helvetica;sans-serif"/>
                <w:color w:val="14202A"/>
                <w:sz w:val="16"/>
              </w:rPr>
              <w:t xml:space="preserve">N/A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Average Return on Invested Capital (Incentive ROIC)</w:t>
            </w:r>
            <w:r>
              <w:rPr>
                <w:rFonts w:ascii="Arial;Helvetica;sans-serif" w:hAnsi="Arial;Helvetica;sans-serif"/>
                <w:color w:val="14202A"/>
                <w:position w:val="5"/>
                <w:sz w:val="13"/>
                <w:sz w:val="16"/>
              </w:rPr>
              <w:t>(4)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05" w:type="dxa"/>
            <w:tcBorders>
              <w:bottom w:val="single" w:sz="8" w:space="0" w:color="14202A"/>
            </w:tcBorders>
            <w:tcMar>
              <w:bottom w:w="88" w:type="dxa"/>
            </w:tcMar>
            <w:vAlign w:val="center"/>
          </w:tcPr>
          <w:p>
            <w:pPr>
              <w:pStyle w:val="TableContents"/>
              <w:bidi w:val="0"/>
              <w:spacing w:before="0" w:after="283"/>
              <w:ind w:left="25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88" w:type="dxa"/>
            </w:tcMar>
            <w:vAlign w:val="center"/>
          </w:tcPr>
          <w:p>
            <w:pPr>
              <w:pStyle w:val="TableContents"/>
              <w:bidi w:val="0"/>
              <w:spacing w:before="0" w:after="283"/>
              <w:ind w:left="409"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N/A</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88" w:type="dxa"/>
            </w:tcMar>
            <w:vAlign w:val="center"/>
          </w:tcPr>
          <w:p>
            <w:pPr>
              <w:pStyle w:val="TableContents"/>
              <w:bidi w:val="0"/>
              <w:spacing w:before="0" w:after="283"/>
              <w:ind w:left="98" w:right="0" w:hanging="0"/>
              <w:jc w:val="left"/>
              <w:rPr>
                <w:color w:val="14202A"/>
              </w:rPr>
            </w:pPr>
            <w:r>
              <w:rPr>
                <w:color w:val="14202A"/>
              </w:rPr>
              <w:t>​</w:t>
            </w:r>
            <w:r>
              <w:rPr>
                <w:rFonts w:ascii="Arial;Helvetica;sans-serif" w:hAnsi="Arial;Helvetica;sans-serif"/>
                <w:color w:val="14202A"/>
                <w:sz w:val="16"/>
              </w:rPr>
              <w:t xml:space="preserve">3.5%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Incentive Earnings Per Share (Incentive EPS)</w:t>
            </w:r>
            <w:r>
              <w:rPr>
                <w:rFonts w:ascii="Arial;Helvetica;sans-serif" w:hAnsi="Arial;Helvetica;sans-serif"/>
                <w:color w:val="14202A"/>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57"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409"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98" w:right="0" w:hanging="0"/>
              <w:jc w:val="left"/>
              <w:rPr>
                <w:rFonts w:ascii="Arial;Helvetica;sans-serif" w:hAnsi="Arial;Helvetica;sans-serif"/>
                <w:color w:val="14202A"/>
                <w:sz w:val="16"/>
              </w:rPr>
            </w:pPr>
            <w:r>
              <w:rPr>
                <w:rFonts w:ascii="Arial;Helvetica;sans-serif" w:hAnsi="Arial;Helvetica;sans-serif"/>
                <w:color w:val="14202A"/>
                <w:sz w:val="16"/>
              </w:rPr>
              <w:t>$1.66</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0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9725" w:type="dxa"/>
        <w:jc w:val="left"/>
        <w:tblInd w:w="480" w:type="dxa"/>
        <w:tblLayout w:type="fixed"/>
        <w:tblCellMar>
          <w:top w:w="0" w:type="dxa"/>
          <w:left w:w="0" w:type="dxa"/>
          <w:bottom w:w="0" w:type="dxa"/>
          <w:right w:w="0" w:type="dxa"/>
        </w:tblCellMar>
      </w:tblPr>
      <w:tblGrid>
        <w:gridCol w:w="203"/>
        <w:gridCol w:w="9522"/>
      </w:tblGrid>
      <w:tr>
        <w:trPr/>
        <w:tc>
          <w:tcPr>
            <w:tcW w:w="20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952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annual Officers Incentive Compensation Plan metrics and performance for each of our named executive officers are described in detail under the “Fiscal 2025 OICP” section of this proxy statement. </w:t>
            </w:r>
          </w:p>
        </w:tc>
      </w:tr>
    </w:tbl>
    <w:tbl>
      <w:tblPr>
        <w:tblW w:w="8635" w:type="dxa"/>
        <w:jc w:val="left"/>
        <w:tblInd w:w="480" w:type="dxa"/>
        <w:tblLayout w:type="fixed"/>
        <w:tblCellMar>
          <w:top w:w="0" w:type="dxa"/>
          <w:left w:w="0" w:type="dxa"/>
          <w:bottom w:w="0" w:type="dxa"/>
          <w:right w:w="0" w:type="dxa"/>
        </w:tblCellMar>
      </w:tblPr>
      <w:tblGrid>
        <w:gridCol w:w="215"/>
        <w:gridCol w:w="842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842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performance metrics for the 2023-2025 performance share unit awards consisted of 50% Incentive ROIC and 50% Incentive EPS. </w:t>
            </w:r>
          </w:p>
        </w:tc>
      </w:tr>
    </w:tbl>
    <w:tbl>
      <w:tblPr>
        <w:tblW w:w="9725" w:type="dxa"/>
        <w:jc w:val="left"/>
        <w:tblInd w:w="480" w:type="dxa"/>
        <w:tblLayout w:type="fixed"/>
        <w:tblCellMar>
          <w:top w:w="0" w:type="dxa"/>
          <w:left w:w="0" w:type="dxa"/>
          <w:bottom w:w="0" w:type="dxa"/>
          <w:right w:w="0" w:type="dxa"/>
        </w:tblCellMar>
      </w:tblPr>
      <w:tblGrid>
        <w:gridCol w:w="200"/>
        <w:gridCol w:w="9525"/>
      </w:tblGrid>
      <w:tr>
        <w:trPr/>
        <w:tc>
          <w:tcPr>
            <w:tcW w:w="20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952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Relates to the Fiscal 2023-2025 performance period of the 2023-2025 LTIP plan. The full details of the plan and performance are outlined in the “Payout of the Fiscal 2023-2025 LTIP Cycle” section of this proxy statement. </w:t>
            </w:r>
          </w:p>
        </w:tc>
      </w:tr>
    </w:tbl>
    <w:tbl>
      <w:tblPr>
        <w:tblW w:w="9725" w:type="dxa"/>
        <w:jc w:val="left"/>
        <w:tblInd w:w="480" w:type="dxa"/>
        <w:tblLayout w:type="fixed"/>
        <w:tblCellMar>
          <w:top w:w="0" w:type="dxa"/>
          <w:left w:w="0" w:type="dxa"/>
          <w:bottom w:w="0" w:type="dxa"/>
          <w:right w:w="0" w:type="dxa"/>
        </w:tblCellMar>
      </w:tblPr>
      <w:tblGrid>
        <w:gridCol w:w="176"/>
        <w:gridCol w:w="9549"/>
      </w:tblGrid>
      <w:tr>
        <w:trPr/>
        <w:tc>
          <w:tcPr>
            <w:tcW w:w="17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954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When determining the level of actual performance for the Fiscal 2023-2025 three-year performance period of the Long-Term Incentive Program (LTIP), the committee excluded the impact of certain events impacting comparability, consistent with our defined methodology. The Incentive ROIC metric was adjusted from ROIC to exclude the following: (i) pretax amortization, and (ii) the tax impact of the aforementioned adjustment, as applicable. The Incentive EPS metric was adjusted from diluted EPS to exclude the following: (i) pretax amortization, (ii) pretax impact of the loss incurred on the partial repurchase of our Senior Secured Notes, (iii) pretax restructuring and related costs, (iv) pretax asset impairment, and (v) the tax impact of the aforementioned adjustments, as applicable. The estimated tax rate used for Incentive EPS and Adjusted EPS are calculated at different times, which accounted for the $0.01 per share difference for Fiscal 2025. </w:t>
            </w:r>
          </w:p>
        </w:tc>
      </w:tr>
    </w:tbl>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52074x1_def14a_108-executive_pg3"/>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72" w:name="tIOP"/>
      <w:bookmarkEnd w:id="72"/>
      <w:r>
        <w:rPr>
          <w:rFonts w:ascii="Arial;Helvetica;sans-serif" w:hAnsi="Arial;Helvetica;sans-serif"/>
          <w:b/>
          <w:color w:val="D8E47A"/>
          <w:sz w:val="24"/>
        </w:rPr>
        <w:t xml:space="preserve">Impact of Performance on Fiscal 2025 Compensation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compensation program for our NEOs in Fiscal 2025 was directly impacted by our financial performance and total shareholder returns: </w:t>
      </w:r>
    </w:p>
    <w:tbl>
      <w:tblPr>
        <w:tblW w:w="10205" w:type="dxa"/>
        <w:jc w:val="left"/>
        <w:tblInd w:w="0" w:type="dxa"/>
        <w:tblLayout w:type="fixed"/>
        <w:tblCellMar>
          <w:top w:w="0" w:type="dxa"/>
          <w:left w:w="0" w:type="dxa"/>
          <w:bottom w:w="0" w:type="dxa"/>
          <w:right w:w="0" w:type="dxa"/>
        </w:tblCellMar>
      </w:tblPr>
      <w:tblGrid>
        <w:gridCol w:w="185"/>
        <w:gridCol w:w="1109"/>
        <w:gridCol w:w="170"/>
        <w:gridCol w:w="170"/>
        <w:gridCol w:w="260"/>
        <w:gridCol w:w="170"/>
        <w:gridCol w:w="170"/>
        <w:gridCol w:w="7755"/>
        <w:gridCol w:w="216"/>
      </w:tblGrid>
      <w:tr>
        <w:trPr/>
        <w:tc>
          <w:tcPr>
            <w:tcW w:w="185" w:type="dxa"/>
            <w:tcBorders/>
            <w:shd w:fill="14202A" w:val="clear"/>
            <w:vAlign w:val="center"/>
          </w:tcPr>
          <w:p>
            <w:pPr>
              <w:pStyle w:val="TableContents"/>
              <w:bidi w:val="0"/>
              <w:spacing w:before="0" w:after="0"/>
              <w:jc w:val="left"/>
              <w:rPr/>
            </w:pPr>
            <w:r>
              <w:rPr/>
              <w:t> </w:t>
            </w:r>
          </w:p>
        </w:tc>
        <w:tc>
          <w:tcPr>
            <w:tcW w:w="1109"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55"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109"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Performance Objective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60" w:type="dxa"/>
            <w:tcBorders/>
            <w:shd w:fill="14202A" w:val="clear"/>
            <w:vAlign w:val="center"/>
          </w:tcPr>
          <w:p>
            <w:pPr>
              <w:pStyle w:val="TableContents"/>
              <w:bidi w:val="0"/>
              <w:spacing w:before="0" w:after="283"/>
              <w:jc w:val="center"/>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55" w:type="dxa"/>
            <w:tcBorders/>
            <w:shd w:fill="14202A"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Link to 2025 Compensation </w:t>
            </w:r>
          </w:p>
        </w:tc>
        <w:tc>
          <w:tcPr>
            <w:tcW w:w="216" w:type="dxa"/>
            <w:tcBorders/>
            <w:shd w:fill="14202A" w:val="cle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109" w:type="dxa"/>
            <w:vMerge w:val="restart"/>
            <w:tcBorders>
              <w:bottom w:val="single" w:sz="8" w:space="0" w:color="14202A"/>
            </w:tcBorders>
            <w:tcMar>
              <w:bottom w:w="6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Financial</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0" w:type="dxa"/>
            <w:tcBorders>
              <w:bottom w:val="single" w:sz="8" w:space="0" w:color="14202A"/>
            </w:tcBorders>
            <w:tcMar>
              <w:bottom w:w="63" w:type="dxa"/>
            </w:tcMar>
            <w:vAlign w:val="center"/>
          </w:tcPr>
          <w:p>
            <w:pPr>
              <w:pStyle w:val="TableContents"/>
              <w:bidi w:val="0"/>
              <w:spacing w:before="0" w:after="283"/>
              <w:ind w:left="0" w:right="0" w:hanging="0"/>
              <w:jc w:val="left"/>
              <w:rPr>
                <w:color w:val="D8E47A"/>
              </w:rPr>
            </w:pPr>
            <w:r>
              <w:rPr>
                <w:color w:val="D8E47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55" w:type="dxa"/>
            <w:tcBorders>
              <w:bottom w:val="single" w:sz="8" w:space="0" w:color="14202A"/>
            </w:tcBorders>
            <w:tcMar>
              <w:bottom w:w="63"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For Messrs. Happe and Hughes, and Ms. Bogart, 70% of the 2025 annual incentive award was based on achieving targeted levels of net revenue (40%), operating income (50%), and net working capital (10%) at the enterprise level. For Mr. Tubman, 70% of the 2025 annual incentive award was based on achieving targeted levels of net revenue (40%), operating income (50%), and net working capital (10%) at the Newmar business unit level. The other 30% was tied to individual metrics aligned with goals deemed important to advancing business objectives.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09" w:type="dxa"/>
            <w:vMerge w:val="continue"/>
            <w:tcBorders>
              <w:bottom w:val="single" w:sz="8" w:space="0" w:color="14202A"/>
            </w:tcBorders>
            <w:tcMar>
              <w:bottom w:w="6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0" w:type="dxa"/>
            <w:tcBorders>
              <w:bottom w:val="single" w:sz="8" w:space="0" w:color="14202A"/>
            </w:tcBorders>
            <w:tcMar>
              <w:bottom w:w="63" w:type="dxa"/>
            </w:tcMar>
            <w:vAlign w:val="center"/>
          </w:tcPr>
          <w:p>
            <w:pPr>
              <w:pStyle w:val="TableContents"/>
              <w:bidi w:val="0"/>
              <w:spacing w:before="0" w:after="283"/>
              <w:ind w:left="0" w:right="0" w:hanging="0"/>
              <w:jc w:val="left"/>
              <w:rPr>
                <w:color w:val="D8E47A"/>
              </w:rPr>
            </w:pPr>
            <w:r>
              <w:rPr>
                <w:color w:val="D8E47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55" w:type="dxa"/>
            <w:tcBorders>
              <w:bottom w:val="single" w:sz="8" w:space="0" w:color="14202A"/>
            </w:tcBorders>
            <w:tcMar>
              <w:bottom w:w="63"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Pursuant to the terms of his employment agreement, Mr. Clark’s incentive compensation is 90% dependent on pretax net income of the Grand Design business and 10% dependent on Grand Design’s performance against an operating target set by the Company.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09" w:type="dxa"/>
            <w:vMerge w:val="continue"/>
            <w:tcBorders>
              <w:bottom w:val="single" w:sz="8" w:space="0" w:color="14202A"/>
            </w:tcBorders>
            <w:tcMar>
              <w:bottom w:w="6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0" w:type="dxa"/>
            <w:tcBorders>
              <w:bottom w:val="single" w:sz="8" w:space="0" w:color="14202A"/>
            </w:tcBorders>
            <w:tcMar>
              <w:bottom w:w="63" w:type="dxa"/>
            </w:tcMar>
            <w:vAlign w:val="center"/>
          </w:tcPr>
          <w:p>
            <w:pPr>
              <w:pStyle w:val="TableContents"/>
              <w:bidi w:val="0"/>
              <w:spacing w:before="0" w:after="283"/>
              <w:ind w:left="0" w:right="0" w:hanging="0"/>
              <w:jc w:val="left"/>
              <w:rPr>
                <w:color w:val="D8E47A"/>
              </w:rPr>
            </w:pPr>
            <w:r>
              <w:rPr>
                <w:color w:val="D8E47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55" w:type="dxa"/>
            <w:tcBorders>
              <w:bottom w:val="single" w:sz="8" w:space="0" w:color="14202A"/>
            </w:tcBorders>
            <w:tcMar>
              <w:bottom w:w="63"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Payout for the Fiscal 2023-2025 LTIP awards was tied 50% to our Incentive ROIC and 50% to our Incentive EPS.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09" w:type="dxa"/>
            <w:vMerge w:val="continue"/>
            <w:tcBorders>
              <w:bottom w:val="single" w:sz="8" w:space="0" w:color="14202A"/>
            </w:tcBorders>
            <w:tcMar>
              <w:bottom w:w="6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0" w:type="dxa"/>
            <w:tcBorders>
              <w:bottom w:val="single" w:sz="8" w:space="0" w:color="14202A"/>
            </w:tcBorders>
            <w:tcMar>
              <w:bottom w:w="63" w:type="dxa"/>
            </w:tcMar>
            <w:vAlign w:val="center"/>
          </w:tcPr>
          <w:p>
            <w:pPr>
              <w:pStyle w:val="TableContents"/>
              <w:bidi w:val="0"/>
              <w:spacing w:before="0" w:after="283"/>
              <w:ind w:left="0" w:right="0" w:hanging="0"/>
              <w:jc w:val="left"/>
              <w:rPr>
                <w:color w:val="D8E47A"/>
              </w:rPr>
            </w:pPr>
            <w:r>
              <w:rPr>
                <w:color w:val="D8E47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55" w:type="dxa"/>
            <w:tcBorders>
              <w:bottom w:val="single" w:sz="8" w:space="0" w:color="14202A"/>
            </w:tcBorders>
            <w:tcMar>
              <w:bottom w:w="63"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For Fiscal 2025, the committee awarded an additional grant of performance share units tied to Fiscal 2025 Adjusted EPS objectives.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109" w:type="dxa"/>
            <w:vMerge w:val="restart"/>
            <w:tcBorders>
              <w:bottom w:val="single" w:sz="8" w:space="0" w:color="14202A"/>
            </w:tcBorders>
            <w:tcMar>
              <w:bottom w:w="2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Total Shareholder Returns</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0" w:type="dxa"/>
            <w:tcBorders>
              <w:bottom w:val="single" w:sz="8" w:space="0" w:color="14202A"/>
            </w:tcBorders>
            <w:tcMar>
              <w:bottom w:w="63" w:type="dxa"/>
            </w:tcMar>
            <w:vAlign w:val="center"/>
          </w:tcPr>
          <w:p>
            <w:pPr>
              <w:pStyle w:val="TableContents"/>
              <w:bidi w:val="0"/>
              <w:spacing w:before="0" w:after="283"/>
              <w:ind w:left="0" w:right="0" w:hanging="0"/>
              <w:jc w:val="left"/>
              <w:rPr>
                <w:color w:val="D8E47A"/>
              </w:rPr>
            </w:pPr>
            <w:r>
              <w:rPr>
                <w:color w:val="D8E47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55" w:type="dxa"/>
            <w:tcBorders>
              <w:bottom w:val="single" w:sz="8" w:space="0" w:color="14202A"/>
            </w:tcBorders>
            <w:tcMar>
              <w:bottom w:w="63"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With the exception of Mr. Clark, 52% of our NEOs’ target compensation on average was delivered in the form of Company equity awards (75% in the case of our CEO).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09"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0" w:type="dxa"/>
            <w:tcBorders>
              <w:bottom w:val="single" w:sz="8" w:space="0" w:color="14202A"/>
            </w:tcBorders>
            <w:tcMar>
              <w:bottom w:w="28" w:type="dxa"/>
            </w:tcMar>
            <w:vAlign w:val="center"/>
          </w:tcPr>
          <w:p>
            <w:pPr>
              <w:pStyle w:val="TableContents"/>
              <w:bidi w:val="0"/>
              <w:spacing w:before="0" w:after="283"/>
              <w:ind w:left="0" w:right="0" w:hanging="0"/>
              <w:jc w:val="left"/>
              <w:rPr>
                <w:color w:val="D8E47A"/>
              </w:rPr>
            </w:pPr>
            <w:r>
              <w:rPr>
                <w:color w:val="D8E47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55" w:type="dxa"/>
            <w:tcBorders>
              <w:bottom w:val="single" w:sz="8" w:space="0" w:color="14202A"/>
            </w:tcBorders>
            <w:tcMar>
              <w:bottom w:w="2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15% of the annual equity grants made in Fiscal 2025 to all NEOs, excluding Mr. Clark, were in the form of stock options, which only have value to the executive if the value of the Company grows for our shareholders.</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Based on our performance as measured against predefined goals, the 2023-2025 LTIP paid out at 0% of target, and the Fiscal 2025 Officers Incentive Compensation Plan (OICP) paid out as follows for all NEOs, except for Mr. Clark: 37.6% of target for Messrs. Happe and Hughes, and Ms. Bogart, and 174.9% for Mr. Tubman. Performance share units specific to Fiscal 2025 Adjusted EPS were not earned.</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Mr. Clark received a cash incentive award of $4,090,474 for Fiscal 2025. This incentive was paid in four quarterly installments with respect to Fiscal 2025. </w:t>
      </w:r>
    </w:p>
    <w:p>
      <w:pPr>
        <w:pStyle w:val="TextBody"/>
        <w:bidi w:val="0"/>
        <w:spacing w:before="300" w:after="283"/>
        <w:ind w:left="0" w:right="0" w:hanging="0"/>
        <w:jc w:val="left"/>
        <w:rPr>
          <w:rFonts w:ascii="Arial;Helvetica;sans-serif" w:hAnsi="Arial;Helvetica;sans-serif"/>
          <w:b/>
          <w:color w:val="D8E47A"/>
          <w:sz w:val="24"/>
        </w:rPr>
      </w:pPr>
      <w:bookmarkStart w:id="73" w:name="tOPG"/>
      <w:bookmarkEnd w:id="73"/>
      <w:r>
        <w:rPr>
          <w:rFonts w:ascii="Arial;Helvetica;sans-serif" w:hAnsi="Arial;Helvetica;sans-serif"/>
          <w:b/>
          <w:color w:val="D8E47A"/>
          <w:sz w:val="24"/>
        </w:rPr>
        <w:t xml:space="preserve">Other Pay and Governance Practices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Company has adopted the following key programs, policies and practices to respond to best governance practices in executive compensation and enhance the alignment of our executive compensation programs and shareholder interests: </w:t>
      </w:r>
    </w:p>
    <w:tbl>
      <w:tblPr>
        <w:tblW w:w="10205" w:type="dxa"/>
        <w:jc w:val="left"/>
        <w:tblInd w:w="0" w:type="dxa"/>
        <w:tblLayout w:type="fixed"/>
        <w:tblCellMar>
          <w:top w:w="0" w:type="dxa"/>
          <w:left w:w="0" w:type="dxa"/>
          <w:bottom w:w="0" w:type="dxa"/>
          <w:right w:w="0" w:type="dxa"/>
        </w:tblCellMar>
      </w:tblPr>
      <w:tblGrid>
        <w:gridCol w:w="185"/>
        <w:gridCol w:w="6265"/>
        <w:gridCol w:w="170"/>
        <w:gridCol w:w="170"/>
        <w:gridCol w:w="3199"/>
        <w:gridCol w:w="216"/>
      </w:tblGrid>
      <w:tr>
        <w:trPr/>
        <w:tc>
          <w:tcPr>
            <w:tcW w:w="185" w:type="dxa"/>
            <w:tcBorders/>
            <w:shd w:fill="14202A" w:val="clear"/>
            <w:vAlign w:val="center"/>
          </w:tcPr>
          <w:p>
            <w:pPr>
              <w:pStyle w:val="TableContents"/>
              <w:bidi w:val="0"/>
              <w:spacing w:before="0" w:after="0"/>
              <w:jc w:val="left"/>
              <w:rPr/>
            </w:pPr>
            <w:r>
              <w:rPr/>
              <w:t> </w:t>
            </w:r>
          </w:p>
        </w:tc>
        <w:tc>
          <w:tcPr>
            <w:tcW w:w="626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199"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6265" w:type="dxa"/>
            <w:tcBorders/>
            <w:shd w:fill="14202A"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What we do</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199" w:type="dxa"/>
            <w:tcBorders/>
            <w:shd w:fill="14202A"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What we don’t do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5" w:type="dxa"/>
            <w:tcBorders/>
            <w:vAlign w:val="center"/>
          </w:tcPr>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Tie the majority of target total compensation to performance </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Provide appropriate mix of pay to reward Company, line of business, and individual performance </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Align executive interests with the interests of the shareholders through equity-based awards </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Use different performance metrics for annual incentive awards and long-term incentive awards</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Maintain clawback policies, applicable to our executive officers’ incentive awards, which provide for the recoupment of incentive compensation payouts following certain financial restatements or in the event of certain misconduct </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Align our performance goals and measures with our strategy and operating plan </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Maintain meaningful executive and director stock ownership guidelines </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Conduct annual “say-on-pay” advisory votes </w:t>
            </w:r>
          </w:p>
          <w:p>
            <w:pPr>
              <w:pStyle w:val="TableContents"/>
              <w:bidi w:val="0"/>
              <w:spacing w:before="0" w:after="283"/>
              <w:ind w:left="6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Use an outside, independent third-party advisor to provide objective compensation advice to our fully-independent human resources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99" w:type="dxa"/>
            <w:tcBorders/>
            <w:vAlign w:val="center"/>
          </w:tcPr>
          <w:p>
            <w:pPr>
              <w:pStyle w:val="TableContents"/>
              <w:bidi w:val="0"/>
              <w:spacing w:before="0" w:after="283"/>
              <w:ind w:left="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Provide excessive severance benefits to our executive officers </w:t>
            </w:r>
          </w:p>
          <w:p>
            <w:pPr>
              <w:pStyle w:val="TableContents"/>
              <w:bidi w:val="0"/>
              <w:spacing w:before="0" w:after="283"/>
              <w:ind w:left="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Provide excise tax gross-ups upon change in control </w:t>
            </w:r>
          </w:p>
          <w:p>
            <w:pPr>
              <w:pStyle w:val="TableContents"/>
              <w:bidi w:val="0"/>
              <w:spacing w:before="0" w:after="283"/>
              <w:ind w:left="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Grant equity awards subject to automatic acceleration of vesting (i.e., single-trigger) upon change in control </w:t>
            </w:r>
          </w:p>
          <w:p>
            <w:pPr>
              <w:pStyle w:val="TableContents"/>
              <w:bidi w:val="0"/>
              <w:spacing w:before="0" w:after="283"/>
              <w:ind w:left="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Allow for hedging, pledging or speculative trading of Company securities by executives or directors </w:t>
            </w:r>
          </w:p>
          <w:p>
            <w:pPr>
              <w:pStyle w:val="TableContents"/>
              <w:bidi w:val="0"/>
              <w:spacing w:before="0" w:after="283"/>
              <w:ind w:left="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 xml:space="preserve">Reprice options without shareholder approval </w:t>
            </w:r>
          </w:p>
          <w:p>
            <w:pPr>
              <w:pStyle w:val="TableContents"/>
              <w:bidi w:val="0"/>
              <w:spacing w:before="0" w:after="283"/>
              <w:ind w:left="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6"/>
              </w:rPr>
            </w:pPr>
            <w:r>
              <w:rPr>
                <w:rFonts w:ascii="Arial;Helvetica;sans-serif" w:hAnsi="Arial;Helvetica;sans-serif"/>
                <w:color w:val="14202A"/>
                <w:sz w:val="16"/>
              </w:rPr>
              <w:t>Provide significant perquisites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62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199"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29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52074x1_def14a_108-executive_pg4"/>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75" w:name="tADV"/>
      <w:bookmarkEnd w:id="75"/>
      <w:r>
        <w:rPr>
          <w:rFonts w:ascii="Arial;Helvetica;sans-serif" w:hAnsi="Arial;Helvetica;sans-serif"/>
          <w:b/>
          <w:color w:val="D8E47A"/>
          <w:sz w:val="24"/>
        </w:rPr>
        <w:t xml:space="preserve">Advisory Vote on Executive Compensation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At our 2024 annual meeting of shareholders, our shareholders voted to approve on an advisory basis the compensation of our NEOs. 97.6% of the votes cast with respect to this proposal were cast for approval of our NEOs’ compensation. The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 </w:t>
      </w:r>
    </w:p>
    <w:p>
      <w:pPr>
        <w:pStyle w:val="TextBody"/>
        <w:bidi w:val="0"/>
        <w:spacing w:before="310" w:after="283"/>
        <w:ind w:left="0" w:right="0" w:hanging="0"/>
        <w:jc w:val="left"/>
        <w:rPr>
          <w:rFonts w:ascii="Arial;Helvetica;sans-serif" w:hAnsi="Arial;Helvetica;sans-serif"/>
          <w:b/>
          <w:color w:val="D8E47A"/>
          <w:sz w:val="24"/>
        </w:rPr>
      </w:pPr>
      <w:bookmarkStart w:id="76" w:name="tELE"/>
      <w:bookmarkEnd w:id="76"/>
      <w:r>
        <w:rPr>
          <w:rFonts w:ascii="Arial;Helvetica;sans-serif" w:hAnsi="Arial;Helvetica;sans-serif"/>
          <w:b/>
          <w:color w:val="D8E47A"/>
          <w:sz w:val="24"/>
        </w:rPr>
        <w:t xml:space="preserve">Elements of Fiscal 2025 Compensation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table below lays out the Fiscal 2025 compensation elements for all NEOs, other than Mr. Clark. </w:t>
      </w:r>
    </w:p>
    <w:tbl>
      <w:tblPr>
        <w:tblW w:w="10205" w:type="dxa"/>
        <w:jc w:val="left"/>
        <w:tblInd w:w="0" w:type="dxa"/>
        <w:tblLayout w:type="fixed"/>
        <w:tblCellMar>
          <w:top w:w="0" w:type="dxa"/>
          <w:left w:w="0" w:type="dxa"/>
          <w:bottom w:w="0" w:type="dxa"/>
          <w:right w:w="0" w:type="dxa"/>
        </w:tblCellMar>
      </w:tblPr>
      <w:tblGrid>
        <w:gridCol w:w="185"/>
        <w:gridCol w:w="635"/>
        <w:gridCol w:w="170"/>
        <w:gridCol w:w="170"/>
        <w:gridCol w:w="1828"/>
        <w:gridCol w:w="170"/>
        <w:gridCol w:w="170"/>
        <w:gridCol w:w="3200"/>
        <w:gridCol w:w="170"/>
        <w:gridCol w:w="170"/>
        <w:gridCol w:w="3121"/>
        <w:gridCol w:w="216"/>
      </w:tblGrid>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8" w:type="dxa"/>
            <w:tcBorders/>
            <w:vAlign w:val="center"/>
          </w:tcPr>
          <w:p>
            <w:pPr>
              <w:pStyle w:val="TableContents"/>
              <w:bidi w:val="0"/>
              <w:spacing w:before="0" w:after="0"/>
              <w:jc w:val="left"/>
              <w:rPr/>
            </w:pPr>
            <w:r>
              <w:rPr/>
              <w:t> </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14202A"/>
              </w:rPr>
            </w:pPr>
            <w:r>
              <w:rPr>
                <w:color w:val="14202A"/>
              </w:rPr>
              <w:t> </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8" w:type="dxa"/>
            <w:tcBorders>
              <w:bottom w:val="single" w:sz="8" w:space="0" w:color="14202A"/>
            </w:tcBorders>
            <w:tcMar>
              <w:bottom w:w="4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Element</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bottom w:val="single" w:sz="8" w:space="0" w:color="14202A"/>
            </w:tcBorders>
            <w:tcMar>
              <w:bottom w:w="4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Mechanics</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1" w:type="dxa"/>
            <w:tcBorders>
              <w:bottom w:val="single" w:sz="8" w:space="0" w:color="14202A"/>
            </w:tcBorders>
            <w:tcMar>
              <w:bottom w:w="4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Rationale </w:t>
            </w:r>
          </w:p>
        </w:tc>
        <w:tc>
          <w:tcPr>
            <w:tcW w:w="216" w:type="dxa"/>
            <w:tcBorders/>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14202A"/>
            </w:tcBorders>
            <w:tcMar>
              <w:bottom w:w="45"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Paid in Cash</w:t>
            </w:r>
          </w:p>
        </w:tc>
        <w:tc>
          <w:tcPr>
            <w:tcW w:w="170" w:type="dxa"/>
            <w:vMerge w:val="restart"/>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8"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Salary</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200"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Weekly payments </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Values correspond to experience and job scope</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121"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Provides competitive fixed pay to attract employees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635" w:type="dxa"/>
            <w:vMerge w:val="continue"/>
            <w:tcBorders>
              <w:bottom w:val="single" w:sz="8" w:space="0" w:color="14202A"/>
            </w:tcBorders>
            <w:tcMar>
              <w:bottom w:w="45" w:type="dxa"/>
            </w:tcMar>
            <w:vAlign w:val="center"/>
          </w:tcPr>
          <w:p>
            <w:pPr>
              <w:pStyle w:val="Normal"/>
              <w:bidi w:val="0"/>
              <w:jc w:val="left"/>
              <w:rPr/>
            </w:pPr>
            <w:r>
              <w:rPr/>
            </w:r>
          </w:p>
        </w:tc>
        <w:tc>
          <w:tcPr>
            <w:tcW w:w="170" w:type="dxa"/>
            <w:vMerge w:val="continue"/>
            <w:tcBorders>
              <w:bottom w:val="single" w:sz="8" w:space="0" w:color="14202A"/>
              <w:right w:val="single" w:sz="8" w:space="0" w:color="14202A"/>
            </w:tcBorders>
            <w:tcMar>
              <w:bottom w:w="28" w:type="dxa"/>
              <w:right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8"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Officers Incentive Compensation Plan (OICP)</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200"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Annual payout tied to performance against pre-determined metrics and goals across a one-year performance period (30%) and each of the first and last six months of Fiscal 2025 (30% and 40%, respectively)</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For Fiscal 2025, the metrics included:</w:t>
            </w:r>
          </w:p>
          <w:p>
            <w:pPr>
              <w:pStyle w:val="TableContents"/>
              <w:bidi w:val="0"/>
              <w:spacing w:before="0" w:after="283"/>
              <w:ind w:left="0" w:right="0" w:hanging="0"/>
              <w:jc w:val="left"/>
              <w:rPr>
                <w:color w:val="14202A"/>
              </w:rPr>
            </w:pPr>
            <w:r>
              <w:rPr>
                <w:color w:val="14202A"/>
              </w:rPr>
              <w:t>• </w:t>
            </w:r>
          </w:p>
          <w:p>
            <w:pPr>
              <w:pStyle w:val="TableContents"/>
              <w:bidi w:val="0"/>
              <w:spacing w:before="0" w:after="283"/>
              <w:jc w:val="left"/>
              <w:rPr>
                <w:rFonts w:ascii="Arial;Helvetica;sans-serif" w:hAnsi="Arial;Helvetica;sans-serif"/>
                <w:color w:val="14202A"/>
                <w:sz w:val="18"/>
              </w:rPr>
            </w:pPr>
            <w:r>
              <w:rPr>
                <w:rFonts w:ascii="Arial;Helvetica;sans-serif" w:hAnsi="Arial;Helvetica;sans-serif"/>
                <w:color w:val="14202A"/>
                <w:sz w:val="18"/>
              </w:rPr>
              <w:t>70% financial objectives (enterprise level for Messrs. Happe and Hughes and Ms. Bogart, and business level for Mr. Tubman)</w:t>
            </w:r>
          </w:p>
          <w:p>
            <w:pPr>
              <w:pStyle w:val="TableContents"/>
              <w:bidi w:val="0"/>
              <w:spacing w:before="0" w:after="283"/>
              <w:ind w:left="0" w:right="0" w:hanging="0"/>
              <w:jc w:val="left"/>
              <w:rPr>
                <w:color w:val="14202A"/>
              </w:rPr>
            </w:pPr>
            <w:r>
              <w:rPr>
                <w:color w:val="14202A"/>
              </w:rPr>
              <w:t>  ○ </w:t>
            </w:r>
            <w:r>
              <w:rPr>
                <w:rFonts w:ascii="Arial;Helvetica;sans-serif" w:hAnsi="Arial;Helvetica;sans-serif"/>
                <w:color w:val="14202A"/>
                <w:sz w:val="18"/>
              </w:rPr>
              <w:t>40% Net Revenue</w:t>
            </w:r>
          </w:p>
          <w:p>
            <w:pPr>
              <w:pStyle w:val="TableContents"/>
              <w:bidi w:val="0"/>
              <w:spacing w:before="0" w:after="283"/>
              <w:ind w:left="0" w:right="0" w:hanging="0"/>
              <w:jc w:val="left"/>
              <w:rPr>
                <w:color w:val="14202A"/>
              </w:rPr>
            </w:pPr>
            <w:r>
              <w:rPr>
                <w:color w:val="14202A"/>
              </w:rPr>
              <w:t>  ○ </w:t>
            </w:r>
            <w:r>
              <w:rPr>
                <w:rFonts w:ascii="Arial;Helvetica;sans-serif" w:hAnsi="Arial;Helvetica;sans-serif"/>
                <w:color w:val="14202A"/>
                <w:sz w:val="18"/>
              </w:rPr>
              <w:t>50% Operating Income</w:t>
            </w:r>
          </w:p>
          <w:p>
            <w:pPr>
              <w:pStyle w:val="TableContents"/>
              <w:bidi w:val="0"/>
              <w:spacing w:before="0" w:after="283"/>
              <w:ind w:left="0" w:right="0" w:hanging="0"/>
              <w:jc w:val="left"/>
              <w:rPr>
                <w:color w:val="14202A"/>
              </w:rPr>
            </w:pPr>
            <w:r>
              <w:rPr>
                <w:color w:val="14202A"/>
              </w:rPr>
              <w:t>  ○ </w:t>
            </w:r>
            <w:r>
              <w:rPr>
                <w:rFonts w:ascii="Arial;Helvetica;sans-serif" w:hAnsi="Arial;Helvetica;sans-serif"/>
                <w:color w:val="14202A"/>
                <w:sz w:val="18"/>
              </w:rPr>
              <w:t>10% Net Working Capital</w:t>
            </w:r>
          </w:p>
          <w:p>
            <w:pPr>
              <w:pStyle w:val="TableContents"/>
              <w:bidi w:val="0"/>
              <w:spacing w:before="0" w:after="283"/>
              <w:ind w:left="0" w:right="0" w:hanging="0"/>
              <w:jc w:val="left"/>
              <w:rPr>
                <w:color w:val="14202A"/>
              </w:rPr>
            </w:pPr>
            <w:r>
              <w:rPr>
                <w:color w:val="14202A"/>
              </w:rPr>
              <w:t>• </w:t>
            </w:r>
            <w:r>
              <w:rPr>
                <w:rFonts w:ascii="Arial;Helvetica;sans-serif" w:hAnsi="Arial;Helvetica;sans-serif"/>
                <w:color w:val="14202A"/>
                <w:sz w:val="18"/>
              </w:rPr>
              <w:t>30% Individual Objectives</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121"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Incentivizes achievement of key annual objectives at an enterprise-wide or individual business unit level, driving progress towards achievement of long-term initiatives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35" w:type="dxa"/>
            <w:vMerge w:val="restart"/>
            <w:tcBorders/>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Paid in Equity</w:t>
            </w:r>
          </w:p>
        </w:tc>
        <w:tc>
          <w:tcPr>
            <w:tcW w:w="170" w:type="dxa"/>
            <w:vMerge w:val="restart"/>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8"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Performance Share Units / Long-Term Incentive Program (LTIP) – Annual</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200"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50% of all annual equity awards </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the Fiscal 2025-2027 performance period, payouts are tied to performance against pre-determined goals across a three-year performance period. </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The metrics consist of:</w:t>
            </w:r>
          </w:p>
          <w:p>
            <w:pPr>
              <w:pStyle w:val="TableContents"/>
              <w:bidi w:val="0"/>
              <w:spacing w:before="0" w:after="283"/>
              <w:ind w:left="0" w:right="0" w:hanging="0"/>
              <w:jc w:val="left"/>
              <w:rPr>
                <w:color w:val="14202A"/>
              </w:rPr>
            </w:pPr>
            <w:r>
              <w:rPr>
                <w:color w:val="14202A"/>
              </w:rPr>
              <w:t>• </w:t>
            </w:r>
            <w:r>
              <w:rPr>
                <w:rFonts w:ascii="Arial;Helvetica;sans-serif" w:hAnsi="Arial;Helvetica;sans-serif"/>
                <w:color w:val="14202A"/>
                <w:sz w:val="18"/>
              </w:rPr>
              <w:t>50% Incentive ROIC</w:t>
            </w:r>
          </w:p>
          <w:p>
            <w:pPr>
              <w:pStyle w:val="TableContents"/>
              <w:bidi w:val="0"/>
              <w:spacing w:before="0" w:after="283"/>
              <w:ind w:left="0" w:right="0" w:hanging="0"/>
              <w:jc w:val="left"/>
              <w:rPr>
                <w:color w:val="14202A"/>
              </w:rPr>
            </w:pPr>
            <w:r>
              <w:rPr>
                <w:color w:val="14202A"/>
              </w:rPr>
              <w:t>• </w:t>
            </w:r>
            <w:r>
              <w:rPr>
                <w:rFonts w:ascii="Arial;Helvetica;sans-serif" w:hAnsi="Arial;Helvetica;sans-serif"/>
                <w:color w:val="14202A"/>
                <w:sz w:val="18"/>
              </w:rPr>
              <w:t>50% Incentive EPS</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Payouts range from 0%-200% of a pre-determined target value</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121"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Rewards for achievement of specific long-term financial objectives </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Aligns NEOs’ interest with long-term shareholder value creation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35" w:type="dxa"/>
            <w:vMerge w:val="continue"/>
            <w:tcBorders/>
            <w:vAlign w:val="center"/>
          </w:tcPr>
          <w:p>
            <w:pPr>
              <w:pStyle w:val="Normal"/>
              <w:bidi w:val="0"/>
              <w:jc w:val="left"/>
              <w:rPr/>
            </w:pPr>
            <w:r>
              <w:rPr/>
            </w:r>
          </w:p>
        </w:tc>
        <w:tc>
          <w:tcPr>
            <w:tcW w:w="170" w:type="dxa"/>
            <w:vMerge w:val="continue"/>
            <w:tcBorders>
              <w:right w:val="single" w:sz="8" w:space="0" w:color="14202A"/>
            </w:tcBorders>
            <w:tcMar>
              <w:right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8"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Stock Options – Annual</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200"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15% of all annual equity awards </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Stock options can be exercised over 10 years and vest over three years in equal installments</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121"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Aligns NEOs’ interest with long-term shareholder value creation as measured by appreciation in stock price from the date of grant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35" w:type="dxa"/>
            <w:vMerge w:val="continue"/>
            <w:tcBorders/>
            <w:vAlign w:val="center"/>
          </w:tcPr>
          <w:p>
            <w:pPr>
              <w:pStyle w:val="Normal"/>
              <w:bidi w:val="0"/>
              <w:jc w:val="left"/>
              <w:rPr/>
            </w:pPr>
            <w:r>
              <w:rPr/>
            </w:r>
          </w:p>
        </w:tc>
        <w:tc>
          <w:tcPr>
            <w:tcW w:w="170" w:type="dxa"/>
            <w:vMerge w:val="continue"/>
            <w:tcBorders>
              <w:right w:val="single" w:sz="8" w:space="0" w:color="14202A"/>
            </w:tcBorders>
            <w:tcMar>
              <w:right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828"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Restricted Stock Units – Annual</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200"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35% of all annual equity awards </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Restricted stock units vest over three years in equal installments</w:t>
            </w:r>
          </w:p>
        </w:tc>
        <w:tc>
          <w:tcPr>
            <w:tcW w:w="170" w:type="dxa"/>
            <w:tcBorders>
              <w:bottom w:val="single" w:sz="8" w:space="0" w:color="14202A"/>
              <w:right w:val="single" w:sz="8" w:space="0" w:color="14202A"/>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3121" w:type="dxa"/>
            <w:tcBorders>
              <w:bottom w:val="single" w:sz="8" w:space="0" w:color="14202A"/>
            </w:tcBorders>
            <w:tcMar>
              <w:bottom w:w="45" w:type="dxa"/>
            </w:tcMar>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Aligns NEOs’ interest with long-term shareholder value creation </w:t>
            </w:r>
          </w:p>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Encourages executive retention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35" w:type="dxa"/>
            <w:vMerge w:val="continue"/>
            <w:tcBorders/>
            <w:vAlign w:val="center"/>
          </w:tcPr>
          <w:p>
            <w:pPr>
              <w:pStyle w:val="Normal"/>
              <w:bidi w:val="0"/>
              <w:jc w:val="left"/>
              <w:rPr/>
            </w:pPr>
            <w:r>
              <w:rPr/>
            </w:r>
          </w:p>
        </w:tc>
        <w:tc>
          <w:tcPr>
            <w:tcW w:w="170" w:type="dxa"/>
            <w:vMerge w:val="continue"/>
            <w:tcBorders>
              <w:right w:val="single" w:sz="8" w:space="0" w:color="14202A"/>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828"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Performance Share Units – Fiscal 2025 Only</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For Fiscal 2025, performance share units were granted with payouts tied to performance against a pre-determined Adjusted EPS goal for 2025, which were not earned</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1"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Performance-based program to incentivize an Adjusted EPS goal and further encourage executive retention</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8" w:type="dxa"/>
            <w:tcBorders/>
            <w:vAlign w:val="center"/>
          </w:tcPr>
          <w:p>
            <w:pPr>
              <w:pStyle w:val="TableContents"/>
              <w:bidi w:val="0"/>
              <w:spacing w:before="0" w:after="0"/>
              <w:jc w:val="left"/>
              <w:rPr/>
            </w:pPr>
            <w:r>
              <w:rPr/>
              <w:t> </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c>
          <w:tcPr>
            <w:tcW w:w="170" w:type="dxa"/>
            <w:tcBorders>
              <w:right w:val="single" w:sz="8" w:space="0" w:color="14202A"/>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52074x1_def14a_108-executive_pg5"/>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connection with our acquisition of Grand Design, we entered into an employment agreement with Mr. Clark in November 2016, which was most recently amended on October 17, 2023 to extend Mr. Clark’s employment through August 31, 2028. Under the current agreement, Mr. Clark is (i) paid an annual base salary of at least $500,000 and (ii) eligible to receive an incentive bonus pursuant to the pre-existing Grand Design Management Incentive Plan (the Grand Design MIP). Mr. Clark’s annual base salary was increased to $700,000 on October 14, 2024 in connection with his promotion to Group President – Towable RV Segment; President – Grand Design RV. Payment under the Grand Design MIP is 90% dependent on pretax net income performance of the Grand Design business and 10% dependent on Grand Design’s performance against an operating target set by the Company. Any incentive bonus earned under the Grand Design MIP is payable 100% in cash. Mr. Clark is not eligible to participate in any other Winnebago Industries cash or stock incentive program. </w:t>
      </w:r>
    </w:p>
    <w:p>
      <w:pPr>
        <w:pStyle w:val="TextBody"/>
        <w:bidi w:val="0"/>
        <w:spacing w:before="300" w:after="283"/>
        <w:ind w:left="0" w:right="0" w:hanging="0"/>
        <w:jc w:val="left"/>
        <w:rPr>
          <w:rFonts w:ascii="Arial;Helvetica;sans-serif" w:hAnsi="Arial;Helvetica;sans-serif"/>
          <w:b/>
          <w:color w:val="D8E47A"/>
          <w:sz w:val="24"/>
        </w:rPr>
      </w:pPr>
      <w:bookmarkStart w:id="78" w:name="tPERF"/>
      <w:bookmarkEnd w:id="78"/>
      <w:r>
        <w:rPr>
          <w:rFonts w:ascii="Arial;Helvetica;sans-serif" w:hAnsi="Arial;Helvetica;sans-serif"/>
          <w:b/>
          <w:color w:val="D8E47A"/>
          <w:sz w:val="24"/>
        </w:rPr>
        <w:t xml:space="preserve">Performance-based Pay Mix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Consistent with the committee’s commitment to a strong, positive link among our business objectives, our performance and our executive compensation practices, we have placed a significant emphasis on pay “at risk,” based on the achievement of established business objectives and shareholder value creation. In Fiscal 2025, 88% of our CEO’s total target compensation and 75% of the average total target compensation of our other NEOs was performance-based pay, including annual incentive compensation and annual equity grants (including the performance share units specific to Fiscal 2025), with a significant emphasis on long-term performance and shareholder value creation. The following charts illustrate the components of our CEO’s Fiscal 2025 total target compensation, as well as the components of the average total target compensation for our other NEOs in Fiscal 2025, excluding Mr. Clark. Total target compensation includes Fiscal 2025 annualized base salary, target annual incentive compensation, and the grant date fair value of the annual equity grants made in Fiscal 2025 (including the performance share units specific to Fiscal 2025), as reported in the Summary Compensation Table (and excludes benefits and other compensation). </w:t>
      </w:r>
    </w:p>
    <w:p>
      <w:pPr>
        <w:pStyle w:val="TextBody"/>
        <w:bidi w:val="0"/>
        <w:spacing w:before="380" w:after="283"/>
        <w:jc w:val="center"/>
        <w:rPr>
          <w:color w:val="14202A"/>
        </w:rPr>
      </w:pPr>
      <w:r>
        <w:rPr>
          <w:color w:val="14202A"/>
        </w:rPr>
        <w:drawing>
          <wp:inline distT="0" distB="0" distL="0" distR="0">
            <wp:extent cx="4486275" cy="1676400"/>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7"/>
                    <a:stretch>
                      <a:fillRect/>
                    </a:stretch>
                  </pic:blipFill>
                  <pic:spPr bwMode="auto">
                    <a:xfrm>
                      <a:off x="0" y="0"/>
                      <a:ext cx="4486275" cy="1676400"/>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tbl>
      <w:tblPr>
        <w:tblW w:w="1510" w:type="dxa"/>
        <w:jc w:val="left"/>
        <w:tblInd w:w="0" w:type="dxa"/>
        <w:tblLayout w:type="fixed"/>
        <w:tblCellMar>
          <w:top w:w="0" w:type="dxa"/>
          <w:left w:w="0" w:type="dxa"/>
          <w:bottom w:w="0" w:type="dxa"/>
          <w:right w:w="0" w:type="dxa"/>
        </w:tblCellMar>
      </w:tblPr>
      <w:tblGrid>
        <w:gridCol w:w="215"/>
        <w:gridCol w:w="129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2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Excludes Mr. Clark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52074x1_def14a_108-executive_pg6"/>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80" w:name="tDET"/>
      <w:bookmarkEnd w:id="80"/>
      <w:r>
        <w:rPr>
          <w:rFonts w:ascii="Arial;Helvetica;sans-serif" w:hAnsi="Arial;Helvetica;sans-serif"/>
          <w:b/>
          <w:color w:val="D8E47A"/>
          <w:sz w:val="24"/>
        </w:rPr>
        <w:t xml:space="preserve">Determination of Compensation </w:t>
      </w:r>
    </w:p>
    <w:p>
      <w:pPr>
        <w:pStyle w:val="TextBody"/>
        <w:bidi w:val="0"/>
        <w:spacing w:before="190" w:after="283"/>
        <w:ind w:left="0" w:right="0" w:hanging="0"/>
        <w:jc w:val="left"/>
        <w:rPr>
          <w:rFonts w:ascii="Arial;Helvetica;sans-serif" w:hAnsi="Arial;Helvetica;sans-serif"/>
          <w:b/>
          <w:color w:val="D8E47A"/>
          <w:sz w:val="24"/>
        </w:rPr>
      </w:pPr>
      <w:bookmarkStart w:id="81" w:name="tROL"/>
      <w:bookmarkEnd w:id="81"/>
      <w:r>
        <w:rPr>
          <w:rFonts w:ascii="Arial;Helvetica;sans-serif" w:hAnsi="Arial;Helvetica;sans-serif"/>
          <w:b/>
          <w:color w:val="D8E47A"/>
          <w:sz w:val="24"/>
        </w:rPr>
        <w:t xml:space="preserve">Role of the Human Resources Committee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Human Resources Committee is responsible for reviewing and approving, on an annual basis, the corporate goals and objectives with respect to the compensation of all of our executive officers, as described in the committee’s charter. The committee relies on its own review and the advice of its independent compensation consultant in establishing executive officer pay. The committee seeks the input of the CEO in making executive officer pay decisions for all executives other than himself, with the committee approving all compensation decisions. In October 2024, the committee approved annual incentive performance objectives for Fiscal 2025 based upon the business plan for the year. In October 2024, the committee granted long-term incentive awards to our executive officers, including annual LTIP performance share units, stock options, and restricted stock units, and also approved the grant of performance share units specific to Fiscal 2025 Adjusted EPS goals. After the completion of Fiscal 2025, the committee (i) approved the 2025 annual incentives for our NEOs based on achievement of the performance objectives established at the beginning of the year, (ii) certified achievement of performance objectives with respect to the LTIP performance share unit awards granted to then-current executives in Fiscal 2023 that had a performance period running from Fiscal 2023-2025, and (iii) determined that the Adjusted EPS goal for the Fiscal 2025 performance share units had not been achieved. </w:t>
      </w:r>
    </w:p>
    <w:p>
      <w:pPr>
        <w:pStyle w:val="TextBody"/>
        <w:bidi w:val="0"/>
        <w:spacing w:before="310" w:after="283"/>
        <w:ind w:left="0" w:right="0" w:hanging="0"/>
        <w:jc w:val="left"/>
        <w:rPr>
          <w:rFonts w:ascii="Arial;Helvetica;sans-serif" w:hAnsi="Arial;Helvetica;sans-serif"/>
          <w:b/>
          <w:color w:val="D8E47A"/>
          <w:sz w:val="24"/>
        </w:rPr>
      </w:pPr>
      <w:bookmarkStart w:id="82" w:name="tROL1"/>
      <w:bookmarkEnd w:id="82"/>
      <w:r>
        <w:rPr>
          <w:rFonts w:ascii="Arial;Helvetica;sans-serif" w:hAnsi="Arial;Helvetica;sans-serif"/>
          <w:b/>
          <w:color w:val="D8E47A"/>
          <w:sz w:val="24"/>
        </w:rPr>
        <w:t xml:space="preserve">Role of the Compensation Consultant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Human Resources Committee retained Semler Brossy as its independent executive compensation consultant for Fiscal 2025. Retained by and reporting directly to the committee, Semler Brossy provided the committee with assistance in evaluating our executive compensation programs and policies, and, where appropriate, assisted with the revision of elements of the programs. Additionally, Semler Brossy performed the following activities to support the committee: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Reviewed annual and long-term incentive designs and assisted with determination of annual and long-term incentive awards, including Fiscal 2025 payouts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Reviewed the total compensation program, including competitive peer group analysis and analysis of executive pay levels in relation to broader market survey data </w:t>
            </w:r>
          </w:p>
        </w:tc>
      </w:tr>
    </w:tbl>
    <w:tbl>
      <w:tblPr>
        <w:tblW w:w="5680" w:type="dxa"/>
        <w:jc w:val="left"/>
        <w:tblInd w:w="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283"/>
              <w:jc w:val="left"/>
              <w:rPr>
                <w:color w:val="D8E47A"/>
              </w:rPr>
            </w:pPr>
            <w:r>
              <w:rPr>
                <w:color w:val="D8E47A"/>
              </w:rPr>
              <w:t>⯀</w:t>
            </w:r>
          </w:p>
        </w:tc>
        <w:tc>
          <w:tcPr>
            <w:tcW w:w="542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Reviewed information provided to the committee by management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Developed recommendations with respect to CEO compensation decisions and provided advice to the committee on the compensation decisions affecting all executives, including the NEOs </w:t>
            </w:r>
          </w:p>
        </w:tc>
      </w:tr>
    </w:tbl>
    <w:tbl>
      <w:tblPr>
        <w:tblW w:w="6895" w:type="dxa"/>
        <w:jc w:val="left"/>
        <w:tblInd w:w="0" w:type="dxa"/>
        <w:tblLayout w:type="fixed"/>
        <w:tblCellMar>
          <w:top w:w="0" w:type="dxa"/>
          <w:left w:w="0" w:type="dxa"/>
          <w:bottom w:w="0" w:type="dxa"/>
          <w:right w:w="0" w:type="dxa"/>
        </w:tblCellMar>
      </w:tblPr>
      <w:tblGrid>
        <w:gridCol w:w="260"/>
        <w:gridCol w:w="6635"/>
      </w:tblGrid>
      <w:tr>
        <w:trPr/>
        <w:tc>
          <w:tcPr>
            <w:tcW w:w="260" w:type="dxa"/>
            <w:tcBorders/>
            <w:vAlign w:val="center"/>
          </w:tcPr>
          <w:p>
            <w:pPr>
              <w:pStyle w:val="TableContents"/>
              <w:bidi w:val="0"/>
              <w:spacing w:before="0" w:after="283"/>
              <w:jc w:val="left"/>
              <w:rPr>
                <w:color w:val="D8E47A"/>
              </w:rPr>
            </w:pPr>
            <w:r>
              <w:rPr>
                <w:color w:val="D8E47A"/>
              </w:rPr>
              <w:t>⯀</w:t>
            </w:r>
          </w:p>
        </w:tc>
        <w:tc>
          <w:tcPr>
            <w:tcW w:w="663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Attended and participated in committee meetings as requested by the committee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Reported on compensation trends and best practices, plan design, and the reasonableness of individual compensation awards </w:t>
            </w:r>
          </w:p>
        </w:tc>
      </w:tr>
    </w:tbl>
    <w:tbl>
      <w:tblPr>
        <w:tblW w:w="9730" w:type="dxa"/>
        <w:jc w:val="left"/>
        <w:tblInd w:w="0" w:type="dxa"/>
        <w:tblLayout w:type="fixed"/>
        <w:tblCellMar>
          <w:top w:w="0" w:type="dxa"/>
          <w:left w:w="0" w:type="dxa"/>
          <w:bottom w:w="0" w:type="dxa"/>
          <w:right w:w="0" w:type="dxa"/>
        </w:tblCellMar>
      </w:tblPr>
      <w:tblGrid>
        <w:gridCol w:w="260"/>
        <w:gridCol w:w="9470"/>
      </w:tblGrid>
      <w:tr>
        <w:trPr/>
        <w:tc>
          <w:tcPr>
            <w:tcW w:w="260" w:type="dxa"/>
            <w:tcBorders/>
            <w:vAlign w:val="center"/>
          </w:tcPr>
          <w:p>
            <w:pPr>
              <w:pStyle w:val="TableContents"/>
              <w:bidi w:val="0"/>
              <w:spacing w:before="0" w:after="283"/>
              <w:jc w:val="left"/>
              <w:rPr>
                <w:color w:val="D8E47A"/>
              </w:rPr>
            </w:pPr>
            <w:r>
              <w:rPr>
                <w:color w:val="D8E47A"/>
              </w:rPr>
              <w:t>⯀</w:t>
            </w:r>
          </w:p>
        </w:tc>
        <w:tc>
          <w:tcPr>
            <w:tcW w:w="947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Assisted the committee in reviewing the Board’s compensation and assessing its competitiveness relative to market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Assisted the committee in assessing the extent to which the Company’s compensation policies and practices promote reasonable and appropriate risk-taking behavior by management and avoid excessive risk-taking behavior </w:t>
            </w:r>
          </w:p>
        </w:tc>
      </w:tr>
    </w:tbl>
    <w:tbl>
      <w:tblPr>
        <w:tblW w:w="6310" w:type="dxa"/>
        <w:jc w:val="left"/>
        <w:tblInd w:w="0" w:type="dxa"/>
        <w:tblLayout w:type="fixed"/>
        <w:tblCellMar>
          <w:top w:w="0" w:type="dxa"/>
          <w:left w:w="0" w:type="dxa"/>
          <w:bottom w:w="0" w:type="dxa"/>
          <w:right w:w="0" w:type="dxa"/>
        </w:tblCellMar>
      </w:tblPr>
      <w:tblGrid>
        <w:gridCol w:w="260"/>
        <w:gridCol w:w="6050"/>
      </w:tblGrid>
      <w:tr>
        <w:trPr/>
        <w:tc>
          <w:tcPr>
            <w:tcW w:w="260" w:type="dxa"/>
            <w:tcBorders/>
            <w:vAlign w:val="center"/>
          </w:tcPr>
          <w:p>
            <w:pPr>
              <w:pStyle w:val="TableContents"/>
              <w:bidi w:val="0"/>
              <w:spacing w:before="0" w:after="283"/>
              <w:jc w:val="left"/>
              <w:rPr>
                <w:color w:val="D8E47A"/>
              </w:rPr>
            </w:pPr>
            <w:r>
              <w:rPr>
                <w:color w:val="D8E47A"/>
              </w:rPr>
              <w:t>⯀</w:t>
            </w:r>
          </w:p>
        </w:tc>
        <w:tc>
          <w:tcPr>
            <w:tcW w:w="605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Provided a consultant independence and conflicts of interest assessment </w:t>
            </w:r>
          </w:p>
        </w:tc>
      </w:tr>
    </w:tbl>
    <w:tbl>
      <w:tblPr>
        <w:tblW w:w="6265" w:type="dxa"/>
        <w:jc w:val="left"/>
        <w:tblInd w:w="0" w:type="dxa"/>
        <w:tblLayout w:type="fixed"/>
        <w:tblCellMar>
          <w:top w:w="0" w:type="dxa"/>
          <w:left w:w="0" w:type="dxa"/>
          <w:bottom w:w="0" w:type="dxa"/>
          <w:right w:w="0" w:type="dxa"/>
        </w:tblCellMar>
      </w:tblPr>
      <w:tblGrid>
        <w:gridCol w:w="260"/>
        <w:gridCol w:w="6005"/>
      </w:tblGrid>
      <w:tr>
        <w:trPr/>
        <w:tc>
          <w:tcPr>
            <w:tcW w:w="260" w:type="dxa"/>
            <w:tcBorders/>
            <w:vAlign w:val="center"/>
          </w:tcPr>
          <w:p>
            <w:pPr>
              <w:pStyle w:val="TableContents"/>
              <w:bidi w:val="0"/>
              <w:spacing w:before="0" w:after="283"/>
              <w:jc w:val="left"/>
              <w:rPr>
                <w:color w:val="D8E47A"/>
              </w:rPr>
            </w:pPr>
            <w:r>
              <w:rPr>
                <w:color w:val="D8E47A"/>
              </w:rPr>
              <w:t>⯀</w:t>
            </w:r>
          </w:p>
        </w:tc>
        <w:tc>
          <w:tcPr>
            <w:tcW w:w="600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Met with the committee and/or its members without management present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52074x1_def14a_108-executive_pg7"/>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84" w:name="tROL2"/>
      <w:bookmarkEnd w:id="84"/>
      <w:r>
        <w:rPr>
          <w:rFonts w:ascii="Arial;Helvetica;sans-serif" w:hAnsi="Arial;Helvetica;sans-serif"/>
          <w:b/>
          <w:color w:val="D8E47A"/>
          <w:sz w:val="24"/>
        </w:rPr>
        <w:t xml:space="preserve">Role of Management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These recommendations are considered by the committee, which ultimately makes its own determinations. Our human resources department provides additional analysis and guidance as requested by the committee related to NEO compensation, including the following: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Developing, summarizing and presenting information and analyses to enable the committee to execute its responsibilities, as well as addressing specific requests for information from the committee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Attending committee meetings as requested to provide information, respond to questions and otherwise assist the committee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Assisting the CEO in making preliminary recommendations of base salary structure, annual and long-term (equity) program design and target award levels for the NEOs and other employees eligible to receive annual incentive awards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Preparing tally sheets outlining current pay opportunities and potential value of severance under various termination scenarios </w:t>
            </w:r>
          </w:p>
        </w:tc>
      </w:tr>
    </w:tbl>
    <w:p>
      <w:pPr>
        <w:pStyle w:val="TextBody"/>
        <w:bidi w:val="0"/>
        <w:spacing w:before="310" w:after="283"/>
        <w:ind w:left="0" w:right="0" w:hanging="0"/>
        <w:jc w:val="left"/>
        <w:rPr>
          <w:rFonts w:ascii="Arial;Helvetica;sans-serif" w:hAnsi="Arial;Helvetica;sans-serif"/>
          <w:b/>
          <w:color w:val="D8E47A"/>
          <w:sz w:val="24"/>
        </w:rPr>
      </w:pPr>
      <w:bookmarkStart w:id="85" w:name="tMCR"/>
      <w:bookmarkEnd w:id="85"/>
      <w:r>
        <w:rPr>
          <w:rFonts w:ascii="Arial;Helvetica;sans-serif" w:hAnsi="Arial;Helvetica;sans-serif"/>
          <w:b/>
          <w:color w:val="D8E47A"/>
          <w:sz w:val="24"/>
        </w:rPr>
        <w:t xml:space="preserve">Market Competitiveness Review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When setting Fiscal 2025 compensation, the Human Resources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factors considered by the committee in setting executive compensation levels.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setting compensation, the committee compares base salaries, annual incentive opportunities and long-term compensation for the NEOs to a peer group of similarly sized companies (which we refer to collectively as our compensation peers). The peer group is reviewed and recommended annually by the committee’s independent consultant, Semler Brossy. For Fiscal 2025, the committee used the following set of companies that were determined to have similarly sized revenues and market values as our compensation peers. </w:t>
      </w:r>
    </w:p>
    <w:tbl>
      <w:tblPr>
        <w:tblW w:w="6570" w:type="dxa"/>
        <w:jc w:val="left"/>
        <w:tblInd w:w="0" w:type="dxa"/>
        <w:tblLayout w:type="fixed"/>
        <w:tblCellMar>
          <w:top w:w="0" w:type="dxa"/>
          <w:left w:w="0" w:type="dxa"/>
          <w:bottom w:w="0" w:type="dxa"/>
          <w:right w:w="0" w:type="dxa"/>
        </w:tblCellMar>
      </w:tblPr>
      <w:tblGrid>
        <w:gridCol w:w="185"/>
        <w:gridCol w:w="3005"/>
        <w:gridCol w:w="170"/>
        <w:gridCol w:w="170"/>
        <w:gridCol w:w="2825"/>
        <w:gridCol w:w="215"/>
      </w:tblGrid>
      <w:tr>
        <w:trPr/>
        <w:tc>
          <w:tcPr>
            <w:tcW w:w="185" w:type="dxa"/>
            <w:tcBorders/>
            <w:shd w:fill="14202A" w:val="clear"/>
            <w:vAlign w:val="center"/>
          </w:tcPr>
          <w:p>
            <w:pPr>
              <w:pStyle w:val="TableContents"/>
              <w:bidi w:val="0"/>
              <w:spacing w:before="0" w:after="0"/>
              <w:jc w:val="left"/>
              <w:rPr/>
            </w:pPr>
            <w:r>
              <w:rPr/>
              <w:t> </w:t>
            </w:r>
          </w:p>
        </w:tc>
        <w:tc>
          <w:tcPr>
            <w:tcW w:w="6170" w:type="dxa"/>
            <w:gridSpan w:val="4"/>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6170" w:type="dxa"/>
            <w:gridSpan w:val="4"/>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Peers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American Axle – AXL (NYSE)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Oshkosh Corporation – OSK (NYSE)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Brunswick Corporation – BC (NYSE)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Patrick Industries – PATK (NASDAQ)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Crane Co. – CR (NYSE)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Polaris – PII (NYSE)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Dana Incorporated – DAN (NYSE)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REV Group – REVG (NYSE)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Donaldson Company, Inc. – DCI (NYSE)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The Timken Company – TKR (NYSE)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Harley-Davidson, Inc. – HOG (NYSE)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The Toro Company – TTC (NYSE)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Hyster-Yale – HY (NYSE)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6"/>
              </w:rPr>
              <w:t xml:space="preserve">Wabash National – WNC (NYSE)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LCI Industries – LCII (NYSE)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0" w:right="0" w:hanging="0"/>
              <w:jc w:val="left"/>
              <w:rPr>
                <w:color w:val="14202A"/>
              </w:rPr>
            </w:pPr>
            <w:r>
              <w:rPr>
                <w:color w:val="14202A"/>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00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82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8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52074x1_def14a_108-executive_pg8"/>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addition to the market comparison data based on the compensation peers listed above, to better understand the competitive talent market, the committee also reviewed compensation practices and levels at Thor Industries and Malibu Boats, two companies that operate in similar markets, but whose sizes are not sufficiently similar to be used for market comparisons.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 </w:t>
      </w:r>
    </w:p>
    <w:p>
      <w:pPr>
        <w:pStyle w:val="TextBody"/>
        <w:bidi w:val="0"/>
        <w:spacing w:before="300" w:after="283"/>
        <w:ind w:left="0" w:right="0" w:hanging="0"/>
        <w:jc w:val="left"/>
        <w:rPr>
          <w:rFonts w:ascii="Arial;Helvetica;sans-serif" w:hAnsi="Arial;Helvetica;sans-serif"/>
          <w:b/>
          <w:color w:val="D8E47A"/>
          <w:sz w:val="24"/>
        </w:rPr>
      </w:pPr>
      <w:bookmarkStart w:id="87" w:name="tFIS2"/>
      <w:bookmarkEnd w:id="87"/>
      <w:r>
        <w:rPr>
          <w:rFonts w:ascii="Arial;Helvetica;sans-serif" w:hAnsi="Arial;Helvetica;sans-serif"/>
          <w:b/>
          <w:color w:val="D8E47A"/>
          <w:sz w:val="24"/>
        </w:rPr>
        <w:t xml:space="preserve">Fiscal 2025 NEO Compensation Decisions </w:t>
      </w:r>
    </w:p>
    <w:p>
      <w:pPr>
        <w:pStyle w:val="TextBody"/>
        <w:bidi w:val="0"/>
        <w:spacing w:before="180" w:after="283"/>
        <w:ind w:left="0" w:right="0" w:hanging="0"/>
        <w:jc w:val="left"/>
        <w:rPr>
          <w:rFonts w:ascii="Arial;Helvetica;sans-serif" w:hAnsi="Arial;Helvetica;sans-serif"/>
          <w:b/>
          <w:color w:val="D8E47A"/>
          <w:sz w:val="24"/>
        </w:rPr>
      </w:pPr>
      <w:bookmarkStart w:id="88" w:name="tBSA"/>
      <w:bookmarkEnd w:id="88"/>
      <w:r>
        <w:rPr>
          <w:rFonts w:ascii="Arial;Helvetica;sans-serif" w:hAnsi="Arial;Helvetica;sans-serif"/>
          <w:b/>
          <w:color w:val="D8E47A"/>
          <w:sz w:val="24"/>
        </w:rPr>
        <w:t xml:space="preserve">Base Salary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provide NEOs with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 </w:t>
      </w:r>
    </w:p>
    <w:tbl>
      <w:tblPr>
        <w:tblW w:w="2635" w:type="dxa"/>
        <w:jc w:val="left"/>
        <w:tblInd w:w="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283"/>
              <w:jc w:val="left"/>
              <w:rPr>
                <w:color w:val="D8E47A"/>
              </w:rPr>
            </w:pPr>
            <w:r>
              <w:rPr>
                <w:color w:val="D8E47A"/>
              </w:rPr>
              <w:t>⯀</w:t>
            </w:r>
          </w:p>
        </w:tc>
        <w:tc>
          <w:tcPr>
            <w:tcW w:w="237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Experience of the executive </w:t>
            </w:r>
          </w:p>
        </w:tc>
      </w:tr>
    </w:tbl>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283"/>
              <w:jc w:val="left"/>
              <w:rPr>
                <w:color w:val="D8E47A"/>
              </w:rPr>
            </w:pPr>
            <w:r>
              <w:rPr>
                <w:color w:val="D8E47A"/>
              </w:rPr>
              <w:t>⯀</w:t>
            </w:r>
          </w:p>
        </w:tc>
        <w:tc>
          <w:tcPr>
            <w:tcW w:w="141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Time in position </w:t>
            </w:r>
          </w:p>
        </w:tc>
      </w:tr>
    </w:tbl>
    <w:tbl>
      <w:tblPr>
        <w:tblW w:w="2260" w:type="dxa"/>
        <w:jc w:val="left"/>
        <w:tblInd w:w="0" w:type="dxa"/>
        <w:tblLayout w:type="fixed"/>
        <w:tblCellMar>
          <w:top w:w="0" w:type="dxa"/>
          <w:left w:w="0" w:type="dxa"/>
          <w:bottom w:w="0" w:type="dxa"/>
          <w:right w:w="0" w:type="dxa"/>
        </w:tblCellMar>
      </w:tblPr>
      <w:tblGrid>
        <w:gridCol w:w="260"/>
        <w:gridCol w:w="2000"/>
      </w:tblGrid>
      <w:tr>
        <w:trPr/>
        <w:tc>
          <w:tcPr>
            <w:tcW w:w="260" w:type="dxa"/>
            <w:tcBorders/>
            <w:vAlign w:val="center"/>
          </w:tcPr>
          <w:p>
            <w:pPr>
              <w:pStyle w:val="TableContents"/>
              <w:bidi w:val="0"/>
              <w:spacing w:before="0" w:after="283"/>
              <w:jc w:val="left"/>
              <w:rPr>
                <w:color w:val="D8E47A"/>
              </w:rPr>
            </w:pPr>
            <w:r>
              <w:rPr>
                <w:color w:val="D8E47A"/>
              </w:rPr>
              <w:t>⯀</w:t>
            </w:r>
          </w:p>
        </w:tc>
        <w:tc>
          <w:tcPr>
            <w:tcW w:w="200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Individual performance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283"/>
              <w:jc w:val="left"/>
              <w:rPr>
                <w:color w:val="D8E47A"/>
              </w:rPr>
            </w:pPr>
            <w:r>
              <w:rPr>
                <w:color w:val="D8E47A"/>
              </w:rPr>
              <w:t>⯀</w:t>
            </w:r>
          </w:p>
        </w:tc>
        <w:tc>
          <w:tcPr>
            <w:tcW w:w="327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Level of responsibility for the executive </w:t>
            </w:r>
          </w:p>
        </w:tc>
      </w:tr>
    </w:tbl>
    <w:tbl>
      <w:tblPr>
        <w:tblW w:w="7210" w:type="dxa"/>
        <w:jc w:val="left"/>
        <w:tblInd w:w="0" w:type="dxa"/>
        <w:tblLayout w:type="fixed"/>
        <w:tblCellMar>
          <w:top w:w="0" w:type="dxa"/>
          <w:left w:w="0" w:type="dxa"/>
          <w:bottom w:w="0" w:type="dxa"/>
          <w:right w:w="0" w:type="dxa"/>
        </w:tblCellMar>
      </w:tblPr>
      <w:tblGrid>
        <w:gridCol w:w="260"/>
        <w:gridCol w:w="6950"/>
      </w:tblGrid>
      <w:tr>
        <w:trPr/>
        <w:tc>
          <w:tcPr>
            <w:tcW w:w="260" w:type="dxa"/>
            <w:tcBorders/>
            <w:vAlign w:val="center"/>
          </w:tcPr>
          <w:p>
            <w:pPr>
              <w:pStyle w:val="TableContents"/>
              <w:bidi w:val="0"/>
              <w:spacing w:before="0" w:after="283"/>
              <w:jc w:val="left"/>
              <w:rPr>
                <w:color w:val="D8E47A"/>
              </w:rPr>
            </w:pPr>
            <w:r>
              <w:rPr>
                <w:color w:val="D8E47A"/>
              </w:rPr>
              <w:t>⯀</w:t>
            </w:r>
          </w:p>
        </w:tc>
        <w:tc>
          <w:tcPr>
            <w:tcW w:w="695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Economic conditions, Company performance, financial condition and strategic goals </w:t>
            </w:r>
          </w:p>
        </w:tc>
      </w:tr>
    </w:tbl>
    <w:tbl>
      <w:tblPr>
        <w:tblW w:w="7855" w:type="dxa"/>
        <w:jc w:val="left"/>
        <w:tblInd w:w="0" w:type="dxa"/>
        <w:tblLayout w:type="fixed"/>
        <w:tblCellMar>
          <w:top w:w="0" w:type="dxa"/>
          <w:left w:w="0" w:type="dxa"/>
          <w:bottom w:w="0" w:type="dxa"/>
          <w:right w:w="0" w:type="dxa"/>
        </w:tblCellMar>
      </w:tblPr>
      <w:tblGrid>
        <w:gridCol w:w="260"/>
        <w:gridCol w:w="7595"/>
      </w:tblGrid>
      <w:tr>
        <w:trPr/>
        <w:tc>
          <w:tcPr>
            <w:tcW w:w="260" w:type="dxa"/>
            <w:tcBorders/>
            <w:vAlign w:val="center"/>
          </w:tcPr>
          <w:p>
            <w:pPr>
              <w:pStyle w:val="TableContents"/>
              <w:bidi w:val="0"/>
              <w:spacing w:before="0" w:after="283"/>
              <w:jc w:val="left"/>
              <w:rPr>
                <w:color w:val="D8E47A"/>
              </w:rPr>
            </w:pPr>
            <w:r>
              <w:rPr>
                <w:color w:val="D8E47A"/>
              </w:rPr>
              <w:t>⯀</w:t>
            </w:r>
          </w:p>
        </w:tc>
        <w:tc>
          <w:tcPr>
            <w:tcW w:w="759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Competitive market data provided by the committee’s independent compensation consultant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 In October 2024, as a result of a review of performance, consideration of the above referenced factors, and with input from the independent compensation consultant and our CEO, the committee recommended and approved the following increases for Fiscal 2025: </w:t>
      </w:r>
    </w:p>
    <w:tbl>
      <w:tblPr>
        <w:tblW w:w="5250" w:type="dxa"/>
        <w:jc w:val="left"/>
        <w:tblInd w:w="0" w:type="dxa"/>
        <w:tblLayout w:type="fixed"/>
        <w:tblCellMar>
          <w:top w:w="0" w:type="dxa"/>
          <w:left w:w="0" w:type="dxa"/>
          <w:bottom w:w="0" w:type="dxa"/>
          <w:right w:w="0" w:type="dxa"/>
        </w:tblCellMar>
      </w:tblPr>
      <w:tblGrid>
        <w:gridCol w:w="185"/>
        <w:gridCol w:w="1355"/>
        <w:gridCol w:w="170"/>
        <w:gridCol w:w="170"/>
        <w:gridCol w:w="830"/>
        <w:gridCol w:w="170"/>
        <w:gridCol w:w="170"/>
        <w:gridCol w:w="830"/>
        <w:gridCol w:w="170"/>
        <w:gridCol w:w="170"/>
        <w:gridCol w:w="815"/>
        <w:gridCol w:w="215"/>
      </w:tblGrid>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1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Salary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2024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Salary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1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Percentage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Increase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1,150,000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8" w:right="0" w:hanging="0"/>
              <w:jc w:val="left"/>
              <w:rPr>
                <w:color w:val="14202A"/>
              </w:rPr>
            </w:pPr>
            <w:r>
              <w:rPr>
                <w:color w:val="14202A"/>
              </w:rPr>
              <w:t>​</w:t>
            </w:r>
            <w:r>
              <w:rPr>
                <w:rFonts w:ascii="Arial;Helvetica;sans-serif" w:hAnsi="Arial;Helvetica;sans-serif"/>
                <w:color w:val="14202A"/>
                <w:sz w:val="16"/>
              </w:rPr>
              <w:t>1,100,000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5" w:type="dxa"/>
            <w:tcBorders>
              <w:bottom w:val="single" w:sz="8" w:space="0" w:color="14202A"/>
            </w:tcBorders>
            <w:tcMar>
              <w:bottom w:w="88" w:type="dxa"/>
            </w:tcMar>
            <w:vAlign w:val="center"/>
          </w:tcPr>
          <w:p>
            <w:pPr>
              <w:pStyle w:val="TableContents"/>
              <w:bidi w:val="0"/>
              <w:spacing w:before="0" w:after="283"/>
              <w:ind w:left="247" w:right="0" w:hanging="0"/>
              <w:jc w:val="left"/>
              <w:rPr>
                <w:color w:val="14202A"/>
              </w:rPr>
            </w:pPr>
            <w:r>
              <w:rPr>
                <w:color w:val="14202A"/>
              </w:rPr>
              <w:t>​</w:t>
            </w:r>
            <w:r>
              <w:rPr>
                <w:rFonts w:ascii="Arial;Helvetica;sans-serif" w:hAnsi="Arial;Helvetica;sans-serif"/>
                <w:color w:val="14202A"/>
                <w:sz w:val="16"/>
              </w:rPr>
              <w:t xml:space="preserve">4.5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625,000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8" w:right="0" w:hanging="0"/>
              <w:jc w:val="left"/>
              <w:rPr>
                <w:rFonts w:ascii="Arial;Helvetica;sans-serif" w:hAnsi="Arial;Helvetica;sans-serif"/>
                <w:color w:val="14202A"/>
                <w:sz w:val="16"/>
              </w:rPr>
            </w:pPr>
            <w:r>
              <w:rPr>
                <w:rFonts w:ascii="Arial;Helvetica;sans-serif" w:hAnsi="Arial;Helvetica;sans-serif"/>
                <w:color w:val="14202A"/>
                <w:sz w:val="16"/>
              </w:rPr>
              <w:t>600,000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5" w:type="dxa"/>
            <w:tcBorders>
              <w:bottom w:val="single" w:sz="8" w:space="0" w:color="14202A"/>
            </w:tcBorders>
            <w:tcMar>
              <w:bottom w:w="88" w:type="dxa"/>
            </w:tcMar>
            <w:vAlign w:val="center"/>
          </w:tcPr>
          <w:p>
            <w:pPr>
              <w:pStyle w:val="TableContents"/>
              <w:bidi w:val="0"/>
              <w:spacing w:before="0" w:after="283"/>
              <w:ind w:left="247" w:right="0" w:hanging="0"/>
              <w:jc w:val="left"/>
              <w:rPr>
                <w:rFonts w:ascii="Arial;Helvetica;sans-serif" w:hAnsi="Arial;Helvetica;sans-serif"/>
                <w:color w:val="14202A"/>
                <w:sz w:val="16"/>
              </w:rPr>
            </w:pPr>
            <w:r>
              <w:rPr>
                <w:rFonts w:ascii="Arial;Helvetica;sans-serif" w:hAnsi="Arial;Helvetica;sans-serif"/>
                <w:color w:val="14202A"/>
                <w:sz w:val="16"/>
              </w:rPr>
              <w:t xml:space="preserve">4.2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Donald J. Clark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700,000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8" w:right="0" w:hanging="0"/>
              <w:jc w:val="left"/>
              <w:rPr>
                <w:rFonts w:ascii="Arial;Helvetica;sans-serif" w:hAnsi="Arial;Helvetica;sans-serif"/>
                <w:color w:val="14202A"/>
                <w:sz w:val="16"/>
              </w:rPr>
            </w:pPr>
            <w:r>
              <w:rPr>
                <w:rFonts w:ascii="Arial;Helvetica;sans-serif" w:hAnsi="Arial;Helvetica;sans-serif"/>
                <w:color w:val="14202A"/>
                <w:sz w:val="16"/>
              </w:rPr>
              <w:t>500,000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5" w:type="dxa"/>
            <w:tcBorders>
              <w:bottom w:val="single" w:sz="8" w:space="0" w:color="14202A"/>
            </w:tcBorders>
            <w:tcMar>
              <w:bottom w:w="88" w:type="dxa"/>
            </w:tcMar>
            <w:vAlign w:val="center"/>
          </w:tcPr>
          <w:p>
            <w:pPr>
              <w:pStyle w:val="TableContents"/>
              <w:bidi w:val="0"/>
              <w:spacing w:before="0" w:after="283"/>
              <w:ind w:left="247" w:right="0" w:hanging="0"/>
              <w:jc w:val="left"/>
              <w:rPr>
                <w:rFonts w:ascii="Arial;Helvetica;sans-serif" w:hAnsi="Arial;Helvetica;sans-serif"/>
                <w:color w:val="14202A"/>
                <w:sz w:val="16"/>
              </w:rPr>
            </w:pPr>
            <w:r>
              <w:rPr>
                <w:rFonts w:ascii="Arial;Helvetica;sans-serif" w:hAnsi="Arial;Helvetica;sans-serif"/>
                <w:color w:val="14202A"/>
                <w:sz w:val="16"/>
              </w:rPr>
              <w:t>40.0</w:t>
            </w:r>
            <w:r>
              <w:rPr>
                <w:rFonts w:ascii="Arial;Helvetica;sans-serif" w:hAnsi="Arial;Helvetica;sans-serif"/>
                <w:color w:val="14202A"/>
                <w:position w:val="5"/>
                <w:sz w:val="13"/>
                <w:sz w:val="16"/>
              </w:rPr>
              <w:t>(1)</w:t>
            </w:r>
            <w:r>
              <w:rPr>
                <w:rFonts w:ascii="Arial;Helvetica;sans-serif" w:hAnsi="Arial;Helvetica;sans-serif"/>
                <w:color w:val="14202A"/>
                <w:sz w:val="16"/>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560,000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48" w:right="0" w:hanging="0"/>
              <w:jc w:val="left"/>
              <w:rPr>
                <w:rFonts w:ascii="Arial;Helvetica;sans-serif" w:hAnsi="Arial;Helvetica;sans-serif"/>
                <w:color w:val="14202A"/>
                <w:sz w:val="16"/>
              </w:rPr>
            </w:pPr>
            <w:r>
              <w:rPr>
                <w:rFonts w:ascii="Arial;Helvetica;sans-serif" w:hAnsi="Arial;Helvetica;sans-serif"/>
                <w:color w:val="14202A"/>
                <w:sz w:val="16"/>
              </w:rPr>
              <w:t>535,000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5" w:type="dxa"/>
            <w:tcBorders>
              <w:bottom w:val="single" w:sz="8" w:space="0" w:color="14202A"/>
            </w:tcBorders>
            <w:tcMar>
              <w:bottom w:w="88" w:type="dxa"/>
            </w:tcMar>
            <w:vAlign w:val="center"/>
          </w:tcPr>
          <w:p>
            <w:pPr>
              <w:pStyle w:val="TableContents"/>
              <w:bidi w:val="0"/>
              <w:spacing w:before="0" w:after="283"/>
              <w:ind w:left="247" w:right="0" w:hanging="0"/>
              <w:jc w:val="left"/>
              <w:rPr>
                <w:rFonts w:ascii="Arial;Helvetica;sans-serif" w:hAnsi="Arial;Helvetica;sans-serif"/>
                <w:color w:val="14202A"/>
                <w:sz w:val="16"/>
              </w:rPr>
            </w:pPr>
            <w:r>
              <w:rPr>
                <w:rFonts w:ascii="Arial;Helvetica;sans-serif" w:hAnsi="Arial;Helvetica;sans-serif"/>
                <w:color w:val="14202A"/>
                <w:sz w:val="16"/>
              </w:rPr>
              <w:t xml:space="preserve">4.7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Stacy L. Bogart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555,000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8" w:right="0" w:hanging="0"/>
              <w:jc w:val="left"/>
              <w:rPr>
                <w:rFonts w:ascii="Arial;Helvetica;sans-serif" w:hAnsi="Arial;Helvetica;sans-serif"/>
                <w:color w:val="14202A"/>
                <w:sz w:val="16"/>
              </w:rPr>
            </w:pPr>
            <w:r>
              <w:rPr>
                <w:rFonts w:ascii="Arial;Helvetica;sans-serif" w:hAnsi="Arial;Helvetica;sans-serif"/>
                <w:color w:val="14202A"/>
                <w:sz w:val="16"/>
              </w:rPr>
              <w:t>533,000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47" w:right="0" w:hanging="0"/>
              <w:jc w:val="left"/>
              <w:rPr>
                <w:rFonts w:ascii="Arial;Helvetica;sans-serif" w:hAnsi="Arial;Helvetica;sans-serif"/>
                <w:color w:val="14202A"/>
                <w:sz w:val="16"/>
              </w:rPr>
            </w:pPr>
            <w:r>
              <w:rPr>
                <w:rFonts w:ascii="Arial;Helvetica;sans-serif" w:hAnsi="Arial;Helvetica;sans-serif"/>
                <w:color w:val="14202A"/>
                <w:sz w:val="16"/>
              </w:rPr>
              <w:t>4.1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1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999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Mr. Clark’s annual base salary was increased to $700,000 on October 14, 2024 in connection with his promotion to Group President – Towable RV Segment; President – Grand Design RV.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52074x1_def14a_108-executive_pg9"/>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90" w:name="tANN"/>
      <w:bookmarkEnd w:id="90"/>
      <w:r>
        <w:rPr>
          <w:rFonts w:ascii="Arial;Helvetica;sans-serif" w:hAnsi="Arial;Helvetica;sans-serif"/>
          <w:b/>
          <w:color w:val="D8E47A"/>
          <w:sz w:val="24"/>
        </w:rPr>
        <w:t xml:space="preserve">Annual Incentive Plan — Officers’ Incentive Compensation Plan (OICP)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OICP is designed to motivate and reward the successful completion of our annual performance goals as set by the Human Resources Committee. Seventy percent (70%) of the participants’ annual incentive compensation earned for a given fiscal year is calculated under the OICP in direct proportion to our financial performance expressed as a percentage (financial factor) against compensation targets for each participant as determined by the committee. Thirty percent (30%) of the participants’ annual incentive compensation is earned to the extent we meet or exceed individual performance goals. Each NEO, except for Mr. Clark, is eligible for a target award, denominated as a percentage of Fiscal 2025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 </w:t>
      </w:r>
    </w:p>
    <w:p>
      <w:pPr>
        <w:pStyle w:val="TextBody"/>
        <w:bidi w:val="0"/>
        <w:spacing w:before="310" w:after="283"/>
        <w:ind w:left="0" w:right="0" w:hanging="0"/>
        <w:jc w:val="left"/>
        <w:rPr>
          <w:rFonts w:ascii="Arial;Helvetica;sans-serif" w:hAnsi="Arial;Helvetica;sans-serif"/>
          <w:b/>
          <w:color w:val="D8E47A"/>
          <w:sz w:val="24"/>
        </w:rPr>
      </w:pPr>
      <w:bookmarkStart w:id="91" w:name="tFIS3"/>
      <w:bookmarkEnd w:id="91"/>
      <w:r>
        <w:rPr>
          <w:rFonts w:ascii="Arial;Helvetica;sans-serif" w:hAnsi="Arial;Helvetica;sans-serif"/>
          <w:b/>
          <w:color w:val="D8E47A"/>
          <w:sz w:val="24"/>
        </w:rPr>
        <w:t xml:space="preserve">Fiscal 2025 OICP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Net revenue, operating income, net working capital, and individual objectives related to each NEO’s particular responsibilities were chosen by the committee as the performance measurements under the OICP for Fiscal 2025. The committee selected these as key performance metrics because they are closely aligned with our business strategy. These metrics are described further below. The following financial performance metrics represented 70% of OICP for all NEOs, other than Mr. Clark, measured either at the enterprise-wide level (for Messrs. Happe and Hughes, and Ms. Bogart) or the applicable business unit level (for Mr. Tubman), which metrics were weighted as set forth in the tables below: </w:t>
      </w:r>
    </w:p>
    <w:tbl>
      <w:tblPr>
        <w:tblW w:w="8245" w:type="dxa"/>
        <w:jc w:val="left"/>
        <w:tblInd w:w="0" w:type="dxa"/>
        <w:tblLayout w:type="fixed"/>
        <w:tblCellMar>
          <w:top w:w="0" w:type="dxa"/>
          <w:left w:w="0" w:type="dxa"/>
          <w:bottom w:w="0" w:type="dxa"/>
          <w:right w:w="0" w:type="dxa"/>
        </w:tblCellMar>
      </w:tblPr>
      <w:tblGrid>
        <w:gridCol w:w="260"/>
        <w:gridCol w:w="7985"/>
      </w:tblGrid>
      <w:tr>
        <w:trPr/>
        <w:tc>
          <w:tcPr>
            <w:tcW w:w="260" w:type="dxa"/>
            <w:tcBorders/>
            <w:vAlign w:val="center"/>
          </w:tcPr>
          <w:p>
            <w:pPr>
              <w:pStyle w:val="TableContents"/>
              <w:bidi w:val="0"/>
              <w:spacing w:before="0" w:after="283"/>
              <w:jc w:val="left"/>
              <w:rPr>
                <w:color w:val="D8E47A"/>
              </w:rPr>
            </w:pPr>
            <w:r>
              <w:rPr>
                <w:color w:val="D8E47A"/>
              </w:rPr>
              <w:t>⯀</w:t>
            </w:r>
          </w:p>
        </w:tc>
        <w:tc>
          <w:tcPr>
            <w:tcW w:w="798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Net Revenue — focuses on overall enterprise and/or business unit growth; drives customer focus </w:t>
            </w:r>
          </w:p>
        </w:tc>
      </w:tr>
    </w:tbl>
    <w:tbl>
      <w:tblPr>
        <w:tblW w:w="5785" w:type="dxa"/>
        <w:jc w:val="left"/>
        <w:tblInd w:w="0" w:type="dxa"/>
        <w:tblLayout w:type="fixed"/>
        <w:tblCellMar>
          <w:top w:w="0" w:type="dxa"/>
          <w:left w:w="0" w:type="dxa"/>
          <w:bottom w:w="0" w:type="dxa"/>
          <w:right w:w="0" w:type="dxa"/>
        </w:tblCellMar>
      </w:tblPr>
      <w:tblGrid>
        <w:gridCol w:w="260"/>
        <w:gridCol w:w="5525"/>
      </w:tblGrid>
      <w:tr>
        <w:trPr/>
        <w:tc>
          <w:tcPr>
            <w:tcW w:w="260" w:type="dxa"/>
            <w:tcBorders/>
            <w:vAlign w:val="center"/>
          </w:tcPr>
          <w:p>
            <w:pPr>
              <w:pStyle w:val="TableContents"/>
              <w:bidi w:val="0"/>
              <w:spacing w:before="0" w:after="283"/>
              <w:jc w:val="left"/>
              <w:rPr>
                <w:color w:val="D8E47A"/>
              </w:rPr>
            </w:pPr>
            <w:r>
              <w:rPr>
                <w:color w:val="D8E47A"/>
              </w:rPr>
              <w:t>⯀</w:t>
            </w:r>
          </w:p>
        </w:tc>
        <w:tc>
          <w:tcPr>
            <w:tcW w:w="552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Operating Income — reinforces the importance of profitable growth </w:t>
            </w:r>
          </w:p>
        </w:tc>
      </w:tr>
    </w:tbl>
    <w:tbl>
      <w:tblPr>
        <w:tblW w:w="5395" w:type="dxa"/>
        <w:jc w:val="left"/>
        <w:tblInd w:w="0" w:type="dxa"/>
        <w:tblLayout w:type="fixed"/>
        <w:tblCellMar>
          <w:top w:w="0" w:type="dxa"/>
          <w:left w:w="0" w:type="dxa"/>
          <w:bottom w:w="0" w:type="dxa"/>
          <w:right w:w="0" w:type="dxa"/>
        </w:tblCellMar>
      </w:tblPr>
      <w:tblGrid>
        <w:gridCol w:w="260"/>
        <w:gridCol w:w="5135"/>
      </w:tblGrid>
      <w:tr>
        <w:trPr/>
        <w:tc>
          <w:tcPr>
            <w:tcW w:w="260" w:type="dxa"/>
            <w:tcBorders/>
            <w:vAlign w:val="center"/>
          </w:tcPr>
          <w:p>
            <w:pPr>
              <w:pStyle w:val="TableContents"/>
              <w:bidi w:val="0"/>
              <w:spacing w:before="0" w:after="283"/>
              <w:jc w:val="left"/>
              <w:rPr>
                <w:color w:val="D8E47A"/>
              </w:rPr>
            </w:pPr>
            <w:r>
              <w:rPr>
                <w:color w:val="D8E47A"/>
              </w:rPr>
              <w:t>⯀</w:t>
            </w:r>
          </w:p>
        </w:tc>
        <w:tc>
          <w:tcPr>
            <w:tcW w:w="513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Net Working Capital — helps measure overall financial health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There are three performance periods established within the OICP, each of which has threshold, target and maximum goals for Net Revenue, Operating Income, and Net Working Capital. The performance periods are weighted as follows: </w:t>
      </w:r>
    </w:p>
    <w:tbl>
      <w:tblPr>
        <w:tblW w:w="4855" w:type="dxa"/>
        <w:jc w:val="left"/>
        <w:tblInd w:w="0" w:type="dxa"/>
        <w:tblLayout w:type="fixed"/>
        <w:tblCellMar>
          <w:top w:w="0" w:type="dxa"/>
          <w:left w:w="0" w:type="dxa"/>
          <w:bottom w:w="0" w:type="dxa"/>
          <w:right w:w="0" w:type="dxa"/>
        </w:tblCellMar>
      </w:tblPr>
      <w:tblGrid>
        <w:gridCol w:w="260"/>
        <w:gridCol w:w="4595"/>
      </w:tblGrid>
      <w:tr>
        <w:trPr/>
        <w:tc>
          <w:tcPr>
            <w:tcW w:w="260" w:type="dxa"/>
            <w:tcBorders/>
            <w:vAlign w:val="center"/>
          </w:tcPr>
          <w:p>
            <w:pPr>
              <w:pStyle w:val="TableContents"/>
              <w:bidi w:val="0"/>
              <w:spacing w:before="0" w:after="283"/>
              <w:jc w:val="left"/>
              <w:rPr>
                <w:color w:val="D8E47A"/>
              </w:rPr>
            </w:pPr>
            <w:r>
              <w:rPr>
                <w:color w:val="D8E47A"/>
              </w:rPr>
              <w:t>⯀</w:t>
            </w:r>
          </w:p>
        </w:tc>
        <w:tc>
          <w:tcPr>
            <w:tcW w:w="459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First six-month performance period — weighted at 30% </w:t>
            </w:r>
          </w:p>
        </w:tc>
      </w:tr>
    </w:tbl>
    <w:tbl>
      <w:tblPr>
        <w:tblW w:w="5140" w:type="dxa"/>
        <w:jc w:val="left"/>
        <w:tblInd w:w="0" w:type="dxa"/>
        <w:tblLayout w:type="fixed"/>
        <w:tblCellMar>
          <w:top w:w="0" w:type="dxa"/>
          <w:left w:w="0" w:type="dxa"/>
          <w:bottom w:w="0" w:type="dxa"/>
          <w:right w:w="0" w:type="dxa"/>
        </w:tblCellMar>
      </w:tblPr>
      <w:tblGrid>
        <w:gridCol w:w="260"/>
        <w:gridCol w:w="4880"/>
      </w:tblGrid>
      <w:tr>
        <w:trPr/>
        <w:tc>
          <w:tcPr>
            <w:tcW w:w="260" w:type="dxa"/>
            <w:tcBorders/>
            <w:vAlign w:val="center"/>
          </w:tcPr>
          <w:p>
            <w:pPr>
              <w:pStyle w:val="TableContents"/>
              <w:bidi w:val="0"/>
              <w:spacing w:before="0" w:after="283"/>
              <w:jc w:val="left"/>
              <w:rPr>
                <w:color w:val="D8E47A"/>
              </w:rPr>
            </w:pPr>
            <w:r>
              <w:rPr>
                <w:color w:val="D8E47A"/>
              </w:rPr>
              <w:t>⯀</w:t>
            </w:r>
          </w:p>
        </w:tc>
        <w:tc>
          <w:tcPr>
            <w:tcW w:w="488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Second six-month performance period — weighted at 40%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283"/>
              <w:jc w:val="left"/>
              <w:rPr>
                <w:color w:val="D8E47A"/>
              </w:rPr>
            </w:pPr>
            <w:r>
              <w:rPr>
                <w:color w:val="D8E47A"/>
              </w:rPr>
              <w:t>⯀</w:t>
            </w:r>
          </w:p>
        </w:tc>
        <w:tc>
          <w:tcPr>
            <w:tcW w:w="453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Full 12-month performance period — weighted at 30%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Individual objectives (30% of the OICP for the NEOs other than Mr. Clark) provide actionable and measurable objectives controllable by the individual to achieve financial and non-financial goals.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Individual goals for our NEOs during Fiscal 2025 included the following: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Mr. Happe, to continue driving enterprise-wide strategic priorities including building an inclusive and collaborative high-performing culture; growing exceptional outdoor lifestyle brands; elevating the total customer experience; expanding our digital capabilities and connections; and integrating innovation, expertise, leverage, and productivity to optimize our family of businesses.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For Mr. Hughes, to continue evolving our finance capabilities and improving overall maturity of the function, and to lead our business development initiatives, strategic planning process, and enterprise risk management framework and processes.</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Mr. Tubman, to continue building a high-performing culture, maintaining discipline on costs and investments and unlocking productivity through technology, while also working to improve quality, elevate the customer journey, and launch new products.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Ms. Bogart, to continue enhancing our compliance program, elevating product safety prevention, supporting innovation and protecting our inventions as assets, building awareness and recognition with elected officials that represent areas in which we operate, and developing our Corporate Responsibility &amp; Inclusion program.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52074x1_def14a_108-executive_pg10"/>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October of 2025, the committee (i) evaluated performance against the established OICP financial performance metrics and determined that the Net Revenue performance met the threshold metric for each of the three performance periods; the Operating Income performance did not meet the threshold metric for any of the performance periods; and the Net Working Capital performance met the threshold metric for the first six-month period, but did not meet the threshold performance metric for the second six-month period or the full 12-month period, resulting in a 37.6% payout for Messrs. Happe and Hughes, and Ms. Bogart, based on enterprise-wide performance and a 174.9% payout for Mr. Tubman based on his applicable business unit performance and (ii) assessed the performance of each of the NEOs against his individual objectives to determine the OICP payout achieved by him as set forth below.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tables below reflect the Fiscal 2025 OICP financial metric payout thresholds and targets for each period as well as our performance against these metrics ($ in millions):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Enterprise-Wide Financial Performance Metrics for the Full 12-Month Fiscal Year Period </w:t>
      </w:r>
    </w:p>
    <w:tbl>
      <w:tblPr>
        <w:tblW w:w="9570" w:type="dxa"/>
        <w:jc w:val="left"/>
        <w:tblInd w:w="0" w:type="dxa"/>
        <w:tblLayout w:type="fixed"/>
        <w:tblCellMar>
          <w:top w:w="0" w:type="dxa"/>
          <w:left w:w="0" w:type="dxa"/>
          <w:bottom w:w="0" w:type="dxa"/>
          <w:right w:w="0" w:type="dxa"/>
        </w:tblCellMar>
      </w:tblPr>
      <w:tblGrid>
        <w:gridCol w:w="185"/>
        <w:gridCol w:w="1685"/>
        <w:gridCol w:w="170"/>
        <w:gridCol w:w="170"/>
        <w:gridCol w:w="575"/>
        <w:gridCol w:w="170"/>
        <w:gridCol w:w="170"/>
        <w:gridCol w:w="770"/>
        <w:gridCol w:w="170"/>
        <w:gridCol w:w="170"/>
        <w:gridCol w:w="1685"/>
        <w:gridCol w:w="170"/>
        <w:gridCol w:w="170"/>
        <w:gridCol w:w="770"/>
        <w:gridCol w:w="170"/>
        <w:gridCol w:w="170"/>
        <w:gridCol w:w="875"/>
        <w:gridCol w:w="170"/>
        <w:gridCol w:w="170"/>
        <w:gridCol w:w="770"/>
        <w:gridCol w:w="215"/>
      </w:tblGrid>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Metric</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Weight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Threshold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(50%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(100%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Maximum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(200%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Performance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Payout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(Weighted)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Net Revenue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40.0%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9" w:right="0" w:hanging="0"/>
              <w:jc w:val="left"/>
              <w:rPr>
                <w:rFonts w:ascii="Arial;Helvetica;sans-serif" w:hAnsi="Arial;Helvetica;sans-serif"/>
                <w:color w:val="14202A"/>
                <w:sz w:val="18"/>
              </w:rPr>
            </w:pPr>
            <w:r>
              <w:rPr>
                <w:rFonts w:ascii="Arial;Helvetica;sans-serif" w:hAnsi="Arial;Helvetica;sans-serif"/>
                <w:color w:val="14202A"/>
                <w:sz w:val="18"/>
              </w:rPr>
              <w:t>$2,212.5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$3,002.7 – $3,318.7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6" w:right="0" w:hanging="0"/>
              <w:jc w:val="left"/>
              <w:rPr>
                <w:rFonts w:ascii="Arial;Helvetica;sans-serif" w:hAnsi="Arial;Helvetica;sans-serif"/>
                <w:color w:val="14202A"/>
                <w:sz w:val="18"/>
              </w:rPr>
            </w:pPr>
            <w:r>
              <w:rPr>
                <w:rFonts w:ascii="Arial;Helvetica;sans-serif" w:hAnsi="Arial;Helvetica;sans-serif"/>
                <w:color w:val="14202A"/>
                <w:sz w:val="18"/>
              </w:rPr>
              <w:t>$3,476.8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21" w:right="0" w:hanging="0"/>
              <w:jc w:val="left"/>
              <w:rPr>
                <w:rFonts w:ascii="Arial;Helvetica;sans-serif" w:hAnsi="Arial;Helvetica;sans-serif"/>
                <w:color w:val="14202A"/>
                <w:sz w:val="18"/>
              </w:rPr>
            </w:pPr>
            <w:r>
              <w:rPr>
                <w:rFonts w:ascii="Arial;Helvetica;sans-serif" w:hAnsi="Arial;Helvetica;sans-serif"/>
                <w:color w:val="14202A"/>
                <w:sz w:val="18"/>
              </w:rPr>
              <w:t>$2,798.2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8" w:right="0" w:hanging="0"/>
              <w:jc w:val="left"/>
              <w:rPr>
                <w:rFonts w:ascii="Arial;Helvetica;sans-serif" w:hAnsi="Arial;Helvetica;sans-serif"/>
                <w:color w:val="14202A"/>
                <w:sz w:val="18"/>
              </w:rPr>
            </w:pPr>
            <w:r>
              <w:rPr>
                <w:rFonts w:ascii="Arial;Helvetica;sans-serif" w:hAnsi="Arial;Helvetica;sans-serif"/>
                <w:color w:val="14202A"/>
                <w:sz w:val="18"/>
              </w:rPr>
              <w:t xml:space="preserve">34.8%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Operating Income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9"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104.1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$164.8 – $182.2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6"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208.2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21"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57.2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8" w:right="0" w:hanging="0"/>
              <w:jc w:val="left"/>
              <w:rPr>
                <w:rFonts w:ascii="Arial;Helvetica;sans-serif" w:hAnsi="Arial;Helvetica;sans-serif"/>
                <w:color w:val="14202A"/>
                <w:sz w:val="18"/>
              </w:rPr>
            </w:pPr>
            <w:r>
              <w:rPr>
                <w:rFonts w:ascii="Arial;Helvetica;sans-serif" w:hAnsi="Arial;Helvetica;sans-serif"/>
                <w:color w:val="14202A"/>
                <w:sz w:val="18"/>
              </w:rPr>
              <w:t xml:space="preserve">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Net Working Capital</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10.0%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9" w:right="0" w:hanging="0"/>
              <w:jc w:val="left"/>
              <w:rPr>
                <w:rFonts w:ascii="Arial;Helvetica;sans-serif" w:hAnsi="Arial;Helvetica;sans-serif"/>
                <w:color w:val="14202A"/>
                <w:sz w:val="18"/>
              </w:rPr>
            </w:pPr>
            <w:r>
              <w:rPr>
                <w:rFonts w:ascii="Arial;Helvetica;sans-serif" w:hAnsi="Arial;Helvetica;sans-serif"/>
                <w:color w:val="14202A"/>
                <w:sz w:val="18"/>
              </w:rPr>
              <w:t>19.9%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17.4% – 15.8%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6" w:right="0" w:hanging="0"/>
              <w:jc w:val="left"/>
              <w:rPr>
                <w:rFonts w:ascii="Arial;Helvetica;sans-serif" w:hAnsi="Arial;Helvetica;sans-serif"/>
                <w:color w:val="14202A"/>
                <w:sz w:val="18"/>
              </w:rPr>
            </w:pPr>
            <w:r>
              <w:rPr>
                <w:rFonts w:ascii="Arial;Helvetica;sans-serif" w:hAnsi="Arial;Helvetica;sans-serif"/>
                <w:color w:val="14202A"/>
                <w:sz w:val="18"/>
              </w:rPr>
              <w:t>13.3%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21" w:right="0" w:hanging="0"/>
              <w:jc w:val="left"/>
              <w:rPr>
                <w:rFonts w:ascii="Arial;Helvetica;sans-serif" w:hAnsi="Arial;Helvetica;sans-serif"/>
                <w:color w:val="14202A"/>
                <w:sz w:val="18"/>
              </w:rPr>
            </w:pPr>
            <w:r>
              <w:rPr>
                <w:rFonts w:ascii="Arial;Helvetica;sans-serif" w:hAnsi="Arial;Helvetica;sans-serif"/>
                <w:color w:val="14202A"/>
                <w:sz w:val="18"/>
              </w:rPr>
              <w:t>20.7%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8" w:right="0" w:hanging="0"/>
              <w:jc w:val="left"/>
              <w:rPr>
                <w:rFonts w:ascii="Arial;Helvetica;sans-serif" w:hAnsi="Arial;Helvetica;sans-serif"/>
                <w:color w:val="14202A"/>
                <w:sz w:val="18"/>
              </w:rPr>
            </w:pPr>
            <w:r>
              <w:rPr>
                <w:rFonts w:ascii="Arial;Helvetica;sans-serif" w:hAnsi="Arial;Helvetica;sans-serif"/>
                <w:color w:val="14202A"/>
                <w:sz w:val="18"/>
              </w:rPr>
              <w:t xml:space="preserve">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60" w:type="dxa"/>
            <w:gridSpan w:val="16"/>
            <w:tcBorders>
              <w:bottom w:val="single" w:sz="8" w:space="0" w:color="14202A"/>
            </w:tcBorders>
            <w:tcMar>
              <w:bottom w:w="76" w:type="dxa"/>
            </w:tcMar>
            <w:vAlign w:val="center"/>
          </w:tcPr>
          <w:p>
            <w:pPr>
              <w:pStyle w:val="TableContents"/>
              <w:bidi w:val="0"/>
              <w:spacing w:before="0" w:after="283"/>
              <w:jc w:val="right"/>
              <w:rPr>
                <w:rFonts w:ascii="Arial;Helvetica;sans-serif" w:hAnsi="Arial;Helvetica;sans-serif"/>
                <w:color w:val="14202A"/>
                <w:sz w:val="18"/>
              </w:rPr>
            </w:pPr>
            <w:r>
              <w:rPr>
                <w:rFonts w:ascii="Arial;Helvetica;sans-serif" w:hAnsi="Arial;Helvetica;sans-serif"/>
                <w:color w:val="14202A"/>
                <w:sz w:val="18"/>
              </w:rPr>
              <w:t>Total 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8" w:right="0" w:hanging="0"/>
              <w:jc w:val="left"/>
              <w:rPr>
                <w:rFonts w:ascii="Arial;Helvetica;sans-serif" w:hAnsi="Arial;Helvetica;sans-serif"/>
                <w:color w:val="14202A"/>
                <w:sz w:val="18"/>
              </w:rPr>
            </w:pPr>
            <w:r>
              <w:rPr>
                <w:rFonts w:ascii="Arial;Helvetica;sans-serif" w:hAnsi="Arial;Helvetica;sans-serif"/>
                <w:color w:val="14202A"/>
                <w:sz w:val="18"/>
              </w:rPr>
              <w:t xml:space="preserve">34.8%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60" w:type="dxa"/>
            <w:gridSpan w:val="16"/>
            <w:tcBorders/>
            <w:vAlign w:val="center"/>
          </w:tcPr>
          <w:p>
            <w:pPr>
              <w:pStyle w:val="TableContents"/>
              <w:bidi w:val="0"/>
              <w:spacing w:before="0" w:after="283"/>
              <w:jc w:val="right"/>
              <w:rPr>
                <w:rFonts w:ascii="Arial;Helvetica;sans-serif" w:hAnsi="Arial;Helvetica;sans-serif"/>
                <w:color w:val="14202A"/>
                <w:sz w:val="18"/>
              </w:rPr>
            </w:pPr>
            <w:r>
              <w:rPr>
                <w:rFonts w:ascii="Arial;Helvetica;sans-serif" w:hAnsi="Arial;Helvetica;sans-serif"/>
                <w:color w:val="14202A"/>
                <w:sz w:val="18"/>
              </w:rPr>
              <w:t>30% of Total Percentage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8" w:right="0" w:hanging="0"/>
              <w:jc w:val="left"/>
              <w:rPr>
                <w:rFonts w:ascii="Arial;Helvetica;sans-serif" w:hAnsi="Arial;Helvetica;sans-serif"/>
                <w:color w:val="14202A"/>
                <w:sz w:val="18"/>
              </w:rPr>
            </w:pPr>
            <w:r>
              <w:rPr>
                <w:rFonts w:ascii="Arial;Helvetica;sans-serif" w:hAnsi="Arial;Helvetica;sans-serif"/>
                <w:color w:val="14202A"/>
                <w:sz w:val="18"/>
              </w:rPr>
              <w:t>10.4%</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60" w:type="dxa"/>
            <w:gridSpan w:val="16"/>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Enterprise-Wide Financial Performance Metrics for the First Six-Month Fiscal Year Period </w:t>
      </w:r>
    </w:p>
    <w:tbl>
      <w:tblPr>
        <w:tblW w:w="9525" w:type="dxa"/>
        <w:jc w:val="left"/>
        <w:tblInd w:w="0" w:type="dxa"/>
        <w:tblLayout w:type="fixed"/>
        <w:tblCellMar>
          <w:top w:w="0" w:type="dxa"/>
          <w:left w:w="0" w:type="dxa"/>
          <w:bottom w:w="0" w:type="dxa"/>
          <w:right w:w="0" w:type="dxa"/>
        </w:tblCellMar>
      </w:tblPr>
      <w:tblGrid>
        <w:gridCol w:w="185"/>
        <w:gridCol w:w="1685"/>
        <w:gridCol w:w="170"/>
        <w:gridCol w:w="170"/>
        <w:gridCol w:w="575"/>
        <w:gridCol w:w="170"/>
        <w:gridCol w:w="170"/>
        <w:gridCol w:w="725"/>
        <w:gridCol w:w="170"/>
        <w:gridCol w:w="170"/>
        <w:gridCol w:w="1685"/>
        <w:gridCol w:w="170"/>
        <w:gridCol w:w="170"/>
        <w:gridCol w:w="770"/>
        <w:gridCol w:w="170"/>
        <w:gridCol w:w="170"/>
        <w:gridCol w:w="875"/>
        <w:gridCol w:w="170"/>
        <w:gridCol w:w="170"/>
        <w:gridCol w:w="770"/>
        <w:gridCol w:w="215"/>
      </w:tblGrid>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Metric</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Weight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Threshold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(50%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(100%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Maximum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(200%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Performance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Payout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(Weighted)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Net Revenue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40.0%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76" w:type="dxa"/>
            </w:tcMar>
            <w:vAlign w:val="center"/>
          </w:tcPr>
          <w:p>
            <w:pPr>
              <w:pStyle w:val="TableContents"/>
              <w:bidi w:val="0"/>
              <w:spacing w:before="0" w:after="283"/>
              <w:ind w:left="65" w:right="0" w:hanging="0"/>
              <w:jc w:val="left"/>
              <w:rPr>
                <w:rFonts w:ascii="Arial;Helvetica;sans-serif" w:hAnsi="Arial;Helvetica;sans-serif"/>
                <w:color w:val="14202A"/>
                <w:sz w:val="18"/>
              </w:rPr>
            </w:pPr>
            <w:r>
              <w:rPr>
                <w:rFonts w:ascii="Arial;Helvetica;sans-serif" w:hAnsi="Arial;Helvetica;sans-serif"/>
                <w:color w:val="14202A"/>
                <w:sz w:val="18"/>
              </w:rPr>
              <w:t>$949.0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$1,287.9 – $1,423.5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51" w:right="0" w:hanging="0"/>
              <w:jc w:val="left"/>
              <w:rPr>
                <w:rFonts w:ascii="Arial;Helvetica;sans-serif" w:hAnsi="Arial;Helvetica;sans-serif"/>
                <w:color w:val="14202A"/>
                <w:sz w:val="18"/>
              </w:rPr>
            </w:pPr>
            <w:r>
              <w:rPr>
                <w:rFonts w:ascii="Arial;Helvetica;sans-serif" w:hAnsi="Arial;Helvetica;sans-serif"/>
                <w:color w:val="14202A"/>
                <w:sz w:val="18"/>
              </w:rPr>
              <w:t>$1,491.3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37" w:right="0" w:hanging="0"/>
              <w:jc w:val="left"/>
              <w:rPr>
                <w:rFonts w:ascii="Arial;Helvetica;sans-serif" w:hAnsi="Arial;Helvetica;sans-serif"/>
                <w:color w:val="14202A"/>
                <w:sz w:val="18"/>
              </w:rPr>
            </w:pPr>
            <w:r>
              <w:rPr>
                <w:rFonts w:ascii="Arial;Helvetica;sans-serif" w:hAnsi="Arial;Helvetica;sans-serif"/>
                <w:color w:val="14202A"/>
                <w:sz w:val="18"/>
              </w:rPr>
              <w:t>$1,245.8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9" w:right="0" w:hanging="0"/>
              <w:jc w:val="left"/>
              <w:rPr>
                <w:rFonts w:ascii="Arial;Helvetica;sans-serif" w:hAnsi="Arial;Helvetica;sans-serif"/>
                <w:color w:val="14202A"/>
                <w:sz w:val="18"/>
              </w:rPr>
            </w:pPr>
            <w:r>
              <w:rPr>
                <w:rFonts w:ascii="Arial;Helvetica;sans-serif" w:hAnsi="Arial;Helvetica;sans-serif"/>
                <w:color w:val="14202A"/>
                <w:sz w:val="18"/>
              </w:rPr>
              <w:t xml:space="preserve">37.5%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Operating Income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76" w:type="dxa"/>
            </w:tcMar>
            <w:vAlign w:val="center"/>
          </w:tcPr>
          <w:p>
            <w:pPr>
              <w:pStyle w:val="TableContents"/>
              <w:bidi w:val="0"/>
              <w:spacing w:before="0" w:after="283"/>
              <w:ind w:left="65"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20.3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$32.2 – $35.6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51"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40.7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37"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6.9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9" w:right="0" w:hanging="0"/>
              <w:jc w:val="left"/>
              <w:rPr>
                <w:rFonts w:ascii="Arial;Helvetica;sans-serif" w:hAnsi="Arial;Helvetica;sans-serif"/>
                <w:color w:val="14202A"/>
                <w:sz w:val="18"/>
              </w:rPr>
            </w:pPr>
            <w:r>
              <w:rPr>
                <w:rFonts w:ascii="Arial;Helvetica;sans-serif" w:hAnsi="Arial;Helvetica;sans-serif"/>
                <w:color w:val="14202A"/>
                <w:sz w:val="18"/>
              </w:rPr>
              <w:t xml:space="preserve">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Net Working Capital</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10.0%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76" w:type="dxa"/>
            </w:tcMar>
            <w:vAlign w:val="center"/>
          </w:tcPr>
          <w:p>
            <w:pPr>
              <w:pStyle w:val="TableContents"/>
              <w:bidi w:val="0"/>
              <w:spacing w:before="0" w:after="283"/>
              <w:ind w:left="65" w:right="0" w:hanging="0"/>
              <w:jc w:val="left"/>
              <w:rPr>
                <w:rFonts w:ascii="Arial;Helvetica;sans-serif" w:hAnsi="Arial;Helvetica;sans-serif"/>
                <w:color w:val="14202A"/>
                <w:sz w:val="18"/>
              </w:rPr>
            </w:pPr>
            <w:r>
              <w:rPr>
                <w:rFonts w:ascii="Arial;Helvetica;sans-serif" w:hAnsi="Arial;Helvetica;sans-serif"/>
                <w:color w:val="14202A"/>
                <w:sz w:val="18"/>
              </w:rPr>
              <w:t>22.7%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19.8% – 18.0%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51" w:right="0" w:hanging="0"/>
              <w:jc w:val="left"/>
              <w:rPr>
                <w:rFonts w:ascii="Arial;Helvetica;sans-serif" w:hAnsi="Arial;Helvetica;sans-serif"/>
                <w:color w:val="14202A"/>
                <w:sz w:val="18"/>
              </w:rPr>
            </w:pPr>
            <w:r>
              <w:rPr>
                <w:rFonts w:ascii="Arial;Helvetica;sans-serif" w:hAnsi="Arial;Helvetica;sans-serif"/>
                <w:color w:val="14202A"/>
                <w:sz w:val="18"/>
              </w:rPr>
              <w:t>15.1%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37" w:right="0" w:hanging="0"/>
              <w:jc w:val="left"/>
              <w:rPr>
                <w:rFonts w:ascii="Arial;Helvetica;sans-serif" w:hAnsi="Arial;Helvetica;sans-serif"/>
                <w:color w:val="14202A"/>
                <w:sz w:val="18"/>
              </w:rPr>
            </w:pPr>
            <w:r>
              <w:rPr>
                <w:rFonts w:ascii="Arial;Helvetica;sans-serif" w:hAnsi="Arial;Helvetica;sans-serif"/>
                <w:color w:val="14202A"/>
                <w:sz w:val="18"/>
              </w:rPr>
              <w:t>20.3%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9" w:right="0" w:hanging="0"/>
              <w:jc w:val="left"/>
              <w:rPr>
                <w:rFonts w:ascii="Arial;Helvetica;sans-serif" w:hAnsi="Arial;Helvetica;sans-serif"/>
                <w:color w:val="14202A"/>
                <w:sz w:val="18"/>
              </w:rPr>
            </w:pPr>
            <w:r>
              <w:rPr>
                <w:rFonts w:ascii="Arial;Helvetica;sans-serif" w:hAnsi="Arial;Helvetica;sans-serif"/>
                <w:color w:val="14202A"/>
                <w:sz w:val="18"/>
              </w:rPr>
              <w:t xml:space="preserve">9.2%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15" w:type="dxa"/>
            <w:gridSpan w:val="16"/>
            <w:tcBorders>
              <w:bottom w:val="single" w:sz="8" w:space="0" w:color="14202A"/>
            </w:tcBorders>
            <w:tcMar>
              <w:bottom w:w="76" w:type="dxa"/>
            </w:tcMar>
            <w:vAlign w:val="center"/>
          </w:tcPr>
          <w:p>
            <w:pPr>
              <w:pStyle w:val="TableContents"/>
              <w:bidi w:val="0"/>
              <w:spacing w:before="0" w:after="283"/>
              <w:jc w:val="right"/>
              <w:rPr>
                <w:rFonts w:ascii="Arial;Helvetica;sans-serif" w:hAnsi="Arial;Helvetica;sans-serif"/>
                <w:color w:val="14202A"/>
                <w:sz w:val="18"/>
              </w:rPr>
            </w:pPr>
            <w:r>
              <w:rPr>
                <w:rFonts w:ascii="Arial;Helvetica;sans-serif" w:hAnsi="Arial;Helvetica;sans-serif"/>
                <w:color w:val="14202A"/>
                <w:sz w:val="18"/>
              </w:rPr>
              <w:t>Total 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29" w:right="0" w:hanging="0"/>
              <w:jc w:val="left"/>
              <w:rPr>
                <w:rFonts w:ascii="Arial;Helvetica;sans-serif" w:hAnsi="Arial;Helvetica;sans-serif"/>
                <w:color w:val="14202A"/>
                <w:sz w:val="18"/>
              </w:rPr>
            </w:pPr>
            <w:r>
              <w:rPr>
                <w:rFonts w:ascii="Arial;Helvetica;sans-serif" w:hAnsi="Arial;Helvetica;sans-serif"/>
                <w:color w:val="14202A"/>
                <w:sz w:val="18"/>
              </w:rPr>
              <w:t xml:space="preserve">46.7%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15" w:type="dxa"/>
            <w:gridSpan w:val="16"/>
            <w:tcBorders/>
            <w:vAlign w:val="center"/>
          </w:tcPr>
          <w:p>
            <w:pPr>
              <w:pStyle w:val="TableContents"/>
              <w:bidi w:val="0"/>
              <w:spacing w:before="0" w:after="283"/>
              <w:jc w:val="right"/>
              <w:rPr>
                <w:rFonts w:ascii="Arial;Helvetica;sans-serif" w:hAnsi="Arial;Helvetica;sans-serif"/>
                <w:color w:val="14202A"/>
                <w:sz w:val="18"/>
              </w:rPr>
            </w:pPr>
            <w:r>
              <w:rPr>
                <w:rFonts w:ascii="Arial;Helvetica;sans-serif" w:hAnsi="Arial;Helvetica;sans-serif"/>
                <w:color w:val="14202A"/>
                <w:sz w:val="18"/>
              </w:rPr>
              <w:t>30% of Total Percentage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29" w:right="0" w:hanging="0"/>
              <w:jc w:val="left"/>
              <w:rPr>
                <w:rFonts w:ascii="Arial;Helvetica;sans-serif" w:hAnsi="Arial;Helvetica;sans-serif"/>
                <w:color w:val="14202A"/>
                <w:sz w:val="18"/>
              </w:rPr>
            </w:pPr>
            <w:r>
              <w:rPr>
                <w:rFonts w:ascii="Arial;Helvetica;sans-serif" w:hAnsi="Arial;Helvetica;sans-serif"/>
                <w:color w:val="14202A"/>
                <w:sz w:val="18"/>
              </w:rPr>
              <w:t>14.0%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15" w:type="dxa"/>
            <w:gridSpan w:val="16"/>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Enterprise-Wide Financial Performance Metrics for the Second Six-Month Fiscal Year Period </w:t>
      </w:r>
    </w:p>
    <w:tbl>
      <w:tblPr>
        <w:tblW w:w="9570" w:type="dxa"/>
        <w:jc w:val="left"/>
        <w:tblInd w:w="0" w:type="dxa"/>
        <w:tblLayout w:type="fixed"/>
        <w:tblCellMar>
          <w:top w:w="0" w:type="dxa"/>
          <w:left w:w="0" w:type="dxa"/>
          <w:bottom w:w="0" w:type="dxa"/>
          <w:right w:w="0" w:type="dxa"/>
        </w:tblCellMar>
      </w:tblPr>
      <w:tblGrid>
        <w:gridCol w:w="185"/>
        <w:gridCol w:w="1685"/>
        <w:gridCol w:w="170"/>
        <w:gridCol w:w="170"/>
        <w:gridCol w:w="575"/>
        <w:gridCol w:w="170"/>
        <w:gridCol w:w="170"/>
        <w:gridCol w:w="770"/>
        <w:gridCol w:w="170"/>
        <w:gridCol w:w="170"/>
        <w:gridCol w:w="1685"/>
        <w:gridCol w:w="170"/>
        <w:gridCol w:w="170"/>
        <w:gridCol w:w="770"/>
        <w:gridCol w:w="170"/>
        <w:gridCol w:w="170"/>
        <w:gridCol w:w="875"/>
        <w:gridCol w:w="170"/>
        <w:gridCol w:w="170"/>
        <w:gridCol w:w="770"/>
        <w:gridCol w:w="215"/>
      </w:tblGrid>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Metric</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Weight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Threshold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(50%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68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(100%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Maximum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(200%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Performance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Payout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(Weighted)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Net Revenue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40.0%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6" w:right="0" w:hanging="0"/>
              <w:jc w:val="left"/>
              <w:rPr>
                <w:rFonts w:ascii="Arial;Helvetica;sans-serif" w:hAnsi="Arial;Helvetica;sans-serif"/>
                <w:color w:val="14202A"/>
                <w:sz w:val="18"/>
              </w:rPr>
            </w:pPr>
            <w:r>
              <w:rPr>
                <w:rFonts w:ascii="Arial;Helvetica;sans-serif" w:hAnsi="Arial;Helvetica;sans-serif"/>
                <w:color w:val="14202A"/>
                <w:sz w:val="18"/>
              </w:rPr>
              <w:t>$1,263.5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$1,714.7 – $1,895.2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5" w:right="0" w:hanging="0"/>
              <w:jc w:val="left"/>
              <w:rPr>
                <w:rFonts w:ascii="Arial;Helvetica;sans-serif" w:hAnsi="Arial;Helvetica;sans-serif"/>
                <w:color w:val="14202A"/>
                <w:sz w:val="18"/>
              </w:rPr>
            </w:pPr>
            <w:r>
              <w:rPr>
                <w:rFonts w:ascii="Arial;Helvetica;sans-serif" w:hAnsi="Arial;Helvetica;sans-serif"/>
                <w:color w:val="14202A"/>
                <w:sz w:val="18"/>
              </w:rPr>
              <w:t>$1,985.5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52" w:right="0" w:hanging="0"/>
              <w:jc w:val="left"/>
              <w:rPr>
                <w:rFonts w:ascii="Arial;Helvetica;sans-serif" w:hAnsi="Arial;Helvetica;sans-serif"/>
                <w:color w:val="14202A"/>
                <w:sz w:val="18"/>
              </w:rPr>
            </w:pPr>
            <w:r>
              <w:rPr>
                <w:rFonts w:ascii="Arial;Helvetica;sans-serif" w:hAnsi="Arial;Helvetica;sans-serif"/>
                <w:color w:val="14202A"/>
                <w:sz w:val="18"/>
              </w:rPr>
              <w:t>$1,552.3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36" w:right="0" w:hanging="0"/>
              <w:jc w:val="left"/>
              <w:rPr>
                <w:rFonts w:ascii="Arial;Helvetica;sans-serif" w:hAnsi="Arial;Helvetica;sans-serif"/>
                <w:color w:val="14202A"/>
                <w:sz w:val="18"/>
              </w:rPr>
            </w:pPr>
            <w:r>
              <w:rPr>
                <w:rFonts w:ascii="Arial;Helvetica;sans-serif" w:hAnsi="Arial;Helvetica;sans-serif"/>
                <w:color w:val="14202A"/>
                <w:sz w:val="18"/>
              </w:rPr>
              <w:t xml:space="preserve">32.8%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Operating Income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6"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83.8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$132.6 – $146.6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5"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167.5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52" w:right="0" w:hanging="0"/>
              <w:jc w:val="left"/>
              <w:rPr>
                <w:rFonts w:ascii="Arial;Helvetica;sans-serif" w:hAnsi="Arial;Helvetica;sans-serif"/>
                <w:color w:val="14202A"/>
                <w:sz w:val="18"/>
              </w:rPr>
            </w:pPr>
            <w:r>
              <w:rPr>
                <w:rFonts w:ascii="Arial;Helvetica;sans-serif" w:hAnsi="Arial;Helvetica;sans-serif"/>
                <w:color w:val="14202A"/>
                <w:sz w:val="18"/>
              </w:rPr>
              <w:t>$</w:t>
            </w:r>
            <w:r>
              <w:rPr>
                <w:rFonts w:ascii="Arial;Helvetica;sans-serif" w:hAnsi="Arial;Helvetica;sans-serif"/>
                <w:color w:val="14202A"/>
                <w:sz w:val="18"/>
              </w:rPr>
              <w:t>50.3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36" w:right="0" w:hanging="0"/>
              <w:jc w:val="left"/>
              <w:rPr>
                <w:rFonts w:ascii="Arial;Helvetica;sans-serif" w:hAnsi="Arial;Helvetica;sans-serif"/>
                <w:color w:val="14202A"/>
                <w:sz w:val="18"/>
              </w:rPr>
            </w:pPr>
            <w:r>
              <w:rPr>
                <w:rFonts w:ascii="Arial;Helvetica;sans-serif" w:hAnsi="Arial;Helvetica;sans-serif"/>
                <w:color w:val="14202A"/>
                <w:sz w:val="18"/>
              </w:rPr>
              <w:t xml:space="preserve">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ind w:left="60" w:right="0" w:hanging="0"/>
              <w:jc w:val="left"/>
              <w:rPr>
                <w:rFonts w:ascii="Arial;Helvetica;sans-serif" w:hAnsi="Arial;Helvetica;sans-serif"/>
                <w:color w:val="14202A"/>
                <w:sz w:val="18"/>
              </w:rPr>
            </w:pPr>
            <w:r>
              <w:rPr>
                <w:rFonts w:ascii="Arial;Helvetica;sans-serif" w:hAnsi="Arial;Helvetica;sans-serif"/>
                <w:color w:val="14202A"/>
                <w:sz w:val="18"/>
              </w:rPr>
              <w:t>Net Working Capital</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76" w:type="dxa"/>
            </w:tcMar>
            <w:vAlign w:val="center"/>
          </w:tcPr>
          <w:p>
            <w:pPr>
              <w:pStyle w:val="TableContents"/>
              <w:bidi w:val="0"/>
              <w:spacing w:before="0" w:after="283"/>
              <w:ind w:left="77" w:right="0" w:hanging="0"/>
              <w:jc w:val="left"/>
              <w:rPr>
                <w:rFonts w:ascii="Arial;Helvetica;sans-serif" w:hAnsi="Arial;Helvetica;sans-serif"/>
                <w:color w:val="14202A"/>
                <w:sz w:val="18"/>
              </w:rPr>
            </w:pPr>
            <w:r>
              <w:rPr>
                <w:rFonts w:ascii="Arial;Helvetica;sans-serif" w:hAnsi="Arial;Helvetica;sans-serif"/>
                <w:color w:val="14202A"/>
                <w:sz w:val="18"/>
              </w:rPr>
              <w:t>10.0%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6" w:right="0" w:hanging="0"/>
              <w:jc w:val="left"/>
              <w:rPr>
                <w:rFonts w:ascii="Arial;Helvetica;sans-serif" w:hAnsi="Arial;Helvetica;sans-serif"/>
                <w:color w:val="14202A"/>
                <w:sz w:val="18"/>
              </w:rPr>
            </w:pPr>
            <w:r>
              <w:rPr>
                <w:rFonts w:ascii="Arial;Helvetica;sans-serif" w:hAnsi="Arial;Helvetica;sans-serif"/>
                <w:color w:val="14202A"/>
                <w:sz w:val="18"/>
              </w:rPr>
              <w:t>19.2%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685" w:type="dxa"/>
            <w:tcBorders>
              <w:bottom w:val="single" w:sz="8" w:space="0" w:color="14202A"/>
            </w:tcBorders>
            <w:tcMar>
              <w:bottom w:w="76" w:type="dxa"/>
            </w:tcMar>
            <w:vAlign w:val="center"/>
          </w:tcPr>
          <w:p>
            <w:pPr>
              <w:pStyle w:val="TableContents"/>
              <w:bidi w:val="0"/>
              <w:spacing w:before="0" w:after="283"/>
              <w:jc w:val="center"/>
              <w:rPr>
                <w:rFonts w:ascii="Arial;Helvetica;sans-serif" w:hAnsi="Arial;Helvetica;sans-serif"/>
                <w:color w:val="14202A"/>
                <w:sz w:val="18"/>
              </w:rPr>
            </w:pPr>
            <w:r>
              <w:rPr>
                <w:rFonts w:ascii="Arial;Helvetica;sans-serif" w:hAnsi="Arial;Helvetica;sans-serif"/>
                <w:color w:val="14202A"/>
                <w:sz w:val="18"/>
              </w:rPr>
              <w:t>16.8% – 15.2%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35" w:right="0" w:hanging="0"/>
              <w:jc w:val="left"/>
              <w:rPr>
                <w:rFonts w:ascii="Arial;Helvetica;sans-serif" w:hAnsi="Arial;Helvetica;sans-serif"/>
                <w:color w:val="14202A"/>
                <w:sz w:val="18"/>
              </w:rPr>
            </w:pPr>
            <w:r>
              <w:rPr>
                <w:rFonts w:ascii="Arial;Helvetica;sans-serif" w:hAnsi="Arial;Helvetica;sans-serif"/>
                <w:color w:val="14202A"/>
                <w:sz w:val="18"/>
              </w:rPr>
              <w:t>12.8%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76" w:type="dxa"/>
            </w:tcMar>
            <w:vAlign w:val="center"/>
          </w:tcPr>
          <w:p>
            <w:pPr>
              <w:pStyle w:val="TableContents"/>
              <w:bidi w:val="0"/>
              <w:spacing w:before="0" w:after="283"/>
              <w:ind w:left="152" w:right="0" w:hanging="0"/>
              <w:jc w:val="left"/>
              <w:rPr>
                <w:rFonts w:ascii="Arial;Helvetica;sans-serif" w:hAnsi="Arial;Helvetica;sans-serif"/>
                <w:color w:val="14202A"/>
                <w:sz w:val="18"/>
              </w:rPr>
            </w:pPr>
            <w:r>
              <w:rPr>
                <w:rFonts w:ascii="Arial;Helvetica;sans-serif" w:hAnsi="Arial;Helvetica;sans-serif"/>
                <w:color w:val="14202A"/>
                <w:sz w:val="18"/>
              </w:rPr>
              <w:t>21.5%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36" w:right="0" w:hanging="0"/>
              <w:jc w:val="left"/>
              <w:rPr>
                <w:rFonts w:ascii="Arial;Helvetica;sans-serif" w:hAnsi="Arial;Helvetica;sans-serif"/>
                <w:color w:val="14202A"/>
                <w:sz w:val="18"/>
              </w:rPr>
            </w:pPr>
            <w:r>
              <w:rPr>
                <w:rFonts w:ascii="Arial;Helvetica;sans-serif" w:hAnsi="Arial;Helvetica;sans-serif"/>
                <w:color w:val="14202A"/>
                <w:sz w:val="18"/>
              </w:rPr>
              <w:t xml:space="preserve">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60" w:type="dxa"/>
            <w:gridSpan w:val="16"/>
            <w:tcBorders>
              <w:bottom w:val="single" w:sz="8" w:space="0" w:color="14202A"/>
            </w:tcBorders>
            <w:tcMar>
              <w:bottom w:w="76" w:type="dxa"/>
            </w:tcMar>
            <w:vAlign w:val="center"/>
          </w:tcPr>
          <w:p>
            <w:pPr>
              <w:pStyle w:val="TableContents"/>
              <w:bidi w:val="0"/>
              <w:spacing w:before="0" w:after="283"/>
              <w:jc w:val="right"/>
              <w:rPr>
                <w:rFonts w:ascii="Arial;Helvetica;sans-serif" w:hAnsi="Arial;Helvetica;sans-serif"/>
                <w:color w:val="14202A"/>
                <w:sz w:val="18"/>
              </w:rPr>
            </w:pPr>
            <w:r>
              <w:rPr>
                <w:rFonts w:ascii="Arial;Helvetica;sans-serif" w:hAnsi="Arial;Helvetica;sans-serif"/>
                <w:color w:val="14202A"/>
                <w:sz w:val="18"/>
              </w:rPr>
              <w:t>Total 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76" w:type="dxa"/>
            </w:tcMar>
            <w:vAlign w:val="center"/>
          </w:tcPr>
          <w:p>
            <w:pPr>
              <w:pStyle w:val="TableContents"/>
              <w:bidi w:val="0"/>
              <w:spacing w:before="0" w:after="283"/>
              <w:ind w:left="236" w:right="0" w:hanging="0"/>
              <w:jc w:val="left"/>
              <w:rPr>
                <w:rFonts w:ascii="Arial;Helvetica;sans-serif" w:hAnsi="Arial;Helvetica;sans-serif"/>
                <w:color w:val="14202A"/>
                <w:sz w:val="18"/>
              </w:rPr>
            </w:pPr>
            <w:r>
              <w:rPr>
                <w:rFonts w:ascii="Arial;Helvetica;sans-serif" w:hAnsi="Arial;Helvetica;sans-serif"/>
                <w:color w:val="14202A"/>
                <w:sz w:val="18"/>
              </w:rPr>
              <w:t xml:space="preserve">32.8%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60" w:type="dxa"/>
            <w:gridSpan w:val="16"/>
            <w:tcBorders/>
            <w:vAlign w:val="center"/>
          </w:tcPr>
          <w:p>
            <w:pPr>
              <w:pStyle w:val="TableContents"/>
              <w:bidi w:val="0"/>
              <w:spacing w:before="0" w:after="283"/>
              <w:jc w:val="right"/>
              <w:rPr>
                <w:rFonts w:ascii="Arial;Helvetica;sans-serif" w:hAnsi="Arial;Helvetica;sans-serif"/>
                <w:color w:val="14202A"/>
                <w:sz w:val="18"/>
              </w:rPr>
            </w:pPr>
            <w:r>
              <w:rPr>
                <w:rFonts w:ascii="Arial;Helvetica;sans-serif" w:hAnsi="Arial;Helvetica;sans-serif"/>
                <w:color w:val="14202A"/>
                <w:sz w:val="18"/>
              </w:rPr>
              <w:t>40% of Total Percentage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36" w:right="0" w:hanging="0"/>
              <w:jc w:val="left"/>
              <w:rPr>
                <w:rFonts w:ascii="Arial;Helvetica;sans-serif" w:hAnsi="Arial;Helvetica;sans-serif"/>
                <w:color w:val="14202A"/>
                <w:sz w:val="18"/>
              </w:rPr>
            </w:pPr>
            <w:r>
              <w:rPr>
                <w:rFonts w:ascii="Arial;Helvetica;sans-serif" w:hAnsi="Arial;Helvetica;sans-serif"/>
                <w:color w:val="14202A"/>
                <w:sz w:val="18"/>
              </w:rPr>
              <w:t>13.1%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60" w:type="dxa"/>
            <w:gridSpan w:val="16"/>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Enterprise-Wide Financial Performance Metrics (70% of the OICP for Messrs. Happe and Hughes, and Ms. Bogart) for all three Performance Periods — Total Financial Results</w:t>
      </w:r>
      <w:r>
        <w:rPr>
          <w:rFonts w:ascii="Arial;Helvetica;sans-serif" w:hAnsi="Arial;Helvetica;sans-serif"/>
          <w:color w:val="14202A"/>
          <w:position w:val="6"/>
          <w:sz w:val="14"/>
          <w:sz w:val="18"/>
        </w:rPr>
        <w:t>(1)</w:t>
      </w:r>
      <w:r>
        <w:rPr>
          <w:rFonts w:ascii="Arial;Helvetica;sans-serif" w:hAnsi="Arial;Helvetica;sans-serif"/>
          <w:color w:val="14202A"/>
          <w:sz w:val="18"/>
        </w:rPr>
        <w:t xml:space="preserve"> </w:t>
      </w:r>
    </w:p>
    <w:tbl>
      <w:tblPr>
        <w:tblW w:w="7395" w:type="dxa"/>
        <w:jc w:val="left"/>
        <w:tblInd w:w="0" w:type="dxa"/>
        <w:tblLayout w:type="fixed"/>
        <w:tblCellMar>
          <w:top w:w="0" w:type="dxa"/>
          <w:left w:w="0" w:type="dxa"/>
          <w:bottom w:w="0" w:type="dxa"/>
          <w:right w:w="0" w:type="dxa"/>
        </w:tblCellMar>
      </w:tblPr>
      <w:tblGrid>
        <w:gridCol w:w="185"/>
        <w:gridCol w:w="5540"/>
        <w:gridCol w:w="170"/>
        <w:gridCol w:w="170"/>
        <w:gridCol w:w="1115"/>
        <w:gridCol w:w="215"/>
      </w:tblGrid>
      <w:tr>
        <w:trPr/>
        <w:tc>
          <w:tcPr>
            <w:tcW w:w="185" w:type="dxa"/>
            <w:tcBorders/>
            <w:shd w:fill="14202A" w:val="clear"/>
            <w:vAlign w:val="center"/>
          </w:tcPr>
          <w:p>
            <w:pPr>
              <w:pStyle w:val="TableContents"/>
              <w:bidi w:val="0"/>
              <w:spacing w:before="0" w:after="0"/>
              <w:jc w:val="left"/>
              <w:rPr/>
            </w:pPr>
            <w:r>
              <w:rPr/>
              <w:t> </w:t>
            </w:r>
          </w:p>
        </w:tc>
        <w:tc>
          <w:tcPr>
            <w:tcW w:w="554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1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554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1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 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Financial Payout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(Weighted)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40" w:type="dxa"/>
            <w:tcBorders/>
            <w:vAlign w:val="center"/>
          </w:tcPr>
          <w:p>
            <w:pPr>
              <w:pStyle w:val="TableContents"/>
              <w:bidi w:val="0"/>
              <w:spacing w:before="0" w:after="283"/>
              <w:jc w:val="right"/>
              <w:rPr>
                <w:rFonts w:ascii="Arial;Helvetica;sans-serif" w:hAnsi="Arial;Helvetica;sans-serif"/>
                <w:color w:val="14202A"/>
                <w:sz w:val="18"/>
                <w:u w:val="single"/>
              </w:rPr>
            </w:pPr>
            <w:r>
              <w:rPr>
                <w:rFonts w:ascii="Arial;Helvetica;sans-serif" w:hAnsi="Arial;Helvetica;sans-serif"/>
                <w:color w:val="14202A"/>
                <w:sz w:val="18"/>
                <w:u w:val="single"/>
              </w:rPr>
              <w:t>Total Fiscal Year Financial Performance Metrics Payout Percentage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30" w:right="0" w:hanging="0"/>
              <w:jc w:val="left"/>
              <w:rPr>
                <w:rFonts w:ascii="Arial;Helvetica;sans-serif" w:hAnsi="Arial;Helvetica;sans-serif"/>
                <w:color w:val="14202A"/>
                <w:sz w:val="18"/>
              </w:rPr>
            </w:pPr>
            <w:r>
              <w:rPr>
                <w:rFonts w:ascii="Arial;Helvetica;sans-serif" w:hAnsi="Arial;Helvetica;sans-serif"/>
                <w:color w:val="14202A"/>
                <w:sz w:val="18"/>
              </w:rPr>
              <w:t>37.6%</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554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1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0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Mr. Tubman’s financial performance is based upon the Newmar business unit and the financial performance metrics are weighted: (1) 40% net revenue; (ii) 50% operating income; and (iii) 10% net working capital.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52074x1_def14a_108-executive_pg11"/>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When determining the level of actual performance for the OICP, the committee considered and reviewed the CEO’s evaluation of each eligible NEO’s performance, other than himself. The committee determined that each of the participating NEOs earned his or her individual performance goal opportunity at a level of 130% of target for Mr. Hughes, 125% of target for Mr. Tubman, and 125% of target for Ms. Bogart. The committee also determined, in its sole discretion, that Mr. Happe’s level of achievement of his individual objectives was 100% of target.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reflects the Fiscal 2025 year-end salary, target OICP percentage and dollar amounts, and actual OICP percentage and dollar amounts earned by the participating NEOs, each as approved by the committee. The calculated portion of the OICP payout related to achievement of the metrics set at the beginning of the fiscal year is reported in the Summary Compensation Table under the “Non-Equity Incentive Plan Compensation” column. </w:t>
      </w:r>
    </w:p>
    <w:tbl>
      <w:tblPr>
        <w:tblW w:w="7830" w:type="dxa"/>
        <w:jc w:val="left"/>
        <w:tblInd w:w="0" w:type="dxa"/>
        <w:tblLayout w:type="fixed"/>
        <w:tblCellMar>
          <w:top w:w="0" w:type="dxa"/>
          <w:left w:w="0" w:type="dxa"/>
          <w:bottom w:w="0" w:type="dxa"/>
          <w:right w:w="0" w:type="dxa"/>
        </w:tblCellMar>
      </w:tblPr>
      <w:tblGrid>
        <w:gridCol w:w="185"/>
        <w:gridCol w:w="1355"/>
        <w:gridCol w:w="170"/>
        <w:gridCol w:w="170"/>
        <w:gridCol w:w="1160"/>
        <w:gridCol w:w="170"/>
        <w:gridCol w:w="170"/>
        <w:gridCol w:w="800"/>
        <w:gridCol w:w="170"/>
        <w:gridCol w:w="170"/>
        <w:gridCol w:w="860"/>
        <w:gridCol w:w="170"/>
        <w:gridCol w:w="170"/>
        <w:gridCol w:w="785"/>
        <w:gridCol w:w="170"/>
        <w:gridCol w:w="170"/>
        <w:gridCol w:w="770"/>
        <w:gridCol w:w="215"/>
      </w:tblGrid>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00"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895" w:type="dxa"/>
            <w:gridSpan w:val="4"/>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60" w:type="dxa"/>
            <w:tcBorders/>
            <w:shd w:fill="14202A" w:val="clear"/>
            <w:vAlign w:val="center"/>
          </w:tcPr>
          <w:p>
            <w:pPr>
              <w:pStyle w:val="TableContents"/>
              <w:bidi w:val="0"/>
              <w:spacing w:before="0" w:after="283"/>
              <w:jc w:val="center"/>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00"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 2025 Target OICP</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895"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Actual OICP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Eligible Earnings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0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of Salary</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8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of Target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Payout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214" w:right="0" w:hanging="0"/>
              <w:jc w:val="left"/>
              <w:rPr>
                <w:rFonts w:ascii="Arial;Helvetica;sans-serif" w:hAnsi="Arial;Helvetica;sans-serif"/>
                <w:color w:val="14202A"/>
                <w:sz w:val="16"/>
              </w:rPr>
            </w:pPr>
            <w:r>
              <w:rPr>
                <w:rFonts w:ascii="Arial;Helvetica;sans-serif" w:hAnsi="Arial;Helvetica;sans-serif"/>
                <w:color w:val="14202A"/>
                <w:sz w:val="16"/>
              </w:rPr>
              <w:t>$1,150,000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N/A</w:t>
            </w:r>
            <w:r>
              <w:rPr>
                <w:rFonts w:ascii="Arial;Helvetica;sans-serif" w:hAnsi="Arial;Helvetica;sans-serif"/>
                <w:color w:val="14202A"/>
                <w:position w:val="5"/>
                <w:sz w:val="13"/>
                <w:sz w:val="16"/>
              </w:rPr>
              <w:t>(1)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$1,250,000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85" w:type="dxa"/>
            <w:tcBorders>
              <w:bottom w:val="single" w:sz="8" w:space="0" w:color="14202A"/>
            </w:tcBorders>
            <w:tcMar>
              <w:bottom w:w="88" w:type="dxa"/>
            </w:tcMar>
            <w:vAlign w:val="center"/>
          </w:tcPr>
          <w:p>
            <w:pPr>
              <w:pStyle w:val="TableContents"/>
              <w:bidi w:val="0"/>
              <w:spacing w:before="0" w:after="283"/>
              <w:ind w:left="222" w:right="0" w:hanging="0"/>
              <w:jc w:val="left"/>
              <w:rPr>
                <w:rFonts w:ascii="Arial;Helvetica;sans-serif" w:hAnsi="Arial;Helvetica;sans-serif"/>
                <w:color w:val="14202A"/>
                <w:sz w:val="16"/>
              </w:rPr>
            </w:pPr>
            <w:r>
              <w:rPr>
                <w:rFonts w:ascii="Arial;Helvetica;sans-serif" w:hAnsi="Arial;Helvetica;sans-serif"/>
                <w:color w:val="14202A"/>
                <w:sz w:val="16"/>
              </w:rPr>
              <w:t>56.3%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88" w:type="dxa"/>
            </w:tcMar>
            <w:vAlign w:val="center"/>
          </w:tcPr>
          <w:p>
            <w:pPr>
              <w:pStyle w:val="TableContents"/>
              <w:bidi w:val="0"/>
              <w:spacing w:before="0" w:after="283"/>
              <w:ind w:left="4" w:right="0" w:hanging="0"/>
              <w:jc w:val="left"/>
              <w:rPr>
                <w:rFonts w:ascii="Arial;Helvetica;sans-serif" w:hAnsi="Arial;Helvetica;sans-serif"/>
                <w:color w:val="14202A"/>
                <w:sz w:val="16"/>
              </w:rPr>
            </w:pPr>
            <w:r>
              <w:rPr>
                <w:rFonts w:ascii="Arial;Helvetica;sans-serif" w:hAnsi="Arial;Helvetica;sans-serif"/>
                <w:color w:val="14202A"/>
                <w:sz w:val="16"/>
              </w:rPr>
              <w:t xml:space="preserve">$704,000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214"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625,000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100%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625,000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85" w:type="dxa"/>
            <w:tcBorders>
              <w:bottom w:val="single" w:sz="8" w:space="0" w:color="14202A"/>
            </w:tcBorders>
            <w:tcMar>
              <w:bottom w:w="88" w:type="dxa"/>
            </w:tcMar>
            <w:vAlign w:val="center"/>
          </w:tcPr>
          <w:p>
            <w:pPr>
              <w:pStyle w:val="TableContents"/>
              <w:bidi w:val="0"/>
              <w:spacing w:before="0" w:after="283"/>
              <w:ind w:left="222" w:right="0" w:hanging="0"/>
              <w:jc w:val="left"/>
              <w:rPr>
                <w:rFonts w:ascii="Arial;Helvetica;sans-serif" w:hAnsi="Arial;Helvetica;sans-serif"/>
                <w:color w:val="14202A"/>
                <w:sz w:val="16"/>
              </w:rPr>
            </w:pPr>
            <w:r>
              <w:rPr>
                <w:rFonts w:ascii="Arial;Helvetica;sans-serif" w:hAnsi="Arial;Helvetica;sans-serif"/>
                <w:color w:val="14202A"/>
                <w:sz w:val="16"/>
              </w:rPr>
              <w:t>65.3%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88" w:type="dxa"/>
            </w:tcMar>
            <w:vAlign w:val="center"/>
          </w:tcPr>
          <w:p>
            <w:pPr>
              <w:pStyle w:val="TableContents"/>
              <w:bidi w:val="0"/>
              <w:spacing w:before="0" w:after="283"/>
              <w:ind w:left="4"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 xml:space="preserve">408,250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214" w:right="0" w:hanging="0"/>
              <w:jc w:val="left"/>
              <w:rPr>
                <w:color w:val="14202A"/>
              </w:rPr>
            </w:pPr>
            <w:r>
              <w:rPr>
                <w:color w:val="14202A"/>
              </w:rPr>
              <w:t>​</w:t>
            </w:r>
            <w:r>
              <w:rPr>
                <w:rFonts w:ascii="Arial;Helvetica;sans-serif" w:hAnsi="Arial;Helvetica;sans-serif"/>
                <w:color w:val="14202A"/>
                <w:sz w:val="16"/>
              </w:rPr>
              <w:t>$560,000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w:t>
            </w:r>
            <w:r>
              <w:rPr>
                <w:rFonts w:ascii="Arial;Helvetica;sans-serif" w:hAnsi="Arial;Helvetica;sans-serif"/>
                <w:color w:val="14202A"/>
                <w:sz w:val="16"/>
              </w:rPr>
              <w:t>95%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6"/>
              </w:rPr>
              <w:t>$532,000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85" w:type="dxa"/>
            <w:tcBorders>
              <w:bottom w:val="single" w:sz="8" w:space="0" w:color="14202A"/>
            </w:tcBorders>
            <w:tcMar>
              <w:bottom w:w="88" w:type="dxa"/>
            </w:tcMar>
            <w:vAlign w:val="center"/>
          </w:tcPr>
          <w:p>
            <w:pPr>
              <w:pStyle w:val="TableContents"/>
              <w:bidi w:val="0"/>
              <w:spacing w:before="0" w:after="283"/>
              <w:ind w:left="222" w:right="0" w:hanging="0"/>
              <w:jc w:val="left"/>
              <w:rPr>
                <w:color w:val="14202A"/>
              </w:rPr>
            </w:pPr>
            <w:r>
              <w:rPr>
                <w:color w:val="14202A"/>
              </w:rPr>
              <w:t>​</w:t>
            </w:r>
            <w:r>
              <w:rPr>
                <w:rFonts w:ascii="Arial;Helvetica;sans-serif" w:hAnsi="Arial;Helvetica;sans-serif"/>
                <w:color w:val="14202A"/>
                <w:sz w:val="16"/>
              </w:rPr>
              <w:t>159.9</w:t>
            </w:r>
            <w:r>
              <w:rPr>
                <w:rFonts w:ascii="Arial;Helvetica;sans-serif" w:hAnsi="Arial;Helvetica;sans-serif"/>
                <w:color w:val="14202A"/>
                <w:sz w:val="16"/>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88" w:type="dxa"/>
            </w:tcMar>
            <w:vAlign w:val="center"/>
          </w:tcPr>
          <w:p>
            <w:pPr>
              <w:pStyle w:val="TableContents"/>
              <w:bidi w:val="0"/>
              <w:spacing w:before="0" w:after="283"/>
              <w:ind w:left="4" w:right="0" w:hanging="0"/>
              <w:jc w:val="left"/>
              <w:rPr>
                <w:color w:val="14202A"/>
              </w:rPr>
            </w:pPr>
            <w:r>
              <w:rPr>
                <w:color w:val="14202A"/>
              </w:rPr>
              <w:t>​</w:t>
            </w:r>
            <w:r>
              <w:rPr>
                <w:rFonts w:ascii="Arial;Helvetica;sans-serif" w:hAnsi="Arial;Helvetica;sans-serif"/>
                <w:color w:val="14202A"/>
                <w:sz w:val="16"/>
              </w:rPr>
              <w:t xml:space="preserve">$850,828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Stacy L. Bogart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14" w:right="0" w:hanging="0"/>
              <w:jc w:val="left"/>
              <w:rPr>
                <w:color w:val="14202A"/>
              </w:rPr>
            </w:pPr>
            <w:r>
              <w:rPr>
                <w:color w:val="14202A"/>
              </w:rPr>
              <w:t>​</w:t>
            </w:r>
            <w:r>
              <w:rPr>
                <w:rFonts w:ascii="Arial;Helvetica;sans-serif" w:hAnsi="Arial;Helvetica;sans-serif"/>
                <w:color w:val="14202A"/>
                <w:sz w:val="16"/>
              </w:rPr>
              <w:t>$555,000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471,750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22" w:right="0" w:hanging="0"/>
              <w:jc w:val="left"/>
              <w:rPr>
                <w:rFonts w:ascii="Arial;Helvetica;sans-serif" w:hAnsi="Arial;Helvetica;sans-serif"/>
                <w:color w:val="14202A"/>
                <w:sz w:val="16"/>
              </w:rPr>
            </w:pPr>
            <w:r>
              <w:rPr>
                <w:rFonts w:ascii="Arial;Helvetica;sans-serif" w:hAnsi="Arial;Helvetica;sans-serif"/>
                <w:color w:val="14202A"/>
                <w:sz w:val="16"/>
              </w:rPr>
              <w:t>63.8%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301,071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8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7960" w:type="dxa"/>
        <w:jc w:val="left"/>
        <w:tblInd w:w="0" w:type="dxa"/>
        <w:tblLayout w:type="fixed"/>
        <w:tblCellMar>
          <w:top w:w="0" w:type="dxa"/>
          <w:left w:w="0" w:type="dxa"/>
          <w:bottom w:w="0" w:type="dxa"/>
          <w:right w:w="0" w:type="dxa"/>
        </w:tblCellMar>
      </w:tblPr>
      <w:tblGrid>
        <w:gridCol w:w="215"/>
        <w:gridCol w:w="774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774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Mr. Happe’s target OICP is set at the listed target award amount and is not calculated as a percent of his eligible earnings.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Mr. Clark does not participate in the OICP. For Fiscal 2025, Mr. Clark received an incentive bonus of $4,090,474 under the Grand Design MIP. Mr. Clark’s incentive under such plan is calculated as 3.5% of the pretax net income of Grand Design (before taking into account any bonus payments thereunder). </w:t>
      </w:r>
    </w:p>
    <w:p>
      <w:pPr>
        <w:pStyle w:val="TextBody"/>
        <w:bidi w:val="0"/>
        <w:spacing w:before="310" w:after="283"/>
        <w:ind w:left="0" w:right="0" w:hanging="0"/>
        <w:jc w:val="left"/>
        <w:rPr>
          <w:rFonts w:ascii="Arial;Helvetica;sans-serif" w:hAnsi="Arial;Helvetica;sans-serif"/>
          <w:b/>
          <w:color w:val="D8E47A"/>
          <w:sz w:val="24"/>
        </w:rPr>
      </w:pPr>
      <w:bookmarkStart w:id="94" w:name="tFIS4"/>
      <w:bookmarkEnd w:id="94"/>
      <w:r>
        <w:rPr>
          <w:rFonts w:ascii="Arial;Helvetica;sans-serif" w:hAnsi="Arial;Helvetica;sans-serif"/>
          <w:b/>
          <w:color w:val="D8E47A"/>
          <w:sz w:val="24"/>
        </w:rPr>
        <w:t xml:space="preserve">Fiscal 2025 Equity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recognize long-term incentive opportunity as an important element of the total executive compensation program for NEOs. Long-term incentives are intended to retain and motivate executives and to encourage a strong link between management objectives and long-term shareholder interests. In Fiscal 2025, we awarded long-term incentives under our 2019 Plan in the form of annual LTIP performance share units, restricted stock units and stock options as well as certain performance share units specific to Fiscal 2025.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Mr. Clark does not receive equity awards under the long-term incentive program because he participates in the Grand Design MIP in lieu of other incentive compensation. </w:t>
      </w:r>
    </w:p>
    <w:p>
      <w:pPr>
        <w:pStyle w:val="TextBody"/>
        <w:bidi w:val="0"/>
        <w:spacing w:before="300" w:after="283"/>
        <w:ind w:left="0" w:right="0" w:hanging="0"/>
        <w:jc w:val="left"/>
        <w:rPr>
          <w:rFonts w:ascii="Arial;Helvetica;sans-serif" w:hAnsi="Arial;Helvetica;sans-serif"/>
          <w:b/>
          <w:color w:val="D8E47A"/>
          <w:sz w:val="24"/>
        </w:rPr>
      </w:pPr>
      <w:bookmarkStart w:id="95" w:name="tLTI"/>
      <w:bookmarkEnd w:id="95"/>
      <w:r>
        <w:rPr>
          <w:rFonts w:ascii="Arial;Helvetica;sans-serif" w:hAnsi="Arial;Helvetica;sans-serif"/>
          <w:b/>
          <w:color w:val="D8E47A"/>
          <w:sz w:val="24"/>
        </w:rPr>
        <w:t xml:space="preserve">LTIP / Performance Share Units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Each year, the committee establishes a three-year performance plan to promote our long-term growth and profitability and to attract and retain executives by providing them an opportunity for an incentive award consisting of performance share units that settle, when and to the extent earned and vested, in shares of the Company’s common stock. The amount of an NEO’s performance share incentive compensation for the three-year period is calculated to be in direct linear proportion to our measured financial performance expressed as a percentage against compensation targets as approved by the committee.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general, the awards are based upon our financial performance as measured against the specific three-year plan approved by the committee. The committee approved financial measurements and weightings for each specific three-year plan (as set forth in the following chart).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the Fiscal 2025-2027 LTIP performance share units, the committee selected the following Company performance metrics: </w:t>
      </w:r>
    </w:p>
    <w:tbl>
      <w:tblPr>
        <w:tblW w:w="2445" w:type="dxa"/>
        <w:jc w:val="left"/>
        <w:tblInd w:w="0" w:type="dxa"/>
        <w:tblLayout w:type="fixed"/>
        <w:tblCellMar>
          <w:top w:w="0" w:type="dxa"/>
          <w:left w:w="0" w:type="dxa"/>
          <w:bottom w:w="0" w:type="dxa"/>
          <w:right w:w="0" w:type="dxa"/>
        </w:tblCellMar>
      </w:tblPr>
      <w:tblGrid>
        <w:gridCol w:w="185"/>
        <w:gridCol w:w="1175"/>
        <w:gridCol w:w="170"/>
        <w:gridCol w:w="170"/>
        <w:gridCol w:w="530"/>
        <w:gridCol w:w="215"/>
      </w:tblGrid>
      <w:tr>
        <w:trPr/>
        <w:tc>
          <w:tcPr>
            <w:tcW w:w="185" w:type="dxa"/>
            <w:tcBorders/>
            <w:shd w:fill="14202A" w:val="clear"/>
            <w:vAlign w:val="center"/>
          </w:tcPr>
          <w:p>
            <w:pPr>
              <w:pStyle w:val="TableContents"/>
              <w:bidi w:val="0"/>
              <w:spacing w:before="0" w:after="0"/>
              <w:jc w:val="left"/>
              <w:rPr/>
            </w:pPr>
            <w:r>
              <w:rPr/>
              <w:t> </w:t>
            </w:r>
          </w:p>
        </w:tc>
        <w:tc>
          <w:tcPr>
            <w:tcW w:w="11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3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17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Metric</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3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17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Incentive ROIC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88" w:type="dxa"/>
            </w:tcMar>
            <w:vAlign w:val="center"/>
          </w:tcPr>
          <w:p>
            <w:pPr>
              <w:pStyle w:val="TableContents"/>
              <w:bidi w:val="0"/>
              <w:spacing w:before="0" w:after="283"/>
              <w:ind w:left="173" w:right="0" w:hanging="0"/>
              <w:jc w:val="left"/>
              <w:rPr>
                <w:rFonts w:ascii="Arial;Helvetica;sans-serif" w:hAnsi="Arial;Helvetica;sans-serif"/>
                <w:color w:val="14202A"/>
                <w:sz w:val="16"/>
              </w:rPr>
            </w:pPr>
            <w:r>
              <w:rPr>
                <w:rFonts w:ascii="Arial;Helvetica;sans-serif" w:hAnsi="Arial;Helvetica;sans-serif"/>
                <w:color w:val="14202A"/>
                <w:sz w:val="16"/>
              </w:rPr>
              <w:t xml:space="preserve">50%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Incentive EPS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73" w:right="0" w:hanging="0"/>
              <w:jc w:val="left"/>
              <w:rPr>
                <w:rFonts w:ascii="Arial;Helvetica;sans-serif" w:hAnsi="Arial;Helvetica;sans-serif"/>
                <w:color w:val="14202A"/>
                <w:sz w:val="16"/>
              </w:rPr>
            </w:pPr>
            <w:r>
              <w:rPr>
                <w:rFonts w:ascii="Arial;Helvetica;sans-serif" w:hAnsi="Arial;Helvetica;sans-serif"/>
                <w:color w:val="14202A"/>
                <w:sz w:val="16"/>
              </w:rPr>
              <w:t>50%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17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52074x1_def14a_108-executive_pg1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definitions of Incentive ROIC and Incentive EPS incorporate adjustments for Board approved non-recurring disclosure items affecting comparability, including adjustments for acquisitions and divestitures where appropriate, which generally align with our non-GAAP financial reporting.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Given the financial challenges of establishing a three-year performance plan in a cyclical industry, the committee decided to separate the Fiscal 2025-2027 LTIP into four measurement periods. Each of these four measurement periods has the financial performance metrics described above with performance goals set at the beginning of the three-year performance period for Period 1 and Period 4, established at the start of fiscal year 2026 for Period 2 and established at the start of fiscal year 2027 for Period 3. The measurement periods and associated plan weighting are indicated below: </w:t>
      </w:r>
    </w:p>
    <w:tbl>
      <w:tblPr>
        <w:tblW w:w="10205" w:type="dxa"/>
        <w:jc w:val="left"/>
        <w:tblInd w:w="0" w:type="dxa"/>
        <w:tblLayout w:type="fixed"/>
        <w:tblCellMar>
          <w:top w:w="0" w:type="dxa"/>
          <w:left w:w="0" w:type="dxa"/>
          <w:bottom w:w="0" w:type="dxa"/>
          <w:right w:w="0" w:type="dxa"/>
        </w:tblCellMar>
      </w:tblPr>
      <w:tblGrid>
        <w:gridCol w:w="185"/>
        <w:gridCol w:w="8935"/>
        <w:gridCol w:w="170"/>
        <w:gridCol w:w="170"/>
        <w:gridCol w:w="529"/>
        <w:gridCol w:w="216"/>
      </w:tblGrid>
      <w:tr>
        <w:trPr/>
        <w:tc>
          <w:tcPr>
            <w:tcW w:w="185" w:type="dxa"/>
            <w:tcBorders/>
            <w:shd w:fill="14202A" w:val="clear"/>
            <w:vAlign w:val="center"/>
          </w:tcPr>
          <w:p>
            <w:pPr>
              <w:pStyle w:val="TableContents"/>
              <w:bidi w:val="0"/>
              <w:spacing w:before="0" w:after="0"/>
              <w:jc w:val="left"/>
              <w:rPr/>
            </w:pPr>
            <w:r>
              <w:rPr/>
              <w:t> </w:t>
            </w:r>
          </w:p>
        </w:tc>
        <w:tc>
          <w:tcPr>
            <w:tcW w:w="893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29"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893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Measurement Period</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29"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93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Period 1: </w:t>
            </w:r>
            <w:r>
              <w:rPr>
                <w:rFonts w:ascii="Arial;Helvetica;sans-serif" w:hAnsi="Arial;Helvetica;sans-serif"/>
                <w:b w:val="false"/>
                <w:color w:val="14202A"/>
                <w:sz w:val="16"/>
              </w:rPr>
              <w:t>Fiscal 2025 (financial performance measured against established Fiscal 2025 financial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29" w:type="dxa"/>
            <w:tcBorders>
              <w:bottom w:val="single" w:sz="8" w:space="0" w:color="14202A"/>
            </w:tcBorders>
            <w:tcMar>
              <w:bottom w:w="58" w:type="dxa"/>
            </w:tcMar>
            <w:vAlign w:val="center"/>
          </w:tcPr>
          <w:p>
            <w:pPr>
              <w:pStyle w:val="TableContents"/>
              <w:bidi w:val="0"/>
              <w:spacing w:before="0" w:after="283"/>
              <w:ind w:left="180" w:right="0" w:hanging="0"/>
              <w:jc w:val="left"/>
              <w:rPr>
                <w:rFonts w:ascii="Arial;Helvetica;sans-serif" w:hAnsi="Arial;Helvetica;sans-serif"/>
                <w:color w:val="14202A"/>
                <w:sz w:val="16"/>
              </w:rPr>
            </w:pPr>
            <w:r>
              <w:rPr>
                <w:rFonts w:ascii="Arial;Helvetica;sans-serif" w:hAnsi="Arial;Helvetica;sans-serif"/>
                <w:color w:val="14202A"/>
                <w:sz w:val="16"/>
              </w:rPr>
              <w:t xml:space="preserve">25%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93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Period 2: </w:t>
            </w:r>
            <w:r>
              <w:rPr>
                <w:rFonts w:ascii="Arial;Helvetica;sans-serif" w:hAnsi="Arial;Helvetica;sans-serif"/>
                <w:b w:val="false"/>
                <w:color w:val="14202A"/>
                <w:sz w:val="16"/>
              </w:rPr>
              <w:t>Fiscal 2026 (financial performance measured against established Fiscal 2026 financial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29" w:type="dxa"/>
            <w:tcBorders>
              <w:bottom w:val="single" w:sz="8" w:space="0" w:color="14202A"/>
            </w:tcBorders>
            <w:tcMar>
              <w:bottom w:w="58" w:type="dxa"/>
            </w:tcMar>
            <w:vAlign w:val="center"/>
          </w:tcPr>
          <w:p>
            <w:pPr>
              <w:pStyle w:val="TableContents"/>
              <w:bidi w:val="0"/>
              <w:spacing w:before="0" w:after="283"/>
              <w:ind w:left="180" w:right="0" w:hanging="0"/>
              <w:jc w:val="left"/>
              <w:rPr>
                <w:rFonts w:ascii="Arial;Helvetica;sans-serif" w:hAnsi="Arial;Helvetica;sans-serif"/>
                <w:color w:val="14202A"/>
                <w:sz w:val="16"/>
              </w:rPr>
            </w:pPr>
            <w:r>
              <w:rPr>
                <w:rFonts w:ascii="Arial;Helvetica;sans-serif" w:hAnsi="Arial;Helvetica;sans-serif"/>
                <w:color w:val="14202A"/>
                <w:sz w:val="16"/>
              </w:rPr>
              <w:t xml:space="preserve">25%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935" w:type="dxa"/>
            <w:tcBorders>
              <w:bottom w:val="single" w:sz="8" w:space="0" w:color="14202A"/>
            </w:tcBorders>
            <w:tcMar>
              <w:bottom w:w="5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Period 3: </w:t>
            </w:r>
            <w:r>
              <w:rPr>
                <w:rFonts w:ascii="Arial;Helvetica;sans-serif" w:hAnsi="Arial;Helvetica;sans-serif"/>
                <w:b w:val="false"/>
                <w:color w:val="14202A"/>
                <w:sz w:val="16"/>
              </w:rPr>
              <w:t>Fiscal 2027 (financial performance measured against established Fiscal 2027 financial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29" w:type="dxa"/>
            <w:tcBorders>
              <w:bottom w:val="single" w:sz="8" w:space="0" w:color="14202A"/>
            </w:tcBorders>
            <w:tcMar>
              <w:bottom w:w="58" w:type="dxa"/>
            </w:tcMar>
            <w:vAlign w:val="center"/>
          </w:tcPr>
          <w:p>
            <w:pPr>
              <w:pStyle w:val="TableContents"/>
              <w:bidi w:val="0"/>
              <w:spacing w:before="0" w:after="283"/>
              <w:ind w:left="180" w:right="0" w:hanging="0"/>
              <w:jc w:val="left"/>
              <w:rPr>
                <w:rFonts w:ascii="Arial;Helvetica;sans-serif" w:hAnsi="Arial;Helvetica;sans-serif"/>
                <w:color w:val="14202A"/>
                <w:sz w:val="16"/>
              </w:rPr>
            </w:pPr>
            <w:r>
              <w:rPr>
                <w:rFonts w:ascii="Arial;Helvetica;sans-serif" w:hAnsi="Arial;Helvetica;sans-serif"/>
                <w:color w:val="14202A"/>
                <w:sz w:val="16"/>
              </w:rPr>
              <w:t xml:space="preserve">25%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935" w:type="dxa"/>
            <w:tcBorders/>
            <w:vAlign w:val="center"/>
          </w:tcPr>
          <w:p>
            <w:pPr>
              <w:pStyle w:val="TableContents"/>
              <w:bidi w:val="0"/>
              <w:spacing w:before="0" w:after="283"/>
              <w:ind w:left="240" w:right="0" w:hanging="180"/>
              <w:jc w:val="left"/>
              <w:rPr>
                <w:rFonts w:ascii="Arial;Helvetica;sans-serif" w:hAnsi="Arial;Helvetica;sans-serif"/>
                <w:b/>
                <w:color w:val="14202A"/>
                <w:sz w:val="16"/>
              </w:rPr>
            </w:pPr>
            <w:r>
              <w:rPr>
                <w:rFonts w:ascii="Arial;Helvetica;sans-serif" w:hAnsi="Arial;Helvetica;sans-serif"/>
                <w:b/>
                <w:color w:val="14202A"/>
                <w:sz w:val="16"/>
              </w:rPr>
              <w:t xml:space="preserve">Period 4: </w:t>
            </w:r>
            <w:r>
              <w:rPr>
                <w:rFonts w:ascii="Arial;Helvetica;sans-serif" w:hAnsi="Arial;Helvetica;sans-serif"/>
                <w:b w:val="false"/>
                <w:color w:val="14202A"/>
                <w:sz w:val="16"/>
              </w:rPr>
              <w:t>Fiscal 2025-2027 (financial performance measured against established financial plan for Fiscal 2025-2027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9" w:type="dxa"/>
            <w:tcBorders/>
            <w:vAlign w:val="center"/>
          </w:tcPr>
          <w:p>
            <w:pPr>
              <w:pStyle w:val="TableContents"/>
              <w:bidi w:val="0"/>
              <w:spacing w:before="0" w:after="283"/>
              <w:ind w:left="180" w:right="0" w:hanging="0"/>
              <w:jc w:val="left"/>
              <w:rPr>
                <w:rFonts w:ascii="Arial;Helvetica;sans-serif" w:hAnsi="Arial;Helvetica;sans-serif"/>
                <w:color w:val="14202A"/>
                <w:sz w:val="16"/>
              </w:rPr>
            </w:pPr>
            <w:r>
              <w:rPr>
                <w:rFonts w:ascii="Arial;Helvetica;sans-serif" w:hAnsi="Arial;Helvetica;sans-serif"/>
                <w:color w:val="14202A"/>
                <w:sz w:val="16"/>
              </w:rPr>
              <w:t>25%</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93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29"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Following the completion of each of these measurement periods, the results are computed, and the payout results are “banked” until the end of Period 4. Employees must be employed by the Company on the date of payout, following the end of Period 4, to receive any payout, except in the case of an employee’s retirement (as more fully described under the “Long-Term Incentive Program and Performance Share Units” section below). The number of performance share units that may be earned range from 0% to 200% of the target share amount.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Fiscal 2025 Performance Share Units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Fiscal 2025, NEOs were granted performance share units to promote and reward executives for the achievement of Fiscal 2025 Adjusted EPS goals, with any performance share units earned vesting over a two-year period. The 2025 Adjusted EPS goal was not achieved and therefore no performance share units were earned. </w:t>
      </w:r>
    </w:p>
    <w:p>
      <w:pPr>
        <w:pStyle w:val="TextBody"/>
        <w:bidi w:val="0"/>
        <w:spacing w:before="300" w:after="283"/>
        <w:ind w:left="0" w:right="0" w:hanging="0"/>
        <w:jc w:val="left"/>
        <w:rPr>
          <w:rFonts w:ascii="Arial;Helvetica;sans-serif" w:hAnsi="Arial;Helvetica;sans-serif"/>
          <w:b/>
          <w:color w:val="D8E47A"/>
          <w:sz w:val="24"/>
        </w:rPr>
      </w:pPr>
      <w:bookmarkStart w:id="97" w:name="tRSU"/>
      <w:bookmarkEnd w:id="97"/>
      <w:r>
        <w:rPr>
          <w:rFonts w:ascii="Arial;Helvetica;sans-serif" w:hAnsi="Arial;Helvetica;sans-serif"/>
          <w:b/>
          <w:color w:val="D8E47A"/>
          <w:sz w:val="24"/>
        </w:rPr>
        <w:t xml:space="preserve">Restricted Stock Units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Fiscal 2025, NEOs were granted restricted stock units that vest in three equal annual installments, beginning on the first anniversary of the grant date. </w:t>
      </w:r>
    </w:p>
    <w:p>
      <w:pPr>
        <w:pStyle w:val="TextBody"/>
        <w:bidi w:val="0"/>
        <w:spacing w:before="300" w:after="283"/>
        <w:ind w:left="0" w:right="0" w:hanging="0"/>
        <w:jc w:val="left"/>
        <w:rPr>
          <w:rFonts w:ascii="Arial;Helvetica;sans-serif" w:hAnsi="Arial;Helvetica;sans-serif"/>
          <w:b/>
          <w:color w:val="D8E47A"/>
          <w:sz w:val="24"/>
        </w:rPr>
      </w:pPr>
      <w:bookmarkStart w:id="98" w:name="tSTO"/>
      <w:bookmarkEnd w:id="98"/>
      <w:r>
        <w:rPr>
          <w:rFonts w:ascii="Arial;Helvetica;sans-serif" w:hAnsi="Arial;Helvetica;sans-serif"/>
          <w:b/>
          <w:color w:val="D8E47A"/>
          <w:sz w:val="24"/>
        </w:rPr>
        <w:t xml:space="preserve">Stock Options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Fiscal 2025, NEOs were granted stock options that vest over three years in equal installments, beginning on the first anniversary of the grant date, and can be exercised over 10 years.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52074x1_def14a_108-executive_pg1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100" w:name="tFA5"/>
      <w:bookmarkEnd w:id="100"/>
      <w:r>
        <w:rPr>
          <w:rFonts w:ascii="Arial;Helvetica;sans-serif" w:hAnsi="Arial;Helvetica;sans-serif"/>
          <w:b/>
          <w:color w:val="D8E47A"/>
          <w:sz w:val="24"/>
        </w:rPr>
        <w:t xml:space="preserve">Fiscal 2025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target value of the annual equity incentive awards granted to the NEOs in Fiscal 2025 was as set forth below. In addition to the annual awards, all NEOs, other than Mr. Clark, received performance share units tied to achievement of Fiscal 2025 Adjusted EPS goals, which are not included because they were specific to Fiscal 2025. These specific Fiscal 2025 performance share units were not earned. </w:t>
      </w:r>
    </w:p>
    <w:tbl>
      <w:tblPr>
        <w:tblW w:w="8880" w:type="dxa"/>
        <w:jc w:val="left"/>
        <w:tblInd w:w="0" w:type="dxa"/>
        <w:tblLayout w:type="fixed"/>
        <w:tblCellMar>
          <w:top w:w="0" w:type="dxa"/>
          <w:left w:w="0" w:type="dxa"/>
          <w:bottom w:w="0" w:type="dxa"/>
          <w:right w:w="0" w:type="dxa"/>
        </w:tblCellMar>
      </w:tblPr>
      <w:tblGrid>
        <w:gridCol w:w="185"/>
        <w:gridCol w:w="1355"/>
        <w:gridCol w:w="170"/>
        <w:gridCol w:w="170"/>
        <w:gridCol w:w="920"/>
        <w:gridCol w:w="170"/>
        <w:gridCol w:w="170"/>
        <w:gridCol w:w="860"/>
        <w:gridCol w:w="170"/>
        <w:gridCol w:w="170"/>
        <w:gridCol w:w="725"/>
        <w:gridCol w:w="170"/>
        <w:gridCol w:w="170"/>
        <w:gridCol w:w="860"/>
        <w:gridCol w:w="170"/>
        <w:gridCol w:w="170"/>
        <w:gridCol w:w="860"/>
        <w:gridCol w:w="170"/>
        <w:gridCol w:w="170"/>
        <w:gridCol w:w="860"/>
        <w:gridCol w:w="215"/>
      </w:tblGrid>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185" w:type="dxa"/>
            <w:gridSpan w:val="7"/>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185" w:type="dxa"/>
            <w:gridSpan w:val="7"/>
            <w:tcBorders>
              <w:bottom w:val="single" w:sz="8" w:space="0" w:color="FFFFFF"/>
            </w:tcBorders>
            <w:shd w:fill="14202A" w:val="clear"/>
            <w:tcMar>
              <w:bottom w:w="8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Annual Awards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color w:val="FFFFFF"/>
              </w:rPr>
            </w:pPr>
            <w:r>
              <w:rPr>
                <w:color w:val="FFFFFF"/>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2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LTIP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Performance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(50%)</w:t>
            </w:r>
            <w:r>
              <w:rPr>
                <w:rFonts w:ascii="Arial;Helvetica;sans-serif" w:hAnsi="Arial;Helvetica;sans-serif"/>
                <w:b/>
                <w:color w:val="FFFFFF"/>
                <w:position w:val="5"/>
                <w:sz w:val="11"/>
                <w:sz w:val="14"/>
              </w:rPr>
              <w:t>(1)</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Restricted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Units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(35%)</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(15%)</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 2025</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 2024</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Increase/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Decrease</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0" w:type="dxa"/>
            <w:tcBorders>
              <w:bottom w:val="single" w:sz="8" w:space="0" w:color="14202A"/>
            </w:tcBorders>
            <w:tcMar>
              <w:bottom w:w="7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$3,049,996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19" w:right="0" w:hanging="0"/>
              <w:jc w:val="left"/>
              <w:rPr>
                <w:rFonts w:ascii="Arial;Helvetica;sans-serif" w:hAnsi="Arial;Helvetica;sans-serif"/>
                <w:color w:val="14202A"/>
                <w:sz w:val="16"/>
              </w:rPr>
            </w:pPr>
            <w:r>
              <w:rPr>
                <w:rFonts w:ascii="Arial;Helvetica;sans-serif" w:hAnsi="Arial;Helvetica;sans-serif"/>
                <w:color w:val="14202A"/>
                <w:sz w:val="16"/>
              </w:rPr>
              <w:t>$2,134,979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$915,006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$6,099,981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$5,549,953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264" w:right="0" w:hanging="0"/>
              <w:jc w:val="left"/>
              <w:rPr>
                <w:rFonts w:ascii="Arial;Helvetica;sans-serif" w:hAnsi="Arial;Helvetica;sans-serif"/>
                <w:color w:val="14202A"/>
                <w:sz w:val="16"/>
              </w:rPr>
            </w:pPr>
            <w:r>
              <w:rPr>
                <w:rFonts w:ascii="Arial;Helvetica;sans-serif" w:hAnsi="Arial;Helvetica;sans-serif"/>
                <w:color w:val="14202A"/>
                <w:sz w:val="16"/>
              </w:rPr>
              <w:t xml:space="preserve">9.9%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0" w:type="dxa"/>
            <w:tcBorders>
              <w:bottom w:val="single" w:sz="8" w:space="0" w:color="14202A"/>
            </w:tcBorders>
            <w:tcMar>
              <w:bottom w:w="7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625,023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1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437,522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187,511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$1,250,056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$1,079,985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264" w:right="0" w:hanging="0"/>
              <w:jc w:val="left"/>
              <w:rPr>
                <w:rFonts w:ascii="Arial;Helvetica;sans-serif" w:hAnsi="Arial;Helvetica;sans-serif"/>
                <w:color w:val="14202A"/>
                <w:sz w:val="16"/>
              </w:rPr>
            </w:pPr>
            <w:r>
              <w:rPr>
                <w:rFonts w:ascii="Arial;Helvetica;sans-serif" w:hAnsi="Arial;Helvetica;sans-serif"/>
                <w:color w:val="14202A"/>
                <w:sz w:val="16"/>
              </w:rPr>
              <w:t xml:space="preserve">15.7%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Donald J. Clark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0" w:type="dxa"/>
            <w:tcBorders>
              <w:bottom w:val="single" w:sz="8" w:space="0" w:color="14202A"/>
            </w:tcBorders>
            <w:tcMar>
              <w:bottom w:w="7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N/A</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19" w:right="0" w:hanging="0"/>
              <w:jc w:val="left"/>
              <w:rPr>
                <w:rFonts w:ascii="Arial;Helvetica;sans-serif" w:hAnsi="Arial;Helvetica;sans-serif"/>
                <w:color w:val="14202A"/>
                <w:sz w:val="16"/>
              </w:rPr>
            </w:pPr>
            <w:r>
              <w:rPr>
                <w:rFonts w:ascii="Arial;Helvetica;sans-serif" w:hAnsi="Arial;Helvetica;sans-serif"/>
                <w:color w:val="14202A"/>
                <w:sz w:val="16"/>
              </w:rPr>
              <w:t>N/A</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N/A</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N/A</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N/A</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264" w:right="0" w:hanging="0"/>
              <w:jc w:val="left"/>
              <w:rPr>
                <w:rFonts w:ascii="Arial;Helvetica;sans-serif" w:hAnsi="Arial;Helvetica;sans-serif"/>
                <w:color w:val="14202A"/>
                <w:sz w:val="16"/>
              </w:rPr>
            </w:pPr>
            <w:r>
              <w:rPr>
                <w:rFonts w:ascii="Arial;Helvetica;sans-serif" w:hAnsi="Arial;Helvetica;sans-serif"/>
                <w:color w:val="14202A"/>
                <w:sz w:val="16"/>
              </w:rPr>
              <w:t xml:space="preserve">N/A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0" w:type="dxa"/>
            <w:tcBorders>
              <w:bottom w:val="single" w:sz="8" w:space="0" w:color="14202A"/>
            </w:tcBorders>
            <w:tcMar>
              <w:bottom w:w="78" w:type="dxa"/>
            </w:tcMar>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335,971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1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235,186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$100,791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671,948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588,465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78" w:type="dxa"/>
            </w:tcMar>
            <w:vAlign w:val="center"/>
          </w:tcPr>
          <w:p>
            <w:pPr>
              <w:pStyle w:val="TableContents"/>
              <w:bidi w:val="0"/>
              <w:spacing w:before="0" w:after="283"/>
              <w:ind w:left="264" w:right="0" w:hanging="0"/>
              <w:jc w:val="left"/>
              <w:rPr>
                <w:rFonts w:ascii="Arial;Helvetica;sans-serif" w:hAnsi="Arial;Helvetica;sans-serif"/>
                <w:color w:val="14202A"/>
                <w:sz w:val="16"/>
              </w:rPr>
            </w:pPr>
            <w:r>
              <w:rPr>
                <w:rFonts w:ascii="Arial;Helvetica;sans-serif" w:hAnsi="Arial;Helvetica;sans-serif"/>
                <w:color w:val="14202A"/>
                <w:sz w:val="16"/>
              </w:rPr>
              <w:t xml:space="preserve">14.2%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Stacy L. Bogart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430,104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301,061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$129,029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860,194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799,501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4" w:right="0" w:hanging="0"/>
              <w:jc w:val="left"/>
              <w:rPr>
                <w:rFonts w:ascii="Arial;Helvetica;sans-serif" w:hAnsi="Arial;Helvetica;sans-serif"/>
                <w:color w:val="14202A"/>
                <w:sz w:val="16"/>
              </w:rPr>
            </w:pPr>
            <w:r>
              <w:rPr>
                <w:rFonts w:ascii="Arial;Helvetica;sans-serif" w:hAnsi="Arial;Helvetica;sans-serif"/>
                <w:color w:val="14202A"/>
                <w:sz w:val="16"/>
              </w:rPr>
              <w:t>7.6%</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1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To perform this calculation, we assumed that the annual LTIP/performance share unit awards for Fiscal 2025 and Fiscal 2024 were earned at target. This value does not include the performance share units granted specific to Fiscal 2025 Adjusted EPS goals that were not earned.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committee approved the increase in the target value of equity incentives awards granted to these NEOs in Fiscal 2025 based on a review of each NEO’s target value of equity incentive awards as compared to the peer group, market data, and individual performance.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39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52074x1_def14a_108-executive_pg14"/>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Certification of Results for the Fiscal 2023-2025 LTIP Cycle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the Fiscal 2023-2025 LTIP performance share units, the committee used the metrics of Incentive ROIC and Incentive EPS for each of the following performance periods: (i) Period 1: Fiscal 2023; (ii) Period 2: Fiscal 2023-2024 growth (financial performance measured against established 2023-2024 financial growth rates which contribute to the overall Fiscal 2023-2024 financial plan); (iii) Period 3: Fiscal 2024-2025 growth (financial performance measured against established 2024-2025 financial growth rates which contribute to the overall Fiscal 2024-2025 financial plan); and (iv) Period 4: Fiscal 2023-2025 (financial performance measured against established Fiscal 2025 plan). The award payouts were determined based on our performance against these metrics.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definitions of Incentive ROIC and Incentive EPS incorporate adjustments for Board approved non-recurring disclosure items affecting comparability, including adjustments for acquisitions and divestitures where appropriate, which generally align with our non-GAAP financial reporting. The payout scale provided for a minimum award of 0% of the shares granted and a maximum award of 200% of the shares granted. Subsequent to Fiscal 2025, the committee determined that the metrics for the Fiscal 2023-2025 LTIP performance period were not satisfied and therefore no performance share units were earned. The table below reflects our performance against the original metrics: </w:t>
      </w:r>
    </w:p>
    <w:tbl>
      <w:tblPr>
        <w:tblW w:w="10205" w:type="dxa"/>
        <w:jc w:val="left"/>
        <w:tblInd w:w="0" w:type="dxa"/>
        <w:tblLayout w:type="fixed"/>
        <w:tblCellMar>
          <w:top w:w="0" w:type="dxa"/>
          <w:left w:w="0" w:type="dxa"/>
          <w:bottom w:w="0" w:type="dxa"/>
          <w:right w:w="0" w:type="dxa"/>
        </w:tblCellMar>
      </w:tblPr>
      <w:tblGrid>
        <w:gridCol w:w="185"/>
        <w:gridCol w:w="1250"/>
        <w:gridCol w:w="170"/>
        <w:gridCol w:w="170"/>
        <w:gridCol w:w="485"/>
        <w:gridCol w:w="170"/>
        <w:gridCol w:w="170"/>
        <w:gridCol w:w="1008"/>
        <w:gridCol w:w="170"/>
        <w:gridCol w:w="170"/>
        <w:gridCol w:w="504"/>
        <w:gridCol w:w="170"/>
        <w:gridCol w:w="170"/>
        <w:gridCol w:w="680"/>
        <w:gridCol w:w="170"/>
        <w:gridCol w:w="170"/>
        <w:gridCol w:w="996"/>
        <w:gridCol w:w="170"/>
        <w:gridCol w:w="170"/>
        <w:gridCol w:w="665"/>
        <w:gridCol w:w="170"/>
        <w:gridCol w:w="170"/>
        <w:gridCol w:w="875"/>
        <w:gridCol w:w="170"/>
        <w:gridCol w:w="170"/>
        <w:gridCol w:w="619"/>
        <w:gridCol w:w="218"/>
      </w:tblGrid>
      <w:tr>
        <w:trPr/>
        <w:tc>
          <w:tcPr>
            <w:tcW w:w="185" w:type="dxa"/>
            <w:tcBorders/>
            <w:shd w:fill="14202A" w:val="clear"/>
            <w:vAlign w:val="center"/>
          </w:tcPr>
          <w:p>
            <w:pPr>
              <w:pStyle w:val="TableContents"/>
              <w:bidi w:val="0"/>
              <w:spacing w:before="0" w:after="0"/>
              <w:jc w:val="left"/>
              <w:rPr/>
            </w:pPr>
            <w:r>
              <w:rPr/>
              <w:t> </w:t>
            </w:r>
          </w:p>
        </w:tc>
        <w:tc>
          <w:tcPr>
            <w:tcW w:w="12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8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0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0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8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96"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19" w:type="dxa"/>
            <w:tcBorders/>
            <w:shd w:fill="14202A" w:val="clear"/>
            <w:vAlign w:val="center"/>
          </w:tcPr>
          <w:p>
            <w:pPr>
              <w:pStyle w:val="TableContents"/>
              <w:bidi w:val="0"/>
              <w:spacing w:before="0" w:after="0"/>
              <w:jc w:val="left"/>
              <w:rPr/>
            </w:pPr>
            <w:r>
              <w:rPr/>
              <w:t> </w:t>
            </w:r>
          </w:p>
        </w:tc>
        <w:tc>
          <w:tcPr>
            <w:tcW w:w="218"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250"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Performance </w:t>
            </w:r>
          </w:p>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Period</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8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Weight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08"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Metric</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0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Weight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8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(25%</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96"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(100%</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(200%</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Payout)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Performance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19"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Actual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Payout % </w:t>
            </w:r>
          </w:p>
        </w:tc>
        <w:tc>
          <w:tcPr>
            <w:tcW w:w="218" w:type="dxa"/>
            <w:tcBorders/>
            <w:shd w:fill="14202A" w:val="cle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Period 1</w:t>
            </w:r>
            <w:r>
              <w:rPr>
                <w:rFonts w:ascii="Arial;Helvetica;sans-serif" w:hAnsi="Arial;Helvetica;sans-serif"/>
                <w:b w:val="false"/>
                <w:color w:val="14202A"/>
                <w:position w:val="5"/>
                <w:sz w:val="13"/>
                <w:sz w:val="16"/>
              </w:rPr>
              <w:t>(1)</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(Fiscal 2023)</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485" w:type="dxa"/>
            <w:vMerge w:val="restart"/>
            <w:tcBorders>
              <w:bottom w:val="single" w:sz="8" w:space="0" w:color="14202A"/>
            </w:tcBorders>
            <w:tcMar>
              <w:bottom w:w="88" w:type="dxa"/>
            </w:tcMar>
            <w:vAlign w:val="center"/>
          </w:tcPr>
          <w:p>
            <w:pPr>
              <w:pStyle w:val="TableContents"/>
              <w:bidi w:val="0"/>
              <w:spacing w:before="0" w:after="283"/>
              <w:ind w:left="200" w:right="0" w:hanging="0"/>
              <w:jc w:val="left"/>
              <w:rPr>
                <w:rFonts w:ascii="Arial;Helvetica;sans-serif" w:hAnsi="Arial;Helvetica;sans-serif"/>
                <w:color w:val="14202A"/>
                <w:sz w:val="16"/>
              </w:rPr>
            </w:pPr>
            <w:r>
              <w:rPr>
                <w:rFonts w:ascii="Arial;Helvetica;sans-serif" w:hAnsi="Arial;Helvetica;sans-serif"/>
                <w:color w:val="14202A"/>
                <w:sz w:val="16"/>
              </w:rPr>
              <w:t>25%</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ROIC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rFonts w:ascii="Arial;Helvetica;sans-serif" w:hAnsi="Arial;Helvetica;sans-serif"/>
                <w:color w:val="14202A"/>
                <w:sz w:val="16"/>
              </w:rPr>
            </w:pPr>
            <w:r>
              <w:rPr>
                <w:rFonts w:ascii="Arial;Helvetica;sans-serif" w:hAnsi="Arial;Helvetica;sans-serif"/>
                <w:color w:val="14202A"/>
                <w:sz w:val="16"/>
              </w:rPr>
              <w:t>15.1%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18.0% - 19.8%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color w:val="14202A"/>
              </w:rPr>
            </w:pPr>
            <w:r>
              <w:rPr>
                <w:color w:val="14202A"/>
              </w:rPr>
              <w:t>​</w:t>
            </w:r>
            <w:r>
              <w:rPr>
                <w:rFonts w:ascii="Arial;Helvetica;sans-serif" w:hAnsi="Arial;Helvetica;sans-serif"/>
                <w:color w:val="14202A"/>
                <w:sz w:val="16"/>
              </w:rPr>
              <w:t>21.7%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color w:val="14202A"/>
              </w:rPr>
            </w:pPr>
            <w:r>
              <w:rPr>
                <w:color w:val="14202A"/>
              </w:rPr>
              <w:t>​</w:t>
            </w:r>
            <w:r>
              <w:rPr>
                <w:rFonts w:ascii="Arial;Helvetica;sans-serif" w:hAnsi="Arial;Helvetica;sans-serif"/>
                <w:color w:val="14202A"/>
                <w:sz w:val="16"/>
              </w:rPr>
              <w:t>13.4%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EPS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​9.10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$10.81 - $11.95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$​13.09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rFonts w:ascii="Arial;Helvetica;sans-serif" w:hAnsi="Arial;Helvetica;sans-serif"/>
                <w:color w:val="14202A"/>
                <w:sz w:val="16"/>
              </w:rPr>
            </w:pPr>
            <w:r>
              <w:rPr>
                <w:rFonts w:ascii="Arial;Helvetica;sans-serif" w:hAnsi="Arial;Helvetica;sans-serif"/>
                <w:color w:val="14202A"/>
                <w:sz w:val="16"/>
              </w:rPr>
              <w:t>$7.67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color w:val="14202A"/>
              </w:rPr>
            </w:pPr>
            <w:r>
              <w:rPr>
                <w:color w:val="14202A"/>
              </w:rPr>
              <w:t>​</w:t>
            </w: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Weighted 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color w:val="14202A"/>
              </w:rPr>
            </w:pPr>
            <w:r>
              <w:rPr>
                <w:color w:val="14202A"/>
              </w:rPr>
              <w:t>​</w:t>
            </w: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Period 2</w:t>
            </w:r>
            <w:r>
              <w:rPr>
                <w:rFonts w:ascii="Arial;Helvetica;sans-serif" w:hAnsi="Arial;Helvetica;sans-serif"/>
                <w:b w:val="false"/>
                <w:color w:val="14202A"/>
                <w:position w:val="5"/>
                <w:sz w:val="13"/>
                <w:sz w:val="16"/>
              </w:rPr>
              <w:t>(2)</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(Fiscal 2024)</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485" w:type="dxa"/>
            <w:vMerge w:val="restart"/>
            <w:tcBorders>
              <w:bottom w:val="single" w:sz="8" w:space="0" w:color="14202A"/>
            </w:tcBorders>
            <w:tcMar>
              <w:bottom w:w="88" w:type="dxa"/>
            </w:tcMar>
            <w:vAlign w:val="center"/>
          </w:tcPr>
          <w:p>
            <w:pPr>
              <w:pStyle w:val="TableContents"/>
              <w:bidi w:val="0"/>
              <w:spacing w:before="0" w:after="283"/>
              <w:ind w:left="200" w:right="0" w:hanging="0"/>
              <w:jc w:val="left"/>
              <w:rPr>
                <w:rFonts w:ascii="Arial;Helvetica;sans-serif" w:hAnsi="Arial;Helvetica;sans-serif"/>
                <w:color w:val="14202A"/>
                <w:sz w:val="16"/>
              </w:rPr>
            </w:pPr>
            <w:r>
              <w:rPr>
                <w:rFonts w:ascii="Arial;Helvetica;sans-serif" w:hAnsi="Arial;Helvetica;sans-serif"/>
                <w:color w:val="14202A"/>
                <w:sz w:val="16"/>
              </w:rPr>
              <w:t xml:space="preserve">25%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ROIC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rFonts w:ascii="Arial;Helvetica;sans-serif" w:hAnsi="Arial;Helvetica;sans-serif"/>
                <w:color w:val="14202A"/>
                <w:sz w:val="16"/>
              </w:rPr>
            </w:pPr>
            <w:r>
              <w:rPr>
                <w:rFonts w:ascii="Arial;Helvetica;sans-serif" w:hAnsi="Arial;Helvetica;sans-serif"/>
                <w:color w:val="14202A"/>
                <w:sz w:val="16"/>
              </w:rPr>
              <w:t>10.6%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12.5% - 13.9%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15.2%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color w:val="14202A"/>
              </w:rPr>
            </w:pPr>
            <w:r>
              <w:rPr>
                <w:color w:val="14202A"/>
              </w:rPr>
              <w:t>​</w:t>
            </w:r>
            <w:r>
              <w:rPr>
                <w:rFonts w:ascii="Arial;Helvetica;sans-serif" w:hAnsi="Arial;Helvetica;sans-serif"/>
                <w:color w:val="14202A"/>
                <w:sz w:val="16"/>
              </w:rPr>
              <w:t>4.7%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EPS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8.61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$8.79 - $8.91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9.03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rFonts w:ascii="Arial;Helvetica;sans-serif" w:hAnsi="Arial;Helvetica;sans-serif"/>
                <w:color w:val="14202A"/>
                <w:sz w:val="16"/>
              </w:rPr>
            </w:pPr>
            <w:r>
              <w:rPr>
                <w:rFonts w:ascii="Arial;Helvetica;sans-serif" w:hAnsi="Arial;Helvetica;sans-serif"/>
                <w:color w:val="14202A"/>
                <w:sz w:val="16"/>
              </w:rPr>
              <w:t>$3.38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color w:val="14202A"/>
              </w:rPr>
            </w:pPr>
            <w:r>
              <w:rPr>
                <w:color w:val="14202A"/>
              </w:rPr>
              <w:t>​</w:t>
            </w: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Weighted 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color w:val="14202A"/>
              </w:rPr>
            </w:pPr>
            <w:r>
              <w:rPr>
                <w:color w:val="14202A"/>
              </w:rPr>
              <w:t>​</w:t>
            </w: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vMerge w:val="restart"/>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Period 3</w:t>
            </w:r>
            <w:r>
              <w:rPr>
                <w:rFonts w:ascii="Arial;Helvetica;sans-serif" w:hAnsi="Arial;Helvetica;sans-serif"/>
                <w:b w:val="false"/>
                <w:color w:val="14202A"/>
                <w:position w:val="5"/>
                <w:sz w:val="13"/>
                <w:sz w:val="16"/>
              </w:rPr>
              <w:t>(3)</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(Fiscal 2025)</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485" w:type="dxa"/>
            <w:vMerge w:val="restart"/>
            <w:tcBorders>
              <w:bottom w:val="single" w:sz="8" w:space="0" w:color="14202A"/>
            </w:tcBorders>
            <w:tcMar>
              <w:bottom w:w="88" w:type="dxa"/>
            </w:tcMar>
            <w:vAlign w:val="center"/>
          </w:tcPr>
          <w:p>
            <w:pPr>
              <w:pStyle w:val="TableContents"/>
              <w:bidi w:val="0"/>
              <w:spacing w:before="0" w:after="283"/>
              <w:ind w:left="200" w:right="0" w:hanging="0"/>
              <w:jc w:val="left"/>
              <w:rPr>
                <w:rFonts w:ascii="Arial;Helvetica;sans-serif" w:hAnsi="Arial;Helvetica;sans-serif"/>
                <w:color w:val="14202A"/>
                <w:sz w:val="16"/>
              </w:rPr>
            </w:pPr>
            <w:r>
              <w:rPr>
                <w:rFonts w:ascii="Arial;Helvetica;sans-serif" w:hAnsi="Arial;Helvetica;sans-serif"/>
                <w:color w:val="14202A"/>
                <w:sz w:val="16"/>
              </w:rPr>
              <w:t>25%</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ROIC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color w:val="14202A"/>
              </w:rPr>
            </w:pPr>
            <w:r>
              <w:rPr>
                <w:color w:val="14202A"/>
              </w:rPr>
              <w:t>​</w:t>
            </w:r>
            <w:r>
              <w:rPr>
                <w:rFonts w:ascii="Arial;Helvetica;sans-serif" w:hAnsi="Arial;Helvetica;sans-serif"/>
                <w:color w:val="14202A"/>
                <w:sz w:val="16"/>
              </w:rPr>
              <w:t>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5.9% - 6.5%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7.1%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color w:val="14202A"/>
              </w:rPr>
            </w:pPr>
            <w:r>
              <w:rPr>
                <w:color w:val="14202A"/>
              </w:rPr>
              <w:t>​</w:t>
            </w:r>
            <w:r>
              <w:rPr>
                <w:rFonts w:ascii="Arial;Helvetica;sans-serif" w:hAnsi="Arial;Helvetica;sans-serif"/>
                <w:color w:val="14202A"/>
                <w:sz w:val="16"/>
              </w:rPr>
              <w:t>3.5%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EPS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3.31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$3.93 - $4.35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​4.76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rFonts w:ascii="Arial;Helvetica;sans-serif" w:hAnsi="Arial;Helvetica;sans-serif"/>
                <w:color w:val="14202A"/>
                <w:sz w:val="16"/>
              </w:rPr>
            </w:pPr>
            <w:r>
              <w:rPr>
                <w:rFonts w:ascii="Arial;Helvetica;sans-serif" w:hAnsi="Arial;Helvetica;sans-serif"/>
                <w:color w:val="14202A"/>
                <w:sz w:val="16"/>
              </w:rPr>
              <w:t>$1.66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color w:val="14202A"/>
              </w:rPr>
            </w:pPr>
            <w:r>
              <w:rPr>
                <w:color w:val="14202A"/>
              </w:rPr>
              <w:t>​</w:t>
            </w: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250"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485" w:type="dxa"/>
            <w:vMerge w:val="continue"/>
            <w:tcBorders>
              <w:bottom w:val="single" w:sz="8" w:space="0" w:color="14202A"/>
            </w:tcBorders>
            <w:tcMar>
              <w:bottom w:w="88"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Weighted 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250" w:type="dxa"/>
            <w:vMerge w:val="restart"/>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Period 4</w:t>
            </w:r>
            <w:r>
              <w:rPr>
                <w:rFonts w:ascii="Arial;Helvetica;sans-serif" w:hAnsi="Arial;Helvetica;sans-serif"/>
                <w:b w:val="false"/>
                <w:color w:val="14202A"/>
                <w:position w:val="5"/>
                <w:sz w:val="13"/>
                <w:sz w:val="16"/>
              </w:rPr>
              <w:t>(4)</w:t>
            </w:r>
          </w:p>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(Fiscal 2023-2025)</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85" w:type="dxa"/>
            <w:vMerge w:val="restart"/>
            <w:tcBorders/>
            <w:vAlign w:val="center"/>
          </w:tcPr>
          <w:p>
            <w:pPr>
              <w:pStyle w:val="TableContents"/>
              <w:bidi w:val="0"/>
              <w:spacing w:before="0" w:after="283"/>
              <w:ind w:left="200" w:right="0" w:hanging="0"/>
              <w:jc w:val="left"/>
              <w:rPr>
                <w:rFonts w:ascii="Arial;Helvetica;sans-serif" w:hAnsi="Arial;Helvetica;sans-serif"/>
                <w:color w:val="14202A"/>
                <w:sz w:val="16"/>
              </w:rPr>
            </w:pPr>
            <w:r>
              <w:rPr>
                <w:rFonts w:ascii="Arial;Helvetica;sans-serif" w:hAnsi="Arial;Helvetica;sans-serif"/>
                <w:color w:val="14202A"/>
                <w:sz w:val="16"/>
              </w:rPr>
              <w:t>25%</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ROIC</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color w:val="14202A"/>
              </w:rPr>
            </w:pPr>
            <w:r>
              <w:rPr>
                <w:color w:val="14202A"/>
              </w:rPr>
              <w:t>​</w:t>
            </w:r>
            <w:r>
              <w:rPr>
                <w:rFonts w:ascii="Arial;Helvetica;sans-serif" w:hAnsi="Arial;Helvetica;sans-serif"/>
                <w:color w:val="14202A"/>
                <w:sz w:val="16"/>
              </w:rPr>
              <w:t>16.2%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19.2% - 21.2%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23.2%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color w:val="14202A"/>
              </w:rPr>
            </w:pPr>
            <w:r>
              <w:rPr>
                <w:color w:val="14202A"/>
              </w:rPr>
              <w:t>​</w:t>
            </w:r>
            <w:r>
              <w:rPr>
                <w:rFonts w:ascii="Arial;Helvetica;sans-serif" w:hAnsi="Arial;Helvetica;sans-serif"/>
                <w:color w:val="14202A"/>
                <w:sz w:val="16"/>
              </w:rPr>
              <w:t>3.5%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color w:val="14202A"/>
              </w:rPr>
            </w:pPr>
            <w:r>
              <w:rPr>
                <w:color w:val="14202A"/>
              </w:rPr>
              <w:t>​</w:t>
            </w: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4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0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Incentive EPS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04" w:type="dxa"/>
            <w:tcBorders>
              <w:bottom w:val="single" w:sz="8" w:space="0" w:color="14202A"/>
            </w:tcBorders>
            <w:tcMar>
              <w:bottom w:w="88"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88" w:type="dxa"/>
            </w:tcMar>
            <w:vAlign w:val="center"/>
          </w:tcPr>
          <w:p>
            <w:pPr>
              <w:pStyle w:val="TableContents"/>
              <w:bidi w:val="0"/>
              <w:spacing w:before="0" w:after="283"/>
              <w:ind w:left="245" w:right="0" w:hanging="0"/>
              <w:jc w:val="left"/>
              <w:rPr>
                <w:rFonts w:ascii="Arial;Helvetica;sans-serif" w:hAnsi="Arial;Helvetica;sans-serif"/>
                <w:color w:val="14202A"/>
                <w:sz w:val="16"/>
              </w:rPr>
            </w:pPr>
            <w:r>
              <w:rPr>
                <w:rFonts w:ascii="Arial;Helvetica;sans-serif" w:hAnsi="Arial;Helvetica;sans-serif"/>
                <w:color w:val="14202A"/>
                <w:sz w:val="16"/>
              </w:rPr>
              <w:t>$​12.87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96"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$15.29 - $16.89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$18.50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88" w:type="dxa"/>
            </w:tcMar>
            <w:vAlign w:val="center"/>
          </w:tcPr>
          <w:p>
            <w:pPr>
              <w:pStyle w:val="TableContents"/>
              <w:bidi w:val="0"/>
              <w:spacing w:before="0" w:after="283"/>
              <w:ind w:left="274" w:right="0" w:hanging="0"/>
              <w:jc w:val="left"/>
              <w:rPr>
                <w:rFonts w:ascii="Arial;Helvetica;sans-serif" w:hAnsi="Arial;Helvetica;sans-serif"/>
                <w:color w:val="14202A"/>
                <w:sz w:val="16"/>
              </w:rPr>
            </w:pPr>
            <w:r>
              <w:rPr>
                <w:rFonts w:ascii="Arial;Helvetica;sans-serif" w:hAnsi="Arial;Helvetica;sans-serif"/>
                <w:color w:val="14202A"/>
                <w:sz w:val="16"/>
              </w:rPr>
              <w:t>$1.66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4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color w:val="14202A"/>
              </w:rPr>
            </w:pPr>
            <w:r>
              <w:rPr>
                <w:color w:val="14202A"/>
              </w:rPr>
              <w:t>​</w:t>
            </w: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4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88" w:type="dxa"/>
            </w:tcMar>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Weighted Payout Percentage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88" w:type="dxa"/>
            </w:tcMar>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 xml:space="preserve">0.0%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4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428" w:type="dxa"/>
            <w:gridSpan w:val="16"/>
            <w:tcBorders/>
            <w:vAlign w:val="center"/>
          </w:tcPr>
          <w:p>
            <w:pPr>
              <w:pStyle w:val="TableContents"/>
              <w:bidi w:val="0"/>
              <w:spacing w:before="0" w:after="283"/>
              <w:jc w:val="right"/>
              <w:rPr>
                <w:rFonts w:ascii="Arial;Helvetica;sans-serif" w:hAnsi="Arial;Helvetica;sans-serif"/>
                <w:color w:val="14202A"/>
                <w:sz w:val="16"/>
                <w:u w:val="single"/>
              </w:rPr>
            </w:pPr>
            <w:r>
              <w:rPr>
                <w:rFonts w:ascii="Arial;Helvetica;sans-serif" w:hAnsi="Arial;Helvetica;sans-serif"/>
                <w:color w:val="14202A"/>
                <w:sz w:val="16"/>
                <w:u w:val="single"/>
              </w:rPr>
              <w:t>Total Payout Percentage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9" w:type="dxa"/>
            <w:tcBorders/>
            <w:vAlign w:val="center"/>
          </w:tcPr>
          <w:p>
            <w:pPr>
              <w:pStyle w:val="TableContents"/>
              <w:bidi w:val="0"/>
              <w:spacing w:before="0" w:after="283"/>
              <w:ind w:left="289" w:right="0" w:hanging="0"/>
              <w:jc w:val="left"/>
              <w:rPr>
                <w:rFonts w:ascii="Arial;Helvetica;sans-serif" w:hAnsi="Arial;Helvetica;sans-serif"/>
                <w:color w:val="14202A"/>
                <w:sz w:val="16"/>
              </w:rPr>
            </w:pPr>
            <w:r>
              <w:rPr>
                <w:rFonts w:ascii="Arial;Helvetica;sans-serif" w:hAnsi="Arial;Helvetica;sans-serif"/>
                <w:color w:val="14202A"/>
                <w:sz w:val="16"/>
              </w:rPr>
              <w:t>0.0%</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8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28" w:type="dxa"/>
            <w:gridSpan w:val="16"/>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19" w:type="dxa"/>
            <w:tcBorders>
              <w:bottom w:val="single" w:sz="8" w:space="0" w:color="14202A"/>
            </w:tcBorders>
            <w:tcMar>
              <w:bottom w:w="28" w:type="dxa"/>
            </w:tcMar>
            <w:vAlign w:val="center"/>
          </w:tcPr>
          <w:p>
            <w:pPr>
              <w:pStyle w:val="TableContents"/>
              <w:bidi w:val="0"/>
              <w:spacing w:before="0" w:after="0"/>
              <w:jc w:val="left"/>
              <w:rPr/>
            </w:pPr>
            <w:r>
              <w:rPr/>
              <w:t>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2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Incentive ROIC metric was adjusted to exclude the following: (i) the pretax acquisition-related costs associated with the acquisition of Lithionics, (ii) pretax amortization, and (iii) the tax impact of the aforementioned adjustments, as applicable. The Incentive EPS metric was adjusted from diluted EPS to exclude the following: (i) the pretax acquisition-related costs associated with the acquisition of Lithionics, (ii) pretax amortization, (iii) pretax earnout valuation adjustments related to the Barletta acquisition, (iv) pretax litigation reserves, (v) the dilution of convertible notes which is economically offset by a call spread overlay that was put in place upon issuance; beginning in Fiscal 2024 with the adoption of ASU 2020-06, the convertible notes are assumed to be converted into common stock at the beginning of the reporting period, and (vi) the tax impact of the aforementioned adjustments, as applicable.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2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Incentive ROIC metric was adjusted to exclude the following: (i) the pretax acquisition-related costs associated with the acquisition of Lithionics, (ii) pretax amortization, and (iii) the tax impact of the aforementioned adjustments, as applicable. The Incentive EPS metric was adjusted from diluted EPS to exclude the following: (i) the pretax acquisition-related costs associated with the acquisition of Lithionics, (ii) pretax amortization, (iii) pretax earnout valuation adjustments related to the Barletta acquisition, (iv) pretax change in fair value of notes receivable, (v) loss on inducement related to the repurchase of the 2025 convertible notes, (vi) impact of the goodwill impairment of the Chris-Craft reporting unit and (vii) the tax impact of the aforementioned adjustments, as applicable.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1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Incentive ROIC metric was adjusted to exclude the following: (i) pretax amortization, and (ii) the tax impact of the aforementioned adjustment, as applicable. The Incentive EPS metric was adjusted from diluted EPS to exclude the following: (i) pretax amortization, (ii) pretax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52074x1_def14a_108-executive_pg15"/>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95" w:after="283"/>
        <w:ind w:left="400" w:right="0" w:hanging="0"/>
        <w:jc w:val="left"/>
        <w:rPr>
          <w:rFonts w:ascii="Arial;Helvetica;sans-serif" w:hAnsi="Arial;Helvetica;sans-serif"/>
          <w:color w:val="14202A"/>
          <w:sz w:val="14"/>
        </w:rPr>
      </w:pPr>
      <w:r>
        <w:rPr>
          <w:rFonts w:ascii="Arial;Helvetica;sans-serif" w:hAnsi="Arial;Helvetica;sans-serif"/>
          <w:color w:val="14202A"/>
          <w:sz w:val="14"/>
        </w:rPr>
        <w:t xml:space="preserve">impact of the loss incurred on the partial repurchase of our Senior Secured Notes, (iii) pretax restructuring and related costs, (iv) pretax asset impairment, and (v) the tax impact of the aforementioned adjustments, as applicable. The estimated tax rate used for Incentive EPS and Adjusted EPS are calculated at different times, which accounted for the $0.01 per share difference for Fiscal 2025.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1002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Incentive ROIC metric was adjusted to exclude the following: (i) pretax amortization, and (ii) the tax impact of the aforementioned adjustment, as applicable. The Incentive EPS metric was adjusted from diluted EPS to exclude the following: (i) pretax amortization, (ii) pretax impact of the loss incurred on the partial repurchase of our Senior Secured Notes, (iii) pretax restructuring and related costs, (iv) pretax asset impairment, and (v) the tax impact of the aforementioned adjustments, as applicable. The estimated tax rate used for Incentive EPS and Adjusted EPS are calculated at different times, which accounted for the $0.01 per share difference for Fiscal 2025. </w:t>
            </w:r>
          </w:p>
        </w:tc>
      </w:tr>
    </w:tbl>
    <w:p>
      <w:pPr>
        <w:pStyle w:val="TextBody"/>
        <w:bidi w:val="0"/>
        <w:spacing w:before="29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Winnebago Motorhome Profitability Improvement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Subsequent to the end of Fiscal 2025, on October 20, 2025, the committee approved the Winnebago Motorhome Profitability Improvement Bonus Plan for key members of our Winnebago Motorhome leadership team, including Casey J. Tubman, Group President – Newmar and Winnebago Motorized. The plan is designed to promote the growth and profitability of our Winnebago Motorhome business. The plan provides an opportunity for the participant to earn some or all of a certain bonus amount ($0.9 million in the case of Mr. Tubman), with one-third of the amount earned upon achievement of each of three operating margin improvement goals for our Winnebago Motorhome business, each to be achieved over a trailing twelve-month period, by the end of Fiscal 2028. Amounts earned under the plan will be paid one-half in cash and one-half in restricted stock units that vest after one year. The restricted stock units will have terms consistent with our customary form of restricted stock unit award, provided that the restricted stock units will also vest in the event the participant’s employment is involuntarily terminated without cause. </w:t>
      </w:r>
    </w:p>
    <w:p>
      <w:pPr>
        <w:pStyle w:val="TextBody"/>
        <w:bidi w:val="0"/>
        <w:spacing w:before="300" w:after="283"/>
        <w:ind w:left="0" w:right="0" w:hanging="0"/>
        <w:jc w:val="left"/>
        <w:rPr>
          <w:rFonts w:ascii="Arial;Helvetica;sans-serif" w:hAnsi="Arial;Helvetica;sans-serif"/>
          <w:b/>
          <w:color w:val="D8E47A"/>
          <w:sz w:val="24"/>
        </w:rPr>
      </w:pPr>
      <w:bookmarkStart w:id="103" w:name="tBEN"/>
      <w:bookmarkEnd w:id="103"/>
      <w:r>
        <w:rPr>
          <w:rFonts w:ascii="Arial;Helvetica;sans-serif" w:hAnsi="Arial;Helvetica;sans-serif"/>
          <w:b/>
          <w:color w:val="D8E47A"/>
          <w:sz w:val="24"/>
        </w:rPr>
        <w:t xml:space="preserve">Benefits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NEOs are eligible to participate in the same benefit plans designed for all our full-time employees. The basic insurance package includes health, dental, disability and basic group life insurance. Except as specifically summarized in this Compensation Discussion and Analysis and the “2014 Plan and 2019 Plan Awards” section below, we do not currently provide payments and benefits for NEOs following their retirement, including, but not limited to, tax-qualified defined benefit plans and supplemental executive retirement plans. </w:t>
      </w:r>
    </w:p>
    <w:p>
      <w:pPr>
        <w:pStyle w:val="TextBody"/>
        <w:bidi w:val="0"/>
        <w:spacing w:before="300" w:after="283"/>
        <w:ind w:left="0" w:right="0" w:hanging="0"/>
        <w:jc w:val="left"/>
        <w:rPr>
          <w:rFonts w:ascii="Arial;Helvetica;sans-serif" w:hAnsi="Arial;Helvetica;sans-serif"/>
          <w:b/>
          <w:color w:val="D8E47A"/>
          <w:sz w:val="24"/>
        </w:rPr>
      </w:pPr>
      <w:bookmarkStart w:id="104" w:name="tPRO"/>
      <w:bookmarkEnd w:id="104"/>
      <w:r>
        <w:rPr>
          <w:rFonts w:ascii="Arial;Helvetica;sans-serif" w:hAnsi="Arial;Helvetica;sans-serif"/>
          <w:b/>
          <w:color w:val="D8E47A"/>
          <w:sz w:val="24"/>
        </w:rPr>
        <w:t xml:space="preserve">Profit Sharing and Deferred Savings and Investment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Employees may defer a percentage of income that is part of their base salary and incentive pay (401(k) Eligible Compensation). The Company currently matches employee contributions dollar for dollar up to 3% of 401(k) Eligible Compensation and half of employee contributions up to the next 2% of 401(k) Eligible Compensation (subject to IRS limits and 401(k) safe harbor considerations), subject to a two-year, pro-rata vesting period for employees hired after January 1, 2018. </w:t>
      </w:r>
    </w:p>
    <w:p>
      <w:pPr>
        <w:pStyle w:val="TextBody"/>
        <w:bidi w:val="0"/>
        <w:spacing w:before="240" w:after="283"/>
        <w:ind w:left="0" w:right="0" w:hanging="0"/>
        <w:jc w:val="left"/>
        <w:rPr>
          <w:rFonts w:ascii="Arial;Helvetica;sans-serif" w:hAnsi="Arial;Helvetica;sans-serif"/>
          <w:b/>
          <w:color w:val="D8E47A"/>
          <w:sz w:val="24"/>
        </w:rPr>
      </w:pPr>
      <w:bookmarkStart w:id="105" w:name="tEXE"/>
      <w:bookmarkEnd w:id="105"/>
      <w:r>
        <w:rPr>
          <w:rFonts w:ascii="Arial;Helvetica;sans-serif" w:hAnsi="Arial;Helvetica;sans-serif"/>
          <w:b/>
          <w:color w:val="D8E47A"/>
          <w:sz w:val="24"/>
        </w:rPr>
        <w:t xml:space="preserve">Executive Deferred Compensation Plan (Non-Qualified Deferred Compensation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 </w:t>
      </w:r>
    </w:p>
    <w:p>
      <w:pPr>
        <w:pStyle w:val="TextBody"/>
        <w:bidi w:val="0"/>
        <w:spacing w:before="300" w:after="283"/>
        <w:ind w:left="0" w:right="0" w:hanging="0"/>
        <w:jc w:val="left"/>
        <w:rPr>
          <w:rFonts w:ascii="Arial;Helvetica;sans-serif" w:hAnsi="Arial;Helvetica;sans-serif"/>
          <w:b/>
          <w:color w:val="D8E47A"/>
          <w:sz w:val="24"/>
        </w:rPr>
      </w:pPr>
      <w:bookmarkStart w:id="106" w:name="tPER"/>
      <w:bookmarkEnd w:id="106"/>
      <w:r>
        <w:rPr>
          <w:rFonts w:ascii="Arial;Helvetica;sans-serif" w:hAnsi="Arial;Helvetica;sans-serif"/>
          <w:b/>
          <w:color w:val="D8E47A"/>
          <w:sz w:val="24"/>
        </w:rPr>
        <w:t xml:space="preserve">Perquisites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52074x1_def14a_108-executive_pg16"/>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perquisites provided to our NEOs include: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b/>
                <w:color w:val="14202A"/>
                <w:sz w:val="18"/>
              </w:rPr>
              <w:t xml:space="preserve">Executive Physical. </w:t>
            </w:r>
            <w:r>
              <w:rPr>
                <w:rFonts w:ascii="Arial;Helvetica;sans-serif" w:hAnsi="Arial;Helvetica;sans-serif"/>
                <w:color w:val="14202A"/>
                <w:sz w:val="18"/>
              </w:rPr>
              <w:t xml:space="preserve">To encourage executives to monitor and maintain good health, we pay for voluntary annual physical examinations for executives, including the NEOs.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b/>
                <w:color w:val="14202A"/>
                <w:sz w:val="18"/>
              </w:rPr>
              <w:t xml:space="preserve">Recreational Vehicle and Boat Use. </w:t>
            </w:r>
            <w:r>
              <w:rPr>
                <w:rFonts w:ascii="Arial;Helvetica;sans-serif" w:hAnsi="Arial;Helvetica;sans-serif"/>
                <w:color w:val="14202A"/>
                <w:sz w:val="18"/>
              </w:rPr>
              <w:t xml:space="preserve">Our executives, including NEOs, can use our recreational vehicles and boats on a periodic and temporary basis. We encourage our executives to have a first-hand understanding of the outdoor lifestyle experienced by our customers and to provide our executives with the opportunity to evaluate product design and efficiency. </w:t>
            </w:r>
          </w:p>
        </w:tc>
      </w:tr>
    </w:tbl>
    <w:tbl>
      <w:tblPr>
        <w:tblW w:w="6385" w:type="dxa"/>
        <w:jc w:val="left"/>
        <w:tblInd w:w="0" w:type="dxa"/>
        <w:tblLayout w:type="fixed"/>
        <w:tblCellMar>
          <w:top w:w="0" w:type="dxa"/>
          <w:left w:w="0" w:type="dxa"/>
          <w:bottom w:w="0" w:type="dxa"/>
          <w:right w:w="0" w:type="dxa"/>
        </w:tblCellMar>
      </w:tblPr>
      <w:tblGrid>
        <w:gridCol w:w="260"/>
        <w:gridCol w:w="6125"/>
      </w:tblGrid>
      <w:tr>
        <w:trPr/>
        <w:tc>
          <w:tcPr>
            <w:tcW w:w="260" w:type="dxa"/>
            <w:tcBorders/>
            <w:vAlign w:val="center"/>
          </w:tcPr>
          <w:p>
            <w:pPr>
              <w:pStyle w:val="TableContents"/>
              <w:bidi w:val="0"/>
              <w:spacing w:before="0" w:after="283"/>
              <w:jc w:val="left"/>
              <w:rPr>
                <w:color w:val="D8E47A"/>
              </w:rPr>
            </w:pPr>
            <w:r>
              <w:rPr>
                <w:color w:val="D8E47A"/>
              </w:rPr>
              <w:t>⯀</w:t>
            </w:r>
          </w:p>
        </w:tc>
        <w:tc>
          <w:tcPr>
            <w:tcW w:w="612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b/>
                <w:color w:val="14202A"/>
                <w:sz w:val="18"/>
              </w:rPr>
              <w:t xml:space="preserve">Car Allowance. </w:t>
            </w:r>
            <w:r>
              <w:rPr>
                <w:rFonts w:ascii="Arial;Helvetica;sans-serif" w:hAnsi="Arial;Helvetica;sans-serif"/>
                <w:color w:val="14202A"/>
                <w:sz w:val="18"/>
              </w:rPr>
              <w:t xml:space="preserve">A car allowance is provided as frequent travel is required.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b/>
                <w:color w:val="14202A"/>
                <w:sz w:val="18"/>
              </w:rPr>
              <w:t xml:space="preserve">Financial and Tax Planning. </w:t>
            </w:r>
            <w:r>
              <w:rPr>
                <w:rFonts w:ascii="Arial;Helvetica;sans-serif" w:hAnsi="Arial;Helvetica;sans-serif"/>
                <w:color w:val="14202A"/>
                <w:sz w:val="18"/>
              </w:rPr>
              <w:t xml:space="preserve">To address complex tax and financial situations, a tax and financial planning payment is provided. </w:t>
            </w:r>
          </w:p>
        </w:tc>
      </w:tr>
    </w:tbl>
    <w:p>
      <w:pPr>
        <w:pStyle w:val="TextBody"/>
        <w:bidi w:val="0"/>
        <w:spacing w:before="310" w:after="283"/>
        <w:ind w:left="0" w:right="0" w:hanging="0"/>
        <w:jc w:val="left"/>
        <w:rPr>
          <w:rFonts w:ascii="Arial;Helvetica;sans-serif" w:hAnsi="Arial;Helvetica;sans-serif"/>
          <w:b/>
          <w:color w:val="D8E47A"/>
          <w:sz w:val="24"/>
        </w:rPr>
      </w:pPr>
      <w:bookmarkStart w:id="108" w:name="tADD"/>
      <w:bookmarkEnd w:id="108"/>
      <w:r>
        <w:rPr>
          <w:rFonts w:ascii="Arial;Helvetica;sans-serif" w:hAnsi="Arial;Helvetica;sans-serif"/>
          <w:b/>
          <w:color w:val="D8E47A"/>
          <w:sz w:val="24"/>
        </w:rPr>
        <w:t xml:space="preserve">Additional Compensation Policies </w:t>
      </w:r>
    </w:p>
    <w:p>
      <w:pPr>
        <w:pStyle w:val="TextBody"/>
        <w:bidi w:val="0"/>
        <w:spacing w:before="19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Policies and Procedures Related to the Grant of Certain Equity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Company does not have any formal policy that requires us to grant, or avoid granting, equity-based compensation to our executive officers at certain times. Our current long-term incentive program includes the grant of stock options, representing 15% of the total long-term incentive value for Fiscal 2025 awards. Consistent with our annual compensation cycle, the committee typically grants annual equity awards, including stock options, to our executive officers in October of each year at the committee’s first meeting of our fiscal year. The dates for these committee meetings are set more than a year in advance on a fairly consistent cadence year over year.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timing of any equity grants to executive officers in connection with new hires, promotions, or other non-routine grants is tied to the event giving rise to the award (such as an executive officer’s commencement of employment or promotion effective date).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Stock Ownership Guidelines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has adopted stock ownership guidelines for executive officers. The purpose of the guidelines is to encourage our executive officers to own and retain Company shares, thereby aligning their interests with our shareholders. In general, each executive officer has five years from the date he or she becomes an executive to accumulate the appropriate number of shares. In addition, each executive officer is required to retain 50% of any after-tax shares received from the vesting of awards or exercise of stock options until the applicable stock ownership guideline is met. For purposes of this determination, stock ownership includes shares of our common stock that are owned directly, unvested restricted stock, and unvested restricted stock units (other than stock units subject to achievement of performance targets).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review our stock ownership guidelines on a periodic basis. The table below describes the current ownership guidelines for the NEOs. As of August 30, 2025, each of our NEOs had either met his or her stock ownership guideline goal or was on track to meet this goal within the prescribed five-year time frame. </w:t>
      </w:r>
    </w:p>
    <w:tbl>
      <w:tblPr>
        <w:tblW w:w="4800" w:type="dxa"/>
        <w:jc w:val="left"/>
        <w:tblInd w:w="0" w:type="dxa"/>
        <w:tblLayout w:type="fixed"/>
        <w:tblCellMar>
          <w:top w:w="0" w:type="dxa"/>
          <w:left w:w="0" w:type="dxa"/>
          <w:bottom w:w="0" w:type="dxa"/>
          <w:right w:w="0" w:type="dxa"/>
        </w:tblCellMar>
      </w:tblPr>
      <w:tblGrid>
        <w:gridCol w:w="185"/>
        <w:gridCol w:w="1355"/>
        <w:gridCol w:w="170"/>
        <w:gridCol w:w="170"/>
        <w:gridCol w:w="1190"/>
        <w:gridCol w:w="170"/>
        <w:gridCol w:w="170"/>
        <w:gridCol w:w="1175"/>
        <w:gridCol w:w="215"/>
      </w:tblGrid>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9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7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9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Ownership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Guidelines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(as a multiple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base salary)</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75" w:type="dxa"/>
            <w:tcBorders/>
            <w:shd w:fill="14202A" w:val="clear"/>
            <w:vAlign w:val="center"/>
          </w:tcPr>
          <w:p>
            <w:pPr>
              <w:pStyle w:val="TableContents"/>
              <w:bidi w:val="0"/>
              <w:spacing w:before="0" w:after="283"/>
              <w:jc w:val="center"/>
              <w:rPr>
                <w:color w:val="FFFFFF"/>
              </w:rPr>
            </w:pPr>
            <w:r>
              <w:rPr>
                <w:color w:val="FFFFFF"/>
              </w:rPr>
              <w:t>​</w:t>
            </w:r>
            <w:r>
              <w:rPr>
                <w:rFonts w:ascii="Arial;Helvetica;sans-serif" w:hAnsi="Arial;Helvetica;sans-serif"/>
                <w:b/>
                <w:color w:val="FFFFFF"/>
                <w:sz w:val="14"/>
              </w:rPr>
              <w:t xml:space="preserve">In Compliance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with Guidelines?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0" w:type="dxa"/>
            <w:tcBorders>
              <w:bottom w:val="single" w:sz="8" w:space="0" w:color="14202A"/>
            </w:tcBorders>
            <w:tcMar>
              <w:bottom w:w="78" w:type="dxa"/>
            </w:tcMar>
            <w:vAlign w:val="center"/>
          </w:tcPr>
          <w:p>
            <w:pPr>
              <w:pStyle w:val="TableContents"/>
              <w:bidi w:val="0"/>
              <w:spacing w:before="0" w:after="283"/>
              <w:jc w:val="center"/>
              <w:rPr>
                <w:rFonts w:ascii="Arial;Helvetica;sans-serif" w:hAnsi="Arial;Helvetica;sans-serif"/>
                <w:color w:val="14202A"/>
                <w:sz w:val="16"/>
                <w:u w:val="single"/>
              </w:rPr>
            </w:pPr>
            <w:r>
              <w:rPr>
                <w:rFonts w:ascii="Arial;Helvetica;sans-serif" w:hAnsi="Arial;Helvetica;sans-serif"/>
                <w:color w:val="14202A"/>
                <w:sz w:val="16"/>
                <w:u w:val="single"/>
              </w:rPr>
              <w:t>5x</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75" w:type="dxa"/>
            <w:tcBorders>
              <w:bottom w:val="single" w:sz="8" w:space="0" w:color="14202A"/>
            </w:tcBorders>
            <w:tcMar>
              <w:bottom w:w="78" w:type="dxa"/>
            </w:tcMar>
            <w:vAlign w:val="center"/>
          </w:tcPr>
          <w:p>
            <w:pPr>
              <w:pStyle w:val="TableContents"/>
              <w:bidi w:val="0"/>
              <w:spacing w:before="0" w:after="283"/>
              <w:jc w:val="center"/>
              <w:rPr>
                <w:color w:val="14202A"/>
                <w:u w:val="single"/>
              </w:rPr>
            </w:pPr>
            <w:r>
              <w:rPr>
                <w:color w:val="14202A"/>
                <w:u w:val="single"/>
              </w:rPr>
              <w:t>​</w:t>
            </w:r>
            <w:r>
              <w:rPr>
                <w:rFonts w:ascii="Arial;Helvetica;sans-serif" w:hAnsi="Arial;Helvetica;sans-serif"/>
                <w:color w:val="14202A"/>
                <w:sz w:val="16"/>
                <w:u w:val="single"/>
              </w:rPr>
              <w:t xml:space="preserve">Yes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0" w:type="dxa"/>
            <w:tcBorders>
              <w:bottom w:val="single" w:sz="8" w:space="0" w:color="14202A"/>
            </w:tcBorders>
            <w:tcMar>
              <w:bottom w:w="78" w:type="dxa"/>
            </w:tcMar>
            <w:vAlign w:val="center"/>
          </w:tcPr>
          <w:p>
            <w:pPr>
              <w:pStyle w:val="TableContents"/>
              <w:bidi w:val="0"/>
              <w:spacing w:before="0" w:after="283"/>
              <w:jc w:val="center"/>
              <w:rPr>
                <w:rFonts w:ascii="Arial;Helvetica;sans-serif" w:hAnsi="Arial;Helvetica;sans-serif"/>
                <w:color w:val="14202A"/>
                <w:sz w:val="16"/>
                <w:u w:val="single"/>
              </w:rPr>
            </w:pPr>
            <w:r>
              <w:rPr>
                <w:rFonts w:ascii="Arial;Helvetica;sans-serif" w:hAnsi="Arial;Helvetica;sans-serif"/>
                <w:color w:val="14202A"/>
                <w:sz w:val="16"/>
                <w:u w:val="single"/>
              </w:rPr>
              <w:t>3x</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75" w:type="dxa"/>
            <w:tcBorders>
              <w:bottom w:val="single" w:sz="8" w:space="0" w:color="14202A"/>
            </w:tcBorders>
            <w:tcMar>
              <w:bottom w:w="78" w:type="dxa"/>
            </w:tcMar>
            <w:vAlign w:val="center"/>
          </w:tcPr>
          <w:p>
            <w:pPr>
              <w:pStyle w:val="TableContents"/>
              <w:bidi w:val="0"/>
              <w:spacing w:before="0" w:after="283"/>
              <w:jc w:val="center"/>
              <w:rPr>
                <w:color w:val="14202A"/>
                <w:u w:val="single"/>
              </w:rPr>
            </w:pPr>
            <w:r>
              <w:rPr>
                <w:color w:val="14202A"/>
                <w:u w:val="single"/>
              </w:rPr>
              <w:t>​</w:t>
            </w:r>
            <w:r>
              <w:rPr>
                <w:rFonts w:ascii="Arial;Helvetica;sans-serif" w:hAnsi="Arial;Helvetica;sans-serif"/>
                <w:color w:val="14202A"/>
                <w:sz w:val="16"/>
                <w:u w:val="single"/>
              </w:rPr>
              <w:t xml:space="preserve">Yes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Donald J. Clark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0" w:type="dxa"/>
            <w:tcBorders>
              <w:bottom w:val="single" w:sz="8" w:space="0" w:color="14202A"/>
            </w:tcBorders>
            <w:tcMar>
              <w:bottom w:w="78" w:type="dxa"/>
            </w:tcMar>
            <w:vAlign w:val="center"/>
          </w:tcPr>
          <w:p>
            <w:pPr>
              <w:pStyle w:val="TableContents"/>
              <w:bidi w:val="0"/>
              <w:spacing w:before="0" w:after="283"/>
              <w:jc w:val="center"/>
              <w:rPr>
                <w:rFonts w:ascii="Arial;Helvetica;sans-serif" w:hAnsi="Arial;Helvetica;sans-serif"/>
                <w:color w:val="14202A"/>
                <w:sz w:val="16"/>
                <w:u w:val="single"/>
              </w:rPr>
            </w:pPr>
            <w:r>
              <w:rPr>
                <w:rFonts w:ascii="Arial;Helvetica;sans-serif" w:hAnsi="Arial;Helvetica;sans-serif"/>
                <w:color w:val="14202A"/>
                <w:sz w:val="16"/>
                <w:u w:val="single"/>
              </w:rPr>
              <w:t>2.5x</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75" w:type="dxa"/>
            <w:tcBorders>
              <w:bottom w:val="single" w:sz="8" w:space="0" w:color="14202A"/>
            </w:tcBorders>
            <w:tcMar>
              <w:bottom w:w="78" w:type="dxa"/>
            </w:tcMar>
            <w:vAlign w:val="center"/>
          </w:tcPr>
          <w:p>
            <w:pPr>
              <w:pStyle w:val="TableContents"/>
              <w:bidi w:val="0"/>
              <w:spacing w:before="0" w:after="283"/>
              <w:jc w:val="center"/>
              <w:rPr>
                <w:color w:val="14202A"/>
                <w:u w:val="single"/>
              </w:rPr>
            </w:pPr>
            <w:r>
              <w:rPr>
                <w:color w:val="14202A"/>
                <w:u w:val="single"/>
              </w:rPr>
              <w:t>​</w:t>
            </w:r>
            <w:r>
              <w:rPr>
                <w:rFonts w:ascii="Arial;Helvetica;sans-serif" w:hAnsi="Arial;Helvetica;sans-serif"/>
                <w:color w:val="14202A"/>
                <w:sz w:val="16"/>
                <w:u w:val="single"/>
              </w:rPr>
              <w:t xml:space="preserve">Yes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7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0" w:type="dxa"/>
            <w:tcBorders>
              <w:bottom w:val="single" w:sz="8" w:space="0" w:color="14202A"/>
            </w:tcBorders>
            <w:tcMar>
              <w:bottom w:w="78" w:type="dxa"/>
            </w:tcMar>
            <w:vAlign w:val="center"/>
          </w:tcPr>
          <w:p>
            <w:pPr>
              <w:pStyle w:val="TableContents"/>
              <w:bidi w:val="0"/>
              <w:spacing w:before="0" w:after="283"/>
              <w:jc w:val="center"/>
              <w:rPr>
                <w:rFonts w:ascii="Arial;Helvetica;sans-serif" w:hAnsi="Arial;Helvetica;sans-serif"/>
                <w:color w:val="14202A"/>
                <w:sz w:val="16"/>
                <w:u w:val="single"/>
              </w:rPr>
            </w:pPr>
            <w:r>
              <w:rPr>
                <w:rFonts w:ascii="Arial;Helvetica;sans-serif" w:hAnsi="Arial;Helvetica;sans-serif"/>
                <w:color w:val="14202A"/>
                <w:sz w:val="16"/>
                <w:u w:val="single"/>
              </w:rPr>
              <w:t>2.5x</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75" w:type="dxa"/>
            <w:tcBorders>
              <w:bottom w:val="single" w:sz="8" w:space="0" w:color="14202A"/>
            </w:tcBorders>
            <w:tcMar>
              <w:bottom w:w="78" w:type="dxa"/>
            </w:tcMar>
            <w:vAlign w:val="center"/>
          </w:tcPr>
          <w:p>
            <w:pPr>
              <w:pStyle w:val="TableContents"/>
              <w:bidi w:val="0"/>
              <w:spacing w:before="0" w:after="283"/>
              <w:jc w:val="center"/>
              <w:rPr>
                <w:color w:val="14202A"/>
                <w:u w:val="single"/>
              </w:rPr>
            </w:pPr>
            <w:r>
              <w:rPr>
                <w:color w:val="14202A"/>
                <w:u w:val="single"/>
              </w:rPr>
              <w:t>​</w:t>
            </w:r>
            <w:r>
              <w:rPr>
                <w:rFonts w:ascii="Arial;Helvetica;sans-serif" w:hAnsi="Arial;Helvetica;sans-serif"/>
                <w:color w:val="14202A"/>
                <w:sz w:val="16"/>
                <w:u w:val="single"/>
              </w:rPr>
              <w:t xml:space="preserve">On Track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Stacy L. Bogart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Arial;Helvetica;sans-serif" w:hAnsi="Arial;Helvetica;sans-serif"/>
                <w:color w:val="14202A"/>
                <w:sz w:val="16"/>
                <w:u w:val="single"/>
              </w:rPr>
            </w:pPr>
            <w:r>
              <w:rPr>
                <w:rFonts w:ascii="Arial;Helvetica;sans-serif" w:hAnsi="Arial;Helvetica;sans-serif"/>
                <w:color w:val="14202A"/>
                <w:sz w:val="16"/>
                <w:u w:val="single"/>
              </w:rPr>
              <w:t>2.5x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color w:val="14202A"/>
                <w:u w:val="single"/>
              </w:rPr>
            </w:pPr>
            <w:r>
              <w:rPr>
                <w:color w:val="14202A"/>
                <w:u w:val="single"/>
              </w:rPr>
              <w:t>​</w:t>
            </w:r>
            <w:r>
              <w:rPr>
                <w:rFonts w:ascii="Arial;Helvetica;sans-serif" w:hAnsi="Arial;Helvetica;sans-serif"/>
                <w:color w:val="14202A"/>
                <w:sz w:val="16"/>
                <w:u w:val="single"/>
              </w:rPr>
              <w:t>Yes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7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ny20052074x1_def14a_108-executive_pg17"/>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Employment, Severance and Change in Control Arrangements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Employment Agreements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Mr. Happe and Mr. Clark are the only NEOs with individual employment agreements with the Company.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December 2021, the committee completed a review of benchmarking data and market practices regarding executive officer severance outside of a change in control. Following that review, the committee approved, and Mr. Happe and the Company entered into an amended and restated employment agreement, which amended the pre-change in control severance benefits for Mr. Happe. If Mr. Happe is terminated by the Company without cause or terminates employment with the Company for good reason (as such terms are defined in his employment agreement), he is entitled to severance pay of two times his annual base salary, payable in installments over 24 months, and an amount equal to two times his target annual bonus plus the annual COBRA premium cost for Mr. Happe’s group medical, dental and vision insurance coverage, payable in a lump sum. Mr. Happe also is subject to one-year non-competition and non-solicitation covenants following termination of employment.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 Mr. Clark is subject to a non-compete and non-solicitation covenants that terminate one year following termination of employment.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Executive Officer Severance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December 2021, the committee approved a Winnebago Executive Officer Severance Plan (the Executive Severance Plan) that applies to all of the Company’s executive officers, including the NEOs, other than Messrs. Happe and Clark, and provides severance benefits for eligible executives outside of a change in control of the Company. The Executive Severance Plan provides that, in the event of a termination of an eligible executive’s employment without cause or for good reason, the eligible executive would be entitled to receive 12 months of salary continuation and a payment equal to the target annual incentive under the OICP (as well as annual COBRA premium cost), subject to certain conditions.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Executive Change in Control Agreements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Each of the NEOs, including Mr. Happe and Mr. Clark, have also entered into an Executive Change in Control Agreement (CIC Agreement) with the Company.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CIC Agreements generally provide that, in the event of a termination of the executive’s employment (for a reason other than death, disability, termination for cause or a voluntary termination of employment by the executive for good reason) within two years of a change of control, such executive will receive severance pay relative to salary and target annual incentives under the OICP (as well as annual COBRA premium cost) at a 2x multiple (or 3x, in the case of Mr. Happe only). The CIC Agreement for Mr. Clark provides that the severance benefit payable would be capped at $3,000,000.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believes these arrangements are an important part of the total executive compensation program because they protect our interest in the continuity and stability of the executive group, and to facilitate a smooth transition in the event that an executive’s employment is terminated under circumstances covered by the arrangements. The committee also believes that the CIC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Clawback Policies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incentive compensation programs include “clawback” provisions for each of the OICP and LTIP programs, which, in part, provide for the recoupment of incentive compensation payouts if payments are made based upon the achievement of financial results that are subsequently subject to a restatement due to material noncompliance with financial reporting requirements. In addition, our compensation recovery policies (the Clawback Policies),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9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0" w:name="ny20052074x1_def14a_108-executive_pg18"/>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provides for the recovery of certain compensation from all of our officers subject to Section 16 of the Exchange Act in certain circumstances. The Clawback Policies provide that the Company will require recovery of erroneously awarded compensation incentive-based compensation in the event of a financial restatement, all as required by the SEC rules and NYSE listing requirements, and such compensation as the committee determines in the event of certain misconduct by the Section 16 officer.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Tax Considerations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Deductibility of Executive Compensation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Section 162(m) of the Internal Revenue Code (Code) denies a deduction to any publicly-held corporation for compensation paid to certain “covered employees” in a taxable year to the extent that compensation to the covered employee exceeds $1,000,000. While our committee is mindful of the benefit to us of the deductibility, it believes that we should maintain flexibility in compensating our executive officers in a manner that best promotes our corporate objectives.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Section 409A of the Internal Revenue Code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Section 409A of the Code (Section 409A), which governs the form and timing of payment of deferred compensation, imposes sanctions, including a 20% penalty and an interest penalty, on a recipient of deferred compensation that does not comply with Section 409A. Although the Company makes no guarantees with respect to exemption from, or compliance with, Section 409A, our committee takes into account the potential implications of Section 409A in determining the form and timing of compensation awarded to our executives and strives to structure its nonqualified deferred compensation plans to meet these requirements.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Compensation-Related Risk Assessment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committee has analyzed the potential material risks that may be created by our compensation programs. Because performance-based incentives play a large role in our executive compensation program, it is important to ensure that these incentives do not result in our employees taking actions that may conflict with the Company’s long-term interests. The committee reviewed and concluded that the Company’s compensation programs are designed and administered with the appropriate balance of risk and reward in relation to its overall business strategy and do not encourage employees to take unnecessary or excessive risks.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ny20052074x1_def14a_109b-executive_pg1"/>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12" w:name="tHRC"/>
      <w:bookmarkEnd w:id="112"/>
      <w:r>
        <w:rPr>
          <w:rFonts w:ascii="Arial;Helvetica;sans-serif" w:hAnsi="Arial;Helvetica;sans-serif"/>
          <w:b/>
          <w:color w:val="14202A"/>
          <w:sz w:val="30"/>
        </w:rPr>
        <w:t xml:space="preserve">Human Resources Committee Report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Human Resources Committee: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John M. Murabito, Chair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Sara E. Armbruster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Staci L. Kroon </w:t>
      </w:r>
    </w:p>
    <w:p>
      <w:pPr>
        <w:pStyle w:val="TextBody"/>
        <w:bidi w:val="0"/>
        <w:spacing w:before="300" w:after="283"/>
        <w:ind w:left="0" w:right="0" w:hanging="0"/>
        <w:jc w:val="left"/>
        <w:rPr>
          <w:rFonts w:ascii="Arial;Helvetica;sans-serif" w:hAnsi="Arial;Helvetica;sans-serif"/>
          <w:b/>
          <w:color w:val="D8E47A"/>
          <w:sz w:val="24"/>
        </w:rPr>
      </w:pPr>
      <w:bookmarkStart w:id="113" w:name="tHRC1"/>
      <w:bookmarkEnd w:id="113"/>
      <w:r>
        <w:rPr>
          <w:rFonts w:ascii="Arial;Helvetica;sans-serif" w:hAnsi="Arial;Helvetica;sans-serif"/>
          <w:b/>
          <w:color w:val="D8E47A"/>
          <w:sz w:val="24"/>
        </w:rPr>
        <w:t xml:space="preserve">Human Resources Committee Interlocks and Insider Participation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current members of the Human Resources Committee, Mses. Armbruster and Kroon, and Mr. Murabito, were not at any time during Fiscal 2025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2025.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4" w:name="ny20052074x1_def14a_110-compensation_pg1"/>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15" w:name="tCTN"/>
      <w:bookmarkEnd w:id="115"/>
      <w:r>
        <w:rPr>
          <w:rFonts w:ascii="Arial;Helvetica;sans-serif" w:hAnsi="Arial;Helvetica;sans-serif"/>
          <w:b/>
          <w:color w:val="14202A"/>
          <w:sz w:val="30"/>
        </w:rPr>
        <w:t xml:space="preserve">Compensation Tables and Narrative Disclosure </w:t>
      </w:r>
    </w:p>
    <w:p>
      <w:pPr>
        <w:pStyle w:val="TextBody"/>
        <w:bidi w:val="0"/>
        <w:spacing w:before="350" w:after="283"/>
        <w:ind w:left="0" w:right="0" w:hanging="0"/>
        <w:jc w:val="left"/>
        <w:rPr>
          <w:rFonts w:ascii="Arial;Helvetica;sans-serif" w:hAnsi="Arial;Helvetica;sans-serif"/>
          <w:b/>
          <w:color w:val="D8E47A"/>
          <w:sz w:val="24"/>
        </w:rPr>
      </w:pPr>
      <w:bookmarkStart w:id="116" w:name="tSUM"/>
      <w:bookmarkEnd w:id="116"/>
      <w:r>
        <w:rPr>
          <w:rFonts w:ascii="Arial;Helvetica;sans-serif" w:hAnsi="Arial;Helvetica;sans-serif"/>
          <w:b/>
          <w:color w:val="D8E47A"/>
          <w:sz w:val="24"/>
        </w:rPr>
        <w:t xml:space="preserve">Summary Compensation Table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tables below contain compensation information for each of our NEOs for Fiscal 2025, 2024, and 2023. </w:t>
      </w:r>
    </w:p>
    <w:tbl>
      <w:tblPr>
        <w:tblW w:w="10710" w:type="dxa"/>
        <w:jc w:val="left"/>
        <w:tblInd w:w="0" w:type="dxa"/>
        <w:tblLayout w:type="fixed"/>
        <w:tblCellMar>
          <w:top w:w="0" w:type="dxa"/>
          <w:left w:w="0" w:type="dxa"/>
          <w:bottom w:w="0" w:type="dxa"/>
          <w:right w:w="0" w:type="dxa"/>
        </w:tblCellMar>
      </w:tblPr>
      <w:tblGrid>
        <w:gridCol w:w="185"/>
        <w:gridCol w:w="905"/>
        <w:gridCol w:w="170"/>
        <w:gridCol w:w="170"/>
        <w:gridCol w:w="440"/>
        <w:gridCol w:w="170"/>
        <w:gridCol w:w="170"/>
        <w:gridCol w:w="665"/>
        <w:gridCol w:w="170"/>
        <w:gridCol w:w="170"/>
        <w:gridCol w:w="440"/>
        <w:gridCol w:w="170"/>
        <w:gridCol w:w="170"/>
        <w:gridCol w:w="665"/>
        <w:gridCol w:w="170"/>
        <w:gridCol w:w="170"/>
        <w:gridCol w:w="560"/>
        <w:gridCol w:w="170"/>
        <w:gridCol w:w="170"/>
        <w:gridCol w:w="980"/>
        <w:gridCol w:w="170"/>
        <w:gridCol w:w="170"/>
        <w:gridCol w:w="950"/>
        <w:gridCol w:w="170"/>
        <w:gridCol w:w="170"/>
        <w:gridCol w:w="980"/>
        <w:gridCol w:w="170"/>
        <w:gridCol w:w="170"/>
        <w:gridCol w:w="665"/>
        <w:gridCol w:w="215"/>
      </w:tblGrid>
      <w:tr>
        <w:trPr/>
        <w:tc>
          <w:tcPr>
            <w:tcW w:w="185" w:type="dxa"/>
            <w:tcBorders/>
            <w:shd w:fill="14202A" w:val="clear"/>
            <w:vAlign w:val="center"/>
          </w:tcPr>
          <w:p>
            <w:pPr>
              <w:pStyle w:val="TableContents"/>
              <w:bidi w:val="0"/>
              <w:spacing w:before="0" w:after="0"/>
              <w:jc w:val="left"/>
              <w:rPr/>
            </w:pPr>
            <w:r>
              <w:rPr/>
              <w:t> </w:t>
            </w:r>
          </w:p>
        </w:tc>
        <w:tc>
          <w:tcPr>
            <w:tcW w:w="90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4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4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6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8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8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90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Name </w:t>
            </w:r>
          </w:p>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and </w:t>
            </w:r>
          </w:p>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Principal </w:t>
            </w:r>
          </w:p>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Position</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4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Salary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4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Bonus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r>
              <w:rPr>
                <w:rFonts w:ascii="Arial;Helvetica;sans-serif" w:hAnsi="Arial;Helvetica;sans-serif"/>
                <w:b/>
                <w:color w:val="FFFFFF"/>
                <w:position w:val="5"/>
                <w:sz w:val="11"/>
                <w:sz w:val="14"/>
              </w:rPr>
              <w:t>(1)</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r>
              <w:rPr>
                <w:rFonts w:ascii="Arial;Helvetica;sans-serif" w:hAnsi="Arial;Helvetica;sans-serif"/>
                <w:b/>
                <w:color w:val="FFFFFF"/>
                <w:position w:val="5"/>
                <w:sz w:val="11"/>
                <w:sz w:val="14"/>
              </w:rPr>
              <w:t>(2)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8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Non-Equity</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Incentive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r>
              <w:rPr>
                <w:rFonts w:ascii="Arial;Helvetica;sans-serif" w:hAnsi="Arial;Helvetica;sans-serif"/>
                <w:b/>
                <w:color w:val="FFFFFF"/>
                <w:position w:val="5"/>
                <w:sz w:val="11"/>
                <w:sz w:val="14"/>
              </w:rPr>
              <w:t>(3)</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Changes in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Pension Value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and Non-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qualified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Deferred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Earnings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8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 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r>
              <w:rPr>
                <w:rFonts w:ascii="Arial;Helvetica;sans-serif" w:hAnsi="Arial;Helvetica;sans-serif"/>
                <w:b/>
                <w:color w:val="FFFFFF"/>
                <w:position w:val="5"/>
                <w:sz w:val="11"/>
                <w:sz w:val="14"/>
              </w:rPr>
              <w:t>(4)</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905" w:type="dxa"/>
            <w:vMerge w:val="restart"/>
            <w:tcBorders>
              <w:bottom w:val="single" w:sz="8" w:space="0" w:color="14202A"/>
            </w:tcBorders>
            <w:tcMar>
              <w:bottom w:w="9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 xml:space="preserve">Michael J. Happe </w:t>
            </w:r>
          </w:p>
          <w:p>
            <w:pPr>
              <w:pStyle w:val="TableContents"/>
              <w:bidi w:val="0"/>
              <w:spacing w:lineRule="atLeast" w:line="180"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President and Chief Executive Officer</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1,150,000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6,185,000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915,006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704,000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45,892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8,999,898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1,121,154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4,717,461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832,492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505,500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40,624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7,217,231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1,050,000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4,249,995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749,992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550,500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77,241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6,677,728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905" w:type="dxa"/>
            <w:vMerge w:val="restart"/>
            <w:tcBorders>
              <w:bottom w:val="single" w:sz="8" w:space="0" w:color="14202A"/>
            </w:tcBorders>
            <w:tcMar>
              <w:bottom w:w="9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 xml:space="preserve">Bryan L. Hughes </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 xml:space="preserve">Senior Vice President – Chief Financial Officer, </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 xml:space="preserve">Investor Relations, Information Technology and </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Business Development</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625,000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1,437,547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187,511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408,250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42,824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2,701,132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611,539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917,990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161,995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color w:val="14202A"/>
              </w:rPr>
            </w:pPr>
            <w:r>
              <w:rPr>
                <w:color w:val="14202A"/>
              </w:rPr>
              <w:t>​</w:t>
            </w:r>
            <w:r>
              <w:rPr>
                <w:rFonts w:ascii="Arial;Helvetica;sans-serif" w:hAnsi="Arial;Helvetica;sans-serif"/>
                <w:color w:val="14202A"/>
                <w:sz w:val="14"/>
              </w:rPr>
              <w:t>259,254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color w:val="14202A"/>
              </w:rPr>
            </w:pPr>
            <w:r>
              <w:rPr>
                <w:color w:val="14202A"/>
              </w:rPr>
              <w:t>​</w:t>
            </w:r>
            <w:r>
              <w:rPr>
                <w:rFonts w:ascii="Arial;Helvetica;sans-serif" w:hAnsi="Arial;Helvetica;sans-serif"/>
                <w:color w:val="14202A"/>
                <w:sz w:val="14"/>
              </w:rPr>
              <w:t>40,624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 xml:space="preserve">1,991,402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575,000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855,316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150,942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243,872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56,271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1,881,401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905" w:type="dxa"/>
            <w:vMerge w:val="restart"/>
            <w:tcBorders>
              <w:bottom w:val="single" w:sz="8" w:space="0" w:color="14202A"/>
            </w:tcBorders>
            <w:tcMar>
              <w:bottom w:w="9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Donald J. Clark</w:t>
            </w:r>
            <w:r>
              <w:rPr>
                <w:rFonts w:ascii="Arial;Helvetica;sans-serif" w:hAnsi="Arial;Helvetica;sans-serif"/>
                <w:color w:val="14202A"/>
                <w:position w:val="5"/>
                <w:sz w:val="11"/>
                <w:sz w:val="14"/>
              </w:rPr>
              <w:t>(5)</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Group President –</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Towable RV Segment;</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President – Grand Design RV</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676,923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4,090,474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14,475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4,781,872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509,616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color w:val="14202A"/>
              </w:rPr>
            </w:pPr>
            <w:r>
              <w:rPr>
                <w:color w:val="14202A"/>
              </w:rPr>
              <w:t>​</w:t>
            </w:r>
            <w:r>
              <w:rPr>
                <w:rFonts w:ascii="Arial;Helvetica;sans-serif" w:hAnsi="Arial;Helvetica;sans-serif"/>
                <w:color w:val="14202A"/>
                <w:sz w:val="14"/>
              </w:rPr>
              <w:t>4,732,606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color w:val="14202A"/>
              </w:rPr>
            </w:pPr>
            <w:r>
              <w:rPr>
                <w:color w:val="14202A"/>
              </w:rPr>
              <w:t>​</w:t>
            </w:r>
            <w:r>
              <w:rPr>
                <w:rFonts w:ascii="Arial;Helvetica;sans-serif" w:hAnsi="Arial;Helvetica;sans-serif"/>
                <w:color w:val="14202A"/>
                <w:sz w:val="14"/>
              </w:rPr>
              <w:t>14,354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 xml:space="preserve">5,256,576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400,000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6,099,325</w:t>
            </w:r>
            <w:r>
              <w:rPr>
                <w:rFonts w:ascii="Arial;Helvetica;sans-serif" w:hAnsi="Arial;Helvetica;sans-serif"/>
                <w:color w:val="14202A"/>
                <w:position w:val="5"/>
                <w:sz w:val="11"/>
                <w:sz w:val="14"/>
              </w:rPr>
              <w:t>(6)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21,624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6,520,949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905" w:type="dxa"/>
            <w:vMerge w:val="restart"/>
            <w:tcBorders>
              <w:bottom w:val="single" w:sz="8" w:space="0" w:color="14202A"/>
            </w:tcBorders>
            <w:tcMar>
              <w:bottom w:w="9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Casey J. Tubman</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Group President –</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Newmar and Winnebago Motorized</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560,000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839,957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100,791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850,828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41,283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2,392,859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545,289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500,189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88,277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color w:val="14202A"/>
              </w:rPr>
            </w:pPr>
            <w:r>
              <w:rPr>
                <w:color w:val="14202A"/>
              </w:rPr>
              <w:t>​</w:t>
            </w:r>
            <w:r>
              <w:rPr>
                <w:rFonts w:ascii="Arial;Helvetica;sans-serif" w:hAnsi="Arial;Helvetica;sans-serif"/>
                <w:color w:val="14202A"/>
                <w:sz w:val="14"/>
              </w:rPr>
              <w:t>587,072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color w:val="14202A"/>
              </w:rPr>
            </w:pPr>
            <w:r>
              <w:rPr>
                <w:color w:val="14202A"/>
              </w:rPr>
              <w:t>​</w:t>
            </w:r>
            <w:r>
              <w:rPr>
                <w:rFonts w:ascii="Arial;Helvetica;sans-serif" w:hAnsi="Arial;Helvetica;sans-serif"/>
                <w:color w:val="14202A"/>
                <w:sz w:val="14"/>
              </w:rPr>
              <w:t>43,070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 xml:space="preserve">1,763,897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905"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500,000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424,994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w:t>
            </w:r>
            <w:r>
              <w:rPr>
                <w:rFonts w:ascii="Arial;Helvetica;sans-serif" w:hAnsi="Arial;Helvetica;sans-serif"/>
                <w:color w:val="14202A"/>
                <w:sz w:val="14"/>
              </w:rPr>
              <w:t>75,004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color w:val="14202A"/>
              </w:rPr>
            </w:pPr>
            <w:r>
              <w:rPr>
                <w:color w:val="14202A"/>
              </w:rPr>
              <w:t>​</w:t>
            </w:r>
            <w:r>
              <w:rPr>
                <w:rFonts w:ascii="Arial;Helvetica;sans-serif" w:hAnsi="Arial;Helvetica;sans-serif"/>
                <w:color w:val="14202A"/>
                <w:sz w:val="14"/>
              </w:rPr>
              <w:t>380,719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color w:val="14202A"/>
              </w:rPr>
            </w:pPr>
            <w:r>
              <w:rPr>
                <w:color w:val="14202A"/>
              </w:rPr>
              <w:t>​</w:t>
            </w:r>
            <w:r>
              <w:rPr>
                <w:rFonts w:ascii="Arial;Helvetica;sans-serif" w:hAnsi="Arial;Helvetica;sans-serif"/>
                <w:color w:val="14202A"/>
                <w:sz w:val="14"/>
              </w:rPr>
              <w:t>42,259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 xml:space="preserve">1,422,976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905" w:type="dxa"/>
            <w:vMerge w:val="restart"/>
            <w:tcBorders/>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 xml:space="preserve">Stacy L. Bogart </w:t>
            </w:r>
          </w:p>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Senior Vice President – Chief Legal Officer, Corporate Secretary and Corporate Responsibility</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555,000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989,251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129,029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301,071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41,772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2,016,123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543,250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93" w:type="dxa"/>
            </w:tcMar>
            <w:vAlign w:val="center"/>
          </w:tcPr>
          <w:p>
            <w:pPr>
              <w:pStyle w:val="TableContents"/>
              <w:bidi w:val="0"/>
              <w:spacing w:before="0" w:after="283"/>
              <w:ind w:left="160" w:right="0" w:hanging="0"/>
              <w:jc w:val="left"/>
              <w:rPr>
                <w:color w:val="14202A"/>
              </w:rPr>
            </w:pPr>
            <w:r>
              <w:rPr>
                <w:color w:val="14202A"/>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679,573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119,928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188,745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93" w:type="dxa"/>
            </w:tcMar>
            <w:vAlign w:val="center"/>
          </w:tcPr>
          <w:p>
            <w:pPr>
              <w:pStyle w:val="TableContents"/>
              <w:bidi w:val="0"/>
              <w:spacing w:before="0" w:after="283"/>
              <w:ind w:left="4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93" w:type="dxa"/>
            </w:tcMar>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40,624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1,572,120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512,000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60"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6" w:right="0" w:hanging="0"/>
              <w:jc w:val="left"/>
              <w:rPr>
                <w:rFonts w:ascii="Arial;Helvetica;sans-serif" w:hAnsi="Arial;Helvetica;sans-serif"/>
                <w:color w:val="14202A"/>
                <w:sz w:val="14"/>
              </w:rPr>
            </w:pPr>
            <w:r>
              <w:rPr>
                <w:rFonts w:ascii="Arial;Helvetica;sans-serif" w:hAnsi="Arial;Helvetica;sans-serif"/>
                <w:color w:val="14202A"/>
                <w:sz w:val="14"/>
              </w:rPr>
              <w:t>652,775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75" w:right="0" w:hanging="0"/>
              <w:jc w:val="left"/>
              <w:rPr>
                <w:rFonts w:ascii="Arial;Helvetica;sans-serif" w:hAnsi="Arial;Helvetica;sans-serif"/>
                <w:color w:val="14202A"/>
                <w:sz w:val="14"/>
              </w:rPr>
            </w:pPr>
            <w:r>
              <w:rPr>
                <w:rFonts w:ascii="Arial;Helvetica;sans-serif" w:hAnsi="Arial;Helvetica;sans-serif"/>
                <w:color w:val="14202A"/>
                <w:sz w:val="14"/>
              </w:rPr>
              <w:t>115,199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1" w:right="0" w:hanging="0"/>
              <w:jc w:val="left"/>
              <w:rPr>
                <w:rFonts w:ascii="Arial;Helvetica;sans-serif" w:hAnsi="Arial;Helvetica;sans-serif"/>
                <w:color w:val="14202A"/>
                <w:sz w:val="14"/>
              </w:rPr>
            </w:pPr>
            <w:r>
              <w:rPr>
                <w:rFonts w:ascii="Arial;Helvetica;sans-serif" w:hAnsi="Arial;Helvetica;sans-serif"/>
                <w:color w:val="14202A"/>
                <w:sz w:val="14"/>
              </w:rPr>
              <w:t>193,024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61"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73" w:right="0" w:hanging="0"/>
              <w:jc w:val="left"/>
              <w:rPr>
                <w:rFonts w:ascii="Arial;Helvetica;sans-serif" w:hAnsi="Arial;Helvetica;sans-serif"/>
                <w:color w:val="14202A"/>
                <w:sz w:val="14"/>
              </w:rPr>
            </w:pPr>
            <w:r>
              <w:rPr>
                <w:rFonts w:ascii="Arial;Helvetica;sans-serif" w:hAnsi="Arial;Helvetica;sans-serif"/>
                <w:color w:val="14202A"/>
                <w:sz w:val="14"/>
              </w:rPr>
              <w:t>53,855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1,526,853</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90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ny20052074x1_def14a_110-compensation_pg2"/>
        <w:bookmarkEnd w:id="117"/>
        <w:r>
          <w:rPr>
            <w:rStyle w:val="InternetLink"/>
            <w:rFonts w:ascii="Times New Roman;Times;Serif" w:hAnsi="Times New Roman;Times;Serif"/>
            <w:b/>
            <w:caps w:val="false"/>
            <w:smallCaps w:val="false"/>
            <w:color w:val="000000"/>
            <w:sz w:val="16"/>
          </w:rPr>
          <w:t>TABLE OF CONTENTS</w:t>
        </w:r>
      </w:hyperlink>
    </w:p>
    <w:tbl>
      <w:tblPr>
        <w:tblW w:w="5590" w:type="dxa"/>
        <w:jc w:val="left"/>
        <w:tblInd w:w="0" w:type="dxa"/>
        <w:tblLayout w:type="fixed"/>
        <w:tblCellMar>
          <w:top w:w="0" w:type="dxa"/>
          <w:left w:w="0" w:type="dxa"/>
          <w:bottom w:w="0" w:type="dxa"/>
          <w:right w:w="0" w:type="dxa"/>
        </w:tblCellMar>
      </w:tblPr>
      <w:tblGrid>
        <w:gridCol w:w="215"/>
        <w:gridCol w:w="537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537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table below illustrates the three categories of stock awards as presented above: </w:t>
            </w:r>
          </w:p>
        </w:tc>
      </w:tr>
    </w:tbl>
    <w:tbl>
      <w:tblPr>
        <w:tblW w:w="8220" w:type="dxa"/>
        <w:jc w:val="left"/>
        <w:tblInd w:w="0" w:type="dxa"/>
        <w:tblLayout w:type="fixed"/>
        <w:tblCellMar>
          <w:top w:w="0" w:type="dxa"/>
          <w:left w:w="0" w:type="dxa"/>
          <w:bottom w:w="0" w:type="dxa"/>
          <w:right w:w="0" w:type="dxa"/>
        </w:tblCellMar>
      </w:tblPr>
      <w:tblGrid>
        <w:gridCol w:w="185"/>
        <w:gridCol w:w="1130"/>
        <w:gridCol w:w="170"/>
        <w:gridCol w:w="170"/>
        <w:gridCol w:w="440"/>
        <w:gridCol w:w="170"/>
        <w:gridCol w:w="170"/>
        <w:gridCol w:w="1205"/>
        <w:gridCol w:w="170"/>
        <w:gridCol w:w="170"/>
        <w:gridCol w:w="1295"/>
        <w:gridCol w:w="170"/>
        <w:gridCol w:w="170"/>
        <w:gridCol w:w="1340"/>
        <w:gridCol w:w="170"/>
        <w:gridCol w:w="170"/>
        <w:gridCol w:w="710"/>
        <w:gridCol w:w="215"/>
      </w:tblGrid>
      <w:tr>
        <w:trPr/>
        <w:tc>
          <w:tcPr>
            <w:tcW w:w="185" w:type="dxa"/>
            <w:tcBorders/>
            <w:shd w:fill="14202A" w:val="clear"/>
            <w:vAlign w:val="center"/>
          </w:tcPr>
          <w:p>
            <w:pPr>
              <w:pStyle w:val="TableContents"/>
              <w:bidi w:val="0"/>
              <w:spacing w:before="0" w:after="0"/>
              <w:jc w:val="left"/>
              <w:rPr/>
            </w:pPr>
            <w:r>
              <w:rPr/>
              <w:t> </w:t>
            </w:r>
          </w:p>
        </w:tc>
        <w:tc>
          <w:tcPr>
            <w:tcW w:w="113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4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0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4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1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130"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4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0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Non-Performance-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Based Restricted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 Grant</w:t>
            </w:r>
            <w:r>
              <w:rPr>
                <w:rFonts w:ascii="Arial;Helvetica;sans-serif" w:hAnsi="Arial;Helvetica;sans-serif"/>
                <w:b/>
                <w:color w:val="FFFFFF"/>
                <w:position w:val="5"/>
                <w:sz w:val="11"/>
                <w:sz w:val="14"/>
              </w:rPr>
              <w:t>(a)</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9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LTIP / Performance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 Units</w:t>
            </w:r>
            <w:r>
              <w:rPr>
                <w:rFonts w:ascii="Arial;Helvetica;sans-serif" w:hAnsi="Arial;Helvetica;sans-serif"/>
                <w:b/>
                <w:color w:val="FFFFFF"/>
                <w:position w:val="5"/>
                <w:sz w:val="11"/>
                <w:sz w:val="14"/>
              </w:rPr>
              <w:t>(b)</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4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Performance Share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Units</w:t>
            </w:r>
            <w:r>
              <w:rPr>
                <w:rFonts w:ascii="Arial;Helvetica;sans-serif" w:hAnsi="Arial;Helvetica;sans-serif"/>
                <w:b/>
                <w:color w:val="FFFFFF"/>
                <w:position w:val="5"/>
                <w:sz w:val="11"/>
                <w:sz w:val="14"/>
              </w:rPr>
              <w:t>(c)</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1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130" w:type="dxa"/>
            <w:vMerge w:val="restart"/>
            <w:tcBorders>
              <w:bottom w:val="single" w:sz="8" w:space="0" w:color="14202A"/>
            </w:tcBorders>
            <w:tcMar>
              <w:bottom w:w="4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Michael J. Happe</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2,134,979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3,049,996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rFonts w:ascii="Arial;Helvetica;sans-serif" w:hAnsi="Arial;Helvetica;sans-serif"/>
                <w:color w:val="14202A"/>
                <w:sz w:val="14"/>
              </w:rPr>
            </w:pPr>
            <w:r>
              <w:rPr>
                <w:rFonts w:ascii="Arial;Helvetica;sans-serif" w:hAnsi="Arial;Helvetica;sans-serif"/>
                <w:color w:val="14202A"/>
                <w:sz w:val="14"/>
              </w:rPr>
              <w:t>1,000,025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6,185,000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1,942,484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2,774,977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4,717,461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1,750,008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2,499,987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4,249,995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130" w:type="dxa"/>
            <w:vMerge w:val="restart"/>
            <w:tcBorders>
              <w:bottom w:val="single" w:sz="8" w:space="0" w:color="14202A"/>
            </w:tcBorders>
            <w:tcMar>
              <w:bottom w:w="4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Bryan L. Hughes</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437,522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625,023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rFonts w:ascii="Arial;Helvetica;sans-serif" w:hAnsi="Arial;Helvetica;sans-serif"/>
                <w:color w:val="14202A"/>
                <w:sz w:val="14"/>
              </w:rPr>
            </w:pPr>
            <w:r>
              <w:rPr>
                <w:rFonts w:ascii="Arial;Helvetica;sans-serif" w:hAnsi="Arial;Helvetica;sans-serif"/>
                <w:color w:val="14202A"/>
                <w:sz w:val="14"/>
              </w:rPr>
              <w:t>375,002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1,437,547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378,017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539,973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917,990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352,189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503,127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855,316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130" w:type="dxa"/>
            <w:vMerge w:val="restart"/>
            <w:tcBorders>
              <w:bottom w:val="single" w:sz="8" w:space="0" w:color="14202A"/>
            </w:tcBorders>
            <w:tcMar>
              <w:bottom w:w="4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Donald J. Clark</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130" w:type="dxa"/>
            <w:vMerge w:val="restart"/>
            <w:tcBorders>
              <w:bottom w:val="single" w:sz="8" w:space="0" w:color="14202A"/>
            </w:tcBorders>
            <w:tcMar>
              <w:bottom w:w="43"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4"/>
              </w:rPr>
              <w:t>Casey J. Tubman</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235,186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335,971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rFonts w:ascii="Arial;Helvetica;sans-serif" w:hAnsi="Arial;Helvetica;sans-serif"/>
                <w:color w:val="14202A"/>
                <w:sz w:val="14"/>
              </w:rPr>
            </w:pPr>
            <w:r>
              <w:rPr>
                <w:rFonts w:ascii="Arial;Helvetica;sans-serif" w:hAnsi="Arial;Helvetica;sans-serif"/>
                <w:color w:val="14202A"/>
                <w:sz w:val="14"/>
              </w:rPr>
              <w:t>268,800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839,957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205,967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color w:val="14202A"/>
              </w:rPr>
            </w:pPr>
            <w:r>
              <w:rPr>
                <w:color w:val="14202A"/>
              </w:rPr>
              <w:t>​</w:t>
            </w:r>
            <w:r>
              <w:rPr>
                <w:rFonts w:ascii="Arial;Helvetica;sans-serif" w:hAnsi="Arial;Helvetica;sans-serif"/>
                <w:color w:val="14202A"/>
                <w:sz w:val="14"/>
              </w:rPr>
              <w:t>294,222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 xml:space="preserve">500,189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1130"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color w:val="14202A"/>
              </w:rPr>
            </w:pPr>
            <w:r>
              <w:rPr>
                <w:color w:val="14202A"/>
              </w:rPr>
              <w:t>​</w:t>
            </w:r>
            <w:r>
              <w:rPr>
                <w:rFonts w:ascii="Arial;Helvetica;sans-serif" w:hAnsi="Arial;Helvetica;sans-serif"/>
                <w:color w:val="14202A"/>
                <w:sz w:val="14"/>
              </w:rPr>
              <w:t>175,001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color w:val="14202A"/>
              </w:rPr>
            </w:pPr>
            <w:r>
              <w:rPr>
                <w:color w:val="14202A"/>
              </w:rPr>
              <w:t>​</w:t>
            </w:r>
            <w:r>
              <w:rPr>
                <w:rFonts w:ascii="Arial;Helvetica;sans-serif" w:hAnsi="Arial;Helvetica;sans-serif"/>
                <w:color w:val="14202A"/>
                <w:sz w:val="14"/>
              </w:rPr>
              <w:t>249,993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color w:val="14202A"/>
              </w:rPr>
            </w:pPr>
            <w:r>
              <w:rPr>
                <w:color w:val="14202A"/>
              </w:rPr>
              <w:t>​</w:t>
            </w:r>
            <w:r>
              <w:rPr>
                <w:rFonts w:ascii="Arial;Helvetica;sans-serif" w:hAnsi="Arial;Helvetica;sans-serif"/>
                <w:color w:val="14202A"/>
                <w:sz w:val="14"/>
              </w:rPr>
              <w:t xml:space="preserve">424,994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130" w:type="dxa"/>
            <w:vMerge w:val="restart"/>
            <w:tcBorders/>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Stacy L. Bogart</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301,061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430,104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rFonts w:ascii="Arial;Helvetica;sans-serif" w:hAnsi="Arial;Helvetica;sans-serif"/>
                <w:color w:val="14202A"/>
                <w:sz w:val="14"/>
              </w:rPr>
            </w:pPr>
            <w:r>
              <w:rPr>
                <w:rFonts w:ascii="Arial;Helvetica;sans-serif" w:hAnsi="Arial;Helvetica;sans-serif"/>
                <w:color w:val="14202A"/>
                <w:sz w:val="14"/>
              </w:rPr>
              <w:t>258,086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989,251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43" w:type="dxa"/>
            </w:tcMar>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43" w:type="dxa"/>
            </w:tcMar>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279,845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43" w:type="dxa"/>
            </w:tcMar>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399,728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43" w:type="dxa"/>
            </w:tcMar>
            <w:vAlign w:val="center"/>
          </w:tcPr>
          <w:p>
            <w:pPr>
              <w:pStyle w:val="TableContents"/>
              <w:bidi w:val="0"/>
              <w:spacing w:before="0" w:after="283"/>
              <w:ind w:left="38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4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 xml:space="preserve">679,573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rFonts w:ascii="Arial;Helvetica;sans-serif" w:hAnsi="Arial;Helvetica;sans-serif"/>
                <w:color w:val="14202A"/>
                <w:sz w:val="14"/>
              </w:rPr>
            </w:pPr>
            <w:r>
              <w:rPr>
                <w:rFonts w:ascii="Arial;Helvetica;sans-serif" w:hAnsi="Arial;Helvetica;sans-serif"/>
                <w:color w:val="14202A"/>
                <w:sz w:val="14"/>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60" w:right="0" w:hanging="0"/>
              <w:jc w:val="left"/>
              <w:rPr>
                <w:rFonts w:ascii="Arial;Helvetica;sans-serif" w:hAnsi="Arial;Helvetica;sans-serif"/>
                <w:color w:val="14202A"/>
                <w:sz w:val="14"/>
              </w:rPr>
            </w:pPr>
            <w:r>
              <w:rPr>
                <w:rFonts w:ascii="Arial;Helvetica;sans-serif" w:hAnsi="Arial;Helvetica;sans-serif"/>
                <w:color w:val="14202A"/>
                <w:sz w:val="14"/>
              </w:rPr>
              <w:t>268,783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67" w:right="0" w:hanging="0"/>
              <w:jc w:val="left"/>
              <w:rPr>
                <w:rFonts w:ascii="Arial;Helvetica;sans-serif" w:hAnsi="Arial;Helvetica;sans-serif"/>
                <w:color w:val="14202A"/>
                <w:sz w:val="14"/>
              </w:rPr>
            </w:pPr>
            <w:r>
              <w:rPr>
                <w:rFonts w:ascii="Arial;Helvetica;sans-serif" w:hAnsi="Arial;Helvetica;sans-serif"/>
                <w:color w:val="14202A"/>
                <w:sz w:val="14"/>
              </w:rPr>
              <w:t>383,992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84"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652,775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1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4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0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9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4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(a)</w:t>
            </w:r>
          </w:p>
        </w:tc>
        <w:tc>
          <w:tcPr>
            <w:tcW w:w="1001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These amounts represent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(b)</w:t>
            </w:r>
          </w:p>
        </w:tc>
        <w:tc>
          <w:tcPr>
            <w:tcW w:w="1002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These amounts represent the grant date fair value computed in accordance with ASC 718 of the LTIP/performance share unit awards. These amounts represent the values that are based on achievement of 100% of the target performance. Assuming achievement of the maximum 200% of target performance, the value of the Fiscal 2025-2027 LTIP awards would have been: $6,099,992 for Mr. Happe; $1,250,046 for Mr. Hughes; $671,942 for Mr. Tubman; and $860,208 for Ms. Bogart. Assumptions used in the calculation of the amounts reported in this column are included in Note 14, Stock-Based Compensation Plans, of the Notes to the Consolidated Financial Statements included in our 2025 Form 10-K.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(c)</w:t>
            </w:r>
          </w:p>
        </w:tc>
        <w:tc>
          <w:tcPr>
            <w:tcW w:w="1002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These amounts represent the grant date fair value computed in accordance with ASC 718 of the Fiscal 2025 performance share unit awards specific to Fiscal 2025 Adjusted EPS goals, which awards were not earned. These amounts represent the values that are based on achievement of 100% of the target performance. Assuming achievement of the maximum 200% of target performance, the value of the Fiscal 2025 performance share units would have been: $2,000,050 for Mr. Happe; $750,004 for Mr. Hughes; $537,600 for Mr. Tubman; and $516,172 for Ms. Bogart. Assumptions used in the calculation of the amounts reported in this column are included in Note 14, Stock-Based Compensation Plans, of the Notes to the Consolidated Financial Statements included in our 2025 Form 10-K.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1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amounts shown represent the aggregate grant date fair values of the option grants. Assumptions used in the calculation of the amounts reported in this column are included in Note 14, Stock-Based Compensation Plans, of the Notes to the Consolidated Financial Statements included in our 2025 Form 10-K.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These amounts represent actual annual incentive plan award payouts made in cash to NEOs under the Fiscal 2025, 2024, and 2023 OICPs. In the case of Mr. Clark, these amounts do not represent award payouts under such OICPs, but instead represent award payouts under the pre-existing Grand Design MIP that he participates in. </w:t>
            </w:r>
          </w:p>
        </w:tc>
      </w:tr>
    </w:tbl>
    <w:tbl>
      <w:tblPr>
        <w:tblW w:w="4630" w:type="dxa"/>
        <w:jc w:val="left"/>
        <w:tblInd w:w="0" w:type="dxa"/>
        <w:tblLayout w:type="fixed"/>
        <w:tblCellMar>
          <w:top w:w="0" w:type="dxa"/>
          <w:left w:w="0" w:type="dxa"/>
          <w:bottom w:w="0" w:type="dxa"/>
          <w:right w:w="0" w:type="dxa"/>
        </w:tblCellMar>
      </w:tblPr>
      <w:tblGrid>
        <w:gridCol w:w="215"/>
        <w:gridCol w:w="441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44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Amounts reported in this column for Fiscal 2025 include the following: </w:t>
            </w:r>
          </w:p>
        </w:tc>
      </w:tr>
    </w:tbl>
    <w:tbl>
      <w:tblPr>
        <w:tblW w:w="8100" w:type="dxa"/>
        <w:jc w:val="left"/>
        <w:tblInd w:w="0" w:type="dxa"/>
        <w:tblLayout w:type="fixed"/>
        <w:tblCellMar>
          <w:top w:w="0" w:type="dxa"/>
          <w:left w:w="0" w:type="dxa"/>
          <w:bottom w:w="0" w:type="dxa"/>
          <w:right w:w="0" w:type="dxa"/>
        </w:tblCellMar>
      </w:tblPr>
      <w:tblGrid>
        <w:gridCol w:w="185"/>
        <w:gridCol w:w="1355"/>
        <w:gridCol w:w="170"/>
        <w:gridCol w:w="170"/>
        <w:gridCol w:w="635"/>
        <w:gridCol w:w="170"/>
        <w:gridCol w:w="170"/>
        <w:gridCol w:w="710"/>
        <w:gridCol w:w="170"/>
        <w:gridCol w:w="170"/>
        <w:gridCol w:w="725"/>
        <w:gridCol w:w="170"/>
        <w:gridCol w:w="170"/>
        <w:gridCol w:w="410"/>
        <w:gridCol w:w="170"/>
        <w:gridCol w:w="170"/>
        <w:gridCol w:w="875"/>
        <w:gridCol w:w="170"/>
        <w:gridCol w:w="170"/>
        <w:gridCol w:w="950"/>
        <w:gridCol w:w="215"/>
      </w:tblGrid>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3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1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1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3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Tax and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Financial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Planning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1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Car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Allowance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Life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Insurance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Premiums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STD &amp; LTD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1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401(K) Match</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 All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5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Michael J. Happe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53" w:type="dxa"/>
            </w:tcMar>
            <w:vAlign w:val="center"/>
          </w:tcPr>
          <w:p>
            <w:pPr>
              <w:pStyle w:val="TableContents"/>
              <w:bidi w:val="0"/>
              <w:spacing w:before="0" w:after="283"/>
              <w:ind w:left="109" w:right="0" w:hanging="0"/>
              <w:jc w:val="left"/>
              <w:rPr>
                <w:rFonts w:ascii="Arial;Helvetica;sans-serif" w:hAnsi="Arial;Helvetica;sans-serif"/>
                <w:color w:val="14202A"/>
                <w:sz w:val="16"/>
              </w:rPr>
            </w:pPr>
            <w:r>
              <w:rPr>
                <w:rFonts w:ascii="Arial;Helvetica;sans-serif" w:hAnsi="Arial;Helvetica;sans-serif"/>
                <w:color w:val="14202A"/>
                <w:sz w:val="16"/>
              </w:rPr>
              <w:t>7,800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53"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18,000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53" w:type="dxa"/>
            </w:tcMar>
            <w:vAlign w:val="center"/>
          </w:tcPr>
          <w:p>
            <w:pPr>
              <w:pStyle w:val="TableContents"/>
              <w:bidi w:val="0"/>
              <w:spacing w:before="0" w:after="283"/>
              <w:ind w:left="183" w:right="0" w:hanging="0"/>
              <w:jc w:val="left"/>
              <w:rPr>
                <w:rFonts w:ascii="Arial;Helvetica;sans-serif" w:hAnsi="Arial;Helvetica;sans-serif"/>
                <w:color w:val="14202A"/>
                <w:sz w:val="16"/>
              </w:rPr>
            </w:pPr>
            <w:r>
              <w:rPr>
                <w:rFonts w:ascii="Arial;Helvetica;sans-serif" w:hAnsi="Arial;Helvetica;sans-serif"/>
                <w:color w:val="14202A"/>
                <w:sz w:val="16"/>
              </w:rPr>
              <w:t>707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53" w:type="dxa"/>
            </w:tcMar>
            <w:vAlign w:val="center"/>
          </w:tcPr>
          <w:p>
            <w:pPr>
              <w:pStyle w:val="TableContents"/>
              <w:bidi w:val="0"/>
              <w:spacing w:before="0" w:after="283"/>
              <w:ind w:left="129"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53" w:type="dxa"/>
            </w:tcMar>
            <w:vAlign w:val="center"/>
          </w:tcPr>
          <w:p>
            <w:pPr>
              <w:pStyle w:val="TableContents"/>
              <w:bidi w:val="0"/>
              <w:spacing w:before="0" w:after="283"/>
              <w:ind w:left="213" w:right="0" w:hanging="0"/>
              <w:jc w:val="left"/>
              <w:rPr>
                <w:rFonts w:ascii="Arial;Helvetica;sans-serif" w:hAnsi="Arial;Helvetica;sans-serif"/>
                <w:color w:val="14202A"/>
                <w:sz w:val="16"/>
              </w:rPr>
            </w:pPr>
            <w:r>
              <w:rPr>
                <w:rFonts w:ascii="Arial;Helvetica;sans-serif" w:hAnsi="Arial;Helvetica;sans-serif"/>
                <w:color w:val="14202A"/>
                <w:sz w:val="16"/>
              </w:rPr>
              <w:t>14,000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53" w:type="dxa"/>
            </w:tcMar>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45,892</w:t>
            </w:r>
            <w:r>
              <w:rPr>
                <w:rFonts w:ascii="Arial;Helvetica;sans-serif" w:hAnsi="Arial;Helvetica;sans-serif"/>
                <w:color w:val="14202A"/>
                <w:position w:val="5"/>
                <w:sz w:val="13"/>
                <w:sz w:val="16"/>
              </w:rPr>
              <w:t>(a)</w:t>
            </w:r>
            <w:r>
              <w:rPr>
                <w:rFonts w:ascii="Arial;Helvetica;sans-serif" w:hAnsi="Arial;Helvetica;sans-serif"/>
                <w:color w:val="14202A"/>
                <w:sz w:val="16"/>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5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53" w:type="dxa"/>
            </w:tcMar>
            <w:vAlign w:val="center"/>
          </w:tcPr>
          <w:p>
            <w:pPr>
              <w:pStyle w:val="TableContents"/>
              <w:bidi w:val="0"/>
              <w:spacing w:before="0" w:after="283"/>
              <w:ind w:left="109" w:right="0" w:hanging="0"/>
              <w:jc w:val="left"/>
              <w:rPr>
                <w:rFonts w:ascii="Arial;Helvetica;sans-serif" w:hAnsi="Arial;Helvetica;sans-serif"/>
                <w:color w:val="14202A"/>
                <w:sz w:val="16"/>
              </w:rPr>
            </w:pPr>
            <w:r>
              <w:rPr>
                <w:rFonts w:ascii="Arial;Helvetica;sans-serif" w:hAnsi="Arial;Helvetica;sans-serif"/>
                <w:color w:val="14202A"/>
                <w:sz w:val="16"/>
              </w:rPr>
              <w:t>7,800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53"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18,000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53" w:type="dxa"/>
            </w:tcMar>
            <w:vAlign w:val="center"/>
          </w:tcPr>
          <w:p>
            <w:pPr>
              <w:pStyle w:val="TableContents"/>
              <w:bidi w:val="0"/>
              <w:spacing w:before="0" w:after="283"/>
              <w:ind w:left="183" w:right="0" w:hanging="0"/>
              <w:jc w:val="left"/>
              <w:rPr>
                <w:rFonts w:ascii="Arial;Helvetica;sans-serif" w:hAnsi="Arial;Helvetica;sans-serif"/>
                <w:color w:val="14202A"/>
                <w:sz w:val="16"/>
              </w:rPr>
            </w:pPr>
            <w:r>
              <w:rPr>
                <w:rFonts w:ascii="Arial;Helvetica;sans-serif" w:hAnsi="Arial;Helvetica;sans-serif"/>
                <w:color w:val="14202A"/>
                <w:sz w:val="16"/>
              </w:rPr>
              <w:t>707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53" w:type="dxa"/>
            </w:tcMar>
            <w:vAlign w:val="center"/>
          </w:tcPr>
          <w:p>
            <w:pPr>
              <w:pStyle w:val="TableContents"/>
              <w:bidi w:val="0"/>
              <w:spacing w:before="0" w:after="283"/>
              <w:ind w:left="129"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53" w:type="dxa"/>
            </w:tcMar>
            <w:vAlign w:val="center"/>
          </w:tcPr>
          <w:p>
            <w:pPr>
              <w:pStyle w:val="TableContents"/>
              <w:bidi w:val="0"/>
              <w:spacing w:before="0" w:after="283"/>
              <w:ind w:left="213" w:right="0" w:hanging="0"/>
              <w:jc w:val="left"/>
              <w:rPr>
                <w:rFonts w:ascii="Arial;Helvetica;sans-serif" w:hAnsi="Arial;Helvetica;sans-serif"/>
                <w:color w:val="14202A"/>
                <w:sz w:val="16"/>
              </w:rPr>
            </w:pPr>
            <w:r>
              <w:rPr>
                <w:rFonts w:ascii="Arial;Helvetica;sans-serif" w:hAnsi="Arial;Helvetica;sans-serif"/>
                <w:color w:val="14202A"/>
                <w:sz w:val="16"/>
              </w:rPr>
              <w:t>14,000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53" w:type="dxa"/>
            </w:tcMar>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42,824</w:t>
            </w:r>
            <w:r>
              <w:rPr>
                <w:rFonts w:ascii="Arial;Helvetica;sans-serif" w:hAnsi="Arial;Helvetica;sans-serif"/>
                <w:color w:val="14202A"/>
                <w:position w:val="5"/>
                <w:sz w:val="13"/>
                <w:sz w:val="16"/>
              </w:rPr>
              <w:t>(a)</w:t>
            </w:r>
            <w:r>
              <w:rPr>
                <w:rFonts w:ascii="Arial;Helvetica;sans-serif" w:hAnsi="Arial;Helvetica;sans-serif"/>
                <w:color w:val="14202A"/>
                <w:sz w:val="16"/>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53"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Donald J. Clark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53" w:type="dxa"/>
            </w:tcMar>
            <w:vAlign w:val="center"/>
          </w:tcPr>
          <w:p>
            <w:pPr>
              <w:pStyle w:val="TableContents"/>
              <w:bidi w:val="0"/>
              <w:spacing w:before="0" w:after="283"/>
              <w:ind w:left="109"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53" w:type="dxa"/>
            </w:tcMar>
            <w:vAlign w:val="center"/>
          </w:tcPr>
          <w:p>
            <w:pPr>
              <w:pStyle w:val="TableContents"/>
              <w:bidi w:val="0"/>
              <w:spacing w:before="0" w:after="283"/>
              <w:ind w:left="12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53" w:type="dxa"/>
            </w:tcMar>
            <w:vAlign w:val="center"/>
          </w:tcPr>
          <w:p>
            <w:pPr>
              <w:pStyle w:val="TableContents"/>
              <w:bidi w:val="0"/>
              <w:spacing w:before="0" w:after="283"/>
              <w:ind w:left="183" w:right="0" w:hanging="0"/>
              <w:jc w:val="left"/>
              <w:rPr>
                <w:rFonts w:ascii="Arial;Helvetica;sans-serif" w:hAnsi="Arial;Helvetica;sans-serif"/>
                <w:color w:val="14202A"/>
                <w:sz w:val="16"/>
              </w:rPr>
            </w:pPr>
            <w:r>
              <w:rPr>
                <w:rFonts w:ascii="Arial;Helvetica;sans-serif" w:hAnsi="Arial;Helvetica;sans-serif"/>
                <w:color w:val="14202A"/>
                <w:sz w:val="16"/>
              </w:rPr>
              <w:t>475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53" w:type="dxa"/>
            </w:tcMar>
            <w:vAlign w:val="center"/>
          </w:tcPr>
          <w:p>
            <w:pPr>
              <w:pStyle w:val="TableContents"/>
              <w:bidi w:val="0"/>
              <w:spacing w:before="0" w:after="283"/>
              <w:ind w:left="129"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53" w:type="dxa"/>
            </w:tcMar>
            <w:vAlign w:val="center"/>
          </w:tcPr>
          <w:p>
            <w:pPr>
              <w:pStyle w:val="TableContents"/>
              <w:bidi w:val="0"/>
              <w:spacing w:before="0" w:after="283"/>
              <w:ind w:left="213" w:right="0" w:hanging="0"/>
              <w:jc w:val="left"/>
              <w:rPr>
                <w:rFonts w:ascii="Arial;Helvetica;sans-serif" w:hAnsi="Arial;Helvetica;sans-serif"/>
                <w:color w:val="14202A"/>
                <w:sz w:val="16"/>
              </w:rPr>
            </w:pPr>
            <w:r>
              <w:rPr>
                <w:rFonts w:ascii="Arial;Helvetica;sans-serif" w:hAnsi="Arial;Helvetica;sans-serif"/>
                <w:color w:val="14202A"/>
                <w:sz w:val="16"/>
              </w:rPr>
              <w:t>14,000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53" w:type="dxa"/>
            </w:tcMar>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 xml:space="preserve">14,475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53"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53" w:type="dxa"/>
            </w:tcMar>
            <w:vAlign w:val="center"/>
          </w:tcPr>
          <w:p>
            <w:pPr>
              <w:pStyle w:val="TableContents"/>
              <w:bidi w:val="0"/>
              <w:spacing w:before="0" w:after="283"/>
              <w:ind w:left="109" w:right="0" w:hanging="0"/>
              <w:jc w:val="left"/>
              <w:rPr>
                <w:rFonts w:ascii="Arial;Helvetica;sans-serif" w:hAnsi="Arial;Helvetica;sans-serif"/>
                <w:color w:val="14202A"/>
                <w:sz w:val="16"/>
              </w:rPr>
            </w:pPr>
            <w:r>
              <w:rPr>
                <w:rFonts w:ascii="Arial;Helvetica;sans-serif" w:hAnsi="Arial;Helvetica;sans-serif"/>
                <w:color w:val="14202A"/>
                <w:sz w:val="16"/>
              </w:rPr>
              <w:t>7,800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53" w:type="dxa"/>
            </w:tcMar>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18,000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53" w:type="dxa"/>
            </w:tcMar>
            <w:vAlign w:val="center"/>
          </w:tcPr>
          <w:p>
            <w:pPr>
              <w:pStyle w:val="TableContents"/>
              <w:bidi w:val="0"/>
              <w:spacing w:before="0" w:after="283"/>
              <w:ind w:left="183" w:right="0" w:hanging="0"/>
              <w:jc w:val="left"/>
              <w:rPr>
                <w:rFonts w:ascii="Arial;Helvetica;sans-serif" w:hAnsi="Arial;Helvetica;sans-serif"/>
                <w:color w:val="14202A"/>
                <w:sz w:val="16"/>
              </w:rPr>
            </w:pPr>
            <w:r>
              <w:rPr>
                <w:rFonts w:ascii="Arial;Helvetica;sans-serif" w:hAnsi="Arial;Helvetica;sans-serif"/>
                <w:color w:val="14202A"/>
                <w:sz w:val="16"/>
              </w:rPr>
              <w:t>1,483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53" w:type="dxa"/>
            </w:tcMar>
            <w:vAlign w:val="center"/>
          </w:tcPr>
          <w:p>
            <w:pPr>
              <w:pStyle w:val="TableContents"/>
              <w:bidi w:val="0"/>
              <w:spacing w:before="0" w:after="283"/>
              <w:ind w:left="129"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53" w:type="dxa"/>
            </w:tcMar>
            <w:vAlign w:val="center"/>
          </w:tcPr>
          <w:p>
            <w:pPr>
              <w:pStyle w:val="TableContents"/>
              <w:bidi w:val="0"/>
              <w:spacing w:before="0" w:after="283"/>
              <w:ind w:left="213" w:right="0" w:hanging="0"/>
              <w:jc w:val="left"/>
              <w:rPr>
                <w:rFonts w:ascii="Arial;Helvetica;sans-serif" w:hAnsi="Arial;Helvetica;sans-serif"/>
                <w:color w:val="14202A"/>
                <w:sz w:val="16"/>
              </w:rPr>
            </w:pPr>
            <w:r>
              <w:rPr>
                <w:rFonts w:ascii="Arial;Helvetica;sans-serif" w:hAnsi="Arial;Helvetica;sans-serif"/>
                <w:color w:val="14202A"/>
                <w:sz w:val="16"/>
              </w:rPr>
              <w:t>14,000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53" w:type="dxa"/>
            </w:tcMar>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 xml:space="preserve">41,283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Stacy L. Bogart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rFonts w:ascii="Arial;Helvetica;sans-serif" w:hAnsi="Arial;Helvetica;sans-serif"/>
                <w:color w:val="14202A"/>
                <w:sz w:val="16"/>
              </w:rPr>
            </w:pPr>
            <w:r>
              <w:rPr>
                <w:rFonts w:ascii="Arial;Helvetica;sans-serif" w:hAnsi="Arial;Helvetica;sans-serif"/>
                <w:color w:val="14202A"/>
                <w:sz w:val="16"/>
              </w:rPr>
              <w:t>7,800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4" w:right="0" w:hanging="0"/>
              <w:jc w:val="left"/>
              <w:rPr>
                <w:rFonts w:ascii="Arial;Helvetica;sans-serif" w:hAnsi="Arial;Helvetica;sans-serif"/>
                <w:color w:val="14202A"/>
                <w:sz w:val="16"/>
              </w:rPr>
            </w:pPr>
            <w:r>
              <w:rPr>
                <w:rFonts w:ascii="Arial;Helvetica;sans-serif" w:hAnsi="Arial;Helvetica;sans-serif"/>
                <w:color w:val="14202A"/>
                <w:sz w:val="16"/>
              </w:rPr>
              <w:t>18,000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83" w:right="0" w:hanging="0"/>
              <w:jc w:val="left"/>
              <w:rPr>
                <w:rFonts w:ascii="Arial;Helvetica;sans-serif" w:hAnsi="Arial;Helvetica;sans-serif"/>
                <w:color w:val="14202A"/>
                <w:sz w:val="16"/>
              </w:rPr>
            </w:pPr>
            <w:r>
              <w:rPr>
                <w:rFonts w:ascii="Arial;Helvetica;sans-serif" w:hAnsi="Arial;Helvetica;sans-serif"/>
                <w:color w:val="14202A"/>
                <w:sz w:val="16"/>
              </w:rPr>
              <w:t>707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9"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13" w:right="0" w:hanging="0"/>
              <w:jc w:val="left"/>
              <w:rPr>
                <w:rFonts w:ascii="Arial;Helvetica;sans-serif" w:hAnsi="Arial;Helvetica;sans-serif"/>
                <w:color w:val="14202A"/>
                <w:sz w:val="16"/>
              </w:rPr>
            </w:pPr>
            <w:r>
              <w:rPr>
                <w:rFonts w:ascii="Arial;Helvetica;sans-serif" w:hAnsi="Arial;Helvetica;sans-serif"/>
                <w:color w:val="14202A"/>
                <w:sz w:val="16"/>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41,772</w:t>
            </w:r>
            <w:r>
              <w:rPr>
                <w:rFonts w:ascii="Arial;Helvetica;sans-serif" w:hAnsi="Arial;Helvetica;sans-serif"/>
                <w:color w:val="14202A"/>
                <w:position w:val="5"/>
                <w:sz w:val="13"/>
                <w:sz w:val="16"/>
              </w:rPr>
              <w:t>(a)</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1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(a)</w:t>
            </w:r>
          </w:p>
        </w:tc>
        <w:tc>
          <w:tcPr>
            <w:tcW w:w="999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difference in the amount shown here and the sum of the other compensation elements included in this table reflects the amount paid for an executive physical.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1001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Under the terms of his employment agreement, Mr. Clark’s annual incentive plan payout under the Grand Design MIP paid out 100% in cash for Fiscal 2025 and 2024 and 85% in cash and 15% in restricted stock units for Fiscal 2023. Both the cash and restricted stock units are reported under the Non-Equity Incentive Plan Compensation column. </w:t>
            </w:r>
          </w:p>
        </w:tc>
      </w:tr>
    </w:tbl>
    <w:tbl>
      <w:tblPr>
        <w:tblW w:w="9025" w:type="dxa"/>
        <w:jc w:val="left"/>
        <w:tblInd w:w="0" w:type="dxa"/>
        <w:tblLayout w:type="fixed"/>
        <w:tblCellMar>
          <w:top w:w="0" w:type="dxa"/>
          <w:left w:w="0" w:type="dxa"/>
          <w:bottom w:w="0" w:type="dxa"/>
          <w:right w:w="0" w:type="dxa"/>
        </w:tblCellMar>
      </w:tblPr>
      <w:tblGrid>
        <w:gridCol w:w="215"/>
        <w:gridCol w:w="881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(6)</w:t>
            </w:r>
          </w:p>
        </w:tc>
        <w:tc>
          <w:tcPr>
            <w:tcW w:w="88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amount shown here includes $914,899 in restricted stock units awarded for Fiscal 2023 performance pursuant to the Grand Design MIP.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8" w:name="ny20052074x1_def14a_110-compensation_pg3"/>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80" w:right="0" w:hanging="0"/>
        <w:jc w:val="left"/>
        <w:rPr>
          <w:rFonts w:ascii="Arial;Helvetica;sans-serif" w:hAnsi="Arial;Helvetica;sans-serif"/>
          <w:b/>
          <w:color w:val="D8E47A"/>
          <w:sz w:val="24"/>
        </w:rPr>
      </w:pPr>
      <w:bookmarkStart w:id="119" w:name="tGRA"/>
      <w:bookmarkEnd w:id="119"/>
      <w:r>
        <w:rPr>
          <w:rFonts w:ascii="Arial;Helvetica;sans-serif" w:hAnsi="Arial;Helvetica;sans-serif"/>
          <w:b/>
          <w:color w:val="D8E47A"/>
          <w:sz w:val="24"/>
        </w:rPr>
        <w:t xml:space="preserve">Grants of Plan-Based Awards Table </w:t>
      </w:r>
    </w:p>
    <w:p>
      <w:pPr>
        <w:pStyle w:val="TextBody"/>
        <w:bidi w:val="0"/>
        <w:spacing w:before="200" w:after="283"/>
        <w:ind w:left="480" w:right="0" w:hanging="0"/>
        <w:jc w:val="left"/>
        <w:rPr>
          <w:rFonts w:ascii="Arial;Helvetica;sans-serif" w:hAnsi="Arial;Helvetica;sans-serif"/>
          <w:color w:val="14202A"/>
          <w:sz w:val="18"/>
        </w:rPr>
      </w:pPr>
      <w:r>
        <w:rPr>
          <w:rFonts w:ascii="Arial;Helvetica;sans-serif" w:hAnsi="Arial;Helvetica;sans-serif"/>
          <w:color w:val="14202A"/>
          <w:sz w:val="18"/>
        </w:rPr>
        <w:t>The following table provides additional information relating to plan-based awards granted to our NEOs in Fiscal 2025. All equity awards were granted under the 2019 Plan.</w:t>
      </w:r>
    </w:p>
    <w:tbl>
      <w:tblPr>
        <w:tblW w:w="12345" w:type="dxa"/>
        <w:jc w:val="left"/>
        <w:tblInd w:w="0" w:type="dxa"/>
        <w:tblLayout w:type="fixed"/>
        <w:tblCellMar>
          <w:top w:w="0" w:type="dxa"/>
          <w:left w:w="0" w:type="dxa"/>
          <w:bottom w:w="0" w:type="dxa"/>
          <w:right w:w="0" w:type="dxa"/>
        </w:tblCellMar>
      </w:tblPr>
      <w:tblGrid>
        <w:gridCol w:w="185"/>
        <w:gridCol w:w="530"/>
        <w:gridCol w:w="170"/>
        <w:gridCol w:w="170"/>
        <w:gridCol w:w="530"/>
        <w:gridCol w:w="170"/>
        <w:gridCol w:w="170"/>
        <w:gridCol w:w="410"/>
        <w:gridCol w:w="170"/>
        <w:gridCol w:w="170"/>
        <w:gridCol w:w="680"/>
        <w:gridCol w:w="170"/>
        <w:gridCol w:w="170"/>
        <w:gridCol w:w="665"/>
        <w:gridCol w:w="170"/>
        <w:gridCol w:w="170"/>
        <w:gridCol w:w="665"/>
        <w:gridCol w:w="170"/>
        <w:gridCol w:w="170"/>
        <w:gridCol w:w="680"/>
        <w:gridCol w:w="170"/>
        <w:gridCol w:w="170"/>
        <w:gridCol w:w="470"/>
        <w:gridCol w:w="170"/>
        <w:gridCol w:w="170"/>
        <w:gridCol w:w="665"/>
        <w:gridCol w:w="170"/>
        <w:gridCol w:w="170"/>
        <w:gridCol w:w="545"/>
        <w:gridCol w:w="170"/>
        <w:gridCol w:w="170"/>
        <w:gridCol w:w="740"/>
        <w:gridCol w:w="170"/>
        <w:gridCol w:w="170"/>
        <w:gridCol w:w="620"/>
        <w:gridCol w:w="170"/>
        <w:gridCol w:w="170"/>
        <w:gridCol w:w="665"/>
        <w:gridCol w:w="215"/>
      </w:tblGrid>
      <w:tr>
        <w:trPr/>
        <w:tc>
          <w:tcPr>
            <w:tcW w:w="185" w:type="dxa"/>
            <w:tcBorders/>
            <w:shd w:fill="14202A" w:val="clear"/>
            <w:vAlign w:val="center"/>
          </w:tcPr>
          <w:p>
            <w:pPr>
              <w:pStyle w:val="TableContents"/>
              <w:bidi w:val="0"/>
              <w:spacing w:before="0" w:after="0"/>
              <w:jc w:val="left"/>
              <w:rPr/>
            </w:pPr>
            <w:r>
              <w:rPr/>
              <w:t> </w:t>
            </w:r>
          </w:p>
        </w:tc>
        <w:tc>
          <w:tcPr>
            <w:tcW w:w="53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3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1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690" w:type="dxa"/>
            <w:gridSpan w:val="7"/>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495" w:type="dxa"/>
            <w:gridSpan w:val="7"/>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4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4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2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530" w:type="dxa"/>
            <w:tcBorders/>
            <w:shd w:fill="14202A" w:val="clear"/>
            <w:vAlign w:val="center"/>
          </w:tcPr>
          <w:p>
            <w:pPr>
              <w:pStyle w:val="TableContents"/>
              <w:bidi w:val="0"/>
              <w:spacing w:before="0" w:after="283"/>
              <w:ind w:left="40" w:right="0" w:hanging="0"/>
              <w:jc w:val="left"/>
              <w:rPr>
                <w:color w:val="FFFFFF"/>
              </w:rPr>
            </w:pPr>
            <w:r>
              <w:rPr>
                <w:color w:val="FFFFFF"/>
              </w:rPr>
              <w:t xml:space="preserve">​ </w:t>
            </w:r>
          </w:p>
        </w:tc>
        <w:tc>
          <w:tcPr>
            <w:tcW w:w="170" w:type="dxa"/>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53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Award</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Type</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41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Grant</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Date</w:t>
            </w:r>
            <w:r>
              <w:rPr>
                <w:rFonts w:ascii="Arial;Helvetica;sans-serif" w:hAnsi="Arial;Helvetica;sans-serif"/>
                <w:b/>
                <w:color w:val="FFFFFF"/>
                <w:position w:val="4"/>
                <w:sz w:val="10"/>
                <w:sz w:val="13"/>
              </w:rPr>
              <w:t>(5)</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690" w:type="dxa"/>
            <w:gridSpan w:val="7"/>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Estimated Future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Payouts Under</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Non-Equity Incentive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Plan Awards</w:t>
            </w:r>
            <w:r>
              <w:rPr>
                <w:rFonts w:ascii="Arial;Helvetica;sans-serif" w:hAnsi="Arial;Helvetica;sans-serif"/>
                <w:b/>
                <w:color w:val="FFFFFF"/>
                <w:position w:val="4"/>
                <w:sz w:val="10"/>
                <w:sz w:val="13"/>
              </w:rPr>
              <w:t>(1)</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495" w:type="dxa"/>
            <w:gridSpan w:val="7"/>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Estimated Future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Payouts Under</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Equity Incentive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Plan Awards</w:t>
            </w:r>
            <w:r>
              <w:rPr>
                <w:rFonts w:ascii="Arial;Helvetica;sans-serif" w:hAnsi="Arial;Helvetica;sans-serif"/>
                <w:b/>
                <w:color w:val="FFFFFF"/>
                <w:position w:val="4"/>
                <w:sz w:val="10"/>
                <w:sz w:val="13"/>
              </w:rPr>
              <w:t>(2)</w:t>
            </w:r>
          </w:p>
        </w:tc>
        <w:tc>
          <w:tcPr>
            <w:tcW w:w="170" w:type="dxa"/>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545"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All Other</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Stock</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Awards:</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Number</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of Shares</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of Stock</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or Units</w:t>
            </w:r>
            <w:r>
              <w:rPr>
                <w:rFonts w:ascii="Arial;Helvetica;sans-serif" w:hAnsi="Arial;Helvetica;sans-serif"/>
                <w:b/>
                <w:color w:val="FFFFFF"/>
                <w:position w:val="4"/>
                <w:sz w:val="10"/>
                <w:sz w:val="13"/>
              </w:rPr>
              <w:t>(3)</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74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All Other</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Option</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Awards:</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Number of</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Securities</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Underlying</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Options</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62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Exercise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or Base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Price of</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Option</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Awards</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($/Sh)</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665"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Grant Date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Fair Value</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of Stock</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and Option</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Awards</w:t>
            </w:r>
            <w:r>
              <w:rPr>
                <w:rFonts w:ascii="Arial;Helvetica;sans-serif" w:hAnsi="Arial;Helvetica;sans-serif"/>
                <w:b/>
                <w:color w:val="FFFFFF"/>
                <w:position w:val="4"/>
                <w:sz w:val="10"/>
                <w:sz w:val="13"/>
              </w:rPr>
              <w:t>(4)</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 </w:t>
            </w:r>
          </w:p>
        </w:tc>
        <w:tc>
          <w:tcPr>
            <w:tcW w:w="215" w:type="dxa"/>
            <w:vMerge w:val="restart"/>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530" w:type="dxa"/>
            <w:tcBorders/>
            <w:shd w:fill="14202A" w:val="clear"/>
            <w:vAlign w:val="center"/>
          </w:tcPr>
          <w:p>
            <w:pPr>
              <w:pStyle w:val="TableContents"/>
              <w:bidi w:val="0"/>
              <w:spacing w:before="0" w:after="283"/>
              <w:ind w:left="40" w:right="0" w:hanging="0"/>
              <w:jc w:val="left"/>
              <w:rPr>
                <w:rFonts w:ascii="Arial;Helvetica;sans-serif" w:hAnsi="Arial;Helvetica;sans-serif"/>
                <w:b/>
                <w:color w:val="FFFFFF"/>
                <w:sz w:val="13"/>
              </w:rPr>
            </w:pPr>
            <w:r>
              <w:rPr>
                <w:rFonts w:ascii="Arial;Helvetica;sans-serif" w:hAnsi="Arial;Helvetica;sans-serif"/>
                <w:b/>
                <w:color w:val="FFFFFF"/>
                <w:sz w:val="13"/>
              </w:rPr>
              <w:t>Name</w:t>
            </w:r>
          </w:p>
        </w:tc>
        <w:tc>
          <w:tcPr>
            <w:tcW w:w="170" w:type="dxa"/>
            <w:tcBorders/>
            <w:shd w:fill="14202A" w:val="clear"/>
            <w:vAlign w:val="center"/>
          </w:tcPr>
          <w:p>
            <w:pPr>
              <w:pStyle w:val="TableContents"/>
              <w:bidi w:val="0"/>
              <w:spacing w:before="0" w:after="0"/>
              <w:jc w:val="left"/>
              <w:rPr/>
            </w:pPr>
            <w:r>
              <w:rPr/>
              <w:t> </w:t>
            </w:r>
          </w:p>
        </w:tc>
        <w:tc>
          <w:tcPr>
            <w:tcW w:w="170" w:type="dxa"/>
            <w:vMerge w:val="continue"/>
            <w:tcBorders/>
            <w:shd w:fill="14202A" w:val="clear"/>
            <w:vAlign w:val="center"/>
          </w:tcPr>
          <w:p>
            <w:pPr>
              <w:pStyle w:val="Normal"/>
              <w:bidi w:val="0"/>
              <w:jc w:val="left"/>
              <w:rPr/>
            </w:pPr>
            <w:r>
              <w:rPr/>
            </w:r>
          </w:p>
        </w:tc>
        <w:tc>
          <w:tcPr>
            <w:tcW w:w="53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41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shd w:fill="14202A" w:val="clear"/>
            <w:vAlign w:val="center"/>
          </w:tcPr>
          <w:p>
            <w:pPr>
              <w:pStyle w:val="TableContents"/>
              <w:bidi w:val="0"/>
              <w:spacing w:before="0" w:after="0"/>
              <w:jc w:val="left"/>
              <w:rPr/>
            </w:pPr>
            <w:r>
              <w:rPr/>
              <w:t> </w:t>
            </w:r>
          </w:p>
        </w:tc>
        <w:tc>
          <w:tcPr>
            <w:tcW w:w="680" w:type="dxa"/>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Threshold</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Target</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Maximum</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80" w:type="dxa"/>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Threshold</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70" w:type="dxa"/>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Target</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65" w:type="dxa"/>
            <w:tcBorders/>
            <w:shd w:fill="14202A" w:val="clear"/>
            <w:vAlign w:val="center"/>
          </w:tcPr>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Maximum</w:t>
            </w:r>
          </w:p>
          <w:p>
            <w:pPr>
              <w:pStyle w:val="TableContents"/>
              <w:bidi w:val="0"/>
              <w:spacing w:before="0" w:after="283"/>
              <w:jc w:val="center"/>
              <w:rPr>
                <w:rFonts w:ascii="Arial;Helvetica;sans-serif" w:hAnsi="Arial;Helvetica;sans-serif"/>
                <w:b/>
                <w:color w:val="FFFFFF"/>
                <w:sz w:val="13"/>
              </w:rPr>
            </w:pPr>
            <w:r>
              <w:rPr>
                <w:rFonts w:ascii="Arial;Helvetica;sans-serif" w:hAnsi="Arial;Helvetica;sans-serif"/>
                <w:b/>
                <w:color w:val="FFFFFF"/>
                <w:sz w:val="13"/>
              </w:rPr>
              <w:t xml:space="preserve">(#) </w:t>
            </w:r>
          </w:p>
        </w:tc>
        <w:tc>
          <w:tcPr>
            <w:tcW w:w="170" w:type="dxa"/>
            <w:tcBorders/>
            <w:shd w:fill="14202A" w:val="clear"/>
            <w:vAlign w:val="center"/>
          </w:tcPr>
          <w:p>
            <w:pPr>
              <w:pStyle w:val="TableContents"/>
              <w:bidi w:val="0"/>
              <w:spacing w:before="0" w:after="0"/>
              <w:jc w:val="left"/>
              <w:rPr/>
            </w:pPr>
            <w:r>
              <w:rPr/>
              <w:t> </w:t>
            </w:r>
          </w:p>
        </w:tc>
        <w:tc>
          <w:tcPr>
            <w:tcW w:w="170" w:type="dxa"/>
            <w:vMerge w:val="continue"/>
            <w:tcBorders/>
            <w:shd w:fill="14202A" w:val="clear"/>
            <w:vAlign w:val="center"/>
          </w:tcPr>
          <w:p>
            <w:pPr>
              <w:pStyle w:val="Normal"/>
              <w:bidi w:val="0"/>
              <w:jc w:val="left"/>
              <w:rPr/>
            </w:pPr>
            <w:r>
              <w:rPr/>
            </w:r>
          </w:p>
        </w:tc>
        <w:tc>
          <w:tcPr>
            <w:tcW w:w="54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74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62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665" w:type="dxa"/>
            <w:vMerge w:val="continue"/>
            <w:tcBorders/>
            <w:shd w:fill="14202A" w:val="clear"/>
            <w:vAlign w:val="center"/>
          </w:tcPr>
          <w:p>
            <w:pPr>
              <w:pStyle w:val="Normal"/>
              <w:bidi w:val="0"/>
              <w:jc w:val="left"/>
              <w:rPr/>
            </w:pPr>
            <w:r>
              <w:rPr/>
            </w:r>
          </w:p>
        </w:tc>
        <w:tc>
          <w:tcPr>
            <w:tcW w:w="215" w:type="dxa"/>
            <w:vMerge w:val="continue"/>
            <w:tcBorders/>
            <w:shd w:fill="14202A" w:val="clear"/>
            <w:vAlign w:val="center"/>
          </w:tcPr>
          <w:p>
            <w:pPr>
              <w:pStyle w:val="Normal"/>
              <w:bidi w:val="0"/>
              <w:jc w:val="left"/>
              <w:rPr/>
            </w:pPr>
            <w:r>
              <w:rPr/>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530" w:type="dxa"/>
            <w:vMerge w:val="restart"/>
            <w:tcBorders>
              <w:bottom w:val="single" w:sz="8" w:space="0" w:color="14202A"/>
            </w:tcBorders>
            <w:tcMar>
              <w:bottom w:w="93" w:type="dxa"/>
            </w:tcMar>
            <w:vAlign w:val="center"/>
          </w:tcPr>
          <w:p>
            <w:pPr>
              <w:pStyle w:val="TableContents"/>
              <w:bidi w:val="0"/>
              <w:spacing w:before="0" w:after="283"/>
              <w:ind w:left="40" w:right="0" w:hanging="0"/>
              <w:jc w:val="left"/>
              <w:rPr>
                <w:rFonts w:ascii="Arial;Helvetica;sans-serif" w:hAnsi="Arial;Helvetica;sans-serif"/>
                <w:color w:val="14202A"/>
                <w:sz w:val="13"/>
              </w:rPr>
            </w:pPr>
            <w:r>
              <w:rPr>
                <w:rFonts w:ascii="Arial;Helvetica;sans-serif" w:hAnsi="Arial;Helvetica;sans-serif"/>
                <w:color w:val="14202A"/>
                <w:sz w:val="13"/>
              </w:rPr>
              <w:t>Michael J. Happe​​</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Stock Options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w:t>
            </w:r>
            <w:r>
              <w:rPr>
                <w:rFonts w:ascii="Arial;Helvetica;sans-serif" w:hAnsi="Arial;Helvetica;sans-serif"/>
                <w:color w:val="14202A"/>
                <w:sz w:val="13"/>
              </w:rPr>
              <w:t>38,755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rFonts w:ascii="Arial;Helvetica;sans-serif" w:hAnsi="Arial;Helvetica;sans-serif"/>
                <w:color w:val="14202A"/>
                <w:sz w:val="13"/>
              </w:rPr>
            </w:pPr>
            <w:r>
              <w:rPr>
                <w:rFonts w:ascii="Arial;Helvetica;sans-serif" w:hAnsi="Arial;Helvetica;sans-serif"/>
                <w:color w:val="14202A"/>
                <w:sz w:val="13"/>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915,006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RSU Award</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w:t>
            </w:r>
            <w:r>
              <w:rPr>
                <w:rFonts w:ascii="Arial;Helvetica;sans-serif" w:hAnsi="Arial;Helvetica;sans-serif"/>
                <w:color w:val="14202A"/>
                <w:sz w:val="13"/>
              </w:rPr>
              <w:t>36,266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2,134,979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OICP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rFonts w:ascii="Arial;Helvetica;sans-serif" w:hAnsi="Arial;Helvetica;sans-serif"/>
                <w:color w:val="14202A"/>
                <w:sz w:val="13"/>
              </w:rPr>
            </w:pPr>
            <w:r>
              <w:rPr>
                <w:rFonts w:ascii="Arial;Helvetica;sans-serif" w:hAnsi="Arial;Helvetica;sans-serif"/>
                <w:color w:val="14202A"/>
                <w:sz w:val="13"/>
              </w:rPr>
              <w:t>625,000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3"/>
              </w:rPr>
            </w:pPr>
            <w:r>
              <w:rPr>
                <w:rFonts w:ascii="Arial;Helvetica;sans-serif" w:hAnsi="Arial;Helvetica;sans-serif"/>
                <w:color w:val="14202A"/>
                <w:sz w:val="13"/>
              </w:rPr>
              <w:t>1,250,000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rFonts w:ascii="Arial;Helvetica;sans-serif" w:hAnsi="Arial;Helvetica;sans-serif"/>
                <w:color w:val="14202A"/>
                <w:sz w:val="13"/>
              </w:rPr>
            </w:pPr>
            <w:r>
              <w:rPr>
                <w:rFonts w:ascii="Arial;Helvetica;sans-serif" w:hAnsi="Arial;Helvetica;sans-serif"/>
                <w:color w:val="14202A"/>
                <w:sz w:val="13"/>
              </w:rPr>
              <w:t>2,500,000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2025-2027 LTIP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w:t>
            </w:r>
            <w:r>
              <w:rPr>
                <w:rFonts w:ascii="Arial;Helvetica;sans-serif" w:hAnsi="Arial;Helvetica;sans-serif"/>
                <w:color w:val="14202A"/>
                <w:sz w:val="13"/>
              </w:rPr>
              <w:t>25,905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51,809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103,618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3,049,996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PSUs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rFonts w:ascii="Arial;Helvetica;sans-serif" w:hAnsi="Arial;Helvetica;sans-serif"/>
                <w:color w:val="14202A"/>
                <w:sz w:val="13"/>
              </w:rPr>
            </w:pPr>
            <w:r>
              <w:rPr>
                <w:rFonts w:ascii="Arial;Helvetica;sans-serif" w:hAnsi="Arial;Helvetica;sans-serif"/>
                <w:color w:val="14202A"/>
                <w:sz w:val="13"/>
              </w:rPr>
              <w:t>8,494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16,987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33,974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1,000,025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530" w:type="dxa"/>
            <w:vMerge w:val="restart"/>
            <w:tcBorders>
              <w:bottom w:val="single" w:sz="8" w:space="0" w:color="14202A"/>
            </w:tcBorders>
            <w:tcMar>
              <w:bottom w:w="93" w:type="dxa"/>
            </w:tcMar>
            <w:vAlign w:val="center"/>
          </w:tcPr>
          <w:p>
            <w:pPr>
              <w:pStyle w:val="TableContents"/>
              <w:bidi w:val="0"/>
              <w:spacing w:before="0" w:after="283"/>
              <w:ind w:left="40" w:right="0" w:hanging="0"/>
              <w:jc w:val="left"/>
              <w:rPr>
                <w:rFonts w:ascii="Arial;Helvetica;sans-serif" w:hAnsi="Arial;Helvetica;sans-serif"/>
                <w:color w:val="14202A"/>
                <w:sz w:val="13"/>
              </w:rPr>
            </w:pPr>
            <w:r>
              <w:rPr>
                <w:rFonts w:ascii="Arial;Helvetica;sans-serif" w:hAnsi="Arial;Helvetica;sans-serif"/>
                <w:color w:val="14202A"/>
                <w:sz w:val="13"/>
              </w:rPr>
              <w:t>Bryan L. Hughes​​​</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Stock Options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w:t>
            </w:r>
            <w:r>
              <w:rPr>
                <w:rFonts w:ascii="Arial;Helvetica;sans-serif" w:hAnsi="Arial;Helvetica;sans-serif"/>
                <w:color w:val="14202A"/>
                <w:sz w:val="13"/>
              </w:rPr>
              <w:t>7,942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rFonts w:ascii="Arial;Helvetica;sans-serif" w:hAnsi="Arial;Helvetica;sans-serif"/>
                <w:color w:val="14202A"/>
                <w:sz w:val="13"/>
              </w:rPr>
            </w:pPr>
            <w:r>
              <w:rPr>
                <w:rFonts w:ascii="Arial;Helvetica;sans-serif" w:hAnsi="Arial;Helvetica;sans-serif"/>
                <w:color w:val="14202A"/>
                <w:sz w:val="13"/>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187,511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RSU Award</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w:t>
            </w:r>
            <w:r>
              <w:rPr>
                <w:rFonts w:ascii="Arial;Helvetica;sans-serif" w:hAnsi="Arial;Helvetica;sans-serif"/>
                <w:color w:val="14202A"/>
                <w:sz w:val="13"/>
              </w:rPr>
              <w:t>7,432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437,522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OICP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rFonts w:ascii="Arial;Helvetica;sans-serif" w:hAnsi="Arial;Helvetica;sans-serif"/>
                <w:color w:val="14202A"/>
                <w:sz w:val="13"/>
              </w:rPr>
            </w:pPr>
            <w:r>
              <w:rPr>
                <w:rFonts w:ascii="Arial;Helvetica;sans-serif" w:hAnsi="Arial;Helvetica;sans-serif"/>
                <w:color w:val="14202A"/>
                <w:sz w:val="13"/>
              </w:rPr>
              <w:t>312,500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3"/>
              </w:rPr>
            </w:pPr>
            <w:r>
              <w:rPr>
                <w:rFonts w:ascii="Arial;Helvetica;sans-serif" w:hAnsi="Arial;Helvetica;sans-serif"/>
                <w:color w:val="14202A"/>
                <w:sz w:val="13"/>
              </w:rPr>
              <w:t>625,000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rFonts w:ascii="Arial;Helvetica;sans-serif" w:hAnsi="Arial;Helvetica;sans-serif"/>
                <w:color w:val="14202A"/>
                <w:sz w:val="13"/>
              </w:rPr>
            </w:pPr>
            <w:r>
              <w:rPr>
                <w:rFonts w:ascii="Arial;Helvetica;sans-serif" w:hAnsi="Arial;Helvetica;sans-serif"/>
                <w:color w:val="14202A"/>
                <w:sz w:val="13"/>
              </w:rPr>
              <w:t>1,250,000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2025-2027 LTIP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w:t>
            </w:r>
            <w:r>
              <w:rPr>
                <w:rFonts w:ascii="Arial;Helvetica;sans-serif" w:hAnsi="Arial;Helvetica;sans-serif"/>
                <w:color w:val="14202A"/>
                <w:sz w:val="13"/>
              </w:rPr>
              <w:t>5,309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10,617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21,234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625,023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PSUs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rFonts w:ascii="Arial;Helvetica;sans-serif" w:hAnsi="Arial;Helvetica;sans-serif"/>
                <w:color w:val="14202A"/>
                <w:sz w:val="13"/>
              </w:rPr>
            </w:pPr>
            <w:r>
              <w:rPr>
                <w:rFonts w:ascii="Arial;Helvetica;sans-serif" w:hAnsi="Arial;Helvetica;sans-serif"/>
                <w:color w:val="14202A"/>
                <w:sz w:val="13"/>
              </w:rPr>
              <w:t>3,185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6,370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12,740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375,002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40" w:right="0" w:hanging="0"/>
              <w:jc w:val="left"/>
              <w:rPr>
                <w:rFonts w:ascii="Arial;Helvetica;sans-serif" w:hAnsi="Arial;Helvetica;sans-serif"/>
                <w:color w:val="14202A"/>
                <w:sz w:val="13"/>
              </w:rPr>
            </w:pPr>
            <w:r>
              <w:rPr>
                <w:rFonts w:ascii="Arial;Helvetica;sans-serif" w:hAnsi="Arial;Helvetica;sans-serif"/>
                <w:color w:val="14202A"/>
                <w:sz w:val="13"/>
              </w:rPr>
              <w:t>Donald J. Clark</w:t>
            </w:r>
            <w:r>
              <w:rPr>
                <w:rFonts w:ascii="Arial;Helvetica;sans-serif" w:hAnsi="Arial;Helvetica;sans-serif"/>
                <w:color w:val="14202A"/>
                <w:position w:val="4"/>
                <w:sz w:val="10"/>
                <w:sz w:val="13"/>
              </w:rPr>
              <w:t>(6)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530" w:type="dxa"/>
            <w:vMerge w:val="restart"/>
            <w:tcBorders>
              <w:bottom w:val="single" w:sz="8" w:space="0" w:color="14202A"/>
            </w:tcBorders>
            <w:tcMar>
              <w:bottom w:w="93" w:type="dxa"/>
            </w:tcMar>
            <w:vAlign w:val="center"/>
          </w:tcPr>
          <w:p>
            <w:pPr>
              <w:pStyle w:val="TableContents"/>
              <w:bidi w:val="0"/>
              <w:spacing w:before="0" w:after="283"/>
              <w:ind w:left="40" w:right="0" w:hanging="0"/>
              <w:jc w:val="left"/>
              <w:rPr>
                <w:color w:val="14202A"/>
              </w:rPr>
            </w:pPr>
            <w:r>
              <w:rPr>
                <w:color w:val="14202A"/>
              </w:rPr>
              <w:t>​</w:t>
            </w:r>
            <w:r>
              <w:rPr>
                <w:rFonts w:ascii="Arial;Helvetica;sans-serif" w:hAnsi="Arial;Helvetica;sans-serif"/>
                <w:color w:val="14202A"/>
                <w:sz w:val="13"/>
              </w:rPr>
              <w:t>Casey J. Tubman</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Stock Options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w:t>
            </w:r>
            <w:r>
              <w:rPr>
                <w:rFonts w:ascii="Arial;Helvetica;sans-serif" w:hAnsi="Arial;Helvetica;sans-serif"/>
                <w:color w:val="14202A"/>
                <w:sz w:val="13"/>
              </w:rPr>
              <w:t>4,269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rFonts w:ascii="Arial;Helvetica;sans-serif" w:hAnsi="Arial;Helvetica;sans-serif"/>
                <w:color w:val="14202A"/>
                <w:sz w:val="13"/>
              </w:rPr>
            </w:pPr>
            <w:r>
              <w:rPr>
                <w:rFonts w:ascii="Arial;Helvetica;sans-serif" w:hAnsi="Arial;Helvetica;sans-serif"/>
                <w:color w:val="14202A"/>
                <w:sz w:val="13"/>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100,791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RSU Award</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rFonts w:ascii="Arial;Helvetica;sans-serif" w:hAnsi="Arial;Helvetica;sans-serif"/>
                <w:color w:val="14202A"/>
                <w:sz w:val="13"/>
              </w:rPr>
            </w:pPr>
            <w:r>
              <w:rPr>
                <w:rFonts w:ascii="Arial;Helvetica;sans-serif" w:hAnsi="Arial;Helvetica;sans-serif"/>
                <w:color w:val="14202A"/>
                <w:sz w:val="13"/>
              </w:rPr>
              <w:t>3,995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235,186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OICP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rFonts w:ascii="Arial;Helvetica;sans-serif" w:hAnsi="Arial;Helvetica;sans-serif"/>
                <w:color w:val="14202A"/>
                <w:sz w:val="13"/>
              </w:rPr>
            </w:pPr>
            <w:r>
              <w:rPr>
                <w:rFonts w:ascii="Arial;Helvetica;sans-serif" w:hAnsi="Arial;Helvetica;sans-serif"/>
                <w:color w:val="14202A"/>
                <w:sz w:val="13"/>
              </w:rPr>
              <w:t>266,000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3"/>
              </w:rPr>
            </w:pPr>
            <w:r>
              <w:rPr>
                <w:rFonts w:ascii="Arial;Helvetica;sans-serif" w:hAnsi="Arial;Helvetica;sans-serif"/>
                <w:color w:val="14202A"/>
                <w:sz w:val="13"/>
              </w:rPr>
              <w:t>532,000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rFonts w:ascii="Arial;Helvetica;sans-serif" w:hAnsi="Arial;Helvetica;sans-serif"/>
                <w:color w:val="14202A"/>
                <w:sz w:val="13"/>
              </w:rPr>
            </w:pPr>
            <w:r>
              <w:rPr>
                <w:rFonts w:ascii="Arial;Helvetica;sans-serif" w:hAnsi="Arial;Helvetica;sans-serif"/>
                <w:color w:val="14202A"/>
                <w:sz w:val="13"/>
              </w:rPr>
              <w:t>1,064,000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2025-2027 LTIP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rFonts w:ascii="Arial;Helvetica;sans-serif" w:hAnsi="Arial;Helvetica;sans-serif"/>
                <w:color w:val="14202A"/>
                <w:sz w:val="13"/>
              </w:rPr>
            </w:pPr>
            <w:r>
              <w:rPr>
                <w:rFonts w:ascii="Arial;Helvetica;sans-serif" w:hAnsi="Arial;Helvetica;sans-serif"/>
                <w:color w:val="14202A"/>
                <w:sz w:val="13"/>
              </w:rPr>
              <w:t>2,854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5,707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11,414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335,971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530" w:type="dxa"/>
            <w:vMerge w:val="continue"/>
            <w:tcBorders>
              <w:bottom w:val="single" w:sz="8" w:space="0" w:color="14202A"/>
            </w:tcBorders>
            <w:tcMar>
              <w:bottom w:w="9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PSUs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rFonts w:ascii="Arial;Helvetica;sans-serif" w:hAnsi="Arial;Helvetica;sans-serif"/>
                <w:color w:val="14202A"/>
                <w:sz w:val="13"/>
              </w:rPr>
            </w:pPr>
            <w:r>
              <w:rPr>
                <w:rFonts w:ascii="Arial;Helvetica;sans-serif" w:hAnsi="Arial;Helvetica;sans-serif"/>
                <w:color w:val="14202A"/>
                <w:sz w:val="13"/>
              </w:rPr>
              <w:t>2,283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4,566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9,132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268,800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530" w:type="dxa"/>
            <w:vMerge w:val="restart"/>
            <w:tcBorders/>
            <w:vAlign w:val="center"/>
          </w:tcPr>
          <w:p>
            <w:pPr>
              <w:pStyle w:val="TableContents"/>
              <w:bidi w:val="0"/>
              <w:spacing w:before="0" w:after="283"/>
              <w:ind w:left="40" w:right="0" w:hanging="0"/>
              <w:jc w:val="left"/>
              <w:rPr>
                <w:rFonts w:ascii="Arial;Helvetica;sans-serif" w:hAnsi="Arial;Helvetica;sans-serif"/>
                <w:color w:val="14202A"/>
                <w:sz w:val="13"/>
              </w:rPr>
            </w:pPr>
            <w:r>
              <w:rPr>
                <w:rFonts w:ascii="Arial;Helvetica;sans-serif" w:hAnsi="Arial;Helvetica;sans-serif"/>
                <w:color w:val="14202A"/>
                <w:sz w:val="13"/>
              </w:rPr>
              <w:t>Stacy L. Bogart</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Stock Options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w:t>
            </w:r>
            <w:r>
              <w:rPr>
                <w:rFonts w:ascii="Arial;Helvetica;sans-serif" w:hAnsi="Arial;Helvetica;sans-serif"/>
                <w:color w:val="14202A"/>
                <w:sz w:val="13"/>
              </w:rPr>
              <w:t>5,465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rFonts w:ascii="Arial;Helvetica;sans-serif" w:hAnsi="Arial;Helvetica;sans-serif"/>
                <w:color w:val="14202A"/>
                <w:sz w:val="13"/>
              </w:rPr>
            </w:pPr>
            <w:r>
              <w:rPr>
                <w:rFonts w:ascii="Arial;Helvetica;sans-serif" w:hAnsi="Arial;Helvetica;sans-serif"/>
                <w:color w:val="14202A"/>
                <w:sz w:val="13"/>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129,029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5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RSU Award</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w:t>
            </w:r>
            <w:r>
              <w:rPr>
                <w:rFonts w:ascii="Arial;Helvetica;sans-serif" w:hAnsi="Arial;Helvetica;sans-serif"/>
                <w:color w:val="14202A"/>
                <w:sz w:val="13"/>
              </w:rPr>
              <w:t>5,114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301,061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5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OICP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rFonts w:ascii="Arial;Helvetica;sans-serif" w:hAnsi="Arial;Helvetica;sans-serif"/>
                <w:color w:val="14202A"/>
                <w:sz w:val="13"/>
              </w:rPr>
            </w:pPr>
            <w:r>
              <w:rPr>
                <w:rFonts w:ascii="Arial;Helvetica;sans-serif" w:hAnsi="Arial;Helvetica;sans-serif"/>
                <w:color w:val="14202A"/>
                <w:sz w:val="13"/>
              </w:rPr>
              <w:t>235,875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3"/>
              </w:rPr>
            </w:pPr>
            <w:r>
              <w:rPr>
                <w:rFonts w:ascii="Arial;Helvetica;sans-serif" w:hAnsi="Arial;Helvetica;sans-serif"/>
                <w:color w:val="14202A"/>
                <w:sz w:val="13"/>
              </w:rPr>
              <w:t>471,750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rFonts w:ascii="Arial;Helvetica;sans-serif" w:hAnsi="Arial;Helvetica;sans-serif"/>
                <w:color w:val="14202A"/>
                <w:sz w:val="13"/>
              </w:rPr>
            </w:pPr>
            <w:r>
              <w:rPr>
                <w:rFonts w:ascii="Arial;Helvetica;sans-serif" w:hAnsi="Arial;Helvetica;sans-serif"/>
                <w:color w:val="14202A"/>
                <w:sz w:val="13"/>
              </w:rPr>
              <w:t>943,500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5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93" w:type="dxa"/>
            </w:tcMar>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2025-2027 LTIP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93" w:type="dxa"/>
            </w:tcMar>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7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26"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93" w:type="dxa"/>
            </w:tcMar>
            <w:vAlign w:val="center"/>
          </w:tcPr>
          <w:p>
            <w:pPr>
              <w:pStyle w:val="TableContents"/>
              <w:bidi w:val="0"/>
              <w:spacing w:before="0" w:after="283"/>
              <w:ind w:left="131" w:right="0" w:hanging="0"/>
              <w:jc w:val="left"/>
              <w:rPr>
                <w:color w:val="14202A"/>
              </w:rPr>
            </w:pPr>
            <w:r>
              <w:rPr>
                <w:color w:val="14202A"/>
              </w:rPr>
              <w:t>​</w:t>
            </w:r>
            <w:r>
              <w:rPr>
                <w:rFonts w:ascii="Arial;Helvetica;sans-serif" w:hAnsi="Arial;Helvetica;sans-serif"/>
                <w:color w:val="14202A"/>
                <w:sz w:val="13"/>
              </w:rPr>
              <w:t>3,653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93" w:type="dxa"/>
            </w:tcMar>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7,306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14,612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93" w:type="dxa"/>
            </w:tcMar>
            <w:vAlign w:val="center"/>
          </w:tcPr>
          <w:p>
            <w:pPr>
              <w:pStyle w:val="TableContents"/>
              <w:bidi w:val="0"/>
              <w:spacing w:before="0" w:after="283"/>
              <w:ind w:left="12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93" w:type="dxa"/>
            </w:tcMar>
            <w:vAlign w:val="center"/>
          </w:tcPr>
          <w:p>
            <w:pPr>
              <w:pStyle w:val="TableContents"/>
              <w:bidi w:val="0"/>
              <w:spacing w:before="0" w:after="283"/>
              <w:ind w:left="17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93" w:type="dxa"/>
            </w:tcMar>
            <w:vAlign w:val="center"/>
          </w:tcPr>
          <w:p>
            <w:pPr>
              <w:pStyle w:val="TableContents"/>
              <w:bidi w:val="0"/>
              <w:spacing w:before="0" w:after="283"/>
              <w:ind w:left="1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93" w:type="dxa"/>
            </w:tcMar>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 xml:space="preserve">430,104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5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Arial;Helvetica;sans-serif" w:hAnsi="Arial;Helvetica;sans-serif"/>
                <w:color w:val="14202A"/>
                <w:sz w:val="14"/>
              </w:rPr>
            </w:pPr>
            <w:r>
              <w:rPr>
                <w:rFonts w:ascii="Arial;Helvetica;sans-serif" w:hAnsi="Arial;Helvetica;sans-serif"/>
                <w:color w:val="14202A"/>
                <w:sz w:val="14"/>
              </w:rPr>
              <w:t>2025 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64" w:right="0" w:hanging="0"/>
              <w:jc w:val="left"/>
              <w:rPr>
                <w:rFonts w:ascii="Arial;Helvetica;sans-serif" w:hAnsi="Arial;Helvetica;sans-serif"/>
                <w:color w:val="14202A"/>
                <w:sz w:val="13"/>
              </w:rPr>
            </w:pPr>
            <w:r>
              <w:rPr>
                <w:rFonts w:ascii="Arial;Helvetica;sans-serif" w:hAnsi="Arial;Helvetica;sans-serif"/>
                <w:color w:val="14202A"/>
                <w:sz w:val="13"/>
              </w:rPr>
              <w:t>10/15/24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9"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26"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1" w:right="0" w:hanging="0"/>
              <w:jc w:val="left"/>
              <w:rPr>
                <w:rFonts w:ascii="Arial;Helvetica;sans-serif" w:hAnsi="Arial;Helvetica;sans-serif"/>
                <w:color w:val="14202A"/>
                <w:sz w:val="13"/>
              </w:rPr>
            </w:pPr>
            <w:r>
              <w:rPr>
                <w:rFonts w:ascii="Arial;Helvetica;sans-serif" w:hAnsi="Arial;Helvetica;sans-serif"/>
                <w:color w:val="14202A"/>
                <w:sz w:val="13"/>
              </w:rPr>
              <w:t>2,192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4" w:right="0" w:hanging="0"/>
              <w:jc w:val="left"/>
              <w:rPr>
                <w:rFonts w:ascii="Arial;Helvetica;sans-serif" w:hAnsi="Arial;Helvetica;sans-serif"/>
                <w:color w:val="14202A"/>
                <w:sz w:val="13"/>
              </w:rPr>
            </w:pPr>
            <w:r>
              <w:rPr>
                <w:rFonts w:ascii="Arial;Helvetica;sans-serif" w:hAnsi="Arial;Helvetica;sans-serif"/>
                <w:color w:val="14202A"/>
                <w:sz w:val="13"/>
              </w:rPr>
              <w:t>4,384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20" w:right="0" w:hanging="0"/>
              <w:jc w:val="left"/>
              <w:rPr>
                <w:rFonts w:ascii="Arial;Helvetica;sans-serif" w:hAnsi="Arial;Helvetica;sans-serif"/>
                <w:color w:val="14202A"/>
                <w:sz w:val="13"/>
              </w:rPr>
            </w:pPr>
            <w:r>
              <w:rPr>
                <w:rFonts w:ascii="Arial;Helvetica;sans-serif" w:hAnsi="Arial;Helvetica;sans-serif"/>
                <w:color w:val="14202A"/>
                <w:sz w:val="13"/>
              </w:rPr>
              <w:t>8,768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23"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72"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1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5" w:right="0" w:hanging="0"/>
              <w:jc w:val="left"/>
              <w:rPr>
                <w:rFonts w:ascii="Arial;Helvetica;sans-serif" w:hAnsi="Arial;Helvetica;sans-serif"/>
                <w:color w:val="14202A"/>
                <w:sz w:val="13"/>
              </w:rPr>
            </w:pPr>
            <w:r>
              <w:rPr>
                <w:rFonts w:ascii="Arial;Helvetica;sans-serif" w:hAnsi="Arial;Helvetica;sans-serif"/>
                <w:color w:val="14202A"/>
                <w:sz w:val="13"/>
              </w:rPr>
              <w:t>258,086</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4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4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2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6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9725" w:type="dxa"/>
        <w:jc w:val="left"/>
        <w:tblInd w:w="480" w:type="dxa"/>
        <w:tblLayout w:type="fixed"/>
        <w:tblCellMar>
          <w:top w:w="0" w:type="dxa"/>
          <w:left w:w="0" w:type="dxa"/>
          <w:bottom w:w="0" w:type="dxa"/>
          <w:right w:w="0" w:type="dxa"/>
        </w:tblCellMar>
      </w:tblPr>
      <w:tblGrid>
        <w:gridCol w:w="190"/>
        <w:gridCol w:w="9535"/>
      </w:tblGrid>
      <w:tr>
        <w:trPr/>
        <w:tc>
          <w:tcPr>
            <w:tcW w:w="19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953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Fiscal 2025 OICP targets annual performance against goals approved by the committee. Awards under the Fiscal 2025 OICP are payable in cash. The threshold, target and maximum amounts presented above represent amounts that could have been earned by our NEOs for Fiscal 2025 under the Fiscal 2025 OICP. </w:t>
            </w:r>
          </w:p>
        </w:tc>
      </w:tr>
    </w:tbl>
    <w:tbl>
      <w:tblPr>
        <w:tblW w:w="9725" w:type="dxa"/>
        <w:jc w:val="left"/>
        <w:tblInd w:w="480" w:type="dxa"/>
        <w:tblLayout w:type="fixed"/>
        <w:tblCellMar>
          <w:top w:w="0" w:type="dxa"/>
          <w:left w:w="0" w:type="dxa"/>
          <w:bottom w:w="0" w:type="dxa"/>
          <w:right w:w="0" w:type="dxa"/>
        </w:tblCellMar>
      </w:tblPr>
      <w:tblGrid>
        <w:gridCol w:w="189"/>
        <w:gridCol w:w="9536"/>
      </w:tblGrid>
      <w:tr>
        <w:trPr/>
        <w:tc>
          <w:tcPr>
            <w:tcW w:w="18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953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Fiscal 2025-2027 LTIP refers to our performance share units. For each of the NEOs except for Mr. Clark, the threshold, target and maximum amounts under the Fiscal 2025-2027 LTIP represent potential performance share amounts that are measured over a three-year performance period from September 1, 2024 through August 28, 2027. </w:t>
            </w:r>
          </w:p>
        </w:tc>
      </w:tr>
    </w:tbl>
    <w:tbl>
      <w:tblPr>
        <w:tblW w:w="6580" w:type="dxa"/>
        <w:jc w:val="left"/>
        <w:tblInd w:w="480" w:type="dxa"/>
        <w:tblLayout w:type="fixed"/>
        <w:tblCellMar>
          <w:top w:w="0" w:type="dxa"/>
          <w:left w:w="0" w:type="dxa"/>
          <w:bottom w:w="0" w:type="dxa"/>
          <w:right w:w="0" w:type="dxa"/>
        </w:tblCellMar>
      </w:tblPr>
      <w:tblGrid>
        <w:gridCol w:w="215"/>
        <w:gridCol w:w="636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636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Consists of restricted stock units that vest one-third each year on the anniversary of the grant date. </w:t>
            </w:r>
          </w:p>
        </w:tc>
      </w:tr>
    </w:tbl>
    <w:tbl>
      <w:tblPr>
        <w:tblW w:w="9055" w:type="dxa"/>
        <w:jc w:val="left"/>
        <w:tblInd w:w="480" w:type="dxa"/>
        <w:tblLayout w:type="fixed"/>
        <w:tblCellMar>
          <w:top w:w="0" w:type="dxa"/>
          <w:left w:w="0" w:type="dxa"/>
          <w:bottom w:w="0" w:type="dxa"/>
          <w:right w:w="0" w:type="dxa"/>
        </w:tblCellMar>
      </w:tblPr>
      <w:tblGrid>
        <w:gridCol w:w="215"/>
        <w:gridCol w:w="884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884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grant date fair value per share of the restricted stock was $58.87. The Black-Scholes grant date fair value per option award was $23.61. </w:t>
            </w:r>
          </w:p>
        </w:tc>
      </w:tr>
    </w:tbl>
    <w:tbl>
      <w:tblPr>
        <w:tblW w:w="9725" w:type="dxa"/>
        <w:jc w:val="left"/>
        <w:tblInd w:w="480" w:type="dxa"/>
        <w:tblLayout w:type="fixed"/>
        <w:tblCellMar>
          <w:top w:w="0" w:type="dxa"/>
          <w:left w:w="0" w:type="dxa"/>
          <w:bottom w:w="0" w:type="dxa"/>
          <w:right w:w="0" w:type="dxa"/>
        </w:tblCellMar>
      </w:tblPr>
      <w:tblGrid>
        <w:gridCol w:w="210"/>
        <w:gridCol w:w="9515"/>
      </w:tblGrid>
      <w:tr>
        <w:trPr/>
        <w:tc>
          <w:tcPr>
            <w:tcW w:w="2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95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committee approved the Fiscal 2025 OICP and Fiscal 2025-2027 LTIP performance share units on October 15, 2024, effective as of the beginning of Fiscal 2025. </w:t>
            </w:r>
          </w:p>
        </w:tc>
      </w:tr>
    </w:tbl>
    <w:tbl>
      <w:tblPr>
        <w:tblW w:w="9725" w:type="dxa"/>
        <w:jc w:val="left"/>
        <w:tblInd w:w="480" w:type="dxa"/>
        <w:tblLayout w:type="fixed"/>
        <w:tblCellMar>
          <w:top w:w="0" w:type="dxa"/>
          <w:left w:w="0" w:type="dxa"/>
          <w:bottom w:w="0" w:type="dxa"/>
          <w:right w:w="0" w:type="dxa"/>
        </w:tblCellMar>
      </w:tblPr>
      <w:tblGrid>
        <w:gridCol w:w="198"/>
        <w:gridCol w:w="9527"/>
      </w:tblGrid>
      <w:tr>
        <w:trPr/>
        <w:tc>
          <w:tcPr>
            <w:tcW w:w="19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(6)</w:t>
            </w:r>
          </w:p>
        </w:tc>
        <w:tc>
          <w:tcPr>
            <w:tcW w:w="952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Mr. Clark is not eligible to participate in the OICP or LTIP; however he remains eligible to participate in the Grand Design MIP. For Fiscal 2025, Mr. Clark’s annual incentive plan payout under the Grand Design MIP paid out 100% in cash. </w:t>
            </w:r>
          </w:p>
        </w:tc>
      </w:tr>
    </w:tbl>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0" w:name="ny20052074x1_def14a_110-compensation_pg4"/>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121" w:name="tNAR"/>
      <w:bookmarkEnd w:id="121"/>
      <w:r>
        <w:rPr>
          <w:rFonts w:ascii="Arial;Helvetica;sans-serif" w:hAnsi="Arial;Helvetica;sans-serif"/>
          <w:b/>
          <w:color w:val="D8E47A"/>
          <w:sz w:val="24"/>
        </w:rPr>
        <w:t xml:space="preserve">Narrative Disclosure to Summary Compensation Table and Grants of Plan-Based Awards Table </w:t>
      </w:r>
    </w:p>
    <w:p>
      <w:pPr>
        <w:pStyle w:val="TextBody"/>
        <w:bidi w:val="0"/>
        <w:spacing w:before="18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Executive Employment Arrangements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None of the current NEOs has an employment agreement except for Mr. Happe and Mr. Clark, as previously discussed. However, all NEOs are party to a CIC Agreement that provides the executive with two-year (or three-year, in the case of Mr. Happe, or capped at $3,000,000 in the case of Mr. Clark) severance benefits in the event he or she ceased to be employed by the Company within two years of a change in control, as defined in the CIC Agreement. Discussion of the payouts provided for under various termination situations is set forth in the section “Potential Payments upon Termination or Change in Control” below.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Base Salary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general, the committee annually reviews and adjusts base pay, in keeping with the overall objectives, pay philosophy and relative position with comparable companies, as discussed in more detail in the Compensation Discussion and Analysis.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Time-Based Stock and Option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retirement (at the earlier of age 65, or age 55 with 10 years of service) or certain termination of employment scenarios, as set forth in the section “Potential Payments upon Termination or Change in Control” below.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Annual Incentive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Long-Term Incentive Plans/Performance Share Units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This element of compensation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49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ny20052074x1_def14a_110-compensation_pg5"/>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480" w:right="0" w:hanging="0"/>
        <w:jc w:val="left"/>
        <w:rPr>
          <w:rFonts w:ascii="Arial;Helvetica;sans-serif" w:hAnsi="Arial;Helvetica;sans-serif"/>
          <w:b/>
          <w:color w:val="D8E47A"/>
          <w:sz w:val="24"/>
        </w:rPr>
      </w:pPr>
      <w:bookmarkStart w:id="123" w:name="tOUT"/>
      <w:bookmarkEnd w:id="123"/>
      <w:r>
        <w:rPr>
          <w:rFonts w:ascii="Arial;Helvetica;sans-serif" w:hAnsi="Arial;Helvetica;sans-serif"/>
          <w:b/>
          <w:color w:val="D8E47A"/>
          <w:sz w:val="24"/>
        </w:rPr>
        <w:t xml:space="preserve">Outstanding Equity Awards at Fiscal Year-End Table </w:t>
      </w:r>
    </w:p>
    <w:p>
      <w:pPr>
        <w:pStyle w:val="TextBody"/>
        <w:bidi w:val="0"/>
        <w:spacing w:before="160" w:after="283"/>
        <w:ind w:left="48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provides information regarding the outstanding equity awards held by each of the NEOs as of August 30, 2025: </w:t>
      </w:r>
    </w:p>
    <w:tbl>
      <w:tblPr>
        <w:tblW w:w="10205" w:type="dxa"/>
        <w:jc w:val="left"/>
        <w:tblInd w:w="0" w:type="dxa"/>
        <w:tblLayout w:type="fixed"/>
        <w:tblCellMar>
          <w:top w:w="0" w:type="dxa"/>
          <w:left w:w="0" w:type="dxa"/>
          <w:bottom w:w="0" w:type="dxa"/>
          <w:right w:w="0" w:type="dxa"/>
        </w:tblCellMar>
      </w:tblPr>
      <w:tblGrid>
        <w:gridCol w:w="185"/>
        <w:gridCol w:w="727"/>
        <w:gridCol w:w="170"/>
        <w:gridCol w:w="170"/>
        <w:gridCol w:w="859"/>
        <w:gridCol w:w="170"/>
        <w:gridCol w:w="170"/>
        <w:gridCol w:w="965"/>
        <w:gridCol w:w="170"/>
        <w:gridCol w:w="170"/>
        <w:gridCol w:w="634"/>
        <w:gridCol w:w="170"/>
        <w:gridCol w:w="170"/>
        <w:gridCol w:w="724"/>
        <w:gridCol w:w="170"/>
        <w:gridCol w:w="170"/>
        <w:gridCol w:w="693"/>
        <w:gridCol w:w="170"/>
        <w:gridCol w:w="170"/>
        <w:gridCol w:w="773"/>
        <w:gridCol w:w="170"/>
        <w:gridCol w:w="170"/>
        <w:gridCol w:w="842"/>
        <w:gridCol w:w="170"/>
        <w:gridCol w:w="170"/>
        <w:gridCol w:w="862"/>
        <w:gridCol w:w="221"/>
      </w:tblGrid>
      <w:tr>
        <w:trPr/>
        <w:tc>
          <w:tcPr>
            <w:tcW w:w="185" w:type="dxa"/>
            <w:tcBorders/>
            <w:shd w:fill="14202A" w:val="clear"/>
            <w:vAlign w:val="center"/>
          </w:tcPr>
          <w:p>
            <w:pPr>
              <w:pStyle w:val="TableContents"/>
              <w:bidi w:val="0"/>
              <w:spacing w:before="0" w:after="0"/>
              <w:jc w:val="left"/>
              <w:rPr/>
            </w:pPr>
            <w:r>
              <w:rPr/>
              <w:t> </w:t>
            </w:r>
          </w:p>
        </w:tc>
        <w:tc>
          <w:tcPr>
            <w:tcW w:w="727"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202" w:type="dxa"/>
            <w:gridSpan w:val="10"/>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806"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44" w:type="dxa"/>
            <w:gridSpan w:val="4"/>
            <w:tcBorders/>
            <w:shd w:fill="14202A" w:val="clear"/>
            <w:vAlign w:val="center"/>
          </w:tcPr>
          <w:p>
            <w:pPr>
              <w:pStyle w:val="TableContents"/>
              <w:bidi w:val="0"/>
              <w:spacing w:before="0" w:after="0"/>
              <w:jc w:val="left"/>
              <w:rPr/>
            </w:pPr>
            <w:r>
              <w:rPr/>
              <w:t> </w:t>
            </w:r>
          </w:p>
        </w:tc>
        <w:tc>
          <w:tcPr>
            <w:tcW w:w="221" w:type="dxa"/>
            <w:tcBorders/>
            <w:shd w:fill="14202A" w:val="clear"/>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727" w:type="dxa"/>
            <w:vMerge w:val="restart"/>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202" w:type="dxa"/>
            <w:gridSpan w:val="10"/>
            <w:tcBorders>
              <w:bottom w:val="single" w:sz="8" w:space="0" w:color="FFFFFF"/>
            </w:tcBorders>
            <w:shd w:fill="14202A" w:val="clear"/>
            <w:tcMar>
              <w:bottom w:w="4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 Awards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806" w:type="dxa"/>
            <w:gridSpan w:val="4"/>
            <w:tcBorders>
              <w:bottom w:val="single" w:sz="8" w:space="0" w:color="FFFFFF"/>
            </w:tcBorders>
            <w:shd w:fill="14202A" w:val="clear"/>
            <w:tcMar>
              <w:bottom w:w="4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 Awards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44" w:type="dxa"/>
            <w:gridSpan w:val="4"/>
            <w:tcBorders>
              <w:bottom w:val="single" w:sz="8" w:space="0" w:color="FFFFFF"/>
            </w:tcBorders>
            <w:shd w:fill="14202A" w:val="clear"/>
            <w:tcMar>
              <w:bottom w:w="4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LTIP / Performance Shares </w:t>
            </w:r>
          </w:p>
        </w:tc>
        <w:tc>
          <w:tcPr>
            <w:tcW w:w="221" w:type="dxa"/>
            <w:tcBorders/>
            <w:shd w:fill="14202A" w:val="clear"/>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727"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shd w:fill="14202A" w:val="clear"/>
            <w:vAlign w:val="center"/>
          </w:tcPr>
          <w:p>
            <w:pPr>
              <w:pStyle w:val="TableContents"/>
              <w:bidi w:val="0"/>
              <w:spacing w:before="0" w:after="0"/>
              <w:jc w:val="left"/>
              <w:rPr/>
            </w:pPr>
            <w:r>
              <w:rPr/>
              <w:t> </w:t>
            </w:r>
          </w:p>
        </w:tc>
        <w:tc>
          <w:tcPr>
            <w:tcW w:w="859"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Exercisable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Unexercisable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3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Price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Expiration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93"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of 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3"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Market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Shares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of 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(16)</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4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Unearned Shares,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or 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Rights That Have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Not Yet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Market or Payout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Unearned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Units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 Rights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Have Not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(17)</w:t>
            </w:r>
            <w:r>
              <w:rPr>
                <w:rFonts w:ascii="Arial;Helvetica;sans-serif" w:hAnsi="Arial;Helvetica;sans-serif"/>
                <w:b/>
                <w:color w:val="FFFFFF"/>
                <w:sz w:val="14"/>
              </w:rPr>
              <w:t xml:space="preserve"> </w:t>
            </w:r>
          </w:p>
        </w:tc>
        <w:tc>
          <w:tcPr>
            <w:tcW w:w="221" w:type="dxa"/>
            <w:tcBorders/>
            <w:shd w:fill="14202A" w:val="cle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27" w:type="dxa"/>
            <w:vMerge w:val="restart"/>
            <w:tcBorders>
              <w:bottom w:val="single" w:sz="8" w:space="0" w:color="14202A"/>
            </w:tcBorders>
            <w:tcMar>
              <w:bottom w:w="4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Michael J. Happe</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10,000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16.67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01/18/26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13,300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(2)</w:t>
            </w:r>
            <w:r>
              <w:rPr>
                <w:rFonts w:ascii="Arial;Helvetica;sans-serif" w:hAnsi="Arial;Helvetica;sans-serif"/>
                <w:color w:val="14202A"/>
                <w:sz w:val="14"/>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27.89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10/11/26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17,000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35.50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12/13/26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28,015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44.40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10/18/27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42,831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31.70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10/15/28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27,417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47.93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12/17/29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25,660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54.49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10/13/30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20,669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75.59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10/12/31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20,883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rFonts w:ascii="Arial;Helvetica;sans-serif" w:hAnsi="Arial;Helvetica;sans-serif"/>
                <w:color w:val="14202A"/>
                <w:sz w:val="14"/>
              </w:rPr>
            </w:pPr>
            <w:r>
              <w:rPr>
                <w:rFonts w:ascii="Arial;Helvetica;sans-serif" w:hAnsi="Arial;Helvetica;sans-serif"/>
                <w:color w:val="14202A"/>
                <w:sz w:val="14"/>
              </w:rPr>
              <w:t>10,445</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56.09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10/11/32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11,054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rFonts w:ascii="Arial;Helvetica;sans-serif" w:hAnsi="Arial;Helvetica;sans-serif"/>
                <w:color w:val="14202A"/>
                <w:sz w:val="14"/>
              </w:rPr>
            </w:pPr>
            <w:r>
              <w:rPr>
                <w:rFonts w:ascii="Arial;Helvetica;sans-serif" w:hAnsi="Arial;Helvetica;sans-serif"/>
                <w:color w:val="14202A"/>
                <w:sz w:val="14"/>
              </w:rPr>
              <w:t>22,113</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58.68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10/10/33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rFonts w:ascii="Arial;Helvetica;sans-serif" w:hAnsi="Arial;Helvetica;sans-serif"/>
                <w:color w:val="14202A"/>
                <w:sz w:val="14"/>
              </w:rPr>
            </w:pPr>
            <w:r>
              <w:rPr>
                <w:rFonts w:ascii="Arial;Helvetica;sans-serif" w:hAnsi="Arial;Helvetica;sans-serif"/>
                <w:color w:val="14202A"/>
                <w:sz w:val="14"/>
              </w:rPr>
              <w:t>38,755</w:t>
            </w:r>
            <w:r>
              <w:rPr>
                <w:rFonts w:ascii="Arial;Helvetica;sans-serif" w:hAnsi="Arial;Helvetica;sans-serif"/>
                <w:color w:val="14202A"/>
                <w:position w:val="5"/>
                <w:sz w:val="11"/>
                <w:sz w:val="14"/>
              </w:rPr>
              <w:t>(11)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10/15/34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44,571</w:t>
            </w:r>
            <w:r>
              <w:rPr>
                <w:rFonts w:ascii="Arial;Helvetica;sans-serif" w:hAnsi="Arial;Helvetica;sans-serif"/>
                <w:color w:val="14202A"/>
                <w:position w:val="5"/>
                <w:sz w:val="11"/>
                <w:sz w:val="14"/>
              </w:rPr>
              <w:t>(12)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1,603,665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47,290</w:t>
            </w:r>
            <w:r>
              <w:rPr>
                <w:rFonts w:ascii="Arial;Helvetica;sans-serif" w:hAnsi="Arial;Helvetica;sans-serif"/>
                <w:color w:val="14202A"/>
                <w:position w:val="5"/>
                <w:sz w:val="11"/>
                <w:sz w:val="14"/>
              </w:rPr>
              <w:t>(13)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1,701,494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51,809</w:t>
            </w:r>
            <w:r>
              <w:rPr>
                <w:rFonts w:ascii="Arial;Helvetica;sans-serif" w:hAnsi="Arial;Helvetica;sans-serif"/>
                <w:color w:val="14202A"/>
                <w:position w:val="5"/>
                <w:sz w:val="11"/>
                <w:sz w:val="14"/>
              </w:rPr>
              <w:t>(14)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1,864,088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16,987</w:t>
            </w:r>
            <w:r>
              <w:rPr>
                <w:rFonts w:ascii="Arial;Helvetica;sans-serif" w:hAnsi="Arial;Helvetica;sans-serif"/>
                <w:color w:val="14202A"/>
                <w:position w:val="5"/>
                <w:sz w:val="11"/>
                <w:sz w:val="14"/>
              </w:rPr>
              <w:t>(15)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rFonts w:ascii="Arial;Helvetica;sans-serif" w:hAnsi="Arial;Helvetica;sans-serif"/>
                <w:color w:val="14202A"/>
                <w:sz w:val="14"/>
              </w:rPr>
            </w:pPr>
            <w:r>
              <w:rPr>
                <w:rFonts w:ascii="Arial;Helvetica;sans-serif" w:hAnsi="Arial;Helvetica;sans-serif"/>
                <w:color w:val="14202A"/>
                <w:sz w:val="14"/>
              </w:rPr>
              <w:t xml:space="preserve">611,192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10,403</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374,300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22,070</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794,079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36,266</w:t>
            </w:r>
            <w:r>
              <w:rPr>
                <w:rFonts w:ascii="Arial;Helvetica;sans-serif" w:hAnsi="Arial;Helvetica;sans-serif"/>
                <w:color w:val="14202A"/>
                <w:position w:val="5"/>
                <w:sz w:val="11"/>
                <w:sz w:val="14"/>
              </w:rPr>
              <w:t>(11)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1,304,851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27" w:type="dxa"/>
            <w:vMerge w:val="restart"/>
            <w:tcBorders>
              <w:bottom w:val="single" w:sz="8" w:space="0" w:color="14202A"/>
            </w:tcBorders>
            <w:tcMar>
              <w:bottom w:w="4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Bryan L. Hughes</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8,373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44.40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10/18/27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11,438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31.70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10/15/28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4,932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47.93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12/17/29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4,811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54.49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10/13/30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4,060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position w:val="5"/>
                <w:sz w:val="11"/>
                <w:sz w:val="14"/>
              </w:rPr>
              <w:t>(8)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75.59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10/12/31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4,202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rFonts w:ascii="Arial;Helvetica;sans-serif" w:hAnsi="Arial;Helvetica;sans-serif"/>
                <w:color w:val="14202A"/>
                <w:sz w:val="14"/>
              </w:rPr>
            </w:pPr>
            <w:r>
              <w:rPr>
                <w:rFonts w:ascii="Arial;Helvetica;sans-serif" w:hAnsi="Arial;Helvetica;sans-serif"/>
                <w:color w:val="14202A"/>
                <w:sz w:val="14"/>
              </w:rPr>
              <w:t>2,103</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56.09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10/11/32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rFonts w:ascii="Arial;Helvetica;sans-serif" w:hAnsi="Arial;Helvetica;sans-serif"/>
                <w:color w:val="14202A"/>
                <w:sz w:val="14"/>
              </w:rPr>
            </w:pPr>
            <w:r>
              <w:rPr>
                <w:rFonts w:ascii="Arial;Helvetica;sans-serif" w:hAnsi="Arial;Helvetica;sans-serif"/>
                <w:color w:val="14202A"/>
                <w:sz w:val="14"/>
              </w:rPr>
              <w:t>2,151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rFonts w:ascii="Arial;Helvetica;sans-serif" w:hAnsi="Arial;Helvetica;sans-serif"/>
                <w:color w:val="14202A"/>
                <w:sz w:val="14"/>
              </w:rPr>
            </w:pPr>
            <w:r>
              <w:rPr>
                <w:rFonts w:ascii="Arial;Helvetica;sans-serif" w:hAnsi="Arial;Helvetica;sans-serif"/>
                <w:color w:val="14202A"/>
                <w:sz w:val="14"/>
              </w:rPr>
              <w:t>4,303</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58.68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10/10/33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rFonts w:ascii="Arial;Helvetica;sans-serif" w:hAnsi="Arial;Helvetica;sans-serif"/>
                <w:color w:val="14202A"/>
                <w:sz w:val="14"/>
              </w:rPr>
            </w:pPr>
            <w:r>
              <w:rPr>
                <w:rFonts w:ascii="Arial;Helvetica;sans-serif" w:hAnsi="Arial;Helvetica;sans-serif"/>
                <w:color w:val="14202A"/>
                <w:sz w:val="14"/>
              </w:rPr>
              <w:t>7,942</w:t>
            </w:r>
            <w:r>
              <w:rPr>
                <w:rFonts w:ascii="Arial;Helvetica;sans-serif" w:hAnsi="Arial;Helvetica;sans-serif"/>
                <w:color w:val="14202A"/>
                <w:position w:val="5"/>
                <w:sz w:val="11"/>
                <w:sz w:val="14"/>
              </w:rPr>
              <w:t>(11)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10/15/34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8,970</w:t>
            </w:r>
            <w:r>
              <w:rPr>
                <w:rFonts w:ascii="Arial;Helvetica;sans-serif" w:hAnsi="Arial;Helvetica;sans-serif"/>
                <w:color w:val="14202A"/>
                <w:position w:val="5"/>
                <w:sz w:val="11"/>
                <w:sz w:val="14"/>
              </w:rPr>
              <w:t>(12)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322,741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9,202</w:t>
            </w:r>
            <w:r>
              <w:rPr>
                <w:rFonts w:ascii="Arial;Helvetica;sans-serif" w:hAnsi="Arial;Helvetica;sans-serif"/>
                <w:color w:val="14202A"/>
                <w:position w:val="5"/>
                <w:sz w:val="11"/>
                <w:sz w:val="14"/>
              </w:rPr>
              <w:t>(13)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331,088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10,617</w:t>
            </w:r>
            <w:r>
              <w:rPr>
                <w:rFonts w:ascii="Arial;Helvetica;sans-serif" w:hAnsi="Arial;Helvetica;sans-serif"/>
                <w:color w:val="14202A"/>
                <w:position w:val="5"/>
                <w:sz w:val="11"/>
                <w:sz w:val="14"/>
              </w:rPr>
              <w:t>(14)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382,000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6,370</w:t>
            </w:r>
            <w:r>
              <w:rPr>
                <w:rFonts w:ascii="Arial;Helvetica;sans-serif" w:hAnsi="Arial;Helvetica;sans-serif"/>
                <w:color w:val="14202A"/>
                <w:position w:val="5"/>
                <w:sz w:val="11"/>
                <w:sz w:val="14"/>
              </w:rPr>
              <w:t>(15)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rFonts w:ascii="Arial;Helvetica;sans-serif" w:hAnsi="Arial;Helvetica;sans-serif"/>
                <w:color w:val="14202A"/>
                <w:sz w:val="14"/>
              </w:rPr>
            </w:pPr>
            <w:r>
              <w:rPr>
                <w:rFonts w:ascii="Arial;Helvetica;sans-serif" w:hAnsi="Arial;Helvetica;sans-serif"/>
                <w:color w:val="14202A"/>
                <w:sz w:val="14"/>
              </w:rPr>
              <w:t xml:space="preserve">229,193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2,094</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75,342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4,295</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154,534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7,432</w:t>
            </w:r>
            <w:r>
              <w:rPr>
                <w:rFonts w:ascii="Arial;Helvetica;sans-serif" w:hAnsi="Arial;Helvetica;sans-serif"/>
                <w:color w:val="14202A"/>
                <w:position w:val="5"/>
                <w:sz w:val="11"/>
                <w:sz w:val="14"/>
              </w:rPr>
              <w:t>(11)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267,403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727" w:type="dxa"/>
            <w:vMerge w:val="restart"/>
            <w:tcBorders>
              <w:bottom w:val="single" w:sz="8" w:space="0" w:color="14202A"/>
            </w:tcBorders>
            <w:tcMar>
              <w:bottom w:w="43" w:type="dxa"/>
            </w:tcMar>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Donald J. Clark</w:t>
            </w:r>
          </w:p>
        </w:tc>
        <w:tc>
          <w:tcPr>
            <w:tcW w:w="170" w:type="dxa"/>
            <w:vMerge w:val="restart"/>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11,642</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418,879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14202A"/>
            </w:tcBorders>
            <w:tcMar>
              <w:bottom w:w="28" w:type="dxa"/>
            </w:tcMar>
            <w:vAlign w:val="center"/>
          </w:tcPr>
          <w:p>
            <w:pPr>
              <w:pStyle w:val="Normal"/>
              <w:bidi w:val="0"/>
              <w:jc w:val="left"/>
              <w:rPr/>
            </w:pPr>
            <w:r>
              <w:rPr/>
            </w:r>
          </w:p>
        </w:tc>
        <w:tc>
          <w:tcPr>
            <w:tcW w:w="727" w:type="dxa"/>
            <w:vMerge w:val="continue"/>
            <w:tcBorders>
              <w:bottom w:val="single" w:sz="8" w:space="0" w:color="14202A"/>
            </w:tcBorders>
            <w:tcMar>
              <w:bottom w:w="43" w:type="dxa"/>
            </w:tcMar>
            <w:vAlign w:val="center"/>
          </w:tcPr>
          <w:p>
            <w:pPr>
              <w:pStyle w:val="Normal"/>
              <w:bidi w:val="0"/>
              <w:jc w:val="left"/>
              <w:rPr/>
            </w:pPr>
            <w:r>
              <w:rPr/>
            </w:r>
          </w:p>
        </w:tc>
        <w:tc>
          <w:tcPr>
            <w:tcW w:w="170" w:type="dxa"/>
            <w:vMerge w:val="continue"/>
            <w:tcBorders>
              <w:bottom w:val="single" w:sz="8" w:space="0" w:color="14202A"/>
            </w:tcBorders>
            <w:tcMar>
              <w:bottom w:w="28" w:type="dxa"/>
            </w:tcMar>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10,395</w:t>
            </w:r>
            <w:r>
              <w:rPr>
                <w:rFonts w:ascii="Arial;Helvetica;sans-serif" w:hAnsi="Arial;Helvetica;sans-serif"/>
                <w:color w:val="14202A"/>
                <w:position w:val="5"/>
                <w:sz w:val="11"/>
                <w:sz w:val="14"/>
              </w:rPr>
              <w:t>(10)(11)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374,012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27" w:type="dxa"/>
            <w:vMerge w:val="restart"/>
            <w:tcBorders/>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Casey J. Tubman</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w:t>
            </w:r>
            <w:r>
              <w:rPr>
                <w:rFonts w:ascii="Arial;Helvetica;sans-serif" w:hAnsi="Arial;Helvetica;sans-serif"/>
                <w:color w:val="14202A"/>
                <w:sz w:val="14"/>
              </w:rPr>
              <w:t>2,088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sz w:val="14"/>
              </w:rPr>
              <w:t>1,045</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w:t>
            </w:r>
            <w:r>
              <w:rPr>
                <w:rFonts w:ascii="Arial;Helvetica;sans-serif" w:hAnsi="Arial;Helvetica;sans-serif"/>
                <w:color w:val="14202A"/>
                <w:sz w:val="14"/>
              </w:rPr>
              <w:t>56.09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w:t>
            </w:r>
            <w:r>
              <w:rPr>
                <w:rFonts w:ascii="Arial;Helvetica;sans-serif" w:hAnsi="Arial;Helvetica;sans-serif"/>
                <w:color w:val="14202A"/>
                <w:sz w:val="14"/>
              </w:rPr>
              <w:t>10/11/32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w:t>
            </w:r>
            <w:r>
              <w:rPr>
                <w:rFonts w:ascii="Arial;Helvetica;sans-serif" w:hAnsi="Arial;Helvetica;sans-serif"/>
                <w:color w:val="14202A"/>
                <w:sz w:val="14"/>
              </w:rPr>
              <w:t>1,172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w:t>
            </w:r>
            <w:r>
              <w:rPr>
                <w:rFonts w:ascii="Arial;Helvetica;sans-serif" w:hAnsi="Arial;Helvetica;sans-serif"/>
                <w:color w:val="14202A"/>
                <w:sz w:val="14"/>
              </w:rPr>
              <w:t>2,345</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w:t>
            </w:r>
            <w:r>
              <w:rPr>
                <w:rFonts w:ascii="Arial;Helvetica;sans-serif" w:hAnsi="Arial;Helvetica;sans-serif"/>
                <w:color w:val="14202A"/>
                <w:sz w:val="14"/>
              </w:rPr>
              <w:t>58.68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w:t>
            </w:r>
            <w:r>
              <w:rPr>
                <w:rFonts w:ascii="Arial;Helvetica;sans-serif" w:hAnsi="Arial;Helvetica;sans-serif"/>
                <w:color w:val="14202A"/>
                <w:sz w:val="14"/>
              </w:rPr>
              <w:t>10/10/33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rFonts w:ascii="Arial;Helvetica;sans-serif" w:hAnsi="Arial;Helvetica;sans-serif"/>
                <w:color w:val="14202A"/>
                <w:sz w:val="14"/>
              </w:rPr>
            </w:pPr>
            <w:r>
              <w:rPr>
                <w:rFonts w:ascii="Arial;Helvetica;sans-serif" w:hAnsi="Arial;Helvetica;sans-serif"/>
                <w:color w:val="14202A"/>
                <w:sz w:val="14"/>
              </w:rPr>
              <w:t>4,269</w:t>
            </w:r>
            <w:r>
              <w:rPr>
                <w:rFonts w:ascii="Arial;Helvetica;sans-serif" w:hAnsi="Arial;Helvetica;sans-serif"/>
                <w:color w:val="14202A"/>
                <w:position w:val="5"/>
                <w:sz w:val="11"/>
                <w:sz w:val="14"/>
              </w:rPr>
              <w:t>(11)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rFonts w:ascii="Arial;Helvetica;sans-serif" w:hAnsi="Arial;Helvetica;sans-serif"/>
                <w:color w:val="14202A"/>
                <w:sz w:val="14"/>
              </w:rPr>
            </w:pPr>
            <w:r>
              <w:rPr>
                <w:rFonts w:ascii="Arial;Helvetica;sans-serif" w:hAnsi="Arial;Helvetica;sans-serif"/>
                <w:color w:val="14202A"/>
                <w:sz w:val="14"/>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rFonts w:ascii="Arial;Helvetica;sans-serif" w:hAnsi="Arial;Helvetica;sans-serif"/>
                <w:color w:val="14202A"/>
                <w:sz w:val="14"/>
              </w:rPr>
            </w:pPr>
            <w:r>
              <w:rPr>
                <w:rFonts w:ascii="Arial;Helvetica;sans-serif" w:hAnsi="Arial;Helvetica;sans-serif"/>
                <w:color w:val="14202A"/>
                <w:sz w:val="14"/>
              </w:rPr>
              <w:t>10/15/34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w:t>
            </w:r>
            <w:r>
              <w:rPr>
                <w:rFonts w:ascii="Arial;Helvetica;sans-serif" w:hAnsi="Arial;Helvetica;sans-serif"/>
                <w:color w:val="14202A"/>
                <w:sz w:val="14"/>
              </w:rPr>
              <w:t>4,457</w:t>
            </w:r>
            <w:r>
              <w:rPr>
                <w:rFonts w:ascii="Arial;Helvetica;sans-serif" w:hAnsi="Arial;Helvetica;sans-serif"/>
                <w:color w:val="14202A"/>
                <w:position w:val="5"/>
                <w:sz w:val="11"/>
                <w:sz w:val="14"/>
              </w:rPr>
              <w:t>(12)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160,363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w:t>
            </w:r>
            <w:r>
              <w:rPr>
                <w:rFonts w:ascii="Arial;Helvetica;sans-serif" w:hAnsi="Arial;Helvetica;sans-serif"/>
                <w:color w:val="14202A"/>
                <w:sz w:val="14"/>
              </w:rPr>
              <w:t>5,014</w:t>
            </w:r>
            <w:r>
              <w:rPr>
                <w:rFonts w:ascii="Arial;Helvetica;sans-serif" w:hAnsi="Arial;Helvetica;sans-serif"/>
                <w:color w:val="14202A"/>
                <w:position w:val="5"/>
                <w:sz w:val="11"/>
                <w:sz w:val="14"/>
              </w:rPr>
              <w:t>(13)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w:t>
            </w:r>
            <w:r>
              <w:rPr>
                <w:rFonts w:ascii="Arial;Helvetica;sans-serif" w:hAnsi="Arial;Helvetica;sans-serif"/>
                <w:color w:val="14202A"/>
                <w:sz w:val="14"/>
              </w:rPr>
              <w:t xml:space="preserve">180,404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5,707</w:t>
            </w:r>
            <w:r>
              <w:rPr>
                <w:rFonts w:ascii="Arial;Helvetica;sans-serif" w:hAnsi="Arial;Helvetica;sans-serif"/>
                <w:color w:val="14202A"/>
                <w:position w:val="5"/>
                <w:sz w:val="11"/>
                <w:sz w:val="14"/>
              </w:rPr>
              <w:t>(14)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rFonts w:ascii="Arial;Helvetica;sans-serif" w:hAnsi="Arial;Helvetica;sans-serif"/>
                <w:color w:val="14202A"/>
                <w:sz w:val="14"/>
              </w:rPr>
            </w:pPr>
            <w:r>
              <w:rPr>
                <w:rFonts w:ascii="Arial;Helvetica;sans-serif" w:hAnsi="Arial;Helvetica;sans-serif"/>
                <w:color w:val="14202A"/>
                <w:sz w:val="14"/>
              </w:rPr>
              <w:t xml:space="preserve">205,338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rFonts w:ascii="Arial;Helvetica;sans-serif" w:hAnsi="Arial;Helvetica;sans-serif"/>
                <w:color w:val="14202A"/>
                <w:sz w:val="14"/>
              </w:rPr>
            </w:pPr>
            <w:r>
              <w:rPr>
                <w:rFonts w:ascii="Arial;Helvetica;sans-serif" w:hAnsi="Arial;Helvetica;sans-serif"/>
                <w:color w:val="14202A"/>
                <w:sz w:val="14"/>
              </w:rPr>
              <w:t>4,566</w:t>
            </w:r>
            <w:r>
              <w:rPr>
                <w:rFonts w:ascii="Arial;Helvetica;sans-serif" w:hAnsi="Arial;Helvetica;sans-serif"/>
                <w:color w:val="14202A"/>
                <w:position w:val="5"/>
                <w:sz w:val="11"/>
                <w:sz w:val="14"/>
              </w:rPr>
              <w:t>(15)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rFonts w:ascii="Arial;Helvetica;sans-serif" w:hAnsi="Arial;Helvetica;sans-serif"/>
                <w:color w:val="14202A"/>
                <w:sz w:val="14"/>
              </w:rPr>
            </w:pPr>
            <w:r>
              <w:rPr>
                <w:rFonts w:ascii="Arial;Helvetica;sans-serif" w:hAnsi="Arial;Helvetica;sans-serif"/>
                <w:color w:val="14202A"/>
                <w:sz w:val="14"/>
              </w:rPr>
              <w:t xml:space="preserve">164,285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w:t>
            </w:r>
            <w:r>
              <w:rPr>
                <w:rFonts w:ascii="Arial;Helvetica;sans-serif" w:hAnsi="Arial;Helvetica;sans-serif"/>
                <w:color w:val="14202A"/>
                <w:sz w:val="14"/>
              </w:rPr>
              <w:t>1,041</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37,455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43" w:type="dxa"/>
            </w:tcMar>
            <w:vAlign w:val="center"/>
          </w:tcPr>
          <w:p>
            <w:pPr>
              <w:pStyle w:val="TableContents"/>
              <w:bidi w:val="0"/>
              <w:spacing w:before="0" w:after="283"/>
              <w:ind w:left="22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29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43" w:type="dxa"/>
            </w:tcMar>
            <w:vAlign w:val="center"/>
          </w:tcPr>
          <w:p>
            <w:pPr>
              <w:pStyle w:val="TableContents"/>
              <w:bidi w:val="0"/>
              <w:spacing w:before="0" w:after="283"/>
              <w:ind w:left="103"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43" w:type="dxa"/>
            </w:tcMar>
            <w:vAlign w:val="center"/>
          </w:tcPr>
          <w:p>
            <w:pPr>
              <w:pStyle w:val="TableContents"/>
              <w:bidi w:val="0"/>
              <w:spacing w:before="0" w:after="283"/>
              <w:ind w:left="10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43" w:type="dxa"/>
            </w:tcMar>
            <w:vAlign w:val="center"/>
          </w:tcPr>
          <w:p>
            <w:pPr>
              <w:pStyle w:val="TableContents"/>
              <w:bidi w:val="0"/>
              <w:spacing w:before="0" w:after="283"/>
              <w:ind w:left="290" w:right="0" w:hanging="0"/>
              <w:jc w:val="left"/>
              <w:rPr>
                <w:color w:val="14202A"/>
              </w:rPr>
            </w:pPr>
            <w:r>
              <w:rPr>
                <w:color w:val="14202A"/>
              </w:rPr>
              <w:t>​</w:t>
            </w:r>
            <w:r>
              <w:rPr>
                <w:rFonts w:ascii="Arial;Helvetica;sans-serif" w:hAnsi="Arial;Helvetica;sans-serif"/>
                <w:color w:val="14202A"/>
                <w:sz w:val="14"/>
              </w:rPr>
              <w:t>2,341</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43" w:type="dxa"/>
            </w:tcMar>
            <w:vAlign w:val="center"/>
          </w:tcPr>
          <w:p>
            <w:pPr>
              <w:pStyle w:val="TableContents"/>
              <w:bidi w:val="0"/>
              <w:spacing w:before="0" w:after="283"/>
              <w:ind w:left="224" w:right="0" w:hanging="0"/>
              <w:jc w:val="left"/>
              <w:rPr>
                <w:color w:val="14202A"/>
              </w:rPr>
            </w:pPr>
            <w:r>
              <w:rPr>
                <w:color w:val="14202A"/>
              </w:rPr>
              <w:t>​</w:t>
            </w:r>
            <w:r>
              <w:rPr>
                <w:rFonts w:ascii="Arial;Helvetica;sans-serif" w:hAnsi="Arial;Helvetica;sans-serif"/>
                <w:color w:val="14202A"/>
                <w:sz w:val="14"/>
              </w:rPr>
              <w:t>84,229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43" w:type="dxa"/>
            </w:tcMar>
            <w:vAlign w:val="center"/>
          </w:tcPr>
          <w:p>
            <w:pPr>
              <w:pStyle w:val="TableContents"/>
              <w:bidi w:val="0"/>
              <w:spacing w:before="0" w:after="283"/>
              <w:ind w:left="41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353" w:right="0" w:hanging="0"/>
              <w:jc w:val="left"/>
              <w:rPr>
                <w:color w:val="14202A"/>
              </w:rPr>
            </w:pPr>
            <w:r>
              <w:rPr>
                <w:color w:val="14202A"/>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221"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95"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283"/>
              <w:ind w:left="103"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4" w:type="dxa"/>
            <w:tcBorders/>
            <w:vAlign w:val="center"/>
          </w:tcPr>
          <w:p>
            <w:pPr>
              <w:pStyle w:val="TableContents"/>
              <w:bidi w:val="0"/>
              <w:spacing w:before="0" w:after="283"/>
              <w:ind w:left="104"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90" w:right="0" w:hanging="0"/>
              <w:jc w:val="left"/>
              <w:rPr>
                <w:rFonts w:ascii="Arial;Helvetica;sans-serif" w:hAnsi="Arial;Helvetica;sans-serif"/>
                <w:color w:val="14202A"/>
                <w:sz w:val="14"/>
              </w:rPr>
            </w:pPr>
            <w:r>
              <w:rPr>
                <w:rFonts w:ascii="Arial;Helvetica;sans-serif" w:hAnsi="Arial;Helvetica;sans-serif"/>
                <w:color w:val="14202A"/>
                <w:sz w:val="14"/>
              </w:rPr>
              <w:t>3,995</w:t>
            </w:r>
            <w:r>
              <w:rPr>
                <w:rFonts w:ascii="Arial;Helvetica;sans-serif" w:hAnsi="Arial;Helvetica;sans-serif"/>
                <w:color w:val="14202A"/>
                <w:position w:val="5"/>
                <w:sz w:val="11"/>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224" w:right="0" w:hanging="0"/>
              <w:jc w:val="left"/>
              <w:rPr>
                <w:rFonts w:ascii="Arial;Helvetica;sans-serif" w:hAnsi="Arial;Helvetica;sans-serif"/>
                <w:color w:val="14202A"/>
                <w:sz w:val="14"/>
              </w:rPr>
            </w:pPr>
            <w:r>
              <w:rPr>
                <w:rFonts w:ascii="Arial;Helvetica;sans-serif" w:hAnsi="Arial;Helvetica;sans-serif"/>
                <w:color w:val="14202A"/>
                <w:sz w:val="14"/>
              </w:rPr>
              <w:t>143,740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41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353" w:right="0" w:hanging="0"/>
              <w:jc w:val="left"/>
              <w:rPr>
                <w:color w:val="14202A"/>
              </w:rPr>
            </w:pPr>
            <w:r>
              <w:rPr>
                <w:color w:val="14202A"/>
              </w:rPr>
              <w:t> </w:t>
            </w:r>
          </w:p>
        </w:tc>
        <w:tc>
          <w:tcPr>
            <w:tcW w:w="221"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9"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3"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3"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4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28" w:type="dxa"/>
            </w:tcMar>
            <w:vAlign w:val="center"/>
          </w:tcPr>
          <w:p>
            <w:pPr>
              <w:pStyle w:val="TableContents"/>
              <w:bidi w:val="0"/>
              <w:spacing w:before="0" w:after="0"/>
              <w:jc w:val="left"/>
              <w:rPr/>
            </w:pPr>
            <w:r>
              <w:rPr/>
              <w:t> </w:t>
            </w:r>
          </w:p>
        </w:tc>
        <w:tc>
          <w:tcPr>
            <w:tcW w:w="221"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4" w:name="ny20052074x1_def14a_110-compensation_pg6"/>
        <w:bookmarkEnd w:id="1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678"/>
        <w:gridCol w:w="170"/>
        <w:gridCol w:w="170"/>
        <w:gridCol w:w="862"/>
        <w:gridCol w:w="170"/>
        <w:gridCol w:w="170"/>
        <w:gridCol w:w="965"/>
        <w:gridCol w:w="170"/>
        <w:gridCol w:w="170"/>
        <w:gridCol w:w="637"/>
        <w:gridCol w:w="170"/>
        <w:gridCol w:w="170"/>
        <w:gridCol w:w="727"/>
        <w:gridCol w:w="170"/>
        <w:gridCol w:w="170"/>
        <w:gridCol w:w="721"/>
        <w:gridCol w:w="170"/>
        <w:gridCol w:w="170"/>
        <w:gridCol w:w="721"/>
        <w:gridCol w:w="170"/>
        <w:gridCol w:w="170"/>
        <w:gridCol w:w="879"/>
        <w:gridCol w:w="170"/>
        <w:gridCol w:w="170"/>
        <w:gridCol w:w="891"/>
        <w:gridCol w:w="219"/>
      </w:tblGrid>
      <w:tr>
        <w:trPr/>
        <w:tc>
          <w:tcPr>
            <w:tcW w:w="185" w:type="dxa"/>
            <w:tcBorders/>
            <w:shd w:fill="14202A" w:val="clear"/>
            <w:vAlign w:val="center"/>
          </w:tcPr>
          <w:p>
            <w:pPr>
              <w:pStyle w:val="TableContents"/>
              <w:bidi w:val="0"/>
              <w:spacing w:before="0" w:after="0"/>
              <w:jc w:val="left"/>
              <w:rPr/>
            </w:pPr>
            <w:r>
              <w:rPr/>
              <w:t> </w:t>
            </w:r>
          </w:p>
        </w:tc>
        <w:tc>
          <w:tcPr>
            <w:tcW w:w="67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211" w:type="dxa"/>
            <w:gridSpan w:val="10"/>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82"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110" w:type="dxa"/>
            <w:gridSpan w:val="4"/>
            <w:tcBorders/>
            <w:shd w:fill="14202A" w:val="clear"/>
            <w:vAlign w:val="center"/>
          </w:tcPr>
          <w:p>
            <w:pPr>
              <w:pStyle w:val="TableContents"/>
              <w:bidi w:val="0"/>
              <w:spacing w:before="0" w:after="0"/>
              <w:jc w:val="left"/>
              <w:rPr/>
            </w:pPr>
            <w:r>
              <w:rPr/>
              <w:t> </w:t>
            </w:r>
          </w:p>
        </w:tc>
        <w:tc>
          <w:tcPr>
            <w:tcW w:w="219" w:type="dxa"/>
            <w:tcBorders/>
            <w:shd w:fill="14202A" w:val="clear"/>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678" w:type="dxa"/>
            <w:vMerge w:val="restart"/>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4211" w:type="dxa"/>
            <w:gridSpan w:val="10"/>
            <w:tcBorders>
              <w:bottom w:val="single" w:sz="8" w:space="0" w:color="FFFFFF"/>
            </w:tcBorders>
            <w:shd w:fill="14202A" w:val="clear"/>
            <w:tcMar>
              <w:bottom w:w="4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 Awards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82" w:type="dxa"/>
            <w:gridSpan w:val="4"/>
            <w:tcBorders>
              <w:bottom w:val="single" w:sz="8" w:space="0" w:color="FFFFFF"/>
            </w:tcBorders>
            <w:shd w:fill="14202A" w:val="clear"/>
            <w:tcMar>
              <w:bottom w:w="4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 Awards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110" w:type="dxa"/>
            <w:gridSpan w:val="4"/>
            <w:tcBorders>
              <w:bottom w:val="single" w:sz="8" w:space="0" w:color="FFFFFF"/>
            </w:tcBorders>
            <w:shd w:fill="14202A" w:val="clear"/>
            <w:tcMar>
              <w:bottom w:w="4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LTIP / Performance Shares </w:t>
            </w:r>
          </w:p>
        </w:tc>
        <w:tc>
          <w:tcPr>
            <w:tcW w:w="219" w:type="dxa"/>
            <w:tcBorders/>
            <w:shd w:fill="14202A" w:val="clear"/>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678"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shd w:fill="14202A" w:val="clear"/>
            <w:vAlign w:val="center"/>
          </w:tcPr>
          <w:p>
            <w:pPr>
              <w:pStyle w:val="TableContents"/>
              <w:bidi w:val="0"/>
              <w:spacing w:before="0" w:after="0"/>
              <w:jc w:val="left"/>
              <w:rPr/>
            </w:pPr>
            <w:r>
              <w:rPr/>
              <w:t> </w:t>
            </w:r>
          </w:p>
        </w:tc>
        <w:tc>
          <w:tcPr>
            <w:tcW w:w="86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Exercisable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Unexercisable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37"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Price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7"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Expiration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1"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of 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1"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Market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Shares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of 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(16)</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9"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Unearned Shares,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or 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Rights That Have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Not Yet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91"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Market or Payout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Unearned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Units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 Rights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Have Not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(17)</w:t>
            </w:r>
            <w:r>
              <w:rPr>
                <w:rFonts w:ascii="Arial;Helvetica;sans-serif" w:hAnsi="Arial;Helvetica;sans-serif"/>
                <w:b/>
                <w:color w:val="FFFFFF"/>
                <w:sz w:val="14"/>
              </w:rPr>
              <w:t xml:space="preserve"> </w:t>
            </w:r>
          </w:p>
        </w:tc>
        <w:tc>
          <w:tcPr>
            <w:tcW w:w="219" w:type="dxa"/>
            <w:tcBorders/>
            <w:shd w:fill="14202A"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78" w:type="dxa"/>
            <w:vMerge w:val="restart"/>
            <w:tcBorders/>
            <w:vAlign w:val="center"/>
          </w:tcPr>
          <w:p>
            <w:pPr>
              <w:pStyle w:val="TableContents"/>
              <w:bidi w:val="0"/>
              <w:spacing w:before="0" w:after="283"/>
              <w:ind w:left="60" w:right="0" w:hanging="0"/>
              <w:jc w:val="left"/>
              <w:rPr>
                <w:rFonts w:ascii="Arial;Helvetica;sans-serif" w:hAnsi="Arial;Helvetica;sans-serif"/>
                <w:color w:val="14202A"/>
                <w:sz w:val="14"/>
              </w:rPr>
            </w:pPr>
            <w:r>
              <w:rPr>
                <w:rFonts w:ascii="Arial;Helvetica;sans-serif" w:hAnsi="Arial;Helvetica;sans-serif"/>
                <w:color w:val="14202A"/>
                <w:sz w:val="14"/>
              </w:rPr>
              <w:t>Stacy L. Bogart</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w:t>
            </w:r>
            <w:r>
              <w:rPr>
                <w:rFonts w:ascii="Arial;Helvetica;sans-serif" w:hAnsi="Arial;Helvetica;sans-serif"/>
                <w:color w:val="14202A"/>
                <w:sz w:val="14"/>
              </w:rPr>
              <w:t>9,823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w:t>
            </w:r>
            <w:r>
              <w:rPr>
                <w:rFonts w:ascii="Arial;Helvetica;sans-serif" w:hAnsi="Arial;Helvetica;sans-serif"/>
                <w:color w:val="14202A"/>
                <w:position w:val="5"/>
                <w:sz w:val="11"/>
                <w:sz w:val="14"/>
              </w:rPr>
              <w:t>(5)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rFonts w:ascii="Arial;Helvetica;sans-serif" w:hAnsi="Arial;Helvetica;sans-serif"/>
                <w:color w:val="14202A"/>
                <w:sz w:val="14"/>
              </w:rPr>
            </w:pPr>
            <w:r>
              <w:rPr>
                <w:rFonts w:ascii="Arial;Helvetica;sans-serif" w:hAnsi="Arial;Helvetica;sans-serif"/>
                <w:color w:val="14202A"/>
                <w:sz w:val="14"/>
              </w:rPr>
              <w:t>31.70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rFonts w:ascii="Arial;Helvetica;sans-serif" w:hAnsi="Arial;Helvetica;sans-serif"/>
                <w:color w:val="14202A"/>
                <w:sz w:val="14"/>
              </w:rPr>
            </w:pPr>
            <w:r>
              <w:rPr>
                <w:rFonts w:ascii="Arial;Helvetica;sans-serif" w:hAnsi="Arial;Helvetica;sans-serif"/>
                <w:color w:val="14202A"/>
                <w:sz w:val="14"/>
              </w:rPr>
              <w:t>10/15/28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w:t>
            </w:r>
            <w:r>
              <w:rPr>
                <w:rFonts w:ascii="Arial;Helvetica;sans-serif" w:hAnsi="Arial;Helvetica;sans-serif"/>
                <w:color w:val="14202A"/>
                <w:sz w:val="14"/>
              </w:rPr>
              <w:t>4,091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w:t>
            </w:r>
            <w:r>
              <w:rPr>
                <w:rFonts w:ascii="Arial;Helvetica;sans-serif" w:hAnsi="Arial;Helvetica;sans-serif"/>
                <w:color w:val="14202A"/>
                <w:position w:val="5"/>
                <w:sz w:val="11"/>
                <w:sz w:val="14"/>
              </w:rPr>
              <w:t>(6)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rFonts w:ascii="Arial;Helvetica;sans-serif" w:hAnsi="Arial;Helvetica;sans-serif"/>
                <w:color w:val="14202A"/>
                <w:sz w:val="14"/>
              </w:rPr>
            </w:pPr>
            <w:r>
              <w:rPr>
                <w:rFonts w:ascii="Arial;Helvetica;sans-serif" w:hAnsi="Arial;Helvetica;sans-serif"/>
                <w:color w:val="14202A"/>
                <w:sz w:val="14"/>
              </w:rPr>
              <w:t>47.93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rFonts w:ascii="Arial;Helvetica;sans-serif" w:hAnsi="Arial;Helvetica;sans-serif"/>
                <w:color w:val="14202A"/>
                <w:sz w:val="14"/>
              </w:rPr>
            </w:pPr>
            <w:r>
              <w:rPr>
                <w:rFonts w:ascii="Arial;Helvetica;sans-serif" w:hAnsi="Arial;Helvetica;sans-serif"/>
                <w:color w:val="14202A"/>
                <w:sz w:val="14"/>
              </w:rPr>
              <w:t>12/17/29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rFonts w:ascii="Arial;Helvetica;sans-serif" w:hAnsi="Arial;Helvetica;sans-serif"/>
                <w:color w:val="14202A"/>
                <w:sz w:val="14"/>
              </w:rPr>
            </w:pPr>
            <w:r>
              <w:rPr>
                <w:rFonts w:ascii="Arial;Helvetica;sans-serif" w:hAnsi="Arial;Helvetica;sans-serif"/>
                <w:color w:val="14202A"/>
                <w:sz w:val="14"/>
              </w:rPr>
              <w:t>3,710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w:t>
            </w:r>
            <w:r>
              <w:rPr>
                <w:rFonts w:ascii="Arial;Helvetica;sans-serif" w:hAnsi="Arial;Helvetica;sans-serif"/>
                <w:color w:val="14202A"/>
                <w:position w:val="5"/>
                <w:sz w:val="11"/>
                <w:sz w:val="14"/>
              </w:rPr>
              <w:t>(7)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rFonts w:ascii="Arial;Helvetica;sans-serif" w:hAnsi="Arial;Helvetica;sans-serif"/>
                <w:color w:val="14202A"/>
                <w:sz w:val="14"/>
              </w:rPr>
            </w:pPr>
            <w:r>
              <w:rPr>
                <w:rFonts w:ascii="Arial;Helvetica;sans-serif" w:hAnsi="Arial;Helvetica;sans-serif"/>
                <w:color w:val="14202A"/>
                <w:sz w:val="14"/>
              </w:rPr>
              <w:t>54.49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rFonts w:ascii="Arial;Helvetica;sans-serif" w:hAnsi="Arial;Helvetica;sans-serif"/>
                <w:color w:val="14202A"/>
                <w:sz w:val="14"/>
              </w:rPr>
            </w:pPr>
            <w:r>
              <w:rPr>
                <w:rFonts w:ascii="Arial;Helvetica;sans-serif" w:hAnsi="Arial;Helvetica;sans-serif"/>
                <w:color w:val="14202A"/>
                <w:sz w:val="14"/>
              </w:rPr>
              <w:t>10/13/30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rFonts w:ascii="Arial;Helvetica;sans-serif" w:hAnsi="Arial;Helvetica;sans-serif"/>
                <w:color w:val="14202A"/>
                <w:sz w:val="14"/>
              </w:rPr>
            </w:pPr>
            <w:r>
              <w:rPr>
                <w:rFonts w:ascii="Arial;Helvetica;sans-serif" w:hAnsi="Arial;Helvetica;sans-serif"/>
                <w:color w:val="14202A"/>
                <w:sz w:val="14"/>
              </w:rPr>
              <w:t>3,255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w:t>
            </w:r>
            <w:r>
              <w:rPr>
                <w:rFonts w:ascii="Arial;Helvetica;sans-serif" w:hAnsi="Arial;Helvetica;sans-serif"/>
                <w:color w:val="14202A"/>
                <w:position w:val="5"/>
                <w:sz w:val="11"/>
                <w:sz w:val="14"/>
              </w:rPr>
              <w:t>(8)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rFonts w:ascii="Arial;Helvetica;sans-serif" w:hAnsi="Arial;Helvetica;sans-serif"/>
                <w:color w:val="14202A"/>
                <w:sz w:val="14"/>
              </w:rPr>
            </w:pPr>
            <w:r>
              <w:rPr>
                <w:rFonts w:ascii="Arial;Helvetica;sans-serif" w:hAnsi="Arial;Helvetica;sans-serif"/>
                <w:color w:val="14202A"/>
                <w:sz w:val="14"/>
              </w:rPr>
              <w:t>75.59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rFonts w:ascii="Arial;Helvetica;sans-serif" w:hAnsi="Arial;Helvetica;sans-serif"/>
                <w:color w:val="14202A"/>
                <w:sz w:val="14"/>
              </w:rPr>
            </w:pPr>
            <w:r>
              <w:rPr>
                <w:rFonts w:ascii="Arial;Helvetica;sans-serif" w:hAnsi="Arial;Helvetica;sans-serif"/>
                <w:color w:val="14202A"/>
                <w:sz w:val="14"/>
              </w:rPr>
              <w:t>10/12/31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rFonts w:ascii="Arial;Helvetica;sans-serif" w:hAnsi="Arial;Helvetica;sans-serif"/>
                <w:color w:val="14202A"/>
                <w:sz w:val="14"/>
              </w:rPr>
            </w:pPr>
            <w:r>
              <w:rPr>
                <w:rFonts w:ascii="Arial;Helvetica;sans-serif" w:hAnsi="Arial;Helvetica;sans-serif"/>
                <w:color w:val="14202A"/>
                <w:sz w:val="14"/>
              </w:rPr>
              <w:t>3,207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rFonts w:ascii="Arial;Helvetica;sans-serif" w:hAnsi="Arial;Helvetica;sans-serif"/>
                <w:color w:val="14202A"/>
                <w:sz w:val="14"/>
              </w:rPr>
            </w:pPr>
            <w:r>
              <w:rPr>
                <w:rFonts w:ascii="Arial;Helvetica;sans-serif" w:hAnsi="Arial;Helvetica;sans-serif"/>
                <w:color w:val="14202A"/>
                <w:sz w:val="14"/>
              </w:rPr>
              <w:t>1,605</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rFonts w:ascii="Arial;Helvetica;sans-serif" w:hAnsi="Arial;Helvetica;sans-serif"/>
                <w:color w:val="14202A"/>
                <w:sz w:val="14"/>
              </w:rPr>
            </w:pPr>
            <w:r>
              <w:rPr>
                <w:rFonts w:ascii="Arial;Helvetica;sans-serif" w:hAnsi="Arial;Helvetica;sans-serif"/>
                <w:color w:val="14202A"/>
                <w:sz w:val="14"/>
              </w:rPr>
              <w:t>56.09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rFonts w:ascii="Arial;Helvetica;sans-serif" w:hAnsi="Arial;Helvetica;sans-serif"/>
                <w:color w:val="14202A"/>
                <w:sz w:val="14"/>
              </w:rPr>
            </w:pPr>
            <w:r>
              <w:rPr>
                <w:rFonts w:ascii="Arial;Helvetica;sans-serif" w:hAnsi="Arial;Helvetica;sans-serif"/>
                <w:color w:val="14202A"/>
                <w:sz w:val="14"/>
              </w:rPr>
              <w:t>10/11/32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rFonts w:ascii="Arial;Helvetica;sans-serif" w:hAnsi="Arial;Helvetica;sans-serif"/>
                <w:color w:val="14202A"/>
                <w:sz w:val="14"/>
              </w:rPr>
            </w:pPr>
            <w:r>
              <w:rPr>
                <w:rFonts w:ascii="Arial;Helvetica;sans-serif" w:hAnsi="Arial;Helvetica;sans-serif"/>
                <w:color w:val="14202A"/>
                <w:sz w:val="14"/>
              </w:rPr>
              <w:t>1,592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rFonts w:ascii="Arial;Helvetica;sans-serif" w:hAnsi="Arial;Helvetica;sans-serif"/>
                <w:color w:val="14202A"/>
                <w:sz w:val="14"/>
              </w:rPr>
            </w:pPr>
            <w:r>
              <w:rPr>
                <w:rFonts w:ascii="Arial;Helvetica;sans-serif" w:hAnsi="Arial;Helvetica;sans-serif"/>
                <w:color w:val="14202A"/>
                <w:sz w:val="14"/>
              </w:rPr>
              <w:t>3,185</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rFonts w:ascii="Arial;Helvetica;sans-serif" w:hAnsi="Arial;Helvetica;sans-serif"/>
                <w:color w:val="14202A"/>
                <w:sz w:val="14"/>
              </w:rPr>
            </w:pPr>
            <w:r>
              <w:rPr>
                <w:rFonts w:ascii="Arial;Helvetica;sans-serif" w:hAnsi="Arial;Helvetica;sans-serif"/>
                <w:color w:val="14202A"/>
                <w:sz w:val="14"/>
              </w:rPr>
              <w:t>58.68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rFonts w:ascii="Arial;Helvetica;sans-serif" w:hAnsi="Arial;Helvetica;sans-serif"/>
                <w:color w:val="14202A"/>
                <w:sz w:val="14"/>
              </w:rPr>
            </w:pPr>
            <w:r>
              <w:rPr>
                <w:rFonts w:ascii="Arial;Helvetica;sans-serif" w:hAnsi="Arial;Helvetica;sans-serif"/>
                <w:color w:val="14202A"/>
                <w:sz w:val="14"/>
              </w:rPr>
              <w:t>10/10/33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rFonts w:ascii="Arial;Helvetica;sans-serif" w:hAnsi="Arial;Helvetica;sans-serif"/>
                <w:color w:val="14202A"/>
                <w:sz w:val="14"/>
              </w:rPr>
            </w:pPr>
            <w:r>
              <w:rPr>
                <w:rFonts w:ascii="Arial;Helvetica;sans-serif" w:hAnsi="Arial;Helvetica;sans-serif"/>
                <w:color w:val="14202A"/>
                <w:sz w:val="14"/>
              </w:rPr>
              <w:t>5,465</w:t>
            </w:r>
            <w:r>
              <w:rPr>
                <w:rFonts w:ascii="Arial;Helvetica;sans-serif" w:hAnsi="Arial;Helvetica;sans-serif"/>
                <w:color w:val="14202A"/>
                <w:position w:val="5"/>
                <w:sz w:val="11"/>
                <w:sz w:val="14"/>
              </w:rPr>
              <w:t>(11)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rFonts w:ascii="Arial;Helvetica;sans-serif" w:hAnsi="Arial;Helvetica;sans-serif"/>
                <w:color w:val="14202A"/>
                <w:sz w:val="14"/>
              </w:rPr>
            </w:pPr>
            <w:r>
              <w:rPr>
                <w:rFonts w:ascii="Arial;Helvetica;sans-serif" w:hAnsi="Arial;Helvetica;sans-serif"/>
                <w:color w:val="14202A"/>
                <w:sz w:val="14"/>
              </w:rPr>
              <w:t>58.87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rFonts w:ascii="Arial;Helvetica;sans-serif" w:hAnsi="Arial;Helvetica;sans-serif"/>
                <w:color w:val="14202A"/>
                <w:sz w:val="14"/>
              </w:rPr>
            </w:pPr>
            <w:r>
              <w:rPr>
                <w:rFonts w:ascii="Arial;Helvetica;sans-serif" w:hAnsi="Arial;Helvetica;sans-serif"/>
                <w:color w:val="14202A"/>
                <w:sz w:val="14"/>
              </w:rPr>
              <w:t>10/15/34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w:t>
            </w:r>
            <w:r>
              <w:rPr>
                <w:rFonts w:ascii="Arial;Helvetica;sans-serif" w:hAnsi="Arial;Helvetica;sans-serif"/>
                <w:color w:val="14202A"/>
                <w:sz w:val="14"/>
              </w:rPr>
              <w:t>6,846</w:t>
            </w:r>
            <w:r>
              <w:rPr>
                <w:rFonts w:ascii="Arial;Helvetica;sans-serif" w:hAnsi="Arial;Helvetica;sans-serif"/>
                <w:color w:val="14202A"/>
                <w:position w:val="5"/>
                <w:sz w:val="11"/>
                <w:sz w:val="14"/>
              </w:rPr>
              <w:t>(12)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w:t>
            </w:r>
            <w:r>
              <w:rPr>
                <w:rFonts w:ascii="Arial;Helvetica;sans-serif" w:hAnsi="Arial;Helvetica;sans-serif"/>
                <w:color w:val="14202A"/>
                <w:sz w:val="14"/>
              </w:rPr>
              <w:t xml:space="preserve">246,319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w:t>
            </w:r>
            <w:r>
              <w:rPr>
                <w:rFonts w:ascii="Arial;Helvetica;sans-serif" w:hAnsi="Arial;Helvetica;sans-serif"/>
                <w:color w:val="14202A"/>
                <w:sz w:val="14"/>
              </w:rPr>
              <w:t>6,812</w:t>
            </w:r>
            <w:r>
              <w:rPr>
                <w:rFonts w:ascii="Arial;Helvetica;sans-serif" w:hAnsi="Arial;Helvetica;sans-serif"/>
                <w:color w:val="14202A"/>
                <w:position w:val="5"/>
                <w:sz w:val="11"/>
                <w:sz w:val="14"/>
              </w:rPr>
              <w:t>(13)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w:t>
            </w:r>
            <w:r>
              <w:rPr>
                <w:rFonts w:ascii="Arial;Helvetica;sans-serif" w:hAnsi="Arial;Helvetica;sans-serif"/>
                <w:color w:val="14202A"/>
                <w:sz w:val="14"/>
              </w:rPr>
              <w:t xml:space="preserve">245,096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rFonts w:ascii="Arial;Helvetica;sans-serif" w:hAnsi="Arial;Helvetica;sans-serif"/>
                <w:color w:val="14202A"/>
                <w:sz w:val="14"/>
              </w:rPr>
            </w:pPr>
            <w:r>
              <w:rPr>
                <w:rFonts w:ascii="Arial;Helvetica;sans-serif" w:hAnsi="Arial;Helvetica;sans-serif"/>
                <w:color w:val="14202A"/>
                <w:sz w:val="14"/>
              </w:rPr>
              <w:t>7,306</w:t>
            </w:r>
            <w:r>
              <w:rPr>
                <w:rFonts w:ascii="Arial;Helvetica;sans-serif" w:hAnsi="Arial;Helvetica;sans-serif"/>
                <w:color w:val="14202A"/>
                <w:position w:val="5"/>
                <w:sz w:val="11"/>
                <w:sz w:val="14"/>
              </w:rPr>
              <w:t>(14)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rFonts w:ascii="Arial;Helvetica;sans-serif" w:hAnsi="Arial;Helvetica;sans-serif"/>
                <w:color w:val="14202A"/>
                <w:sz w:val="14"/>
              </w:rPr>
            </w:pPr>
            <w:r>
              <w:rPr>
                <w:rFonts w:ascii="Arial;Helvetica;sans-serif" w:hAnsi="Arial;Helvetica;sans-serif"/>
                <w:color w:val="14202A"/>
                <w:sz w:val="14"/>
              </w:rPr>
              <w:t xml:space="preserve">262,870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rFonts w:ascii="Arial;Helvetica;sans-serif" w:hAnsi="Arial;Helvetica;sans-serif"/>
                <w:color w:val="14202A"/>
                <w:sz w:val="14"/>
              </w:rPr>
            </w:pPr>
            <w:r>
              <w:rPr>
                <w:rFonts w:ascii="Arial;Helvetica;sans-serif" w:hAnsi="Arial;Helvetica;sans-serif"/>
                <w:color w:val="14202A"/>
                <w:sz w:val="14"/>
              </w:rPr>
              <w:t>4,384</w:t>
            </w:r>
            <w:r>
              <w:rPr>
                <w:rFonts w:ascii="Arial;Helvetica;sans-serif" w:hAnsi="Arial;Helvetica;sans-serif"/>
                <w:color w:val="14202A"/>
                <w:position w:val="5"/>
                <w:sz w:val="11"/>
                <w:sz w:val="14"/>
              </w:rPr>
              <w:t>(15)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rFonts w:ascii="Arial;Helvetica;sans-serif" w:hAnsi="Arial;Helvetica;sans-serif"/>
                <w:color w:val="14202A"/>
                <w:sz w:val="14"/>
              </w:rPr>
            </w:pPr>
            <w:r>
              <w:rPr>
                <w:rFonts w:ascii="Arial;Helvetica;sans-serif" w:hAnsi="Arial;Helvetica;sans-serif"/>
                <w:color w:val="14202A"/>
                <w:sz w:val="14"/>
              </w:rPr>
              <w:t xml:space="preserve">157,736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w:t>
            </w:r>
            <w:r>
              <w:rPr>
                <w:rFonts w:ascii="Arial;Helvetica;sans-serif" w:hAnsi="Arial;Helvetica;sans-serif"/>
                <w:color w:val="14202A"/>
                <w:sz w:val="14"/>
              </w:rPr>
              <w:t>1,598</w:t>
            </w:r>
            <w:r>
              <w:rPr>
                <w:rFonts w:ascii="Arial;Helvetica;sans-serif" w:hAnsi="Arial;Helvetica;sans-serif"/>
                <w:color w:val="14202A"/>
                <w:position w:val="5"/>
                <w:sz w:val="11"/>
                <w:sz w:val="14"/>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w:t>
            </w:r>
            <w:r>
              <w:rPr>
                <w:rFonts w:ascii="Arial;Helvetica;sans-serif" w:hAnsi="Arial;Helvetica;sans-serif"/>
                <w:color w:val="14202A"/>
                <w:sz w:val="14"/>
              </w:rPr>
              <w:t>57,496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43" w:type="dxa"/>
            </w:tcMar>
            <w:vAlign w:val="center"/>
          </w:tcPr>
          <w:p>
            <w:pPr>
              <w:pStyle w:val="TableContents"/>
              <w:bidi w:val="0"/>
              <w:spacing w:before="0" w:after="283"/>
              <w:ind w:left="26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43" w:type="dxa"/>
            </w:tcMar>
            <w:vAlign w:val="center"/>
          </w:tcPr>
          <w:p>
            <w:pPr>
              <w:pStyle w:val="TableContents"/>
              <w:bidi w:val="0"/>
              <w:spacing w:before="0" w:after="283"/>
              <w:ind w:left="3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43" w:type="dxa"/>
            </w:tcMar>
            <w:vAlign w:val="center"/>
          </w:tcPr>
          <w:p>
            <w:pPr>
              <w:pStyle w:val="TableContents"/>
              <w:bidi w:val="0"/>
              <w:spacing w:before="0" w:after="283"/>
              <w:ind w:left="114"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43" w:type="dxa"/>
            </w:tcMar>
            <w:vAlign w:val="center"/>
          </w:tcPr>
          <w:p>
            <w:pPr>
              <w:pStyle w:val="TableContents"/>
              <w:bidi w:val="0"/>
              <w:spacing w:before="0" w:after="283"/>
              <w:ind w:left="105"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347" w:right="0" w:hanging="0"/>
              <w:jc w:val="left"/>
              <w:rPr>
                <w:color w:val="14202A"/>
              </w:rPr>
            </w:pPr>
            <w:r>
              <w:rPr>
                <w:color w:val="14202A"/>
              </w:rPr>
              <w:t>​</w:t>
            </w:r>
            <w:r>
              <w:rPr>
                <w:rFonts w:ascii="Arial;Helvetica;sans-serif" w:hAnsi="Arial;Helvetica;sans-serif"/>
                <w:color w:val="14202A"/>
                <w:sz w:val="14"/>
              </w:rPr>
              <w:t>3,180</w:t>
            </w:r>
            <w:r>
              <w:rPr>
                <w:rFonts w:ascii="Arial;Helvetica;sans-serif" w:hAnsi="Arial;Helvetica;sans-serif"/>
                <w:color w:val="14202A"/>
                <w:position w:val="5"/>
                <w:sz w:val="11"/>
                <w:sz w:val="14"/>
              </w:rPr>
              <w:t>(10)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43" w:type="dxa"/>
            </w:tcMar>
            <w:vAlign w:val="center"/>
          </w:tcPr>
          <w:p>
            <w:pPr>
              <w:pStyle w:val="TableContents"/>
              <w:bidi w:val="0"/>
              <w:spacing w:before="0" w:after="283"/>
              <w:ind w:left="255" w:right="0" w:hanging="0"/>
              <w:jc w:val="left"/>
              <w:rPr>
                <w:color w:val="14202A"/>
              </w:rPr>
            </w:pPr>
            <w:r>
              <w:rPr>
                <w:color w:val="14202A"/>
              </w:rPr>
              <w:t>​</w:t>
            </w:r>
            <w:r>
              <w:rPr>
                <w:rFonts w:ascii="Arial;Helvetica;sans-serif" w:hAnsi="Arial;Helvetica;sans-serif"/>
                <w:color w:val="14202A"/>
                <w:sz w:val="14"/>
              </w:rPr>
              <w:t>114,416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43" w:type="dxa"/>
            </w:tcMar>
            <w:vAlign w:val="center"/>
          </w:tcPr>
          <w:p>
            <w:pPr>
              <w:pStyle w:val="TableContents"/>
              <w:bidi w:val="0"/>
              <w:spacing w:before="0" w:after="283"/>
              <w:ind w:left="449"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43" w:type="dxa"/>
            </w:tcMar>
            <w:vAlign w:val="center"/>
          </w:tcPr>
          <w:p>
            <w:pPr>
              <w:pStyle w:val="TableContents"/>
              <w:bidi w:val="0"/>
              <w:spacing w:before="0" w:after="283"/>
              <w:ind w:left="404" w:right="0" w:hanging="0"/>
              <w:jc w:val="left"/>
              <w:rPr>
                <w:color w:val="14202A"/>
              </w:rPr>
            </w:pPr>
            <w:r>
              <w:rPr>
                <w:color w:val="14202A"/>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269"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31"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114"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283"/>
              <w:ind w:left="105"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283"/>
              <w:ind w:left="347" w:right="0" w:hanging="0"/>
              <w:jc w:val="left"/>
              <w:rPr>
                <w:rFonts w:ascii="Arial;Helvetica;sans-serif" w:hAnsi="Arial;Helvetica;sans-serif"/>
                <w:color w:val="14202A"/>
                <w:sz w:val="14"/>
              </w:rPr>
            </w:pPr>
            <w:r>
              <w:rPr>
                <w:rFonts w:ascii="Arial;Helvetica;sans-serif" w:hAnsi="Arial;Helvetica;sans-serif"/>
                <w:color w:val="14202A"/>
                <w:sz w:val="14"/>
              </w:rPr>
              <w:t>5,114</w:t>
            </w:r>
            <w:r>
              <w:rPr>
                <w:rFonts w:ascii="Arial;Helvetica;sans-serif" w:hAnsi="Arial;Helvetica;sans-serif"/>
                <w:color w:val="14202A"/>
                <w:position w:val="5"/>
                <w:sz w:val="11"/>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1" w:type="dxa"/>
            <w:tcBorders/>
            <w:vAlign w:val="center"/>
          </w:tcPr>
          <w:p>
            <w:pPr>
              <w:pStyle w:val="TableContents"/>
              <w:bidi w:val="0"/>
              <w:spacing w:before="0" w:after="283"/>
              <w:ind w:left="255" w:right="0" w:hanging="0"/>
              <w:jc w:val="left"/>
              <w:rPr>
                <w:rFonts w:ascii="Arial;Helvetica;sans-serif" w:hAnsi="Arial;Helvetica;sans-serif"/>
                <w:color w:val="14202A"/>
                <w:sz w:val="14"/>
              </w:rPr>
            </w:pPr>
            <w:r>
              <w:rPr>
                <w:rFonts w:ascii="Arial;Helvetica;sans-serif" w:hAnsi="Arial;Helvetica;sans-serif"/>
                <w:color w:val="14202A"/>
                <w:sz w:val="14"/>
              </w:rPr>
              <w:t>184,002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449"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283"/>
              <w:ind w:left="404" w:right="0" w:hanging="0"/>
              <w:jc w:val="left"/>
              <w:rPr>
                <w:color w:val="14202A"/>
              </w:rPr>
            </w:pPr>
            <w:r>
              <w:rPr>
                <w:color w:val="14202A"/>
              </w:rPr>
              <w:t> </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678"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7"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7"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1"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9"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91" w:type="dxa"/>
            <w:tcBorders>
              <w:bottom w:val="single" w:sz="8" w:space="0" w:color="14202A"/>
            </w:tcBorders>
            <w:tcMar>
              <w:bottom w:w="28" w:type="dxa"/>
            </w:tcMar>
            <w:vAlign w:val="center"/>
          </w:tcPr>
          <w:p>
            <w:pPr>
              <w:pStyle w:val="TableContents"/>
              <w:bidi w:val="0"/>
              <w:spacing w:before="0" w:after="0"/>
              <w:jc w:val="left"/>
              <w:rPr/>
            </w:pPr>
            <w:r>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1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stock option granted on January 18, 2016 as a new hire grant under the Company’s 2014 Omnibus Equity, Performance Award and Incentive Compensation Plan (the 2014 Plan), which vested with respect to 33% of the shares on each of the first three anniversaries of the grant date.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0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stock option granted on October 11, 2016 as an annual grant under the 2014 Plan, which vested with respect to 33% of the shares on each of the first three anniversaries of the grant date.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0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December 13, 2016 as a grant for the purchase of Grand Design RV, LLC under the 2014 Plan, which vested with respect to 33% of the shares on each of the first three anniversaries of the grant date.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1000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October 18, 2017 as an annual stock or option grant under the 2014 Plan, which vested with respect to 33% of the shares on each of the first three anniversaries of the grant date.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1000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October 15, 2018 as an annual stock or option grant under the 2014 Plan, which vested with respect to 33% of the shares on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(6)</w:t>
            </w:r>
          </w:p>
        </w:tc>
        <w:tc>
          <w:tcPr>
            <w:tcW w:w="1000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December 17, 2019 as an annual stock or option grant under the 2019 Plan, which vested with respect to 33% of the shares on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(7)</w:t>
            </w:r>
          </w:p>
        </w:tc>
        <w:tc>
          <w:tcPr>
            <w:tcW w:w="1000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October 13, 2020 as an annual stock or option grant under the 2019 Plan, which vested with respect to 33% of the shares on each of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(8)</w:t>
            </w:r>
          </w:p>
        </w:tc>
        <w:tc>
          <w:tcPr>
            <w:tcW w:w="1000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October 12, 2021 as an annual stock or option grant under the 2019 Plan, which vested with respect to 33% of the shares on each of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(9)</w:t>
            </w:r>
          </w:p>
        </w:tc>
        <w:tc>
          <w:tcPr>
            <w:tcW w:w="1000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October 11, 2022 as an annual stock or option grant under the 2019 Plan, which will vest with respect to 33% of the shares on each of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(10)</w:t>
            </w:r>
          </w:p>
        </w:tc>
        <w:tc>
          <w:tcPr>
            <w:tcW w:w="992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October 10, 2023 as an annual stock or option grant under the 2019 Plan, which will vest with respect to 33% of the shares on each of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(11)</w:t>
            </w:r>
          </w:p>
        </w:tc>
        <w:tc>
          <w:tcPr>
            <w:tcW w:w="992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award granted on October 15, 2024 as an annual stock or option grant under the 2019 Plan, which will vest with respect to 33% of the shares on each of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(12)</w:t>
            </w:r>
          </w:p>
        </w:tc>
        <w:tc>
          <w:tcPr>
            <w:tcW w:w="991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Fiscal 2023-2025 LTIP at target, under the 2019 Plan for the three-year performance period beginning August 28, 2023 and ending August 30, 2025.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(13)</w:t>
            </w:r>
          </w:p>
        </w:tc>
        <w:tc>
          <w:tcPr>
            <w:tcW w:w="991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Fiscal 2024-2026 LTIP at target, under the 2019 Plan for the three-year performance period beginning August 27, 2024 and ending August 29, 2026.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(14)</w:t>
            </w:r>
          </w:p>
        </w:tc>
        <w:tc>
          <w:tcPr>
            <w:tcW w:w="991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Fiscal 2025-2027 LTIP at target, under the 2019 Plan for the three-year performance period beginning September 1, 2024 and ending August 28, 2027.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(15)</w:t>
            </w:r>
          </w:p>
        </w:tc>
        <w:tc>
          <w:tcPr>
            <w:tcW w:w="992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Fiscal 2025 performance share units at target, under the 2019 Plan for the one-year performance period beginning on September 1, 2024 and ending August 30, 2025. </w:t>
            </w:r>
          </w:p>
        </w:tc>
      </w:tr>
    </w:tbl>
    <w:tbl>
      <w:tblPr>
        <w:tblW w:w="7075" w:type="dxa"/>
        <w:jc w:val="left"/>
        <w:tblInd w:w="0" w:type="dxa"/>
        <w:tblLayout w:type="fixed"/>
        <w:tblCellMar>
          <w:top w:w="0" w:type="dxa"/>
          <w:left w:w="0" w:type="dxa"/>
          <w:bottom w:w="0" w:type="dxa"/>
          <w:right w:w="0" w:type="dxa"/>
        </w:tblCellMar>
      </w:tblPr>
      <w:tblGrid>
        <w:gridCol w:w="290"/>
        <w:gridCol w:w="6785"/>
      </w:tblGrid>
      <w:tr>
        <w:trPr/>
        <w:tc>
          <w:tcPr>
            <w:tcW w:w="29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(16)</w:t>
            </w:r>
          </w:p>
        </w:tc>
        <w:tc>
          <w:tcPr>
            <w:tcW w:w="678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the value of unvested stock based on the closing stock price as of August 29, 2025 of $35.98. </w:t>
            </w:r>
          </w:p>
        </w:tc>
      </w:tr>
    </w:tbl>
    <w:tbl>
      <w:tblPr>
        <w:tblW w:w="8800" w:type="dxa"/>
        <w:jc w:val="left"/>
        <w:tblInd w:w="0" w:type="dxa"/>
        <w:tblLayout w:type="fixed"/>
        <w:tblCellMar>
          <w:top w:w="0" w:type="dxa"/>
          <w:left w:w="0" w:type="dxa"/>
          <w:bottom w:w="0" w:type="dxa"/>
          <w:right w:w="0" w:type="dxa"/>
        </w:tblCellMar>
      </w:tblPr>
      <w:tblGrid>
        <w:gridCol w:w="290"/>
        <w:gridCol w:w="8510"/>
      </w:tblGrid>
      <w:tr>
        <w:trPr/>
        <w:tc>
          <w:tcPr>
            <w:tcW w:w="29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(17)</w:t>
            </w:r>
          </w:p>
        </w:tc>
        <w:tc>
          <w:tcPr>
            <w:tcW w:w="85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the value of unearned performance share units at target based on the closing stock price as of August 29, 2025 of $35.98. </w:t>
            </w:r>
          </w:p>
        </w:tc>
      </w:tr>
    </w:tbl>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52074x1_def14a_110-compensation_pg7"/>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126" w:name="tOPE"/>
      <w:bookmarkEnd w:id="126"/>
      <w:r>
        <w:rPr>
          <w:rFonts w:ascii="Arial;Helvetica;sans-serif" w:hAnsi="Arial;Helvetica;sans-serif"/>
          <w:b/>
          <w:color w:val="D8E47A"/>
          <w:sz w:val="24"/>
        </w:rPr>
        <w:t xml:space="preserve">Option Exercises and Stock Vested Table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provides the amounts received before payroll withholding taxes upon the exercise of options or similar instruments or the vesting of stock or similar instruments during Fiscal 2025. </w:t>
      </w:r>
    </w:p>
    <w:tbl>
      <w:tblPr>
        <w:tblW w:w="7545" w:type="dxa"/>
        <w:jc w:val="left"/>
        <w:tblInd w:w="0" w:type="dxa"/>
        <w:tblLayout w:type="fixed"/>
        <w:tblCellMar>
          <w:top w:w="0" w:type="dxa"/>
          <w:left w:w="0" w:type="dxa"/>
          <w:bottom w:w="0" w:type="dxa"/>
          <w:right w:w="0" w:type="dxa"/>
        </w:tblCellMar>
      </w:tblPr>
      <w:tblGrid>
        <w:gridCol w:w="185"/>
        <w:gridCol w:w="1355"/>
        <w:gridCol w:w="170"/>
        <w:gridCol w:w="170"/>
        <w:gridCol w:w="1160"/>
        <w:gridCol w:w="170"/>
        <w:gridCol w:w="170"/>
        <w:gridCol w:w="1055"/>
        <w:gridCol w:w="170"/>
        <w:gridCol w:w="170"/>
        <w:gridCol w:w="1160"/>
        <w:gridCol w:w="170"/>
        <w:gridCol w:w="170"/>
        <w:gridCol w:w="1055"/>
        <w:gridCol w:w="215"/>
      </w:tblGrid>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555"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555" w:type="dxa"/>
            <w:gridSpan w:val="4"/>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555"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 Awards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555"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Awards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355" w:type="dxa"/>
            <w:tcBorders/>
            <w:shd w:fill="14202A" w:val="clear"/>
            <w:vAlign w:val="center"/>
          </w:tcPr>
          <w:p>
            <w:pPr>
              <w:pStyle w:val="TableContents"/>
              <w:bidi w:val="0"/>
              <w:spacing w:before="0" w:after="283"/>
              <w:ind w:left="60" w:right="0" w:hanging="0"/>
              <w:jc w:val="left"/>
              <w:rPr>
                <w:color w:val="FFFFFF"/>
              </w:rPr>
            </w:pPr>
            <w:r>
              <w:rPr>
                <w:color w:val="FFFFFF"/>
              </w:rPr>
              <w:t>​</w:t>
            </w: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Acquired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on Exercise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5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Realized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on Exercise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Acquired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on Vesting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05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Realized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on Vesting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727" w:right="0" w:hanging="0"/>
              <w:jc w:val="left"/>
              <w:rPr>
                <w:color w:val="14202A"/>
              </w:rPr>
            </w:pPr>
            <w:r>
              <w:rPr>
                <w:color w:val="14202A"/>
              </w:rPr>
              <w:t>​</w:t>
            </w:r>
            <w:r>
              <w:rPr>
                <w:rFonts w:ascii="Arial;Helvetica;sans-serif" w:hAnsi="Arial;Helvetica;sans-serif"/>
                <w:color w:val="14202A"/>
                <w:sz w:val="16"/>
              </w:rPr>
              <w:t>41,722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600" w:right="0" w:hanging="0"/>
              <w:jc w:val="left"/>
              <w:rPr>
                <w:color w:val="14202A"/>
              </w:rPr>
            </w:pPr>
            <w:r>
              <w:rPr>
                <w:color w:val="14202A"/>
              </w:rPr>
              <w:t>​</w:t>
            </w:r>
            <w:r>
              <w:rPr>
                <w:rFonts w:ascii="Arial;Helvetica;sans-serif" w:hAnsi="Arial;Helvetica;sans-serif"/>
                <w:color w:val="14202A"/>
                <w:sz w:val="16"/>
              </w:rPr>
              <w:t xml:space="preserve">2,418,254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727" w:right="0" w:hanging="0"/>
              <w:jc w:val="left"/>
              <w:rPr>
                <w:color w:val="14202A"/>
              </w:rPr>
            </w:pPr>
            <w:r>
              <w:rPr>
                <w:color w:val="14202A"/>
              </w:rPr>
              <w:t>​</w:t>
            </w:r>
            <w:r>
              <w:rPr>
                <w:rFonts w:ascii="Arial;Helvetica;sans-serif" w:hAnsi="Arial;Helvetica;sans-serif"/>
                <w:color w:val="14202A"/>
                <w:sz w:val="16"/>
              </w:rPr>
              <w:t>8,468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600" w:right="0" w:hanging="0"/>
              <w:jc w:val="left"/>
              <w:rPr>
                <w:color w:val="14202A"/>
              </w:rPr>
            </w:pPr>
            <w:r>
              <w:rPr>
                <w:color w:val="14202A"/>
              </w:rPr>
              <w:t>​</w:t>
            </w:r>
            <w:r>
              <w:rPr>
                <w:rFonts w:ascii="Arial;Helvetica;sans-serif" w:hAnsi="Arial;Helvetica;sans-serif"/>
                <w:color w:val="14202A"/>
                <w:sz w:val="16"/>
              </w:rPr>
              <w:t xml:space="preserve">490,896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Donald J. Clark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727" w:right="0" w:hanging="0"/>
              <w:jc w:val="left"/>
              <w:rPr>
                <w:rFonts w:ascii="Arial;Helvetica;sans-serif" w:hAnsi="Arial;Helvetica;sans-serif"/>
                <w:color w:val="14202A"/>
                <w:sz w:val="16"/>
              </w:rPr>
            </w:pPr>
            <w:r>
              <w:rPr>
                <w:rFonts w:ascii="Arial;Helvetica;sans-serif" w:hAnsi="Arial;Helvetica;sans-serif"/>
                <w:color w:val="14202A"/>
                <w:sz w:val="16"/>
              </w:rPr>
              <w:t>21,298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600" w:right="0" w:hanging="0"/>
              <w:jc w:val="left"/>
              <w:rPr>
                <w:color w:val="14202A"/>
              </w:rPr>
            </w:pPr>
            <w:r>
              <w:rPr>
                <w:color w:val="14202A"/>
              </w:rPr>
              <w:t>​</w:t>
            </w:r>
            <w:r>
              <w:rPr>
                <w:rFonts w:ascii="Arial;Helvetica;sans-serif" w:hAnsi="Arial;Helvetica;sans-serif"/>
                <w:color w:val="14202A"/>
                <w:sz w:val="16"/>
              </w:rPr>
              <w:t xml:space="preserve">1,230,004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88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88" w:type="dxa"/>
            </w:tcMar>
            <w:vAlign w:val="center"/>
          </w:tcPr>
          <w:p>
            <w:pPr>
              <w:pStyle w:val="TableContents"/>
              <w:bidi w:val="0"/>
              <w:spacing w:before="0" w:after="283"/>
              <w:ind w:left="727" w:right="0" w:hanging="0"/>
              <w:jc w:val="left"/>
              <w:rPr>
                <w:color w:val="14202A"/>
              </w:rPr>
            </w:pPr>
            <w:r>
              <w:rPr>
                <w:color w:val="14202A"/>
              </w:rPr>
              <w:t>​</w:t>
            </w:r>
            <w:r>
              <w:rPr>
                <w:rFonts w:ascii="Arial;Helvetica;sans-serif" w:hAnsi="Arial;Helvetica;sans-serif"/>
                <w:color w:val="14202A"/>
                <w:sz w:val="16"/>
              </w:rPr>
              <w:t>2,209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88" w:type="dxa"/>
            </w:tcMar>
            <w:vAlign w:val="center"/>
          </w:tcPr>
          <w:p>
            <w:pPr>
              <w:pStyle w:val="TableContents"/>
              <w:bidi w:val="0"/>
              <w:spacing w:before="0" w:after="283"/>
              <w:ind w:left="600" w:right="0" w:hanging="0"/>
              <w:jc w:val="left"/>
              <w:rPr>
                <w:color w:val="14202A"/>
              </w:rPr>
            </w:pPr>
            <w:r>
              <w:rPr>
                <w:color w:val="14202A"/>
              </w:rPr>
              <w:t>​</w:t>
            </w:r>
            <w:r>
              <w:rPr>
                <w:rFonts w:ascii="Arial;Helvetica;sans-serif" w:hAnsi="Arial;Helvetica;sans-serif"/>
                <w:color w:val="14202A"/>
                <w:sz w:val="16"/>
              </w:rPr>
              <w:t xml:space="preserve">126,573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Stacy L. Bogart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880"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880"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727" w:right="0" w:hanging="0"/>
              <w:jc w:val="left"/>
              <w:rPr>
                <w:color w:val="14202A"/>
              </w:rPr>
            </w:pPr>
            <w:r>
              <w:rPr>
                <w:color w:val="14202A"/>
              </w:rPr>
              <w:t>​</w:t>
            </w:r>
            <w:r>
              <w:rPr>
                <w:rFonts w:ascii="Arial;Helvetica;sans-serif" w:hAnsi="Arial;Helvetica;sans-serif"/>
                <w:color w:val="14202A"/>
                <w:sz w:val="16"/>
              </w:rPr>
              <w:t>6,598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600" w:right="0" w:hanging="0"/>
              <w:jc w:val="left"/>
              <w:rPr>
                <w:color w:val="14202A"/>
              </w:rPr>
            </w:pPr>
            <w:r>
              <w:rPr>
                <w:color w:val="14202A"/>
              </w:rPr>
              <w:t>​</w:t>
            </w:r>
            <w:r>
              <w:rPr>
                <w:rFonts w:ascii="Arial;Helvetica;sans-serif" w:hAnsi="Arial;Helvetica;sans-serif"/>
                <w:color w:val="14202A"/>
                <w:sz w:val="16"/>
              </w:rPr>
              <w:t>382,669</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35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05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0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Valued at the closing market price of the Company’s common stock of $56.55 (October 10, 2024), $58.14 (October 11, 2024), $58.14 (October 12, 2024), and $58.87 (October 15, 2024) as quoted on the NYSE on the vesting dates. </w:t>
            </w:r>
          </w:p>
        </w:tc>
      </w:tr>
    </w:tbl>
    <w:p>
      <w:pPr>
        <w:pStyle w:val="TextBody"/>
        <w:bidi w:val="0"/>
        <w:spacing w:before="290" w:after="283"/>
        <w:ind w:left="0" w:right="0" w:hanging="0"/>
        <w:jc w:val="left"/>
        <w:rPr>
          <w:rFonts w:ascii="Arial;Helvetica;sans-serif" w:hAnsi="Arial;Helvetica;sans-serif"/>
          <w:b/>
          <w:color w:val="D8E47A"/>
          <w:sz w:val="24"/>
        </w:rPr>
      </w:pPr>
      <w:bookmarkStart w:id="127" w:name="tNON"/>
      <w:bookmarkEnd w:id="127"/>
      <w:r>
        <w:rPr>
          <w:rFonts w:ascii="Arial;Helvetica;sans-serif" w:hAnsi="Arial;Helvetica;sans-serif"/>
          <w:b/>
          <w:color w:val="D8E47A"/>
          <w:sz w:val="24"/>
        </w:rPr>
        <w:t xml:space="preserve">Nonqualified Deferred Compensation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summarizes non-qualified deferred compensation by NEOs during Fiscal 2025. </w:t>
      </w:r>
    </w:p>
    <w:tbl>
      <w:tblPr>
        <w:tblW w:w="7890" w:type="dxa"/>
        <w:jc w:val="left"/>
        <w:tblInd w:w="0" w:type="dxa"/>
        <w:tblLayout w:type="fixed"/>
        <w:tblCellMar>
          <w:top w:w="0" w:type="dxa"/>
          <w:left w:w="0" w:type="dxa"/>
          <w:bottom w:w="0" w:type="dxa"/>
          <w:right w:w="0" w:type="dxa"/>
        </w:tblCellMar>
      </w:tblPr>
      <w:tblGrid>
        <w:gridCol w:w="185"/>
        <w:gridCol w:w="1280"/>
        <w:gridCol w:w="170"/>
        <w:gridCol w:w="170"/>
        <w:gridCol w:w="950"/>
        <w:gridCol w:w="170"/>
        <w:gridCol w:w="170"/>
        <w:gridCol w:w="950"/>
        <w:gridCol w:w="170"/>
        <w:gridCol w:w="170"/>
        <w:gridCol w:w="740"/>
        <w:gridCol w:w="170"/>
        <w:gridCol w:w="170"/>
        <w:gridCol w:w="935"/>
        <w:gridCol w:w="170"/>
        <w:gridCol w:w="170"/>
        <w:gridCol w:w="935"/>
        <w:gridCol w:w="215"/>
      </w:tblGrid>
      <w:tr>
        <w:trPr/>
        <w:tc>
          <w:tcPr>
            <w:tcW w:w="185" w:type="dxa"/>
            <w:tcBorders/>
            <w:shd w:fill="14202A" w:val="clear"/>
            <w:vAlign w:val="center"/>
          </w:tcPr>
          <w:p>
            <w:pPr>
              <w:pStyle w:val="TableContents"/>
              <w:bidi w:val="0"/>
              <w:spacing w:before="0" w:after="0"/>
              <w:jc w:val="left"/>
              <w:rPr/>
            </w:pPr>
            <w:r>
              <w:rPr/>
              <w:t> </w:t>
            </w:r>
          </w:p>
        </w:tc>
        <w:tc>
          <w:tcPr>
            <w:tcW w:w="128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4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3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3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280"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Executive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Contributions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 Last FY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Registrant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Contributions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 Last FY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4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Aggregate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Earnings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 Last FY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3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Aggregate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Withdrawals/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Distributions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3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Aggregate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Balance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at Last FYE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8"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8"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14" w:right="0" w:hanging="0"/>
              <w:jc w:val="left"/>
              <w:rPr>
                <w:color w:val="14202A"/>
              </w:rPr>
            </w:pPr>
            <w:r>
              <w:rPr>
                <w:color w:val="14202A"/>
              </w:rPr>
              <w:t>​</w:t>
            </w:r>
            <w:r>
              <w:rPr>
                <w:rFonts w:ascii="Arial;Helvetica;sans-serif" w:hAnsi="Arial;Helvetica;sans-serif"/>
                <w:color w:val="14202A"/>
                <w:sz w:val="16"/>
              </w:rPr>
              <w:t>101,467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407"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55" w:right="0" w:hanging="0"/>
              <w:jc w:val="left"/>
              <w:rPr>
                <w:rFonts w:ascii="Arial;Helvetica;sans-serif" w:hAnsi="Arial;Helvetica;sans-serif"/>
                <w:color w:val="14202A"/>
                <w:sz w:val="16"/>
              </w:rPr>
            </w:pPr>
            <w:r>
              <w:rPr>
                <w:rFonts w:ascii="Arial;Helvetica;sans-serif" w:hAnsi="Arial;Helvetica;sans-serif"/>
                <w:color w:val="14202A"/>
                <w:sz w:val="16"/>
              </w:rPr>
              <w:t>1,115,728</w:t>
            </w:r>
            <w:r>
              <w:rPr>
                <w:rFonts w:ascii="Arial;Helvetica;sans-serif" w:hAnsi="Arial;Helvetica;sans-serif"/>
                <w:color w:val="14202A"/>
                <w:position w:val="5"/>
                <w:sz w:val="13"/>
                <w:sz w:val="16"/>
              </w:rPr>
              <w:t>(1)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2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4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3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3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2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Balance includes (i) amounts from Mr. Hughes’ annual incentive payouts that were previously reported as Non-Equity Incentive Plan Compensation as follows: Fiscal 2018 - $60,792, Fiscal 2019 - $17,744, Fiscal 2020 - $54,027, Fiscal 2021 - $363,867, and Fiscal 2022 - $228,853 and (ii) amounts from Mr. Hughes’ base salary that were previously reported as Salary as follows: Fiscal 2021 - $52,500, and Fiscal 2022 - $54,904. </w:t>
            </w:r>
          </w:p>
        </w:tc>
      </w:tr>
    </w:tbl>
    <w:p>
      <w:pPr>
        <w:pStyle w:val="TextBody"/>
        <w:bidi w:val="0"/>
        <w:spacing w:before="280" w:after="283"/>
        <w:ind w:left="0" w:right="0" w:hanging="0"/>
        <w:jc w:val="left"/>
        <w:rPr>
          <w:rFonts w:ascii="Arial;Helvetica;sans-serif" w:hAnsi="Arial;Helvetica;sans-serif"/>
          <w:b/>
          <w:color w:val="D8E47A"/>
          <w:sz w:val="24"/>
        </w:rPr>
      </w:pPr>
      <w:bookmarkStart w:id="128" w:name="tPOT"/>
      <w:bookmarkEnd w:id="128"/>
      <w:r>
        <w:rPr>
          <w:rFonts w:ascii="Arial;Helvetica;sans-serif" w:hAnsi="Arial;Helvetica;sans-serif"/>
          <w:b/>
          <w:color w:val="D8E47A"/>
          <w:sz w:val="24"/>
        </w:rPr>
        <w:t xml:space="preserve">Potential Payments upon Termination or Change in Control </w:t>
      </w:r>
    </w:p>
    <w:p>
      <w:pPr>
        <w:pStyle w:val="TextBody"/>
        <w:bidi w:val="0"/>
        <w:spacing w:before="18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Executive Officer Severance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Executive Officer Severance Plan (the Executive Severance Plan) applies to all executive officers other than Mr. Happe and Mr. Clark. The Executive Severance Plan provides that, if an eligible executive is terminated by the Company (or an affiliate) without cause or terminates employment with the Company (and affiliates) for good reason (as such terms are defined in the Executive Severance Plan), the eligible executive would be entitled to receive: (a) severance pay equal to one times the executive’s annualized base salary as of the executive’s employment termination date, payable in substantially equal installments over the 12 months after the executive’s employment with the Company (or an affiliate) ends, and (b) an amount equal to one times the sum of (i) the executive’s annual target bonus, as in effect on the executive’s employment termination date, plus (ii) the annual COBRA premium cost for continuation of the executive’s then-current group medical, dental and vision insurance coverage, payable in a lump sum with the initial installment of severance pay. To receive benefits, the executive must sign a release agreement and otherwise comply with the terms of the Executive Severance Plan.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Executive Change in Control Agreements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Each of our NEOs is covered by a CIC Agreement. Due to the unique nature of Mr. Clark’s employment and compensation arrangements with the Company, we initially entered into a CIC Agreement with Mr. Clark in connection with the Grand Design acquisition and an amended and restated CIC Agreement, having the same terms as the prior agreement, was entered into on October 17, 2023 in connection with his amended and restated employment agreement. 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employed by the Company) would receive, in the event he or she ceases to be employed by the Company within two years following a change in control of the Company (for a reason other </w:t>
      </w:r>
    </w:p>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9" w:name="ny20052074x1_def14a_110-compensation_pg8"/>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These multiples were arrived at by the committee after an analysis of certain compensation peers’ change in control agreements at the time these CIC Agreements were initially developed.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 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Annual Incentive Plan Payments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participant must be employed by the Company as of the bonus payment date to be eligible for annual incentive payments, except for a change in control as described below or as otherwise determined by the committee in its discretion upon retirement, disability and death. In the event of a change in control (as defined in the applicable 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 </w:t>
      </w:r>
    </w:p>
    <w:p>
      <w:pPr>
        <w:pStyle w:val="TextBody"/>
        <w:bidi w:val="0"/>
        <w:spacing w:before="310" w:after="283"/>
        <w:ind w:left="0" w:right="0" w:hanging="0"/>
        <w:jc w:val="left"/>
        <w:rPr>
          <w:rFonts w:ascii="Arial;Helvetica;sans-serif" w:hAnsi="Arial;Helvetica;sans-serif"/>
          <w:b/>
          <w:color w:val="D8E47A"/>
          <w:sz w:val="24"/>
        </w:rPr>
      </w:pPr>
      <w:bookmarkStart w:id="130" w:name="tPPP"/>
      <w:bookmarkEnd w:id="130"/>
      <w:r>
        <w:rPr>
          <w:rFonts w:ascii="Arial;Helvetica;sans-serif" w:hAnsi="Arial;Helvetica;sans-serif"/>
          <w:b/>
          <w:color w:val="D8E47A"/>
          <w:sz w:val="24"/>
        </w:rPr>
        <w:t>2014 Plan and 2019 Plan Payments</w:t>
      </w:r>
    </w:p>
    <w:p>
      <w:pPr>
        <w:pStyle w:val="TextBody"/>
        <w:bidi w:val="0"/>
        <w:spacing w:before="19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Long-Term Incentive Program and Performance Share Units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participant must be employed by the Company at the end of the three-year fiscal period to be eligible for any long-term incentive award, except in cases of: death and termination due to disability (which, in each case would result in a payment at target or, in the discretion of the committee, based on actual results), or a change in control, as described below, or as waived by the committee. If, due to retirement (as defined in the applicable plan or award agreement), a participant’s employment terminates at least 12 months after the grant date but before the end of the performance period, the participant’s award will remain outstanding and eligible to vest based on actual performance results, as if he or she had not retired. In the event of a change of control (as defined in the plan or other agreement), the performance goals under a long-term incentive award will be deemed to be achieved at the greater of the target or actual level of performance (if determinable) and will continue to vest over the service period of the award. In the event of the participant’s involuntary termination of employment for reasons other than Cause (as defined in the applicable plan or agreement) or if the committee so provides, the participant’s termination of employment for Good Reason (as defined in an applicable agreement), in either cause, within 24 months following a change in control, the award will vest in full.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Restricted Stock Units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Pursuant to award agreements entered into by each NEO, unvested awards of restricted stock units will immediately vest to NEOs if the NEO’s termination of employment is due to his or her death or disability (as defined in the applicable plan) or, beginning in Fiscal 2022 and later, his or her retirement (as defined in the applicable plan); provided such retirement occurs at least 12 months after the grant date. In addition, any unvested restricted stock units vest upon the occurrence of a participant’s involuntary termination following a change in control (as defined in the applicable plan or award agreement) for reasons other than Cause (as defined in the applicable plan or award agreement) or participant’s termination of employment for Good Reason (as defined in the applicable plan or award agreement), in either case, within 24 months following a change in control. In all other circumstances, in the event that a NEO ceases to be employed by the Company or any subsidiary, any unvested awards held by such grantee will terminate and thereafter be null and void. </w:t>
      </w:r>
    </w:p>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10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ny20052074x1_def14a_110-compensation_pg9"/>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Stock Options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Pursuant to the stock option agreements entered into by certain of our NEOs, unvested options vest after a participant’s involuntary termination for reasons other than Cause (as defined in the applicable plan or award agreement) or participant’s termination of employment for Good Reason (as defined in the applicable plan or award agreement), in either cause, within 24 months following a change in control (as defined in the applicable plan or award agreement). In the event that a NEO ceases to be employed by the Company, stock options held by such NEO will vest as follows: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if the NEO’s termination of employment is due to his death or disability, the stock options become vested in full and immediately exercisable for a period of one year after termination;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if the NEO’s termination of employment is due to his death, the options will become vested in full and immediately exercisable by the NEO’s estate or legal representative for a period of 10 years after any stock option grant date for non-qualified stock options (or in the case of options granted beginning Fiscal 2019 or thereafter, for a period of one year after death); and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in the case of options granted beginning Fiscal 2022 or after, if the NEO’s termination of employment is due to his retirement (as defined in the applicable plan or award agreement) and such retirement occurs at least 12 months after the grant date, the options will become vested in full and immediately exercisable by the NEO for a period of one year after retirement.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the event that a NEO ceases to be employed by the Company other than because of a change in control, disability, death or retirement, any outstanding stock options held by the NEO which have not vested as of the date of termination of employment will terminate. In the case of each award type above, if the award is not assumed or replaced in a change of control, the award will vest in full (in the case of any performance-based award, the award will vest as to a pro-rata portion of the greater of the actual level of performance (if determinable) or target. </w:t>
      </w:r>
    </w:p>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2" w:name="ny20052074x1_def14a_110-compensation_pg1"/>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33" w:name="tECCT"/>
      <w:bookmarkEnd w:id="133"/>
      <w:r>
        <w:rPr>
          <w:rFonts w:ascii="Arial;Helvetica;sans-serif" w:hAnsi="Arial;Helvetica;sans-serif"/>
          <w:b/>
          <w:color w:val="14202A"/>
          <w:sz w:val="30"/>
        </w:rPr>
        <w:t xml:space="preserve">Estimated Change in Control or Termination Payments and Benefits at the End of Fiscal 2025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reflects the payments and benefits payable to each of the NEOs in the event of a termination of the executive’s employment under several different circumstances. The amounts shown assume that termination was effective as of August 30, 2025,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 </w:t>
      </w:r>
    </w:p>
    <w:tbl>
      <w:tblPr>
        <w:tblW w:w="10205" w:type="dxa"/>
        <w:jc w:val="left"/>
        <w:tblInd w:w="0" w:type="dxa"/>
        <w:tblLayout w:type="fixed"/>
        <w:tblCellMar>
          <w:top w:w="0" w:type="dxa"/>
          <w:left w:w="0" w:type="dxa"/>
          <w:bottom w:w="0" w:type="dxa"/>
          <w:right w:w="0" w:type="dxa"/>
        </w:tblCellMar>
      </w:tblPr>
      <w:tblGrid>
        <w:gridCol w:w="185"/>
        <w:gridCol w:w="3508"/>
        <w:gridCol w:w="170"/>
        <w:gridCol w:w="170"/>
        <w:gridCol w:w="874"/>
        <w:gridCol w:w="170"/>
        <w:gridCol w:w="170"/>
        <w:gridCol w:w="884"/>
        <w:gridCol w:w="170"/>
        <w:gridCol w:w="170"/>
        <w:gridCol w:w="914"/>
        <w:gridCol w:w="170"/>
        <w:gridCol w:w="170"/>
        <w:gridCol w:w="962"/>
        <w:gridCol w:w="170"/>
        <w:gridCol w:w="170"/>
        <w:gridCol w:w="962"/>
        <w:gridCol w:w="216"/>
      </w:tblGrid>
      <w:tr>
        <w:trPr/>
        <w:tc>
          <w:tcPr>
            <w:tcW w:w="185" w:type="dxa"/>
            <w:tcBorders/>
            <w:shd w:fill="14202A" w:val="clear"/>
            <w:vAlign w:val="center"/>
          </w:tcPr>
          <w:p>
            <w:pPr>
              <w:pStyle w:val="TableContents"/>
              <w:bidi w:val="0"/>
              <w:spacing w:before="0" w:after="0"/>
              <w:jc w:val="left"/>
              <w:rPr/>
            </w:pPr>
            <w:r>
              <w:rPr/>
              <w:t> </w:t>
            </w:r>
          </w:p>
        </w:tc>
        <w:tc>
          <w:tcPr>
            <w:tcW w:w="350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8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1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3508"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Severance</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8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Annual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Management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1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LTIP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Performance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Shares</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Restricted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Accelerated</w:t>
            </w:r>
            <w:r>
              <w:rPr>
                <w:rFonts w:ascii="Arial;Helvetica;sans-serif" w:hAnsi="Arial;Helvetica;sans-serif"/>
                <w:b/>
                <w:color w:val="FFFFFF"/>
                <w:position w:val="5"/>
                <w:sz w:val="11"/>
                <w:sz w:val="14"/>
              </w:rPr>
              <w:t>(4)</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Accelerated</w:t>
            </w:r>
            <w:r>
              <w:rPr>
                <w:rFonts w:ascii="Arial;Helvetica;sans-serif" w:hAnsi="Arial;Helvetica;sans-serif"/>
                <w:b/>
                <w:color w:val="FFFFFF"/>
                <w:position w:val="5"/>
                <w:sz w:val="11"/>
                <w:sz w:val="14"/>
              </w:rPr>
              <w:t>(5)</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shd w:fill="CBD3D8" w:val="clear"/>
            <w:tcMar>
              <w:bottom w:w="53"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Michael J. Happe</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74" w:type="dxa"/>
            <w:tcBorders>
              <w:bottom w:val="single" w:sz="8" w:space="0" w:color="14202A"/>
            </w:tcBorders>
            <w:shd w:fill="CBD3D8" w:val="clear"/>
            <w:tcMar>
              <w:bottom w:w="53" w:type="dxa"/>
            </w:tcMar>
            <w:vAlign w:val="center"/>
          </w:tcPr>
          <w:p>
            <w:pPr>
              <w:pStyle w:val="TableContents"/>
              <w:bidi w:val="0"/>
              <w:spacing w:before="0" w:after="283"/>
              <w:ind w:left="42"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84" w:type="dxa"/>
            <w:tcBorders>
              <w:bottom w:val="single" w:sz="8" w:space="0" w:color="14202A"/>
            </w:tcBorders>
            <w:shd w:fill="CBD3D8" w:val="clear"/>
            <w:tcMar>
              <w:bottom w:w="53" w:type="dxa"/>
            </w:tcMar>
            <w:vAlign w:val="center"/>
          </w:tcPr>
          <w:p>
            <w:pPr>
              <w:pStyle w:val="TableContents"/>
              <w:bidi w:val="0"/>
              <w:spacing w:before="0" w:after="283"/>
              <w:ind w:left="161"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14" w:type="dxa"/>
            <w:tcBorders>
              <w:bottom w:val="single" w:sz="8" w:space="0" w:color="14202A"/>
            </w:tcBorders>
            <w:shd w:fill="CBD3D8" w:val="clear"/>
            <w:tcMar>
              <w:bottom w:w="53" w:type="dxa"/>
            </w:tcMar>
            <w:vAlign w:val="center"/>
          </w:tcPr>
          <w:p>
            <w:pPr>
              <w:pStyle w:val="TableContents"/>
              <w:bidi w:val="0"/>
              <w:spacing w:before="0" w:after="283"/>
              <w:ind w:left="118"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151"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Retirement</w:t>
            </w:r>
            <w:r>
              <w:rPr>
                <w:rFonts w:ascii="Arial;Helvetica;sans-serif" w:hAnsi="Arial;Helvetica;sans-serif"/>
                <w:color w:val="14202A"/>
                <w:position w:val="5"/>
                <w:sz w:val="13"/>
                <w:sz w:val="16"/>
              </w:rPr>
              <w:t>(6)</w:t>
            </w:r>
            <w:r>
              <w:rPr>
                <w:rFonts w:ascii="Arial;Helvetica;sans-serif" w:hAnsi="Arial;Helvetica;sans-serif"/>
                <w:color w:val="14202A"/>
                <w:sz w:val="16"/>
              </w:rPr>
              <w:t xml:space="preserve"> or Voluntary Separation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Involuntary Termination for Cause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200"/>
              <w:jc w:val="left"/>
              <w:rPr>
                <w:rFonts w:ascii="Arial;Helvetica;sans-serif" w:hAnsi="Arial;Helvetica;sans-serif"/>
                <w:color w:val="14202A"/>
                <w:sz w:val="16"/>
              </w:rPr>
            </w:pPr>
            <w:r>
              <w:rPr>
                <w:rFonts w:ascii="Arial;Helvetica;sans-serif" w:hAnsi="Arial;Helvetica;sans-serif"/>
                <w:color w:val="14202A"/>
                <w:sz w:val="16"/>
              </w:rPr>
              <w:t>Involuntary 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4,855,161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Change of Control</w:t>
            </w:r>
            <w:r>
              <w:rPr>
                <w:rFonts w:ascii="Arial;Helvetica;sans-serif" w:hAnsi="Arial;Helvetica;sans-serif"/>
                <w:color w:val="14202A"/>
                <w:position w:val="5"/>
                <w:sz w:val="13"/>
                <w:sz w:val="16"/>
              </w:rPr>
              <w:t>(7)</w:t>
            </w:r>
            <w:r>
              <w:rPr>
                <w:rFonts w:ascii="Arial;Helvetica;sans-serif" w:hAnsi="Arial;Helvetica;sans-serif"/>
                <w:color w:val="14202A"/>
                <w:sz w:val="16"/>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660" w:right="0" w:hanging="200"/>
              <w:jc w:val="left"/>
              <w:rPr>
                <w:rFonts w:ascii="Arial;Helvetica;sans-serif" w:hAnsi="Arial;Helvetica;sans-serif"/>
                <w:color w:val="14202A"/>
                <w:sz w:val="16"/>
              </w:rPr>
            </w:pPr>
            <w:r>
              <w:rPr>
                <w:rFonts w:ascii="Arial;Helvetica;sans-serif" w:hAnsi="Arial;Helvetica;sans-serif"/>
                <w:color w:val="14202A"/>
                <w:sz w:val="16"/>
              </w:rPr>
              <w:t>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7,282,742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rFonts w:ascii="Arial;Helvetica;sans-serif" w:hAnsi="Arial;Helvetica;sans-serif"/>
                <w:color w:val="14202A"/>
                <w:sz w:val="16"/>
              </w:rPr>
            </w:pPr>
            <w:r>
              <w:rPr>
                <w:rFonts w:ascii="Arial;Helvetica;sans-serif" w:hAnsi="Arial;Helvetica;sans-serif"/>
                <w:color w:val="14202A"/>
                <w:sz w:val="16"/>
              </w:rPr>
              <w:t>704,000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rFonts w:ascii="Arial;Helvetica;sans-serif" w:hAnsi="Arial;Helvetica;sans-serif"/>
                <w:color w:val="14202A"/>
                <w:sz w:val="16"/>
              </w:rPr>
            </w:pPr>
            <w:r>
              <w:rPr>
                <w:rFonts w:ascii="Arial;Helvetica;sans-serif" w:hAnsi="Arial;Helvetica;sans-serif"/>
                <w:color w:val="14202A"/>
                <w:sz w:val="16"/>
              </w:rPr>
              <w:t>3,565,582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2,473,229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Death or Disability</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rFonts w:ascii="Arial;Helvetica;sans-serif" w:hAnsi="Arial;Helvetica;sans-serif"/>
                <w:color w:val="14202A"/>
                <w:sz w:val="16"/>
              </w:rPr>
            </w:pPr>
            <w:r>
              <w:rPr>
                <w:rFonts w:ascii="Arial;Helvetica;sans-serif" w:hAnsi="Arial;Helvetica;sans-serif"/>
                <w:color w:val="14202A"/>
                <w:sz w:val="16"/>
              </w:rPr>
              <w:t>3,565,582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2,473,229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shd w:fill="CBD3D8" w:val="clear"/>
            <w:tcMar>
              <w:bottom w:w="53"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 xml:space="preserve">Bryan L. Hughes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74" w:type="dxa"/>
            <w:tcBorders>
              <w:bottom w:val="single" w:sz="8" w:space="0" w:color="14202A"/>
            </w:tcBorders>
            <w:shd w:fill="CBD3D8" w:val="clear"/>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84" w:type="dxa"/>
            <w:tcBorders>
              <w:bottom w:val="single" w:sz="8" w:space="0" w:color="14202A"/>
            </w:tcBorders>
            <w:shd w:fill="CBD3D8" w:val="clear"/>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14" w:type="dxa"/>
            <w:tcBorders>
              <w:bottom w:val="single" w:sz="8" w:space="0" w:color="14202A"/>
            </w:tcBorders>
            <w:shd w:fill="CBD3D8" w:val="clear"/>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Retirement</w:t>
            </w:r>
            <w:r>
              <w:rPr>
                <w:rFonts w:ascii="Arial;Helvetica;sans-serif" w:hAnsi="Arial;Helvetica;sans-serif"/>
                <w:color w:val="14202A"/>
                <w:position w:val="5"/>
                <w:sz w:val="13"/>
                <w:sz w:val="16"/>
              </w:rPr>
              <w:t>(6)</w:t>
            </w:r>
            <w:r>
              <w:rPr>
                <w:rFonts w:ascii="Arial;Helvetica;sans-serif" w:hAnsi="Arial;Helvetica;sans-serif"/>
                <w:color w:val="14202A"/>
                <w:sz w:val="16"/>
              </w:rPr>
              <w:t xml:space="preserve"> or Voluntary Separation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Involuntary Termination for Cause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200"/>
              <w:jc w:val="left"/>
              <w:rPr>
                <w:rFonts w:ascii="Arial;Helvetica;sans-serif" w:hAnsi="Arial;Helvetica;sans-serif"/>
                <w:color w:val="14202A"/>
                <w:sz w:val="16"/>
              </w:rPr>
            </w:pPr>
            <w:r>
              <w:rPr>
                <w:rFonts w:ascii="Arial;Helvetica;sans-serif" w:hAnsi="Arial;Helvetica;sans-serif"/>
                <w:color w:val="14202A"/>
                <w:sz w:val="16"/>
              </w:rPr>
              <w:t>Involuntary 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1,276,025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Change of Control</w:t>
            </w:r>
            <w:r>
              <w:rPr>
                <w:rFonts w:ascii="Arial;Helvetica;sans-serif" w:hAnsi="Arial;Helvetica;sans-serif"/>
                <w:color w:val="14202A"/>
                <w:position w:val="5"/>
                <w:sz w:val="13"/>
                <w:sz w:val="16"/>
              </w:rPr>
              <w:t>(7)</w:t>
            </w:r>
            <w:r>
              <w:rPr>
                <w:rFonts w:ascii="Arial;Helvetica;sans-serif" w:hAnsi="Arial;Helvetica;sans-serif"/>
                <w:color w:val="14202A"/>
                <w:sz w:val="16"/>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660" w:right="0" w:hanging="200"/>
              <w:jc w:val="left"/>
              <w:rPr>
                <w:rFonts w:ascii="Arial;Helvetica;sans-serif" w:hAnsi="Arial;Helvetica;sans-serif"/>
                <w:color w:val="14202A"/>
                <w:sz w:val="16"/>
              </w:rPr>
            </w:pPr>
            <w:r>
              <w:rPr>
                <w:rFonts w:ascii="Arial;Helvetica;sans-serif" w:hAnsi="Arial;Helvetica;sans-serif"/>
                <w:color w:val="14202A"/>
                <w:sz w:val="16"/>
              </w:rPr>
              <w:t>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2,552,050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rFonts w:ascii="Arial;Helvetica;sans-serif" w:hAnsi="Arial;Helvetica;sans-serif"/>
                <w:color w:val="14202A"/>
                <w:sz w:val="16"/>
              </w:rPr>
            </w:pPr>
            <w:r>
              <w:rPr>
                <w:rFonts w:ascii="Arial;Helvetica;sans-serif" w:hAnsi="Arial;Helvetica;sans-serif"/>
                <w:color w:val="14202A"/>
                <w:sz w:val="16"/>
              </w:rPr>
              <w:t>408,250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rFonts w:ascii="Arial;Helvetica;sans-serif" w:hAnsi="Arial;Helvetica;sans-serif"/>
                <w:color w:val="14202A"/>
                <w:sz w:val="16"/>
              </w:rPr>
            </w:pPr>
            <w:r>
              <w:rPr>
                <w:rFonts w:ascii="Arial;Helvetica;sans-serif" w:hAnsi="Arial;Helvetica;sans-serif"/>
                <w:color w:val="14202A"/>
                <w:sz w:val="16"/>
              </w:rPr>
              <w:t>713,088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497,280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Death or Disability</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rFonts w:ascii="Arial;Helvetica;sans-serif" w:hAnsi="Arial;Helvetica;sans-serif"/>
                <w:color w:val="14202A"/>
                <w:sz w:val="16"/>
              </w:rPr>
            </w:pPr>
            <w:r>
              <w:rPr>
                <w:rFonts w:ascii="Arial;Helvetica;sans-serif" w:hAnsi="Arial;Helvetica;sans-serif"/>
                <w:color w:val="14202A"/>
                <w:sz w:val="16"/>
              </w:rPr>
              <w:t>713,088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497,280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shd w:fill="CBD3D8" w:val="clear"/>
            <w:tcMar>
              <w:bottom w:w="53"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Donald J. Clark</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74" w:type="dxa"/>
            <w:tcBorders>
              <w:bottom w:val="single" w:sz="8" w:space="0" w:color="14202A"/>
            </w:tcBorders>
            <w:shd w:fill="CBD3D8" w:val="clear"/>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84" w:type="dxa"/>
            <w:tcBorders>
              <w:bottom w:val="single" w:sz="8" w:space="0" w:color="14202A"/>
            </w:tcBorders>
            <w:shd w:fill="CBD3D8" w:val="clear"/>
            <w:tcMar>
              <w:bottom w:w="53" w:type="dxa"/>
            </w:tcMar>
            <w:vAlign w:val="center"/>
          </w:tcPr>
          <w:p>
            <w:pPr>
              <w:pStyle w:val="TableContents"/>
              <w:bidi w:val="0"/>
              <w:spacing w:before="0" w:after="283"/>
              <w:ind w:left="161"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14" w:type="dxa"/>
            <w:tcBorders>
              <w:bottom w:val="single" w:sz="8" w:space="0" w:color="14202A"/>
            </w:tcBorders>
            <w:shd w:fill="CBD3D8" w:val="clear"/>
            <w:tcMar>
              <w:bottom w:w="53" w:type="dxa"/>
            </w:tcMar>
            <w:vAlign w:val="center"/>
          </w:tcPr>
          <w:p>
            <w:pPr>
              <w:pStyle w:val="TableContents"/>
              <w:bidi w:val="0"/>
              <w:spacing w:before="0" w:after="283"/>
              <w:ind w:left="118"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151"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Retirement</w:t>
            </w:r>
            <w:r>
              <w:rPr>
                <w:rFonts w:ascii="Arial;Helvetica;sans-serif" w:hAnsi="Arial;Helvetica;sans-serif"/>
                <w:color w:val="14202A"/>
                <w:position w:val="5"/>
                <w:sz w:val="13"/>
                <w:sz w:val="16"/>
              </w:rPr>
              <w:t>(6)</w:t>
            </w:r>
            <w:r>
              <w:rPr>
                <w:rFonts w:ascii="Arial;Helvetica;sans-serif" w:hAnsi="Arial;Helvetica;sans-serif"/>
                <w:color w:val="14202A"/>
                <w:sz w:val="16"/>
              </w:rPr>
              <w:t xml:space="preserve"> or Voluntary Separation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Involuntary Termination for Cause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200"/>
              <w:jc w:val="left"/>
              <w:rPr>
                <w:rFonts w:ascii="Arial;Helvetica;sans-serif" w:hAnsi="Arial;Helvetica;sans-serif"/>
                <w:color w:val="14202A"/>
                <w:sz w:val="16"/>
              </w:rPr>
            </w:pPr>
            <w:r>
              <w:rPr>
                <w:rFonts w:ascii="Arial;Helvetica;sans-serif" w:hAnsi="Arial;Helvetica;sans-serif"/>
                <w:color w:val="14202A"/>
                <w:sz w:val="16"/>
              </w:rPr>
              <w:t>Involuntary 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1,993,328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Change of Control</w:t>
            </w:r>
            <w:r>
              <w:rPr>
                <w:rFonts w:ascii="Arial;Helvetica;sans-serif" w:hAnsi="Arial;Helvetica;sans-serif"/>
                <w:color w:val="14202A"/>
                <w:position w:val="5"/>
                <w:sz w:val="13"/>
                <w:sz w:val="16"/>
              </w:rPr>
              <w:t>(7)</w:t>
            </w:r>
            <w:r>
              <w:rPr>
                <w:rFonts w:ascii="Arial;Helvetica;sans-serif" w:hAnsi="Arial;Helvetica;sans-serif"/>
                <w:color w:val="14202A"/>
                <w:sz w:val="16"/>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660" w:right="0" w:hanging="200"/>
              <w:jc w:val="left"/>
              <w:rPr>
                <w:rFonts w:ascii="Arial;Helvetica;sans-serif" w:hAnsi="Arial;Helvetica;sans-serif"/>
                <w:color w:val="14202A"/>
                <w:sz w:val="16"/>
              </w:rPr>
            </w:pPr>
            <w:r>
              <w:rPr>
                <w:rFonts w:ascii="Arial;Helvetica;sans-serif" w:hAnsi="Arial;Helvetica;sans-serif"/>
                <w:color w:val="14202A"/>
                <w:sz w:val="16"/>
              </w:rPr>
              <w:t>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3,000,000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792,891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Death or Disability</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792,891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shd w:fill="CBD3D8" w:val="clear"/>
            <w:tcMar>
              <w:bottom w:w="53"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b/>
                <w:color w:val="14202A"/>
                <w:sz w:val="16"/>
              </w:rPr>
              <w:t>Casey J. Tubman</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74" w:type="dxa"/>
            <w:tcBorders>
              <w:bottom w:val="single" w:sz="8" w:space="0" w:color="14202A"/>
            </w:tcBorders>
            <w:shd w:fill="CBD3D8" w:val="clear"/>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84" w:type="dxa"/>
            <w:tcBorders>
              <w:bottom w:val="single" w:sz="8" w:space="0" w:color="14202A"/>
            </w:tcBorders>
            <w:shd w:fill="CBD3D8" w:val="clear"/>
            <w:tcMar>
              <w:bottom w:w="53" w:type="dxa"/>
            </w:tcMar>
            <w:vAlign w:val="center"/>
          </w:tcPr>
          <w:p>
            <w:pPr>
              <w:pStyle w:val="TableContents"/>
              <w:bidi w:val="0"/>
              <w:spacing w:before="0" w:after="283"/>
              <w:ind w:left="161"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14" w:type="dxa"/>
            <w:tcBorders>
              <w:bottom w:val="single" w:sz="8" w:space="0" w:color="14202A"/>
            </w:tcBorders>
            <w:shd w:fill="CBD3D8" w:val="clear"/>
            <w:tcMar>
              <w:bottom w:w="53" w:type="dxa"/>
            </w:tcMar>
            <w:vAlign w:val="center"/>
          </w:tcPr>
          <w:p>
            <w:pPr>
              <w:pStyle w:val="TableContents"/>
              <w:bidi w:val="0"/>
              <w:spacing w:before="0" w:after="283"/>
              <w:ind w:left="118"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151"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Retirement</w:t>
            </w:r>
            <w:r>
              <w:rPr>
                <w:rFonts w:ascii="Arial;Helvetica;sans-serif" w:hAnsi="Arial;Helvetica;sans-serif"/>
                <w:color w:val="14202A"/>
                <w:position w:val="5"/>
                <w:sz w:val="13"/>
                <w:sz w:val="16"/>
              </w:rPr>
              <w:t>(6)</w:t>
            </w:r>
            <w:r>
              <w:rPr>
                <w:rFonts w:ascii="Arial;Helvetica;sans-serif" w:hAnsi="Arial;Helvetica;sans-serif"/>
                <w:color w:val="14202A"/>
                <w:sz w:val="16"/>
              </w:rPr>
              <w:t xml:space="preserve"> or Voluntary Separation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Involuntary Termination for Cause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200"/>
              <w:jc w:val="left"/>
              <w:rPr>
                <w:rFonts w:ascii="Arial;Helvetica;sans-serif" w:hAnsi="Arial;Helvetica;sans-serif"/>
                <w:color w:val="14202A"/>
                <w:sz w:val="16"/>
              </w:rPr>
            </w:pPr>
            <w:r>
              <w:rPr>
                <w:rFonts w:ascii="Arial;Helvetica;sans-serif" w:hAnsi="Arial;Helvetica;sans-serif"/>
                <w:color w:val="14202A"/>
                <w:sz w:val="16"/>
              </w:rPr>
              <w:t>Involuntary 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1,110,871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Change of Control</w:t>
            </w:r>
            <w:r>
              <w:rPr>
                <w:rFonts w:ascii="Arial;Helvetica;sans-serif" w:hAnsi="Arial;Helvetica;sans-serif"/>
                <w:color w:val="14202A"/>
                <w:position w:val="5"/>
                <w:sz w:val="13"/>
                <w:sz w:val="16"/>
              </w:rPr>
              <w:t>(7)</w:t>
            </w:r>
            <w:r>
              <w:rPr>
                <w:rFonts w:ascii="Arial;Helvetica;sans-serif" w:hAnsi="Arial;Helvetica;sans-serif"/>
                <w:color w:val="14202A"/>
                <w:sz w:val="16"/>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660" w:right="0" w:hanging="200"/>
              <w:jc w:val="left"/>
              <w:rPr>
                <w:rFonts w:ascii="Arial;Helvetica;sans-serif" w:hAnsi="Arial;Helvetica;sans-serif"/>
                <w:color w:val="14202A"/>
                <w:sz w:val="16"/>
              </w:rPr>
            </w:pPr>
            <w:r>
              <w:rPr>
                <w:rFonts w:ascii="Arial;Helvetica;sans-serif" w:hAnsi="Arial;Helvetica;sans-serif"/>
                <w:color w:val="14202A"/>
                <w:sz w:val="16"/>
              </w:rPr>
              <w:t>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42" w:right="0" w:hanging="0"/>
              <w:jc w:val="left"/>
              <w:rPr>
                <w:rFonts w:ascii="Arial;Helvetica;sans-serif" w:hAnsi="Arial;Helvetica;sans-serif"/>
                <w:color w:val="14202A"/>
                <w:sz w:val="16"/>
              </w:rPr>
            </w:pPr>
            <w:r>
              <w:rPr>
                <w:rFonts w:ascii="Arial;Helvetica;sans-serif" w:hAnsi="Arial;Helvetica;sans-serif"/>
                <w:color w:val="14202A"/>
                <w:sz w:val="16"/>
              </w:rPr>
              <w:t>2,221,743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161" w:right="0" w:hanging="0"/>
              <w:jc w:val="left"/>
              <w:rPr>
                <w:rFonts w:ascii="Arial;Helvetica;sans-serif" w:hAnsi="Arial;Helvetica;sans-serif"/>
                <w:color w:val="14202A"/>
                <w:sz w:val="16"/>
              </w:rPr>
            </w:pPr>
            <w:r>
              <w:rPr>
                <w:rFonts w:ascii="Arial;Helvetica;sans-serif" w:hAnsi="Arial;Helvetica;sans-serif"/>
                <w:color w:val="14202A"/>
                <w:sz w:val="16"/>
              </w:rPr>
              <w:t>850,828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18" w:right="0" w:hanging="0"/>
              <w:jc w:val="left"/>
              <w:rPr>
                <w:rFonts w:ascii="Arial;Helvetica;sans-serif" w:hAnsi="Arial;Helvetica;sans-serif"/>
                <w:color w:val="14202A"/>
                <w:sz w:val="16"/>
              </w:rPr>
            </w:pPr>
            <w:r>
              <w:rPr>
                <w:rFonts w:ascii="Arial;Helvetica;sans-serif" w:hAnsi="Arial;Helvetica;sans-serif"/>
                <w:color w:val="14202A"/>
                <w:sz w:val="16"/>
              </w:rPr>
              <w:t>385,742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265,424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8" w:type="dxa"/>
            <w:tcBorders/>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Death or 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42"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4" w:type="dxa"/>
            <w:tcBorders/>
            <w:vAlign w:val="center"/>
          </w:tcPr>
          <w:p>
            <w:pPr>
              <w:pStyle w:val="TableContents"/>
              <w:bidi w:val="0"/>
              <w:spacing w:before="0" w:after="283"/>
              <w:ind w:left="161"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283"/>
              <w:ind w:left="118" w:right="0" w:hanging="0"/>
              <w:jc w:val="left"/>
              <w:rPr>
                <w:rFonts w:ascii="Arial;Helvetica;sans-serif" w:hAnsi="Arial;Helvetica;sans-serif"/>
                <w:color w:val="14202A"/>
                <w:sz w:val="16"/>
              </w:rPr>
            </w:pPr>
            <w:r>
              <w:rPr>
                <w:rFonts w:ascii="Arial;Helvetica;sans-serif" w:hAnsi="Arial;Helvetica;sans-serif"/>
                <w:color w:val="14202A"/>
                <w:sz w:val="16"/>
              </w:rPr>
              <w:t>385,742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151" w:right="0" w:hanging="0"/>
              <w:jc w:val="left"/>
              <w:rPr>
                <w:rFonts w:ascii="Arial;Helvetica;sans-serif" w:hAnsi="Arial;Helvetica;sans-serif"/>
                <w:color w:val="14202A"/>
                <w:sz w:val="16"/>
              </w:rPr>
            </w:pPr>
            <w:r>
              <w:rPr>
                <w:rFonts w:ascii="Arial;Helvetica;sans-serif" w:hAnsi="Arial;Helvetica;sans-serif"/>
                <w:color w:val="14202A"/>
                <w:sz w:val="16"/>
              </w:rPr>
              <w:t>265,424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4" w:name="ny20052074x1_def14a_110-compensation_pg1"/>
        <w:bookmarkEnd w:id="13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3508"/>
        <w:gridCol w:w="170"/>
        <w:gridCol w:w="170"/>
        <w:gridCol w:w="874"/>
        <w:gridCol w:w="170"/>
        <w:gridCol w:w="170"/>
        <w:gridCol w:w="884"/>
        <w:gridCol w:w="170"/>
        <w:gridCol w:w="170"/>
        <w:gridCol w:w="914"/>
        <w:gridCol w:w="170"/>
        <w:gridCol w:w="170"/>
        <w:gridCol w:w="962"/>
        <w:gridCol w:w="170"/>
        <w:gridCol w:w="170"/>
        <w:gridCol w:w="962"/>
        <w:gridCol w:w="216"/>
      </w:tblGrid>
      <w:tr>
        <w:trPr/>
        <w:tc>
          <w:tcPr>
            <w:tcW w:w="185" w:type="dxa"/>
            <w:tcBorders/>
            <w:shd w:fill="14202A" w:val="clear"/>
            <w:vAlign w:val="center"/>
          </w:tcPr>
          <w:p>
            <w:pPr>
              <w:pStyle w:val="TableContents"/>
              <w:bidi w:val="0"/>
              <w:spacing w:before="0" w:after="0"/>
              <w:jc w:val="left"/>
              <w:rPr/>
            </w:pPr>
            <w:r>
              <w:rPr/>
              <w:t> </w:t>
            </w:r>
          </w:p>
        </w:tc>
        <w:tc>
          <w:tcPr>
            <w:tcW w:w="350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8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1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3508"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7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Severance</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8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Annual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Management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1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LTIP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Performance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Shares</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Restricted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Accelerated</w:t>
            </w:r>
            <w:r>
              <w:rPr>
                <w:rFonts w:ascii="Arial;Helvetica;sans-serif" w:hAnsi="Arial;Helvetica;sans-serif"/>
                <w:b/>
                <w:color w:val="FFFFFF"/>
                <w:position w:val="5"/>
                <w:sz w:val="11"/>
                <w:sz w:val="14"/>
              </w:rPr>
              <w:t>(4)</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6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Accelerated</w:t>
            </w:r>
            <w:r>
              <w:rPr>
                <w:rFonts w:ascii="Arial;Helvetica;sans-serif" w:hAnsi="Arial;Helvetica;sans-serif"/>
                <w:b/>
                <w:color w:val="FFFFFF"/>
                <w:position w:val="5"/>
                <w:sz w:val="11"/>
                <w:sz w:val="14"/>
              </w:rPr>
              <w:t>(5)</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shd w:fill="CBD3D8" w:val="clear"/>
            <w:tcMar>
              <w:bottom w:w="53"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b/>
                <w:color w:val="14202A"/>
                <w:sz w:val="16"/>
              </w:rPr>
              <w:t>Stacy L. Bogart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74" w:type="dxa"/>
            <w:tcBorders>
              <w:bottom w:val="single" w:sz="8" w:space="0" w:color="14202A"/>
            </w:tcBorders>
            <w:shd w:fill="CBD3D8" w:val="clear"/>
            <w:tcMar>
              <w:bottom w:w="53" w:type="dxa"/>
            </w:tcMar>
            <w:vAlign w:val="center"/>
          </w:tcPr>
          <w:p>
            <w:pPr>
              <w:pStyle w:val="TableContents"/>
              <w:bidi w:val="0"/>
              <w:spacing w:before="0" w:after="283"/>
              <w:ind w:left="70" w:right="0" w:hanging="0"/>
              <w:jc w:val="left"/>
              <w:rPr>
                <w:color w:val="14202A"/>
              </w:rPr>
            </w:pPr>
            <w:r>
              <w:rPr>
                <w:color w:val="14202A"/>
              </w:rPr>
              <w:t>​</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884" w:type="dxa"/>
            <w:tcBorders>
              <w:bottom w:val="single" w:sz="8" w:space="0" w:color="14202A"/>
            </w:tcBorders>
            <w:shd w:fill="CBD3D8" w:val="clear"/>
            <w:tcMar>
              <w:bottom w:w="53" w:type="dxa"/>
            </w:tcMar>
            <w:vAlign w:val="center"/>
          </w:tcPr>
          <w:p>
            <w:pPr>
              <w:pStyle w:val="TableContents"/>
              <w:bidi w:val="0"/>
              <w:spacing w:before="0" w:after="283"/>
              <w:ind w:left="218"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14" w:type="dxa"/>
            <w:tcBorders>
              <w:bottom w:val="single" w:sz="8" w:space="0" w:color="14202A"/>
            </w:tcBorders>
            <w:shd w:fill="CBD3D8" w:val="clear"/>
            <w:tcMar>
              <w:bottom w:w="53" w:type="dxa"/>
            </w:tcMar>
            <w:vAlign w:val="center"/>
          </w:tcPr>
          <w:p>
            <w:pPr>
              <w:pStyle w:val="TableContents"/>
              <w:bidi w:val="0"/>
              <w:spacing w:before="0" w:after="283"/>
              <w:ind w:left="168"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231" w:right="0" w:hanging="0"/>
              <w:jc w:val="left"/>
              <w:rPr>
                <w:color w:val="14202A"/>
              </w:rPr>
            </w:pPr>
            <w:r>
              <w:rPr>
                <w:color w:val="14202A"/>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170"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c>
          <w:tcPr>
            <w:tcW w:w="962" w:type="dxa"/>
            <w:tcBorders>
              <w:bottom w:val="single" w:sz="8" w:space="0" w:color="14202A"/>
            </w:tcBorders>
            <w:shd w:fill="CBD3D8" w:val="clear"/>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shd w:fill="CBD3D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Retirement</w:t>
            </w:r>
            <w:r>
              <w:rPr>
                <w:rFonts w:ascii="Arial;Helvetica;sans-serif" w:hAnsi="Arial;Helvetica;sans-serif"/>
                <w:color w:val="14202A"/>
                <w:position w:val="5"/>
                <w:sz w:val="13"/>
                <w:sz w:val="16"/>
              </w:rPr>
              <w:t>(6)</w:t>
            </w:r>
            <w:r>
              <w:rPr>
                <w:rFonts w:ascii="Arial;Helvetica;sans-serif" w:hAnsi="Arial;Helvetica;sans-serif"/>
                <w:color w:val="14202A"/>
                <w:sz w:val="16"/>
              </w:rPr>
              <w:t xml:space="preserve"> or Voluntary Separation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7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2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23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Involuntary Termination for Cause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7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2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23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460" w:right="0" w:hanging="200"/>
              <w:jc w:val="left"/>
              <w:rPr>
                <w:rFonts w:ascii="Arial;Helvetica;sans-serif" w:hAnsi="Arial;Helvetica;sans-serif"/>
                <w:color w:val="14202A"/>
                <w:sz w:val="16"/>
              </w:rPr>
            </w:pPr>
            <w:r>
              <w:rPr>
                <w:rFonts w:ascii="Arial;Helvetica;sans-serif" w:hAnsi="Arial;Helvetica;sans-serif"/>
                <w:color w:val="14202A"/>
                <w:sz w:val="16"/>
              </w:rPr>
              <w:t>Involuntary 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70" w:right="0" w:hanging="0"/>
              <w:jc w:val="left"/>
              <w:rPr>
                <w:rFonts w:ascii="Arial;Helvetica;sans-serif" w:hAnsi="Arial;Helvetica;sans-serif"/>
                <w:color w:val="14202A"/>
                <w:sz w:val="16"/>
              </w:rPr>
            </w:pPr>
            <w:r>
              <w:rPr>
                <w:rFonts w:ascii="Arial;Helvetica;sans-serif" w:hAnsi="Arial;Helvetica;sans-serif"/>
                <w:color w:val="14202A"/>
                <w:sz w:val="16"/>
              </w:rPr>
              <w:t>1,028,121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21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231"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260" w:right="0" w:hanging="0"/>
              <w:jc w:val="left"/>
              <w:rPr>
                <w:rFonts w:ascii="Arial;Helvetica;sans-serif" w:hAnsi="Arial;Helvetica;sans-serif"/>
                <w:color w:val="14202A"/>
                <w:sz w:val="16"/>
              </w:rPr>
            </w:pPr>
            <w:r>
              <w:rPr>
                <w:rFonts w:ascii="Arial;Helvetica;sans-serif" w:hAnsi="Arial;Helvetica;sans-serif"/>
                <w:color w:val="14202A"/>
                <w:sz w:val="16"/>
              </w:rPr>
              <w:t>Change of Control</w:t>
            </w:r>
            <w:r>
              <w:rPr>
                <w:rFonts w:ascii="Arial;Helvetica;sans-serif" w:hAnsi="Arial;Helvetica;sans-serif"/>
                <w:color w:val="14202A"/>
                <w:position w:val="5"/>
                <w:sz w:val="13"/>
                <w:sz w:val="16"/>
              </w:rPr>
              <w:t>(7)</w:t>
            </w:r>
            <w:r>
              <w:rPr>
                <w:rFonts w:ascii="Arial;Helvetica;sans-serif" w:hAnsi="Arial;Helvetica;sans-serif"/>
                <w:color w:val="14202A"/>
                <w:sz w:val="16"/>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70"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21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68"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231" w:right="0" w:hanging="0"/>
              <w:jc w:val="left"/>
              <w:rPr>
                <w:color w:val="14202A"/>
              </w:rPr>
            </w:pPr>
            <w:r>
              <w:rPr>
                <w:color w:val="14202A"/>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53" w:type="dxa"/>
            </w:tcMar>
            <w:vAlign w:val="center"/>
          </w:tcPr>
          <w:p>
            <w:pPr>
              <w:pStyle w:val="TableContents"/>
              <w:bidi w:val="0"/>
              <w:spacing w:before="0" w:after="283"/>
              <w:ind w:left="660" w:right="0" w:hanging="200"/>
              <w:jc w:val="left"/>
              <w:rPr>
                <w:rFonts w:ascii="Arial;Helvetica;sans-serif" w:hAnsi="Arial;Helvetica;sans-serif"/>
                <w:color w:val="14202A"/>
                <w:sz w:val="16"/>
              </w:rPr>
            </w:pPr>
            <w:r>
              <w:rPr>
                <w:rFonts w:ascii="Arial;Helvetica;sans-serif" w:hAnsi="Arial;Helvetica;sans-serif"/>
                <w:color w:val="14202A"/>
                <w:sz w:val="16"/>
              </w:rPr>
              <w:t>Termination without Cause/Good Reason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53" w:type="dxa"/>
            </w:tcMar>
            <w:vAlign w:val="center"/>
          </w:tcPr>
          <w:p>
            <w:pPr>
              <w:pStyle w:val="TableContents"/>
              <w:bidi w:val="0"/>
              <w:spacing w:before="0" w:after="283"/>
              <w:ind w:left="70" w:right="0" w:hanging="0"/>
              <w:jc w:val="left"/>
              <w:rPr>
                <w:rFonts w:ascii="Arial;Helvetica;sans-serif" w:hAnsi="Arial;Helvetica;sans-serif"/>
                <w:color w:val="14202A"/>
                <w:sz w:val="16"/>
              </w:rPr>
            </w:pPr>
            <w:r>
              <w:rPr>
                <w:rFonts w:ascii="Arial;Helvetica;sans-serif" w:hAnsi="Arial;Helvetica;sans-serif"/>
                <w:color w:val="14202A"/>
                <w:sz w:val="16"/>
              </w:rPr>
              <w:t>2,056,242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53" w:type="dxa"/>
            </w:tcMar>
            <w:vAlign w:val="center"/>
          </w:tcPr>
          <w:p>
            <w:pPr>
              <w:pStyle w:val="TableContents"/>
              <w:bidi w:val="0"/>
              <w:spacing w:before="0" w:after="283"/>
              <w:ind w:left="218" w:right="0" w:hanging="0"/>
              <w:jc w:val="left"/>
              <w:rPr>
                <w:rFonts w:ascii="Arial;Helvetica;sans-serif" w:hAnsi="Arial;Helvetica;sans-serif"/>
                <w:color w:val="14202A"/>
                <w:sz w:val="16"/>
              </w:rPr>
            </w:pPr>
            <w:r>
              <w:rPr>
                <w:rFonts w:ascii="Arial;Helvetica;sans-serif" w:hAnsi="Arial;Helvetica;sans-serif"/>
                <w:color w:val="14202A"/>
                <w:sz w:val="16"/>
              </w:rPr>
              <w:t>301,071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53" w:type="dxa"/>
            </w:tcMar>
            <w:vAlign w:val="center"/>
          </w:tcPr>
          <w:p>
            <w:pPr>
              <w:pStyle w:val="TableContents"/>
              <w:bidi w:val="0"/>
              <w:spacing w:before="0" w:after="283"/>
              <w:ind w:left="168" w:right="0" w:hanging="0"/>
              <w:jc w:val="left"/>
              <w:rPr>
                <w:rFonts w:ascii="Arial;Helvetica;sans-serif" w:hAnsi="Arial;Helvetica;sans-serif"/>
                <w:color w:val="14202A"/>
                <w:sz w:val="16"/>
              </w:rPr>
            </w:pPr>
            <w:r>
              <w:rPr>
                <w:rFonts w:ascii="Arial;Helvetica;sans-serif" w:hAnsi="Arial;Helvetica;sans-serif"/>
                <w:color w:val="14202A"/>
                <w:sz w:val="16"/>
              </w:rPr>
              <w:t>507,966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231" w:right="0" w:hanging="0"/>
              <w:jc w:val="left"/>
              <w:rPr>
                <w:rFonts w:ascii="Arial;Helvetica;sans-serif" w:hAnsi="Arial;Helvetica;sans-serif"/>
                <w:color w:val="14202A"/>
                <w:sz w:val="16"/>
              </w:rPr>
            </w:pPr>
            <w:r>
              <w:rPr>
                <w:rFonts w:ascii="Arial;Helvetica;sans-serif" w:hAnsi="Arial;Helvetica;sans-serif"/>
                <w:color w:val="14202A"/>
                <w:sz w:val="16"/>
              </w:rPr>
              <w:t>355,914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53" w:type="dxa"/>
            </w:tcMar>
            <w:vAlign w:val="center"/>
          </w:tcPr>
          <w:p>
            <w:pPr>
              <w:pStyle w:val="TableContents"/>
              <w:bidi w:val="0"/>
              <w:spacing w:before="0" w:after="283"/>
              <w:ind w:left="424" w:right="0" w:hanging="0"/>
              <w:jc w:val="left"/>
              <w:rPr>
                <w:color w:val="14202A"/>
              </w:rPr>
            </w:pPr>
            <w:r>
              <w:rPr>
                <w:color w:val="14202A"/>
              </w:rPr>
              <w:t xml:space="preserve">—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8" w:type="dxa"/>
            <w:tcBorders/>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Death or 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70"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4" w:type="dxa"/>
            <w:tcBorders/>
            <w:vAlign w:val="center"/>
          </w:tcPr>
          <w:p>
            <w:pPr>
              <w:pStyle w:val="TableContents"/>
              <w:bidi w:val="0"/>
              <w:spacing w:before="0" w:after="283"/>
              <w:ind w:left="218"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283"/>
              <w:ind w:left="168" w:right="0" w:hanging="0"/>
              <w:jc w:val="left"/>
              <w:rPr>
                <w:rFonts w:ascii="Arial;Helvetica;sans-serif" w:hAnsi="Arial;Helvetica;sans-serif"/>
                <w:color w:val="14202A"/>
                <w:sz w:val="16"/>
              </w:rPr>
            </w:pPr>
            <w:r>
              <w:rPr>
                <w:rFonts w:ascii="Arial;Helvetica;sans-serif" w:hAnsi="Arial;Helvetica;sans-serif"/>
                <w:color w:val="14202A"/>
                <w:sz w:val="16"/>
              </w:rPr>
              <w:t>507,966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231" w:right="0" w:hanging="0"/>
              <w:jc w:val="left"/>
              <w:rPr>
                <w:rFonts w:ascii="Arial;Helvetica;sans-serif" w:hAnsi="Arial;Helvetica;sans-serif"/>
                <w:color w:val="14202A"/>
                <w:sz w:val="16"/>
              </w:rPr>
            </w:pPr>
            <w:r>
              <w:rPr>
                <w:rFonts w:ascii="Arial;Helvetica;sans-serif" w:hAnsi="Arial;Helvetica;sans-serif"/>
                <w:color w:val="14202A"/>
                <w:sz w:val="16"/>
              </w:rPr>
              <w:t>355,914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ind w:left="424" w:right="0" w:hanging="0"/>
              <w:jc w:val="left"/>
              <w:rPr>
                <w:color w:val="14202A"/>
              </w:rPr>
            </w:pPr>
            <w:r>
              <w:rPr>
                <w:color w:val="14202A"/>
              </w:rPr>
              <w:t>—</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08"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7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62"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2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For Mr. Happe, the Involuntary Termination without Cause and Termination for Good Reason before a Change in Control amounts reflect two years of base salary, annual target incentive, and annual premium cost of COBRA. For Mr. Clark, the Involuntary Termination without Cause or Termination for Good Reason before a Change in Control amounts reflect one year of base salary. For Messrs. Hughes and Tubman, and Ms. Bogart, the Involuntary Termination without Cause and Termination for Good Reason before a Change in Control amounts reflect one year of base salary, annual target incentive, and annual premium cost of COBRA. For all NEOs (except Mr. Clark), the Change in Control severance amount equals two times (or three times in the case of our CEO) base salary and annual target incentive, and annual premium cost of COBRA. In the case of Mr. Clark, the total severance benefit for a Change in Control termination is capped at $3,000,000.</w:t>
            </w:r>
          </w:p>
        </w:tc>
      </w:tr>
    </w:tbl>
    <w:tbl>
      <w:tblPr>
        <w:tblW w:w="6775" w:type="dxa"/>
        <w:jc w:val="left"/>
        <w:tblInd w:w="0" w:type="dxa"/>
        <w:tblLayout w:type="fixed"/>
        <w:tblCellMar>
          <w:top w:w="0" w:type="dxa"/>
          <w:left w:w="0" w:type="dxa"/>
          <w:bottom w:w="0" w:type="dxa"/>
          <w:right w:w="0" w:type="dxa"/>
        </w:tblCellMar>
      </w:tblPr>
      <w:tblGrid>
        <w:gridCol w:w="215"/>
        <w:gridCol w:w="656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656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the NEOs’ actual annual incentive payout pursuant to the 2025 OICP (other than Mr. Clark).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2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the LTIP incentive achieved pursuant to the Fiscal 2023-2025 LTIP and the target amount payable under the Fiscal 2024-2026 LTIP and the Fiscal 2025-2027 LTIP. Valuation is based on our closing stock price of $35.98 per share, on August 29, 2025. Actual payouts will depend on, among other things, whether or not awards are assumed or replaced, the type of change in control transaction and, in some cases, whether the payout will occur at target or actual based on the situation at the time, all as explained in the narrative preceding the table.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999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the intrinsic value of unvested stock unit grants based on our closing stock price of $35.98 per share on August 29, 2025, the last trading day of Fiscal 2025.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999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the intrinsic value of unvested and accelerated stock options based on our closing stock price of $35.98 per share on August 29, 2025, the last trading day of Fiscal 2025.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(6)</w:t>
            </w:r>
          </w:p>
        </w:tc>
        <w:tc>
          <w:tcPr>
            <w:tcW w:w="1002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Retirement under certain of the 2014 Plan award agreements is defined as attaining age 60 and five or more years of service with the Company. Retirement under the 2019 Plan awards, granted prior to October 2021, does not trigger automatic acceleration of such awards. For grants beginning in October 2021, retirement is defined as attaining age 55 and 10 or more years of service with the Company, or age 65. In the event of a voluntary termination upon meeting this definition of retirement, vesting of awards granted at least one year prior to the date of retirement will accelerate.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(7)</w:t>
            </w:r>
          </w:p>
        </w:tc>
        <w:tc>
          <w:tcPr>
            <w:tcW w:w="100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term “Change of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 </w:t>
            </w:r>
          </w:p>
        </w:tc>
      </w:tr>
    </w:tbl>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5" w:name="ny20052074x1_def14a_110-compensation_pg1"/>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36" w:name="tPRD"/>
      <w:bookmarkEnd w:id="136"/>
      <w:r>
        <w:rPr>
          <w:rFonts w:ascii="Arial;Helvetica;sans-serif" w:hAnsi="Arial;Helvetica;sans-serif"/>
          <w:b/>
          <w:color w:val="14202A"/>
          <w:sz w:val="30"/>
        </w:rPr>
        <w:t xml:space="preserve">CEO Pay Ratio Disclosure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Fiscal 2025, we calculated the ratio of the annual total compensation of our principal executive officer (PEO), who is Mr. Happe, our President and CEO, to the annual total compensation of our median employee, as described below.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of our measurement date of August 30, 2025, that we used to identify our median employee, our employee population including all full-time, part-time and temporary workers, consisted of approximately 5,300 individuals, all of whom worked in the United States.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To identify the median employee, as well as determine the annual total compensation of the median employee, we used the following methodology and consistently applied material assumptions, adjustments and estimates.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We compared the payroll data for our employee population described above (minus our PEO) using a compensation measure consisting of base pay related wages and incentive pay paid during Fiscal 2025.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We annualized the base pay related wages and incentive pay of all full-time and part-time employees who were hired by the Company and its subsidiaries between August 31, 2024 and August 30, 2025.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Based upon base pay related wages and cash incentive pay of each employee, we identified a median employee and calculated that employee’s annual total compensation.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We determined annual total compensation, including any perquisites and other benefits, in the same manner that we determine the annual total compensation of our PEO for purposes of the Summary Compensation Table disclosed above. </w:t>
            </w:r>
          </w:p>
        </w:tc>
      </w:tr>
    </w:tbl>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This resulted in the median employee’s annual total compensation as shown below. </w:t>
      </w:r>
    </w:p>
    <w:tbl>
      <w:tblPr>
        <w:tblW w:w="5160" w:type="dxa"/>
        <w:jc w:val="left"/>
        <w:tblInd w:w="0" w:type="dxa"/>
        <w:tblLayout w:type="fixed"/>
        <w:tblCellMar>
          <w:top w:w="0" w:type="dxa"/>
          <w:left w:w="0" w:type="dxa"/>
          <w:bottom w:w="0" w:type="dxa"/>
          <w:right w:w="0" w:type="dxa"/>
        </w:tblCellMar>
      </w:tblPr>
      <w:tblGrid>
        <w:gridCol w:w="185"/>
        <w:gridCol w:w="3560"/>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6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Annual Total Compensation of Median Employee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w:t>
            </w:r>
            <w:r>
              <w:rPr>
                <w:rFonts w:ascii="Arial;Helvetica;sans-serif" w:hAnsi="Arial;Helvetica;sans-serif"/>
                <w:color w:val="14202A"/>
                <w:sz w:val="16"/>
              </w:rPr>
              <w:t xml:space="preserve">​80,661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Annual Total Compensation of PEO (Mr. Happe)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$8,999,898</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35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Based on this information for Fiscal 2025, we reasonably estimate that the ratio of our CEO’s annual total compensation to the annual total compensation of our median employee was 112 to 1. Our pay ratio estimate has been calculated in a manner consistent with Item 402(u) of Regulation S-K.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 </w:t>
      </w:r>
    </w:p>
    <w:tbl>
      <w:tblPr>
        <w:tblW w:w="6045" w:type="dxa"/>
        <w:jc w:val="left"/>
        <w:tblInd w:w="48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7" w:name="ny20052074x1_def14a_111-pvp_pg1"/>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38" w:name="tPVP"/>
      <w:bookmarkEnd w:id="138"/>
      <w:r>
        <w:rPr>
          <w:rFonts w:ascii="Arial;Helvetica;sans-serif" w:hAnsi="Arial;Helvetica;sans-serif"/>
          <w:b/>
          <w:color w:val="14202A"/>
          <w:sz w:val="30"/>
        </w:rPr>
        <w:t xml:space="preserve">Pay Versus Performance Disclosure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illustrating pay versus performance (PVP). </w:t>
      </w:r>
    </w:p>
    <w:tbl>
      <w:tblPr>
        <w:tblW w:w="10230" w:type="dxa"/>
        <w:jc w:val="left"/>
        <w:tblInd w:w="0" w:type="dxa"/>
        <w:tblLayout w:type="fixed"/>
        <w:tblCellMar>
          <w:top w:w="0" w:type="dxa"/>
          <w:left w:w="0" w:type="dxa"/>
          <w:bottom w:w="0" w:type="dxa"/>
          <w:right w:w="0" w:type="dxa"/>
        </w:tblCellMar>
      </w:tblPr>
      <w:tblGrid>
        <w:gridCol w:w="185"/>
        <w:gridCol w:w="410"/>
        <w:gridCol w:w="170"/>
        <w:gridCol w:w="170"/>
        <w:gridCol w:w="950"/>
        <w:gridCol w:w="170"/>
        <w:gridCol w:w="170"/>
        <w:gridCol w:w="950"/>
        <w:gridCol w:w="170"/>
        <w:gridCol w:w="170"/>
        <w:gridCol w:w="950"/>
        <w:gridCol w:w="170"/>
        <w:gridCol w:w="170"/>
        <w:gridCol w:w="950"/>
        <w:gridCol w:w="170"/>
        <w:gridCol w:w="170"/>
        <w:gridCol w:w="830"/>
        <w:gridCol w:w="170"/>
        <w:gridCol w:w="170"/>
        <w:gridCol w:w="860"/>
        <w:gridCol w:w="170"/>
        <w:gridCol w:w="170"/>
        <w:gridCol w:w="575"/>
        <w:gridCol w:w="170"/>
        <w:gridCol w:w="170"/>
        <w:gridCol w:w="635"/>
        <w:gridCol w:w="215"/>
      </w:tblGrid>
      <w:tr>
        <w:trPr/>
        <w:tc>
          <w:tcPr>
            <w:tcW w:w="185" w:type="dxa"/>
            <w:tcBorders/>
            <w:shd w:fill="14202A" w:val="clear"/>
            <w:vAlign w:val="center"/>
          </w:tcPr>
          <w:p>
            <w:pPr>
              <w:pStyle w:val="TableContents"/>
              <w:bidi w:val="0"/>
              <w:spacing w:before="0" w:after="0"/>
              <w:jc w:val="left"/>
              <w:rPr/>
            </w:pPr>
            <w:r>
              <w:rPr/>
              <w:t> </w:t>
            </w:r>
          </w:p>
        </w:tc>
        <w:tc>
          <w:tcPr>
            <w:tcW w:w="41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30"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5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3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vMerge w:val="restart"/>
            <w:tcBorders/>
            <w:shd w:fill="14202A" w:val="clear"/>
            <w:vAlign w:val="center"/>
          </w:tcPr>
          <w:p>
            <w:pPr>
              <w:pStyle w:val="TableContents"/>
              <w:bidi w:val="0"/>
              <w:spacing w:before="0" w:after="0"/>
              <w:jc w:val="left"/>
              <w:rPr/>
            </w:pPr>
            <w:r>
              <w:rPr/>
              <w:t> </w:t>
            </w:r>
          </w:p>
        </w:tc>
        <w:tc>
          <w:tcPr>
            <w:tcW w:w="41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Year</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95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Summary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Compensation</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Table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Total for CEO</w:t>
            </w:r>
            <w:r>
              <w:rPr>
                <w:rFonts w:ascii="Arial;Helvetica;sans-serif" w:hAnsi="Arial;Helvetica;sans-serif"/>
                <w:b/>
                <w:color w:val="FFFFFF"/>
                <w:position w:val="5"/>
                <w:sz w:val="11"/>
                <w:sz w:val="14"/>
                <w:u w:val="single"/>
              </w:rPr>
              <w:t>(1)</w:t>
            </w:r>
            <w:r>
              <w:rPr>
                <w:rFonts w:ascii="Arial;Helvetica;sans-serif" w:hAnsi="Arial;Helvetica;sans-serif"/>
                <w:b/>
                <w:color w:val="FFFFFF"/>
                <w:sz w:val="14"/>
                <w:u w:val="single"/>
              </w:rPr>
              <w:t xml:space="preserve">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95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Compensation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Actually Paid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to CEO</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95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Average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Summary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Compensation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Total for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Non-CEO NEOs</w:t>
            </w:r>
            <w:r>
              <w:rPr>
                <w:rFonts w:ascii="Arial;Helvetica;sans-serif" w:hAnsi="Arial;Helvetica;sans-serif"/>
                <w:b/>
                <w:color w:val="FFFFFF"/>
                <w:position w:val="5"/>
                <w:sz w:val="11"/>
                <w:sz w:val="14"/>
                <w:u w:val="single"/>
              </w:rPr>
              <w:t>(1)</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950"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Average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Compensation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Actually Paid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to Non-CEO NEOs</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w:t>
            </w:r>
          </w:p>
        </w:tc>
        <w:tc>
          <w:tcPr>
            <w:tcW w:w="170" w:type="dxa"/>
            <w:vMerge w:val="restart"/>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030" w:type="dxa"/>
            <w:gridSpan w:val="4"/>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Value of Initial Fixed</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$100 Investment Based on:</w:t>
            </w:r>
          </w:p>
        </w:tc>
        <w:tc>
          <w:tcPr>
            <w:tcW w:w="170" w:type="dxa"/>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575"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Net Income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in millions)</w:t>
            </w:r>
          </w:p>
        </w:tc>
        <w:tc>
          <w:tcPr>
            <w:tcW w:w="170" w:type="dxa"/>
            <w:vMerge w:val="restart"/>
            <w:tcBorders/>
            <w:shd w:fill="14202A" w:val="clear"/>
            <w:vAlign w:val="center"/>
          </w:tcPr>
          <w:p>
            <w:pPr>
              <w:pStyle w:val="TableContents"/>
              <w:bidi w:val="0"/>
              <w:spacing w:before="0" w:after="0"/>
              <w:jc w:val="left"/>
              <w:rPr/>
            </w:pPr>
            <w:r>
              <w:rPr/>
              <w:t> </w:t>
            </w:r>
          </w:p>
        </w:tc>
        <w:tc>
          <w:tcPr>
            <w:tcW w:w="170" w:type="dxa"/>
            <w:vMerge w:val="restart"/>
            <w:tcBorders/>
            <w:shd w:fill="14202A" w:val="clear"/>
            <w:vAlign w:val="center"/>
          </w:tcPr>
          <w:p>
            <w:pPr>
              <w:pStyle w:val="TableContents"/>
              <w:bidi w:val="0"/>
              <w:spacing w:before="0" w:after="0"/>
              <w:jc w:val="left"/>
              <w:rPr/>
            </w:pPr>
            <w:r>
              <w:rPr/>
              <w:t> </w:t>
            </w:r>
          </w:p>
        </w:tc>
        <w:tc>
          <w:tcPr>
            <w:tcW w:w="635" w:type="dxa"/>
            <w:vMerge w:val="restart"/>
            <w:tcBorders/>
            <w:shd w:fill="14202A" w:val="cle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Incentive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EPS($)</w:t>
            </w:r>
            <w:r>
              <w:rPr>
                <w:rFonts w:ascii="Arial;Helvetica;sans-serif" w:hAnsi="Arial;Helvetica;sans-serif"/>
                <w:b/>
                <w:color w:val="FFFFFF"/>
                <w:position w:val="5"/>
                <w:sz w:val="11"/>
                <w:sz w:val="14"/>
                <w:u w:val="single"/>
              </w:rPr>
              <w:t>(4)</w:t>
            </w:r>
          </w:p>
        </w:tc>
        <w:tc>
          <w:tcPr>
            <w:tcW w:w="215" w:type="dxa"/>
            <w:vMerge w:val="restart"/>
            <w:tcBorders/>
            <w:shd w:fill="14202A" w:val="clear"/>
            <w:vAlign w:val="center"/>
          </w:tcPr>
          <w:p>
            <w:pPr>
              <w:pStyle w:val="TableContents"/>
              <w:bidi w:val="0"/>
              <w:spacing w:before="0" w:after="0"/>
              <w:jc w:val="left"/>
              <w:rPr/>
            </w:pPr>
            <w:r>
              <w:rPr/>
              <w:t> </w:t>
            </w:r>
          </w:p>
        </w:tc>
      </w:tr>
      <w:tr>
        <w:trPr/>
        <w:tc>
          <w:tcPr>
            <w:tcW w:w="185" w:type="dxa"/>
            <w:vMerge w:val="continue"/>
            <w:tcBorders/>
            <w:shd w:fill="14202A" w:val="clear"/>
            <w:vAlign w:val="center"/>
          </w:tcPr>
          <w:p>
            <w:pPr>
              <w:pStyle w:val="Normal"/>
              <w:bidi w:val="0"/>
              <w:jc w:val="left"/>
              <w:rPr/>
            </w:pPr>
            <w:r>
              <w:rPr/>
            </w:r>
          </w:p>
        </w:tc>
        <w:tc>
          <w:tcPr>
            <w:tcW w:w="41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95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95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95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95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Shareholder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Return</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6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Russell 3000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Recreational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Vehicle and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Boats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Subsector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Index 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Shareholder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Return</w:t>
            </w:r>
            <w:r>
              <w:rPr>
                <w:rFonts w:ascii="Arial;Helvetica;sans-serif" w:hAnsi="Arial;Helvetica;sans-serif"/>
                <w:b/>
                <w:color w:val="FFFFFF"/>
                <w:position w:val="5"/>
                <w:sz w:val="11"/>
                <w:sz w:val="14"/>
              </w:rPr>
              <w:t>(2)(3)</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14202A" w:val="clear"/>
            <w:vAlign w:val="center"/>
          </w:tcPr>
          <w:p>
            <w:pPr>
              <w:pStyle w:val="TableContents"/>
              <w:bidi w:val="0"/>
              <w:spacing w:before="0" w:after="0"/>
              <w:jc w:val="left"/>
              <w:rPr/>
            </w:pPr>
            <w:r>
              <w:rPr/>
              <w:t> </w:t>
            </w:r>
          </w:p>
        </w:tc>
        <w:tc>
          <w:tcPr>
            <w:tcW w:w="170" w:type="dxa"/>
            <w:vMerge w:val="continue"/>
            <w:tcBorders/>
            <w:shd w:fill="14202A" w:val="clear"/>
            <w:vAlign w:val="center"/>
          </w:tcPr>
          <w:p>
            <w:pPr>
              <w:pStyle w:val="Normal"/>
              <w:bidi w:val="0"/>
              <w:jc w:val="left"/>
              <w:rPr/>
            </w:pPr>
            <w:r>
              <w:rPr/>
            </w:r>
          </w:p>
        </w:tc>
        <w:tc>
          <w:tcPr>
            <w:tcW w:w="575"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170" w:type="dxa"/>
            <w:vMerge w:val="continue"/>
            <w:tcBorders/>
            <w:shd w:fill="14202A" w:val="clear"/>
            <w:vAlign w:val="center"/>
          </w:tcPr>
          <w:p>
            <w:pPr>
              <w:pStyle w:val="Normal"/>
              <w:bidi w:val="0"/>
              <w:jc w:val="left"/>
              <w:rPr/>
            </w:pPr>
            <w:r>
              <w:rPr/>
            </w:r>
          </w:p>
        </w:tc>
        <w:tc>
          <w:tcPr>
            <w:tcW w:w="635" w:type="dxa"/>
            <w:vMerge w:val="continue"/>
            <w:tcBorders/>
            <w:shd w:fill="14202A" w:val="clear"/>
            <w:vAlign w:val="center"/>
          </w:tcPr>
          <w:p>
            <w:pPr>
              <w:pStyle w:val="Normal"/>
              <w:bidi w:val="0"/>
              <w:jc w:val="left"/>
              <w:rPr/>
            </w:pPr>
            <w:r>
              <w:rPr/>
            </w:r>
          </w:p>
        </w:tc>
        <w:tc>
          <w:tcPr>
            <w:tcW w:w="215" w:type="dxa"/>
            <w:vMerge w:val="continue"/>
            <w:tcBorders/>
            <w:shd w:fill="14202A" w:val="clear"/>
            <w:vAlign w:val="center"/>
          </w:tcPr>
          <w:p>
            <w:pPr>
              <w:pStyle w:val="Normal"/>
              <w:bidi w:val="0"/>
              <w:jc w:val="left"/>
              <w:rPr/>
            </w:pPr>
            <w:r>
              <w:rPr/>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58" w:right="0" w:hanging="0"/>
              <w:jc w:val="left"/>
              <w:rPr>
                <w:rFonts w:ascii="Arial;Helvetica;sans-serif" w:hAnsi="Arial;Helvetica;sans-serif"/>
                <w:color w:val="14202A"/>
                <w:sz w:val="16"/>
              </w:rPr>
            </w:pPr>
            <w:r>
              <w:rPr>
                <w:rFonts w:ascii="Arial;Helvetica;sans-serif" w:hAnsi="Arial;Helvetica;sans-serif"/>
                <w:color w:val="14202A"/>
                <w:sz w:val="16"/>
              </w:rPr>
              <w:t>8,999,898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34" w:right="0" w:hanging="0"/>
              <w:jc w:val="left"/>
              <w:rPr>
                <w:rFonts w:ascii="Arial;Helvetica;sans-serif" w:hAnsi="Arial;Helvetica;sans-serif"/>
                <w:color w:val="14202A"/>
                <w:sz w:val="16"/>
              </w:rPr>
            </w:pPr>
            <w:r>
              <w:rPr>
                <w:rFonts w:ascii="Arial;Helvetica;sans-serif" w:hAnsi="Arial;Helvetica;sans-serif"/>
                <w:color w:val="14202A"/>
                <w:sz w:val="16"/>
              </w:rPr>
              <w:t>1,035,199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29" w:right="0" w:hanging="0"/>
              <w:jc w:val="left"/>
              <w:rPr>
                <w:rFonts w:ascii="Arial;Helvetica;sans-serif" w:hAnsi="Arial;Helvetica;sans-serif"/>
                <w:color w:val="14202A"/>
                <w:sz w:val="16"/>
              </w:rPr>
            </w:pPr>
            <w:r>
              <w:rPr>
                <w:rFonts w:ascii="Arial;Helvetica;sans-serif" w:hAnsi="Arial;Helvetica;sans-serif"/>
                <w:color w:val="14202A"/>
                <w:sz w:val="16"/>
              </w:rPr>
              <w:t>2,972,997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82" w:right="0" w:hanging="0"/>
              <w:jc w:val="left"/>
              <w:rPr>
                <w:rFonts w:ascii="Arial;Helvetica;sans-serif" w:hAnsi="Arial;Helvetica;sans-serif"/>
                <w:color w:val="14202A"/>
                <w:sz w:val="16"/>
              </w:rPr>
            </w:pPr>
            <w:r>
              <w:rPr>
                <w:rFonts w:ascii="Arial;Helvetica;sans-serif" w:hAnsi="Arial;Helvetica;sans-serif"/>
                <w:color w:val="14202A"/>
                <w:sz w:val="16"/>
              </w:rPr>
              <w:t>1,975,298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248" w:right="0" w:hanging="0"/>
              <w:jc w:val="left"/>
              <w:rPr>
                <w:rFonts w:ascii="Arial;Helvetica;sans-serif" w:hAnsi="Arial;Helvetica;sans-serif"/>
                <w:color w:val="14202A"/>
                <w:sz w:val="16"/>
              </w:rPr>
            </w:pPr>
            <w:r>
              <w:rPr>
                <w:rFonts w:ascii="Arial;Helvetica;sans-serif" w:hAnsi="Arial;Helvetica;sans-serif"/>
                <w:color w:val="14202A"/>
                <w:sz w:val="16"/>
              </w:rPr>
              <w:t>67.5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273" w:right="0" w:hanging="0"/>
              <w:jc w:val="left"/>
              <w:rPr>
                <w:rFonts w:ascii="Arial;Helvetica;sans-serif" w:hAnsi="Arial;Helvetica;sans-serif"/>
                <w:color w:val="14202A"/>
                <w:sz w:val="16"/>
              </w:rPr>
            </w:pPr>
            <w:r>
              <w:rPr>
                <w:rFonts w:ascii="Arial;Helvetica;sans-serif" w:hAnsi="Arial;Helvetica;sans-serif"/>
                <w:color w:val="14202A"/>
                <w:sz w:val="16"/>
              </w:rPr>
              <w:t>93.5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88" w:type="dxa"/>
            </w:tcMar>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25.7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88" w:type="dxa"/>
            </w:tcMar>
            <w:vAlign w:val="center"/>
          </w:tcPr>
          <w:p>
            <w:pPr>
              <w:pStyle w:val="TableContents"/>
              <w:bidi w:val="0"/>
              <w:spacing w:before="0" w:after="283"/>
              <w:ind w:left="148" w:right="0" w:hanging="0"/>
              <w:jc w:val="left"/>
              <w:rPr>
                <w:rFonts w:ascii="Arial;Helvetica;sans-serif" w:hAnsi="Arial;Helvetica;sans-serif"/>
                <w:color w:val="14202A"/>
                <w:sz w:val="16"/>
              </w:rPr>
            </w:pPr>
            <w:r>
              <w:rPr>
                <w:rFonts w:ascii="Arial;Helvetica;sans-serif" w:hAnsi="Arial;Helvetica;sans-serif"/>
                <w:color w:val="14202A"/>
                <w:sz w:val="16"/>
              </w:rPr>
              <w:t xml:space="preserve">1.66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58" w:right="0" w:hanging="0"/>
              <w:jc w:val="left"/>
              <w:rPr>
                <w:rFonts w:ascii="Arial;Helvetica;sans-serif" w:hAnsi="Arial;Helvetica;sans-serif"/>
                <w:color w:val="14202A"/>
                <w:sz w:val="16"/>
              </w:rPr>
            </w:pPr>
            <w:r>
              <w:rPr>
                <w:rFonts w:ascii="Arial;Helvetica;sans-serif" w:hAnsi="Arial;Helvetica;sans-serif"/>
                <w:color w:val="14202A"/>
                <w:sz w:val="16"/>
              </w:rPr>
              <w:t xml:space="preserve">7,217,231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34" w:right="0" w:hanging="0"/>
              <w:jc w:val="left"/>
              <w:rPr>
                <w:rFonts w:ascii="Arial;Helvetica;sans-serif" w:hAnsi="Arial;Helvetica;sans-serif"/>
                <w:color w:val="14202A"/>
                <w:sz w:val="16"/>
              </w:rPr>
            </w:pPr>
            <w:r>
              <w:rPr>
                <w:rFonts w:ascii="Arial;Helvetica;sans-serif" w:hAnsi="Arial;Helvetica;sans-serif"/>
                <w:color w:val="14202A"/>
                <w:sz w:val="16"/>
              </w:rPr>
              <w:t xml:space="preserve">4,265,209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29" w:right="0" w:hanging="0"/>
              <w:jc w:val="left"/>
              <w:rPr>
                <w:rFonts w:ascii="Arial;Helvetica;sans-serif" w:hAnsi="Arial;Helvetica;sans-serif"/>
                <w:color w:val="14202A"/>
                <w:sz w:val="16"/>
              </w:rPr>
            </w:pPr>
            <w:r>
              <w:rPr>
                <w:rFonts w:ascii="Arial;Helvetica;sans-serif" w:hAnsi="Arial;Helvetica;sans-serif"/>
                <w:color w:val="14202A"/>
                <w:sz w:val="16"/>
              </w:rPr>
              <w:t xml:space="preserve">2,846,983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82" w:right="0" w:hanging="0"/>
              <w:jc w:val="left"/>
              <w:rPr>
                <w:rFonts w:ascii="Arial;Helvetica;sans-serif" w:hAnsi="Arial;Helvetica;sans-serif"/>
                <w:color w:val="14202A"/>
                <w:sz w:val="16"/>
              </w:rPr>
            </w:pPr>
            <w:r>
              <w:rPr>
                <w:rFonts w:ascii="Arial;Helvetica;sans-serif" w:hAnsi="Arial;Helvetica;sans-serif"/>
                <w:color w:val="14202A"/>
                <w:sz w:val="16"/>
              </w:rPr>
              <w:t xml:space="preserve">2,206,716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248" w:right="0" w:hanging="0"/>
              <w:jc w:val="left"/>
              <w:rPr>
                <w:rFonts w:ascii="Arial;Helvetica;sans-serif" w:hAnsi="Arial;Helvetica;sans-serif"/>
                <w:color w:val="14202A"/>
                <w:sz w:val="16"/>
              </w:rPr>
            </w:pPr>
            <w:r>
              <w:rPr>
                <w:rFonts w:ascii="Arial;Helvetica;sans-serif" w:hAnsi="Arial;Helvetica;sans-serif"/>
                <w:color w:val="14202A"/>
                <w:sz w:val="16"/>
              </w:rPr>
              <w:t xml:space="preserve">108.0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273" w:right="0" w:hanging="0"/>
              <w:jc w:val="left"/>
              <w:rPr>
                <w:rFonts w:ascii="Arial;Helvetica;sans-serif" w:hAnsi="Arial;Helvetica;sans-serif"/>
                <w:color w:val="14202A"/>
                <w:sz w:val="16"/>
              </w:rPr>
            </w:pPr>
            <w:r>
              <w:rPr>
                <w:rFonts w:ascii="Arial;Helvetica;sans-serif" w:hAnsi="Arial;Helvetica;sans-serif"/>
                <w:color w:val="14202A"/>
                <w:sz w:val="16"/>
              </w:rPr>
              <w:t xml:space="preserve">109.2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88" w:type="dxa"/>
            </w:tcMar>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 xml:space="preserve">13.0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88" w:type="dxa"/>
            </w:tcMar>
            <w:vAlign w:val="center"/>
          </w:tcPr>
          <w:p>
            <w:pPr>
              <w:pStyle w:val="TableContents"/>
              <w:bidi w:val="0"/>
              <w:spacing w:before="0" w:after="283"/>
              <w:ind w:left="148" w:right="0" w:hanging="0"/>
              <w:jc w:val="left"/>
              <w:rPr>
                <w:rFonts w:ascii="Arial;Helvetica;sans-serif" w:hAnsi="Arial;Helvetica;sans-serif"/>
                <w:color w:val="14202A"/>
                <w:sz w:val="16"/>
              </w:rPr>
            </w:pPr>
            <w:r>
              <w:rPr>
                <w:rFonts w:ascii="Arial;Helvetica;sans-serif" w:hAnsi="Arial;Helvetica;sans-serif"/>
                <w:color w:val="14202A"/>
                <w:sz w:val="16"/>
              </w:rPr>
              <w:t xml:space="preserve">3.45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58" w:right="0" w:hanging="0"/>
              <w:jc w:val="left"/>
              <w:rPr>
                <w:rFonts w:ascii="Arial;Helvetica;sans-serif" w:hAnsi="Arial;Helvetica;sans-serif"/>
                <w:color w:val="14202A"/>
                <w:sz w:val="16"/>
              </w:rPr>
            </w:pPr>
            <w:r>
              <w:rPr>
                <w:rFonts w:ascii="Arial;Helvetica;sans-serif" w:hAnsi="Arial;Helvetica;sans-serif"/>
                <w:color w:val="14202A"/>
                <w:sz w:val="16"/>
              </w:rPr>
              <w:t>6,677,728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34" w:right="0" w:hanging="0"/>
              <w:jc w:val="left"/>
              <w:rPr>
                <w:rFonts w:ascii="Arial;Helvetica;sans-serif" w:hAnsi="Arial;Helvetica;sans-serif"/>
                <w:color w:val="14202A"/>
                <w:sz w:val="16"/>
              </w:rPr>
            </w:pPr>
            <w:r>
              <w:rPr>
                <w:rFonts w:ascii="Arial;Helvetica;sans-serif" w:hAnsi="Arial;Helvetica;sans-serif"/>
                <w:color w:val="14202A"/>
                <w:sz w:val="16"/>
              </w:rPr>
              <w:t>4,040,446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29" w:right="0" w:hanging="0"/>
              <w:jc w:val="left"/>
              <w:rPr>
                <w:rFonts w:ascii="Arial;Helvetica;sans-serif" w:hAnsi="Arial;Helvetica;sans-serif"/>
                <w:color w:val="14202A"/>
                <w:sz w:val="16"/>
              </w:rPr>
            </w:pPr>
            <w:r>
              <w:rPr>
                <w:rFonts w:ascii="Arial;Helvetica;sans-serif" w:hAnsi="Arial;Helvetica;sans-serif"/>
                <w:color w:val="14202A"/>
                <w:sz w:val="16"/>
              </w:rPr>
              <w:t>2,946,821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82" w:right="0" w:hanging="0"/>
              <w:jc w:val="left"/>
              <w:rPr>
                <w:rFonts w:ascii="Arial;Helvetica;sans-serif" w:hAnsi="Arial;Helvetica;sans-serif"/>
                <w:color w:val="14202A"/>
                <w:sz w:val="16"/>
              </w:rPr>
            </w:pPr>
            <w:r>
              <w:rPr>
                <w:rFonts w:ascii="Arial;Helvetica;sans-serif" w:hAnsi="Arial;Helvetica;sans-serif"/>
                <w:color w:val="14202A"/>
                <w:sz w:val="16"/>
              </w:rPr>
              <w:t>2,675,476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248" w:right="0" w:hanging="0"/>
              <w:jc w:val="left"/>
              <w:rPr>
                <w:rFonts w:ascii="Arial;Helvetica;sans-serif" w:hAnsi="Arial;Helvetica;sans-serif"/>
                <w:color w:val="14202A"/>
                <w:sz w:val="16"/>
              </w:rPr>
            </w:pPr>
            <w:r>
              <w:rPr>
                <w:rFonts w:ascii="Arial;Helvetica;sans-serif" w:hAnsi="Arial;Helvetica;sans-serif"/>
                <w:color w:val="14202A"/>
                <w:sz w:val="16"/>
              </w:rPr>
              <w:t>112.9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273" w:right="0" w:hanging="0"/>
              <w:jc w:val="left"/>
              <w:rPr>
                <w:rFonts w:ascii="Arial;Helvetica;sans-serif" w:hAnsi="Arial;Helvetica;sans-serif"/>
                <w:color w:val="14202A"/>
                <w:sz w:val="16"/>
              </w:rPr>
            </w:pPr>
            <w:r>
              <w:rPr>
                <w:rFonts w:ascii="Arial;Helvetica;sans-serif" w:hAnsi="Arial;Helvetica;sans-serif"/>
                <w:color w:val="14202A"/>
                <w:sz w:val="16"/>
              </w:rPr>
              <w:t>114.2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88" w:type="dxa"/>
            </w:tcMar>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215.9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88" w:type="dxa"/>
            </w:tcMar>
            <w:vAlign w:val="center"/>
          </w:tcPr>
          <w:p>
            <w:pPr>
              <w:pStyle w:val="TableContents"/>
              <w:bidi w:val="0"/>
              <w:spacing w:before="0" w:after="283"/>
              <w:ind w:left="148" w:right="0" w:hanging="0"/>
              <w:jc w:val="left"/>
              <w:rPr>
                <w:rFonts w:ascii="Arial;Helvetica;sans-serif" w:hAnsi="Arial;Helvetica;sans-serif"/>
                <w:color w:val="14202A"/>
                <w:sz w:val="16"/>
              </w:rPr>
            </w:pPr>
            <w:r>
              <w:rPr>
                <w:rFonts w:ascii="Arial;Helvetica;sans-serif" w:hAnsi="Arial;Helvetica;sans-serif"/>
                <w:color w:val="14202A"/>
                <w:sz w:val="16"/>
              </w:rPr>
              <w:t xml:space="preserve">6.07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2022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58" w:right="0" w:hanging="0"/>
              <w:jc w:val="left"/>
              <w:rPr>
                <w:rFonts w:ascii="Arial;Helvetica;sans-serif" w:hAnsi="Arial;Helvetica;sans-serif"/>
                <w:color w:val="14202A"/>
                <w:sz w:val="16"/>
              </w:rPr>
            </w:pPr>
            <w:r>
              <w:rPr>
                <w:rFonts w:ascii="Arial;Helvetica;sans-serif" w:hAnsi="Arial;Helvetica;sans-serif"/>
                <w:color w:val="14202A"/>
                <w:sz w:val="16"/>
              </w:rPr>
              <w:t>6,676,569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134" w:right="0" w:hanging="0"/>
              <w:jc w:val="left"/>
              <w:rPr>
                <w:rFonts w:ascii="Arial;Helvetica;sans-serif" w:hAnsi="Arial;Helvetica;sans-serif"/>
                <w:color w:val="14202A"/>
                <w:sz w:val="16"/>
              </w:rPr>
            </w:pPr>
            <w:r>
              <w:rPr>
                <w:rFonts w:ascii="Arial;Helvetica;sans-serif" w:hAnsi="Arial;Helvetica;sans-serif"/>
                <w:color w:val="14202A"/>
                <w:sz w:val="16"/>
              </w:rPr>
              <w:t>5,569,618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29" w:right="0" w:hanging="0"/>
              <w:jc w:val="left"/>
              <w:rPr>
                <w:rFonts w:ascii="Arial;Helvetica;sans-serif" w:hAnsi="Arial;Helvetica;sans-serif"/>
                <w:color w:val="14202A"/>
                <w:sz w:val="16"/>
              </w:rPr>
            </w:pPr>
            <w:r>
              <w:rPr>
                <w:rFonts w:ascii="Arial;Helvetica;sans-serif" w:hAnsi="Arial;Helvetica;sans-serif"/>
                <w:color w:val="14202A"/>
                <w:sz w:val="16"/>
              </w:rPr>
              <w:t>4,824,469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88" w:type="dxa"/>
            </w:tcMar>
            <w:vAlign w:val="center"/>
          </w:tcPr>
          <w:p>
            <w:pPr>
              <w:pStyle w:val="TableContents"/>
              <w:bidi w:val="0"/>
              <w:spacing w:before="0" w:after="283"/>
              <w:ind w:left="282" w:right="0" w:hanging="0"/>
              <w:jc w:val="left"/>
              <w:rPr>
                <w:rFonts w:ascii="Arial;Helvetica;sans-serif" w:hAnsi="Arial;Helvetica;sans-serif"/>
                <w:color w:val="14202A"/>
                <w:sz w:val="16"/>
              </w:rPr>
            </w:pPr>
            <w:r>
              <w:rPr>
                <w:rFonts w:ascii="Arial;Helvetica;sans-serif" w:hAnsi="Arial;Helvetica;sans-serif"/>
                <w:color w:val="14202A"/>
                <w:sz w:val="16"/>
              </w:rPr>
              <w:t>4,871,036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248" w:right="0" w:hanging="0"/>
              <w:jc w:val="left"/>
              <w:rPr>
                <w:rFonts w:ascii="Arial;Helvetica;sans-serif" w:hAnsi="Arial;Helvetica;sans-serif"/>
                <w:color w:val="14202A"/>
                <w:sz w:val="16"/>
              </w:rPr>
            </w:pPr>
            <w:r>
              <w:rPr>
                <w:rFonts w:ascii="Arial;Helvetica;sans-serif" w:hAnsi="Arial;Helvetica;sans-serif"/>
                <w:color w:val="14202A"/>
                <w:sz w:val="16"/>
              </w:rPr>
              <w:t>106.7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88" w:type="dxa"/>
            </w:tcMar>
            <w:vAlign w:val="center"/>
          </w:tcPr>
          <w:p>
            <w:pPr>
              <w:pStyle w:val="TableContents"/>
              <w:bidi w:val="0"/>
              <w:spacing w:before="0" w:after="283"/>
              <w:ind w:left="273" w:right="0" w:hanging="0"/>
              <w:jc w:val="left"/>
              <w:rPr>
                <w:rFonts w:ascii="Arial;Helvetica;sans-serif" w:hAnsi="Arial;Helvetica;sans-serif"/>
                <w:color w:val="14202A"/>
                <w:sz w:val="16"/>
              </w:rPr>
            </w:pPr>
            <w:r>
              <w:rPr>
                <w:rFonts w:ascii="Arial;Helvetica;sans-serif" w:hAnsi="Arial;Helvetica;sans-serif"/>
                <w:color w:val="14202A"/>
                <w:sz w:val="16"/>
              </w:rPr>
              <w:t>115.2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88" w:type="dxa"/>
            </w:tcMar>
            <w:vAlign w:val="center"/>
          </w:tcPr>
          <w:p>
            <w:pPr>
              <w:pStyle w:val="TableContents"/>
              <w:bidi w:val="0"/>
              <w:spacing w:before="0" w:after="283"/>
              <w:ind w:left="329" w:right="0" w:hanging="0"/>
              <w:jc w:val="left"/>
              <w:rPr>
                <w:rFonts w:ascii="Arial;Helvetica;sans-serif" w:hAnsi="Arial;Helvetica;sans-serif"/>
                <w:color w:val="14202A"/>
                <w:sz w:val="16"/>
              </w:rPr>
            </w:pPr>
            <w:r>
              <w:rPr>
                <w:rFonts w:ascii="Arial;Helvetica;sans-serif" w:hAnsi="Arial;Helvetica;sans-serif"/>
                <w:color w:val="14202A"/>
                <w:sz w:val="16"/>
              </w:rPr>
              <w:t>390.6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88" w:type="dxa"/>
            </w:tcMar>
            <w:vAlign w:val="center"/>
          </w:tcPr>
          <w:p>
            <w:pPr>
              <w:pStyle w:val="TableContents"/>
              <w:bidi w:val="0"/>
              <w:spacing w:before="0" w:after="283"/>
              <w:ind w:left="120" w:right="0" w:hanging="0"/>
              <w:jc w:val="left"/>
              <w:rPr>
                <w:rFonts w:ascii="Arial;Helvetica;sans-serif" w:hAnsi="Arial;Helvetica;sans-serif"/>
                <w:color w:val="14202A"/>
                <w:sz w:val="16"/>
              </w:rPr>
            </w:pPr>
            <w:r>
              <w:rPr>
                <w:rFonts w:ascii="Arial;Helvetica;sans-serif" w:hAnsi="Arial;Helvetica;sans-serif"/>
                <w:color w:val="14202A"/>
                <w:sz w:val="16"/>
              </w:rPr>
              <w:t xml:space="preserve">12.39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8" w:right="0" w:hanging="0"/>
              <w:jc w:val="left"/>
              <w:rPr>
                <w:rFonts w:ascii="Arial;Helvetica;sans-serif" w:hAnsi="Arial;Helvetica;sans-serif"/>
                <w:color w:val="14202A"/>
                <w:sz w:val="16"/>
              </w:rPr>
            </w:pPr>
            <w:r>
              <w:rPr>
                <w:rFonts w:ascii="Arial;Helvetica;sans-serif" w:hAnsi="Arial;Helvetica;sans-serif"/>
                <w:color w:val="14202A"/>
                <w:sz w:val="16"/>
              </w:rPr>
              <w:t>6,649,186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54" w:right="0" w:hanging="0"/>
              <w:jc w:val="left"/>
              <w:rPr>
                <w:rFonts w:ascii="Arial;Helvetica;sans-serif" w:hAnsi="Arial;Helvetica;sans-serif"/>
                <w:color w:val="14202A"/>
                <w:sz w:val="16"/>
              </w:rPr>
            </w:pPr>
            <w:r>
              <w:rPr>
                <w:rFonts w:ascii="Arial;Helvetica;sans-serif" w:hAnsi="Arial;Helvetica;sans-serif"/>
                <w:color w:val="14202A"/>
                <w:sz w:val="16"/>
              </w:rPr>
              <w:t>13,976,443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29" w:right="0" w:hanging="0"/>
              <w:jc w:val="left"/>
              <w:rPr>
                <w:rFonts w:ascii="Arial;Helvetica;sans-serif" w:hAnsi="Arial;Helvetica;sans-serif"/>
                <w:color w:val="14202A"/>
                <w:sz w:val="16"/>
              </w:rPr>
            </w:pPr>
            <w:r>
              <w:rPr>
                <w:rFonts w:ascii="Arial;Helvetica;sans-serif" w:hAnsi="Arial;Helvetica;sans-serif"/>
                <w:color w:val="14202A"/>
                <w:sz w:val="16"/>
              </w:rPr>
              <w:t>4,539,932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82" w:right="0" w:hanging="0"/>
              <w:jc w:val="left"/>
              <w:rPr>
                <w:rFonts w:ascii="Arial;Helvetica;sans-serif" w:hAnsi="Arial;Helvetica;sans-serif"/>
                <w:color w:val="14202A"/>
                <w:sz w:val="16"/>
              </w:rPr>
            </w:pPr>
            <w:r>
              <w:rPr>
                <w:rFonts w:ascii="Arial;Helvetica;sans-serif" w:hAnsi="Arial;Helvetica;sans-serif"/>
                <w:color w:val="14202A"/>
                <w:sz w:val="16"/>
              </w:rPr>
              <w:t>6,582,245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48" w:right="0" w:hanging="0"/>
              <w:jc w:val="left"/>
              <w:rPr>
                <w:rFonts w:ascii="Arial;Helvetica;sans-serif" w:hAnsi="Arial;Helvetica;sans-serif"/>
                <w:color w:val="14202A"/>
                <w:sz w:val="16"/>
              </w:rPr>
            </w:pPr>
            <w:r>
              <w:rPr>
                <w:rFonts w:ascii="Arial;Helvetica;sans-serif" w:hAnsi="Arial;Helvetica;sans-serif"/>
                <w:color w:val="14202A"/>
                <w:sz w:val="16"/>
              </w:rPr>
              <w:t>126.0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73" w:right="0" w:hanging="0"/>
              <w:jc w:val="left"/>
              <w:rPr>
                <w:rFonts w:ascii="Arial;Helvetica;sans-serif" w:hAnsi="Arial;Helvetica;sans-serif"/>
                <w:color w:val="14202A"/>
                <w:sz w:val="16"/>
              </w:rPr>
            </w:pPr>
            <w:r>
              <w:rPr>
                <w:rFonts w:ascii="Arial;Helvetica;sans-serif" w:hAnsi="Arial;Helvetica;sans-serif"/>
                <w:color w:val="14202A"/>
                <w:sz w:val="16"/>
              </w:rPr>
              <w:t>128.1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69" w:right="0" w:hanging="0"/>
              <w:jc w:val="left"/>
              <w:rPr>
                <w:rFonts w:ascii="Arial;Helvetica;sans-serif" w:hAnsi="Arial;Helvetica;sans-serif"/>
                <w:color w:val="14202A"/>
                <w:sz w:val="16"/>
              </w:rPr>
            </w:pPr>
            <w:r>
              <w:rPr>
                <w:rFonts w:ascii="Arial;Helvetica;sans-serif" w:hAnsi="Arial;Helvetica;sans-serif"/>
                <w:color w:val="14202A"/>
                <w:sz w:val="16"/>
              </w:rPr>
              <w:t>281.9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48" w:right="0" w:hanging="0"/>
              <w:jc w:val="left"/>
              <w:rPr>
                <w:rFonts w:ascii="Arial;Helvetica;sans-serif" w:hAnsi="Arial;Helvetica;sans-serif"/>
                <w:color w:val="14202A"/>
                <w:sz w:val="16"/>
              </w:rPr>
            </w:pPr>
            <w:r>
              <w:rPr>
                <w:rFonts w:ascii="Arial;Helvetica;sans-serif" w:hAnsi="Arial;Helvetica;sans-serif"/>
                <w:color w:val="14202A"/>
                <w:sz w:val="16"/>
              </w:rPr>
              <w:t>8.66</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1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6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57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3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910" w:type="dxa"/>
        <w:jc w:val="left"/>
        <w:tblInd w:w="0" w:type="dxa"/>
        <w:tblLayout w:type="fixed"/>
        <w:tblCellMar>
          <w:top w:w="0" w:type="dxa"/>
          <w:left w:w="0" w:type="dxa"/>
          <w:bottom w:w="0" w:type="dxa"/>
          <w:right w:w="0" w:type="dxa"/>
        </w:tblCellMar>
      </w:tblPr>
      <w:tblGrid>
        <w:gridCol w:w="215"/>
        <w:gridCol w:w="669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66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CEO reflected above is Mr. Happe. The non-CEO NEOs reflects the following individuals in each year: </w:t>
            </w:r>
          </w:p>
        </w:tc>
      </w:tr>
    </w:tbl>
    <w:p>
      <w:pPr>
        <w:pStyle w:val="TextBody"/>
        <w:bidi w:val="0"/>
        <w:spacing w:before="0" w:after="283"/>
        <w:ind w:left="400" w:right="0" w:hanging="0"/>
        <w:jc w:val="left"/>
        <w:rPr>
          <w:rFonts w:ascii="Arial;Helvetica;sans-serif" w:hAnsi="Arial;Helvetica;sans-serif"/>
          <w:color w:val="14202A"/>
          <w:sz w:val="14"/>
        </w:rPr>
      </w:pPr>
      <w:r>
        <w:rPr>
          <w:rFonts w:ascii="Arial;Helvetica;sans-serif" w:hAnsi="Arial;Helvetica;sans-serif"/>
          <w:color w:val="14202A"/>
          <w:sz w:val="14"/>
        </w:rPr>
        <w:t xml:space="preserve">2025: Messrs. Clark, Hughes and Tubman, and Ms. Bogart </w:t>
      </w:r>
    </w:p>
    <w:p>
      <w:pPr>
        <w:pStyle w:val="TextBody"/>
        <w:bidi w:val="0"/>
        <w:spacing w:before="0" w:after="283"/>
        <w:ind w:left="400" w:right="0" w:hanging="0"/>
        <w:jc w:val="left"/>
        <w:rPr>
          <w:rFonts w:ascii="Arial;Helvetica;sans-serif" w:hAnsi="Arial;Helvetica;sans-serif"/>
          <w:color w:val="14202A"/>
          <w:sz w:val="14"/>
        </w:rPr>
      </w:pPr>
      <w:r>
        <w:rPr>
          <w:rFonts w:ascii="Arial;Helvetica;sans-serif" w:hAnsi="Arial;Helvetica;sans-serif"/>
          <w:color w:val="14202A"/>
          <w:sz w:val="14"/>
        </w:rPr>
        <w:t xml:space="preserve">2024: Messrs. Bower, Clark, Hughes and Tubman </w:t>
      </w:r>
    </w:p>
    <w:p>
      <w:pPr>
        <w:pStyle w:val="TextBody"/>
        <w:bidi w:val="0"/>
        <w:spacing w:before="0" w:after="283"/>
        <w:ind w:left="400" w:right="0" w:hanging="0"/>
        <w:jc w:val="left"/>
        <w:rPr>
          <w:rFonts w:ascii="Arial;Helvetica;sans-serif" w:hAnsi="Arial;Helvetica;sans-serif"/>
          <w:color w:val="14202A"/>
          <w:sz w:val="14"/>
        </w:rPr>
      </w:pPr>
      <w:r>
        <w:rPr>
          <w:rFonts w:ascii="Arial;Helvetica;sans-serif" w:hAnsi="Arial;Helvetica;sans-serif"/>
          <w:color w:val="14202A"/>
          <w:sz w:val="14"/>
        </w:rPr>
        <w:t xml:space="preserve">2023: Ms. Bogart and Messrs. Bower, Clark and Hughes </w:t>
      </w:r>
    </w:p>
    <w:p>
      <w:pPr>
        <w:pStyle w:val="TextBody"/>
        <w:bidi w:val="0"/>
        <w:spacing w:before="0" w:after="283"/>
        <w:ind w:left="400" w:right="0" w:hanging="0"/>
        <w:jc w:val="left"/>
        <w:rPr>
          <w:rFonts w:ascii="Arial;Helvetica;sans-serif" w:hAnsi="Arial;Helvetica;sans-serif"/>
          <w:color w:val="14202A"/>
          <w:sz w:val="14"/>
        </w:rPr>
      </w:pPr>
      <w:r>
        <w:rPr>
          <w:rFonts w:ascii="Arial;Helvetica;sans-serif" w:hAnsi="Arial;Helvetica;sans-serif"/>
          <w:color w:val="14202A"/>
          <w:sz w:val="14"/>
        </w:rPr>
        <w:t xml:space="preserve">2022: Ms. Bogart and Messrs. Bower, Clark and Hughes </w:t>
      </w:r>
    </w:p>
    <w:p>
      <w:pPr>
        <w:pStyle w:val="TextBody"/>
        <w:bidi w:val="0"/>
        <w:spacing w:before="0" w:after="283"/>
        <w:ind w:left="400" w:right="0" w:hanging="0"/>
        <w:jc w:val="left"/>
        <w:rPr>
          <w:rFonts w:ascii="Arial;Helvetica;sans-serif" w:hAnsi="Arial;Helvetica;sans-serif"/>
          <w:color w:val="14202A"/>
          <w:sz w:val="14"/>
        </w:rPr>
      </w:pPr>
      <w:r>
        <w:rPr>
          <w:rFonts w:ascii="Arial;Helvetica;sans-serif" w:hAnsi="Arial;Helvetica;sans-serif"/>
          <w:color w:val="14202A"/>
          <w:sz w:val="14"/>
        </w:rPr>
        <w:t xml:space="preserve">2021: Messrs. Bower, Clark, Hazelton and Hughes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0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Company and peer group Total Shareholder Return (TSR) for each year reflects what the cumulative value of a $100 investment would be, including reinvestment of dividends, if such an amount were invested on August 28, 2020, the last trading day of Fiscal 2020. </w:t>
            </w:r>
          </w:p>
        </w:tc>
      </w:tr>
    </w:tbl>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654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Peer group TSR is calculated using the Russell 3000 Recreational Vehicles and Boats Subsector Index.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1001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Our company-selected measure, which is the measure we believe represents the most important financial performance metric used to link compensation paid to our NEOs in Fiscal 2025 to our performance is Incentive EPS. This is a non-GAAP measure, which is defined above under “Compensation Discussion and Analysis - Fiscal 2025 Equity Awards.” </w:t>
            </w:r>
          </w:p>
        </w:tc>
      </w:tr>
    </w:tbl>
    <w:p>
      <w:pPr>
        <w:pStyle w:val="TextBody"/>
        <w:bidi w:val="0"/>
        <w:spacing w:before="1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Compensation Actually Paid (CAP) illustrated in the table above is calculated by making the following adjustments from the Summary Compensation Table (SCT) totals as follows: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Item and Value Added (Deducted) </w:t>
      </w:r>
    </w:p>
    <w:tbl>
      <w:tblPr>
        <w:tblW w:w="10205" w:type="dxa"/>
        <w:jc w:val="left"/>
        <w:tblInd w:w="0" w:type="dxa"/>
        <w:tblLayout w:type="fixed"/>
        <w:tblCellMar>
          <w:top w:w="0" w:type="dxa"/>
          <w:left w:w="0" w:type="dxa"/>
          <w:bottom w:w="0" w:type="dxa"/>
          <w:right w:w="0" w:type="dxa"/>
        </w:tblCellMar>
      </w:tblPr>
      <w:tblGrid>
        <w:gridCol w:w="185"/>
        <w:gridCol w:w="8580"/>
        <w:gridCol w:w="170"/>
        <w:gridCol w:w="170"/>
        <w:gridCol w:w="884"/>
        <w:gridCol w:w="216"/>
      </w:tblGrid>
      <w:tr>
        <w:trPr/>
        <w:tc>
          <w:tcPr>
            <w:tcW w:w="185" w:type="dxa"/>
            <w:tcBorders/>
            <w:shd w:fill="14202A" w:val="clear"/>
            <w:vAlign w:val="center"/>
          </w:tcPr>
          <w:p>
            <w:pPr>
              <w:pStyle w:val="TableContents"/>
              <w:bidi w:val="0"/>
              <w:spacing w:before="0" w:after="0"/>
              <w:jc w:val="left"/>
              <w:rPr/>
            </w:pPr>
            <w:r>
              <w:rPr/>
              <w:t> </w:t>
            </w:r>
          </w:p>
        </w:tc>
        <w:tc>
          <w:tcPr>
            <w:tcW w:w="858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84"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8580"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For CEO:</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8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2025</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58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 SCT “Stock Awards” column value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6,185,000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58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 SCT “Options Awards” column value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915,006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580"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 xml:space="preserve">+ Fiscal 2025 year-end fair value of awards granted in Fiscal 2025 that are outstanding and unvested at the end of Fiscal 2025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3,171,281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580"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 xml:space="preserve">+/- difference between the fair value of awards from the end of Fiscal 2024 to the end of Fiscal 2025 for awards granted in any fiscal year prior to Fiscal 2025 that are outstanding and unvested at the end of Fiscal 2025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(3,909,244)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580" w:type="dxa"/>
            <w:tcBorders/>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 xml:space="preserve">+/- change in fair value from the end of the Fiscal 2024 to the vesting date for awards granted in any fiscal year prior to Fiscal 2025 which vested during Fiscal 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4"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(126,730)</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5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84"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9" w:name="ny20052074x1_def14a_111-pvp_pg2"/>
        <w:bookmarkEnd w:id="13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8714"/>
        <w:gridCol w:w="170"/>
        <w:gridCol w:w="170"/>
        <w:gridCol w:w="750"/>
        <w:gridCol w:w="216"/>
      </w:tblGrid>
      <w:tr>
        <w:trPr/>
        <w:tc>
          <w:tcPr>
            <w:tcW w:w="185" w:type="dxa"/>
            <w:tcBorders/>
            <w:shd w:fill="14202A" w:val="clear"/>
            <w:vAlign w:val="center"/>
          </w:tcPr>
          <w:p>
            <w:pPr>
              <w:pStyle w:val="TableContents"/>
              <w:bidi w:val="0"/>
              <w:spacing w:before="0" w:after="0"/>
              <w:jc w:val="left"/>
              <w:rPr/>
            </w:pPr>
            <w:r>
              <w:rPr/>
              <w:t> </w:t>
            </w:r>
          </w:p>
        </w:tc>
        <w:tc>
          <w:tcPr>
            <w:tcW w:w="871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50" w:type="dxa"/>
            <w:tcBorders/>
            <w:shd w:fill="14202A" w:val="clear"/>
            <w:vAlign w:val="center"/>
          </w:tcPr>
          <w:p>
            <w:pPr>
              <w:pStyle w:val="TableContents"/>
              <w:bidi w:val="0"/>
              <w:spacing w:before="0" w:after="0"/>
              <w:jc w:val="left"/>
              <w:rPr/>
            </w:pPr>
            <w:r>
              <w:rPr/>
              <w:t>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8714"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For Other Named Executive Officers (Average)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2025</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6"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714"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 SCT “Stock Awards” column value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5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816,689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714"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 SCT “Options Awards” column value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5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104,333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714"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 xml:space="preserve">+ Fiscal 2025 year-end fair value of awards granted in Fiscal 2025 that are outstanding and unvested at the end of Fiscal 2025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5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482,158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714"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 xml:space="preserve">+/- difference between the fair value of awards from the end of Fiscal 2024 to the end of Fiscal 2025 for awards granted in any fiscal year prior to Fiscal 2025 that are outstanding and unvested at the end of Fiscal 2025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50"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 xml:space="preserve">(528,486)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14" w:type="dxa"/>
            <w:tcBorders/>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 xml:space="preserve">+/- change in fair value from the end of the Fiscal 2024 to the vesting date for awards granted in any fiscal year prior to Fiscal 2025 which vested during Fiscal 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(30,349)</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71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50" w:type="dxa"/>
            <w:tcBorders>
              <w:bottom w:val="single" w:sz="8" w:space="0" w:color="14202A"/>
            </w:tcBorders>
            <w:tcMar>
              <w:bottom w:w="28" w:type="dxa"/>
            </w:tcMar>
            <w:vAlign w:val="center"/>
          </w:tcPr>
          <w:p>
            <w:pPr>
              <w:pStyle w:val="TableContents"/>
              <w:bidi w:val="0"/>
              <w:spacing w:before="0" w:after="0"/>
              <w:jc w:val="left"/>
              <w:rPr/>
            </w:pPr>
            <w:r>
              <w:rPr/>
              <w:t> </w:t>
            </w:r>
          </w:p>
        </w:tc>
        <w:tc>
          <w:tcPr>
            <w:tcW w:w="216"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None of our NEOs participate in a pension plan; therefore, no adjustment from the SCT total related to pension value was made.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59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0" w:name="ny20052074x1_def14a_111-pvp_pg3"/>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charts below describe the relationship between the CEO’s and other NEOs’ (averaged) CAP to Net Income, Total Shareholder Return of the Company and our peer group, and Incentive EPS. </w:t>
      </w:r>
    </w:p>
    <w:p>
      <w:pPr>
        <w:pStyle w:val="TextBody"/>
        <w:bidi w:val="0"/>
        <w:spacing w:before="350" w:after="283"/>
        <w:jc w:val="center"/>
        <w:rPr>
          <w:color w:val="14202A"/>
        </w:rPr>
      </w:pPr>
      <w:r>
        <w:rPr>
          <w:color w:val="14202A"/>
        </w:rPr>
        <w:drawing>
          <wp:inline distT="0" distB="0" distL="0" distR="0">
            <wp:extent cx="3848100" cy="2628900"/>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7"/>
                    <a:stretch>
                      <a:fillRect/>
                    </a:stretch>
                  </pic:blipFill>
                  <pic:spPr bwMode="auto">
                    <a:xfrm>
                      <a:off x="0" y="0"/>
                      <a:ext cx="3848100" cy="2628900"/>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p>
      <w:pPr>
        <w:pStyle w:val="TextBody"/>
        <w:bidi w:val="0"/>
        <w:spacing w:before="350" w:after="283"/>
        <w:jc w:val="center"/>
        <w:rPr>
          <w:color w:val="14202A"/>
        </w:rPr>
      </w:pPr>
      <w:r>
        <w:rPr>
          <w:color w:val="14202A"/>
        </w:rPr>
        <w:drawing>
          <wp:inline distT="0" distB="0" distL="0" distR="0">
            <wp:extent cx="3810000" cy="26384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8"/>
                    <a:stretch>
                      <a:fillRect/>
                    </a:stretch>
                  </pic:blipFill>
                  <pic:spPr bwMode="auto">
                    <a:xfrm>
                      <a:off x="0" y="0"/>
                      <a:ext cx="3810000" cy="263842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p>
      <w:pPr>
        <w:pStyle w:val="TextBody"/>
        <w:bidi w:val="0"/>
        <w:spacing w:before="340" w:after="283"/>
        <w:jc w:val="center"/>
        <w:rPr>
          <w:color w:val="14202A"/>
        </w:rPr>
      </w:pPr>
      <w:r>
        <w:rPr>
          <w:color w:val="14202A"/>
        </w:rPr>
        <w:drawing>
          <wp:inline distT="0" distB="0" distL="0" distR="0">
            <wp:extent cx="3762375" cy="2628900"/>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9"/>
                    <a:stretch>
                      <a:fillRect/>
                    </a:stretch>
                  </pic:blipFill>
                  <pic:spPr bwMode="auto">
                    <a:xfrm>
                      <a:off x="0" y="0"/>
                      <a:ext cx="3762375" cy="2628900"/>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1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1" w:name="ny20052074x1_def14a_111-pvp_pg4"/>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lists the five financial performance measures that we believe represent the most important financial performance measures we used to link compensation actually paid to our NEOs to our performance.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Most Important Performance Measures </w:t>
      </w:r>
    </w:p>
    <w:tbl>
      <w:tblPr>
        <w:tblW w:w="2445" w:type="dxa"/>
        <w:jc w:val="left"/>
        <w:tblInd w:w="0" w:type="dxa"/>
        <w:tblLayout w:type="fixed"/>
        <w:tblCellMar>
          <w:top w:w="0" w:type="dxa"/>
          <w:left w:w="0" w:type="dxa"/>
          <w:bottom w:w="0" w:type="dxa"/>
          <w:right w:w="0" w:type="dxa"/>
        </w:tblCellMar>
      </w:tblPr>
      <w:tblGrid>
        <w:gridCol w:w="185"/>
        <w:gridCol w:w="1535"/>
        <w:gridCol w:w="170"/>
        <w:gridCol w:w="170"/>
        <w:gridCol w:w="170"/>
        <w:gridCol w:w="215"/>
      </w:tblGrid>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3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Incentive EPS</w:t>
            </w:r>
            <w:r>
              <w:rPr>
                <w:rFonts w:ascii="Arial;Helvetica;sans-serif" w:hAnsi="Arial;Helvetica;sans-serif"/>
                <w:color w:val="14202A"/>
                <w:position w:val="5"/>
                <w:sz w:val="13"/>
                <w:sz w:val="16"/>
              </w:rPr>
              <w:t>(1)</w:t>
            </w:r>
            <w:r>
              <w:rPr>
                <w:rFonts w:ascii="Arial;Helvetica;sans-serif" w:hAnsi="Arial;Helvetica;sans-serif"/>
                <w:color w:val="14202A"/>
                <w:sz w:val="16"/>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3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Net Revenue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3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Operating Income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3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Net Working Capital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88" w:type="dxa"/>
            </w:tcMar>
            <w:vAlign w:val="center"/>
          </w:tcPr>
          <w:p>
            <w:pPr>
              <w:pStyle w:val="TableContents"/>
              <w:bidi w:val="0"/>
              <w:spacing w:before="0" w:after="283"/>
              <w:ind w:left="0" w:right="0" w:hanging="0"/>
              <w:jc w:val="left"/>
              <w:rPr>
                <w:color w:val="14202A"/>
              </w:rPr>
            </w:pPr>
            <w:r>
              <w:rPr>
                <w:color w:val="14202A"/>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Incentive ROIC</w:t>
            </w:r>
            <w:r>
              <w:rPr>
                <w:rFonts w:ascii="Arial;Helvetica;sans-serif" w:hAnsi="Arial;Helvetica;sans-serif"/>
                <w:color w:val="14202A"/>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14202A"/>
              </w:rPr>
            </w:pPr>
            <w:r>
              <w:rPr>
                <w:color w:val="14202A"/>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53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Arial;Helvetica;sans-serif" w:hAnsi="Arial;Helvetica;sans-serif"/>
                <w:color w:val="14202A"/>
                <w:sz w:val="16"/>
              </w:rPr>
            </w:pPr>
            <w:r>
              <w:rPr>
                <w:rFonts w:ascii="Arial;Helvetica;sans-serif" w:hAnsi="Arial;Helvetica;sans-serif"/>
                <w:color w:val="14202A"/>
                <w:sz w:val="16"/>
              </w:rPr>
              <w:t>(1)</w:t>
            </w:r>
          </w:p>
        </w:tc>
        <w:tc>
          <w:tcPr>
            <w:tcW w:w="9958" w:type="dxa"/>
            <w:tcBorders/>
            <w:vAlign w:val="center"/>
          </w:tcPr>
          <w:p>
            <w:pPr>
              <w:pStyle w:val="TableContents"/>
              <w:bidi w:val="0"/>
              <w:spacing w:before="0" w:after="0"/>
              <w:jc w:val="left"/>
              <w:rPr>
                <w:rFonts w:ascii="Arial;Helvetica;sans-serif" w:hAnsi="Arial;Helvetica;sans-serif"/>
                <w:color w:val="14202A"/>
                <w:sz w:val="16"/>
              </w:rPr>
            </w:pPr>
            <w:r>
              <w:rPr>
                <w:rFonts w:ascii="Arial;Helvetica;sans-serif" w:hAnsi="Arial;Helvetica;sans-serif"/>
                <w:color w:val="14202A"/>
                <w:sz w:val="16"/>
              </w:rPr>
              <w:t xml:space="preserve">Denotes non-GAAP financial measure described above under “Compensation Discussion and Analysis – Fiscal 2025 Equity Awards – LTIP / Performance Share Units.”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2" w:name="ny20052074x1_def14a_112-equity_pg1"/>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43" w:name="tECPI"/>
      <w:bookmarkEnd w:id="143"/>
      <w:r>
        <w:rPr>
          <w:rFonts w:ascii="Arial;Helvetica;sans-serif" w:hAnsi="Arial;Helvetica;sans-serif"/>
          <w:b/>
          <w:color w:val="14202A"/>
          <w:sz w:val="30"/>
        </w:rPr>
        <w:t xml:space="preserve">Equity Compensation Plan Information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Information with respect to shares of our common stock that may be issued under our existing equity compensation plans as of August 30, 2025 are as follows: </w:t>
      </w:r>
    </w:p>
    <w:tbl>
      <w:tblPr>
        <w:tblW w:w="10205" w:type="dxa"/>
        <w:jc w:val="left"/>
        <w:tblInd w:w="0" w:type="dxa"/>
        <w:tblLayout w:type="fixed"/>
        <w:tblCellMar>
          <w:top w:w="0" w:type="dxa"/>
          <w:left w:w="0" w:type="dxa"/>
          <w:bottom w:w="0" w:type="dxa"/>
          <w:right w:w="0" w:type="dxa"/>
        </w:tblCellMar>
      </w:tblPr>
      <w:tblGrid>
        <w:gridCol w:w="185"/>
        <w:gridCol w:w="4275"/>
        <w:gridCol w:w="170"/>
        <w:gridCol w:w="170"/>
        <w:gridCol w:w="1377"/>
        <w:gridCol w:w="170"/>
        <w:gridCol w:w="170"/>
        <w:gridCol w:w="1415"/>
        <w:gridCol w:w="170"/>
        <w:gridCol w:w="170"/>
        <w:gridCol w:w="1716"/>
        <w:gridCol w:w="217"/>
      </w:tblGrid>
      <w:tr>
        <w:trPr/>
        <w:tc>
          <w:tcPr>
            <w:tcW w:w="185" w:type="dxa"/>
            <w:tcBorders/>
            <w:shd w:fill="14202A" w:val="clear"/>
            <w:vAlign w:val="center"/>
          </w:tcPr>
          <w:p>
            <w:pPr>
              <w:pStyle w:val="TableContents"/>
              <w:bidi w:val="0"/>
              <w:spacing w:before="0" w:after="0"/>
              <w:jc w:val="left"/>
              <w:rPr/>
            </w:pPr>
            <w:r>
              <w:rPr/>
              <w:t> </w:t>
            </w:r>
          </w:p>
        </w:tc>
        <w:tc>
          <w:tcPr>
            <w:tcW w:w="427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77"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41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16" w:type="dxa"/>
            <w:tcBorders/>
            <w:shd w:fill="14202A" w:val="clear"/>
            <w:vAlign w:val="center"/>
          </w:tcPr>
          <w:p>
            <w:pPr>
              <w:pStyle w:val="TableContents"/>
              <w:bidi w:val="0"/>
              <w:spacing w:before="0" w:after="0"/>
              <w:jc w:val="left"/>
              <w:rPr/>
            </w:pPr>
            <w:r>
              <w:rPr/>
              <w:t> </w:t>
            </w:r>
          </w:p>
        </w:tc>
        <w:tc>
          <w:tcPr>
            <w:tcW w:w="217"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4275"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77" w:type="dxa"/>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415" w:type="dxa"/>
            <w:tcBorders>
              <w:bottom w:val="single" w:sz="8" w:space="0" w:color="FFFFFF"/>
            </w:tcBorders>
            <w:shd w:fill="14202A" w:val="clear"/>
            <w:tcMar>
              <w:bottom w:w="93" w:type="dxa"/>
            </w:tcMar>
            <w:vAlign w:val="center"/>
          </w:tcPr>
          <w:p>
            <w:pPr>
              <w:pStyle w:val="TableContents"/>
              <w:bidi w:val="0"/>
              <w:spacing w:before="0" w:after="283"/>
              <w:jc w:val="center"/>
              <w:rPr>
                <w:color w:val="FFFFFF"/>
              </w:rPr>
            </w:pPr>
            <w:r>
              <w:rPr>
                <w:color w:val="FFFFFF"/>
              </w:rPr>
              <w:t>​</w:t>
            </w:r>
            <w:r>
              <w:rPr>
                <w:rFonts w:ascii="Arial;Helvetica;sans-serif" w:hAnsi="Arial;Helvetica;sans-serif"/>
                <w:b/>
                <w:color w:val="FFFFFF"/>
                <w:sz w:val="14"/>
              </w:rPr>
              <w:t>(b)</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16" w:type="dxa"/>
            <w:tcBorders>
              <w:bottom w:val="single" w:sz="8" w:space="0" w:color="FFFFFF"/>
            </w:tcBorders>
            <w:shd w:fill="14202A" w:val="clear"/>
            <w:tcMar>
              <w:bottom w:w="93" w:type="dxa"/>
            </w:tcMar>
            <w:vAlign w:val="center"/>
          </w:tcPr>
          <w:p>
            <w:pPr>
              <w:pStyle w:val="TableContents"/>
              <w:bidi w:val="0"/>
              <w:spacing w:before="0" w:after="283"/>
              <w:jc w:val="center"/>
              <w:rPr>
                <w:color w:val="FFFFFF"/>
              </w:rPr>
            </w:pPr>
            <w:r>
              <w:rPr>
                <w:color w:val="FFFFFF"/>
              </w:rPr>
              <w:t>​</w:t>
            </w:r>
            <w:r>
              <w:rPr>
                <w:rFonts w:ascii="Arial;Helvetica;sans-serif" w:hAnsi="Arial;Helvetica;sans-serif"/>
                <w:b/>
                <w:color w:val="FFFFFF"/>
                <w:sz w:val="14"/>
              </w:rPr>
              <w:t xml:space="preserve">(c) </w:t>
            </w:r>
          </w:p>
        </w:tc>
        <w:tc>
          <w:tcPr>
            <w:tcW w:w="217"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4275"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Plan Category</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77"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 be Issued Upon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Outstanding 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Warrants and Rights</w:t>
            </w:r>
            <w:r>
              <w:rPr>
                <w:rFonts w:ascii="Arial;Helvetica;sans-serif" w:hAnsi="Arial;Helvetica;sans-serif"/>
                <w:b/>
                <w:color w:val="FFFFFF"/>
                <w:position w:val="5"/>
                <w:sz w:val="11"/>
                <w:sz w:val="14"/>
              </w:rPr>
              <w:t>(1)</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41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Weighted 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Exercise Price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Outstanding Options,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Warrants and Rights</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16"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Remaining Available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Future Issuance Under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Compensation Plans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(Excluding 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Reflected in (a)) </w:t>
            </w:r>
          </w:p>
        </w:tc>
        <w:tc>
          <w:tcPr>
            <w:tcW w:w="217"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75"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Equity compensation plans approved by shareholders – 2014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7" w:type="dxa"/>
            <w:tcBorders>
              <w:bottom w:val="single" w:sz="8" w:space="0" w:color="14202A"/>
            </w:tcBorders>
            <w:tcMar>
              <w:bottom w:w="88" w:type="dxa"/>
            </w:tcMar>
            <w:vAlign w:val="center"/>
          </w:tcPr>
          <w:p>
            <w:pPr>
              <w:pStyle w:val="TableContents"/>
              <w:bidi w:val="0"/>
              <w:spacing w:before="0" w:after="283"/>
              <w:ind w:left="463" w:right="0" w:hanging="0"/>
              <w:jc w:val="left"/>
              <w:rPr>
                <w:color w:val="14202A"/>
              </w:rPr>
            </w:pPr>
            <w:r>
              <w:rPr>
                <w:color w:val="14202A"/>
              </w:rPr>
              <w:t>​</w:t>
            </w:r>
            <w:r>
              <w:rPr>
                <w:rFonts w:ascii="Arial;Helvetica;sans-serif" w:hAnsi="Arial;Helvetica;sans-serif"/>
                <w:color w:val="14202A"/>
                <w:sz w:val="16"/>
              </w:rPr>
              <w:t>202,334</w:t>
            </w:r>
            <w:r>
              <w:rPr>
                <w:rFonts w:ascii="Arial;Helvetica;sans-serif" w:hAnsi="Arial;Helvetica;sans-serif"/>
                <w:color w:val="14202A"/>
                <w:position w:val="5"/>
                <w:sz w:val="13"/>
                <w:sz w:val="16"/>
              </w:rPr>
              <w:t>(3)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88" w:type="dxa"/>
            </w:tcMar>
            <w:vAlign w:val="center"/>
          </w:tcPr>
          <w:p>
            <w:pPr>
              <w:pStyle w:val="TableContents"/>
              <w:bidi w:val="0"/>
              <w:spacing w:before="0" w:after="283"/>
              <w:ind w:left="607" w:right="0" w:hanging="0"/>
              <w:jc w:val="left"/>
              <w:rPr>
                <w:rFonts w:ascii="Arial;Helvetica;sans-serif" w:hAnsi="Arial;Helvetica;sans-serif"/>
                <w:color w:val="14202A"/>
                <w:sz w:val="16"/>
              </w:rPr>
            </w:pPr>
            <w:r>
              <w:rPr>
                <w:rFonts w:ascii="Arial;Helvetica;sans-serif" w:hAnsi="Arial;Helvetica;sans-serif"/>
                <w:color w:val="14202A"/>
                <w:sz w:val="16"/>
              </w:rPr>
              <w:t>34.82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16" w:type="dxa"/>
            <w:tcBorders>
              <w:bottom w:val="single" w:sz="8" w:space="0" w:color="14202A"/>
            </w:tcBorders>
            <w:tcMar>
              <w:bottom w:w="88" w:type="dxa"/>
            </w:tcMar>
            <w:vAlign w:val="center"/>
          </w:tcPr>
          <w:p>
            <w:pPr>
              <w:pStyle w:val="TableContents"/>
              <w:bidi w:val="0"/>
              <w:spacing w:before="0" w:after="283"/>
              <w:ind w:left="626" w:right="0" w:hanging="0"/>
              <w:jc w:val="left"/>
              <w:rPr>
                <w:color w:val="14202A"/>
              </w:rPr>
            </w:pPr>
            <w:r>
              <w:rPr>
                <w:color w:val="14202A"/>
              </w:rPr>
              <w:t xml:space="preserve">— </w:t>
            </w:r>
          </w:p>
        </w:tc>
        <w:tc>
          <w:tcPr>
            <w:tcW w:w="217"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75"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Equity compensation plans approved by shareholders – 2019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7" w:type="dxa"/>
            <w:tcBorders>
              <w:bottom w:val="single" w:sz="8" w:space="0" w:color="14202A"/>
            </w:tcBorders>
            <w:tcMar>
              <w:bottom w:w="88" w:type="dxa"/>
            </w:tcMar>
            <w:vAlign w:val="center"/>
          </w:tcPr>
          <w:p>
            <w:pPr>
              <w:pStyle w:val="TableContents"/>
              <w:bidi w:val="0"/>
              <w:spacing w:before="0" w:after="283"/>
              <w:ind w:left="463" w:right="0" w:hanging="0"/>
              <w:jc w:val="left"/>
              <w:rPr>
                <w:color w:val="14202A"/>
              </w:rPr>
            </w:pPr>
            <w:r>
              <w:rPr>
                <w:color w:val="14202A"/>
              </w:rPr>
              <w:t>​</w:t>
            </w:r>
            <w:r>
              <w:rPr>
                <w:rFonts w:ascii="Arial;Helvetica;sans-serif" w:hAnsi="Arial;Helvetica;sans-serif"/>
                <w:color w:val="14202A"/>
                <w:sz w:val="16"/>
              </w:rPr>
              <w:t>1,011,888</w:t>
            </w:r>
            <w:r>
              <w:rPr>
                <w:rFonts w:ascii="Arial;Helvetica;sans-serif" w:hAnsi="Arial;Helvetica;sans-serif"/>
                <w:color w:val="14202A"/>
                <w:position w:val="5"/>
                <w:sz w:val="13"/>
                <w:sz w:val="16"/>
              </w:rPr>
              <w:t>(4)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88" w:type="dxa"/>
            </w:tcMar>
            <w:vAlign w:val="center"/>
          </w:tcPr>
          <w:p>
            <w:pPr>
              <w:pStyle w:val="TableContents"/>
              <w:bidi w:val="0"/>
              <w:spacing w:before="0" w:after="283"/>
              <w:ind w:left="607" w:right="0" w:hanging="0"/>
              <w:jc w:val="left"/>
              <w:rPr>
                <w:rFonts w:ascii="Arial;Helvetica;sans-serif" w:hAnsi="Arial;Helvetica;sans-serif"/>
                <w:color w:val="14202A"/>
                <w:sz w:val="16"/>
              </w:rPr>
            </w:pPr>
            <w:r>
              <w:rPr>
                <w:rFonts w:ascii="Arial;Helvetica;sans-serif" w:hAnsi="Arial;Helvetica;sans-serif"/>
                <w:color w:val="14202A"/>
                <w:sz w:val="16"/>
              </w:rPr>
              <w:t>57.98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16" w:type="dxa"/>
            <w:tcBorders>
              <w:bottom w:val="single" w:sz="8" w:space="0" w:color="14202A"/>
            </w:tcBorders>
            <w:tcMar>
              <w:bottom w:w="88" w:type="dxa"/>
            </w:tcMar>
            <w:vAlign w:val="center"/>
          </w:tcPr>
          <w:p>
            <w:pPr>
              <w:pStyle w:val="TableContents"/>
              <w:bidi w:val="0"/>
              <w:spacing w:before="0" w:after="283"/>
              <w:ind w:left="626" w:right="0" w:hanging="0"/>
              <w:jc w:val="left"/>
              <w:rPr>
                <w:rFonts w:ascii="Arial;Helvetica;sans-serif" w:hAnsi="Arial;Helvetica;sans-serif"/>
                <w:color w:val="14202A"/>
                <w:sz w:val="16"/>
              </w:rPr>
            </w:pPr>
            <w:r>
              <w:rPr>
                <w:rFonts w:ascii="Arial;Helvetica;sans-serif" w:hAnsi="Arial;Helvetica;sans-serif"/>
                <w:color w:val="14202A"/>
                <w:sz w:val="16"/>
              </w:rPr>
              <w:t>3,006,754</w:t>
            </w:r>
            <w:r>
              <w:rPr>
                <w:rFonts w:ascii="Arial;Helvetica;sans-serif" w:hAnsi="Arial;Helvetica;sans-serif"/>
                <w:color w:val="14202A"/>
                <w:position w:val="5"/>
                <w:sz w:val="13"/>
                <w:sz w:val="16"/>
              </w:rPr>
              <w:t>(5)</w:t>
            </w:r>
            <w:r>
              <w:rPr>
                <w:rFonts w:ascii="Arial;Helvetica;sans-serif" w:hAnsi="Arial;Helvetica;sans-serif"/>
                <w:color w:val="14202A"/>
                <w:sz w:val="16"/>
              </w:rPr>
              <w:t xml:space="preserve"> </w:t>
            </w:r>
          </w:p>
        </w:tc>
        <w:tc>
          <w:tcPr>
            <w:tcW w:w="217"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75"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Equity compensation plans approved by shareholders – ESPP</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7" w:type="dxa"/>
            <w:tcBorders>
              <w:bottom w:val="single" w:sz="8" w:space="0" w:color="14202A"/>
            </w:tcBorders>
            <w:tcMar>
              <w:bottom w:w="88" w:type="dxa"/>
            </w:tcMar>
            <w:vAlign w:val="center"/>
          </w:tcPr>
          <w:p>
            <w:pPr>
              <w:pStyle w:val="TableContents"/>
              <w:bidi w:val="0"/>
              <w:spacing w:before="0" w:after="283"/>
              <w:ind w:left="463" w:right="0" w:hanging="0"/>
              <w:jc w:val="left"/>
              <w:rPr>
                <w:color w:val="14202A"/>
              </w:rPr>
            </w:pPr>
            <w:r>
              <w:rPr>
                <w:color w:val="14202A"/>
              </w:rPr>
              <w:t>—</w:t>
            </w:r>
            <w:r>
              <w:rPr>
                <w:rFonts w:ascii="Arial;Helvetica;sans-serif" w:hAnsi="Arial;Helvetica;sans-serif"/>
                <w:color w:val="14202A"/>
                <w:position w:val="5"/>
                <w:sz w:val="13"/>
                <w:sz w:val="16"/>
              </w:rPr>
              <w:t>(6)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88" w:type="dxa"/>
            </w:tcMar>
            <w:vAlign w:val="center"/>
          </w:tcPr>
          <w:p>
            <w:pPr>
              <w:pStyle w:val="TableContents"/>
              <w:bidi w:val="0"/>
              <w:spacing w:before="0" w:after="283"/>
              <w:ind w:left="60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16" w:type="dxa"/>
            <w:tcBorders>
              <w:bottom w:val="single" w:sz="8" w:space="0" w:color="14202A"/>
            </w:tcBorders>
            <w:tcMar>
              <w:bottom w:w="88" w:type="dxa"/>
            </w:tcMar>
            <w:vAlign w:val="center"/>
          </w:tcPr>
          <w:p>
            <w:pPr>
              <w:pStyle w:val="TableContents"/>
              <w:bidi w:val="0"/>
              <w:spacing w:before="0" w:after="283"/>
              <w:ind w:left="626" w:right="0" w:hanging="0"/>
              <w:jc w:val="left"/>
              <w:rPr>
                <w:color w:val="14202A"/>
              </w:rPr>
            </w:pPr>
            <w:r>
              <w:rPr>
                <w:color w:val="14202A"/>
              </w:rPr>
              <w:t>​</w:t>
            </w:r>
            <w:r>
              <w:rPr>
                <w:rFonts w:ascii="Arial;Helvetica;sans-serif" w:hAnsi="Arial;Helvetica;sans-serif"/>
                <w:color w:val="14202A"/>
                <w:sz w:val="16"/>
              </w:rPr>
              <w:t>278,425</w:t>
            </w:r>
            <w:r>
              <w:rPr>
                <w:rFonts w:ascii="Arial;Helvetica;sans-serif" w:hAnsi="Arial;Helvetica;sans-serif"/>
                <w:color w:val="14202A"/>
                <w:position w:val="5"/>
                <w:sz w:val="13"/>
                <w:sz w:val="16"/>
              </w:rPr>
              <w:t>(7)</w:t>
            </w:r>
            <w:r>
              <w:rPr>
                <w:rFonts w:ascii="Arial;Helvetica;sans-serif" w:hAnsi="Arial;Helvetica;sans-serif"/>
                <w:color w:val="14202A"/>
                <w:sz w:val="16"/>
              </w:rPr>
              <w:t xml:space="preserve"> </w:t>
            </w:r>
          </w:p>
        </w:tc>
        <w:tc>
          <w:tcPr>
            <w:tcW w:w="217"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75" w:type="dxa"/>
            <w:tcBorders>
              <w:bottom w:val="single" w:sz="8" w:space="0" w:color="14202A"/>
            </w:tcBorders>
            <w:tcMar>
              <w:bottom w:w="88" w:type="dxa"/>
            </w:tcMar>
            <w:vAlign w:val="center"/>
          </w:tcPr>
          <w:p>
            <w:pPr>
              <w:pStyle w:val="TableContents"/>
              <w:bidi w:val="0"/>
              <w:spacing w:before="0" w:after="283"/>
              <w:ind w:left="240" w:right="0" w:hanging="180"/>
              <w:jc w:val="left"/>
              <w:rPr>
                <w:rFonts w:ascii="Arial;Helvetica;sans-serif" w:hAnsi="Arial;Helvetica;sans-serif"/>
                <w:color w:val="14202A"/>
                <w:sz w:val="16"/>
              </w:rPr>
            </w:pPr>
            <w:r>
              <w:rPr>
                <w:rFonts w:ascii="Arial;Helvetica;sans-serif" w:hAnsi="Arial;Helvetica;sans-serif"/>
                <w:color w:val="14202A"/>
                <w:sz w:val="16"/>
              </w:rPr>
              <w:t>Equity compensation plans not approved by shareholders</w:t>
            </w:r>
            <w:r>
              <w:rPr>
                <w:rFonts w:ascii="Arial;Helvetica;sans-serif" w:hAnsi="Arial;Helvetica;sans-serif"/>
                <w:color w:val="14202A"/>
                <w:position w:val="5"/>
                <w:sz w:val="13"/>
                <w:sz w:val="16"/>
              </w:rPr>
              <w:t>(8)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7" w:type="dxa"/>
            <w:tcBorders>
              <w:bottom w:val="single" w:sz="8" w:space="0" w:color="14202A"/>
            </w:tcBorders>
            <w:tcMar>
              <w:bottom w:w="88" w:type="dxa"/>
            </w:tcMar>
            <w:vAlign w:val="center"/>
          </w:tcPr>
          <w:p>
            <w:pPr>
              <w:pStyle w:val="TableContents"/>
              <w:bidi w:val="0"/>
              <w:spacing w:before="0" w:after="283"/>
              <w:ind w:left="463" w:right="0" w:hanging="0"/>
              <w:jc w:val="left"/>
              <w:rPr>
                <w:color w:val="14202A"/>
              </w:rPr>
            </w:pPr>
            <w:r>
              <w:rPr>
                <w:color w:val="14202A"/>
              </w:rPr>
              <w:t>​</w:t>
            </w:r>
            <w:r>
              <w:rPr>
                <w:rFonts w:ascii="Arial;Helvetica;sans-serif" w:hAnsi="Arial;Helvetica;sans-serif"/>
                <w:color w:val="14202A"/>
                <w:sz w:val="16"/>
              </w:rPr>
              <w:t>20,302</w:t>
            </w:r>
            <w:r>
              <w:rPr>
                <w:rFonts w:ascii="Arial;Helvetica;sans-serif" w:hAnsi="Arial;Helvetica;sans-serif"/>
                <w:color w:val="14202A"/>
                <w:position w:val="5"/>
                <w:sz w:val="13"/>
                <w:sz w:val="16"/>
              </w:rPr>
              <w:t>(9)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88" w:type="dxa"/>
            </w:tcMar>
            <w:vAlign w:val="center"/>
          </w:tcPr>
          <w:p>
            <w:pPr>
              <w:pStyle w:val="TableContents"/>
              <w:bidi w:val="0"/>
              <w:spacing w:before="0" w:after="283"/>
              <w:ind w:left="607"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16" w:type="dxa"/>
            <w:tcBorders>
              <w:bottom w:val="single" w:sz="8" w:space="0" w:color="14202A"/>
            </w:tcBorders>
            <w:tcMar>
              <w:bottom w:w="88" w:type="dxa"/>
            </w:tcMar>
            <w:vAlign w:val="center"/>
          </w:tcPr>
          <w:p>
            <w:pPr>
              <w:pStyle w:val="TableContents"/>
              <w:bidi w:val="0"/>
              <w:spacing w:before="0" w:after="283"/>
              <w:ind w:left="626" w:right="0" w:hanging="0"/>
              <w:jc w:val="left"/>
              <w:rPr>
                <w:color w:val="14202A"/>
              </w:rPr>
            </w:pPr>
            <w:r>
              <w:rPr>
                <w:color w:val="14202A"/>
              </w:rPr>
              <w:t>—</w:t>
            </w:r>
            <w:r>
              <w:rPr>
                <w:rFonts w:ascii="Arial;Helvetica;sans-serif" w:hAnsi="Arial;Helvetica;sans-serif"/>
                <w:color w:val="14202A"/>
                <w:position w:val="5"/>
                <w:sz w:val="13"/>
                <w:sz w:val="16"/>
              </w:rPr>
              <w:t>(10)</w:t>
            </w:r>
            <w:r>
              <w:rPr>
                <w:rFonts w:ascii="Arial;Helvetica;sans-serif" w:hAnsi="Arial;Helvetica;sans-serif"/>
                <w:color w:val="14202A"/>
                <w:sz w:val="16"/>
              </w:rPr>
              <w:t xml:space="preserve"> </w:t>
            </w:r>
          </w:p>
        </w:tc>
        <w:tc>
          <w:tcPr>
            <w:tcW w:w="217"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75"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7" w:type="dxa"/>
            <w:tcBorders/>
            <w:vAlign w:val="center"/>
          </w:tcPr>
          <w:p>
            <w:pPr>
              <w:pStyle w:val="TableContents"/>
              <w:bidi w:val="0"/>
              <w:spacing w:before="0" w:after="283"/>
              <w:ind w:left="463" w:right="0" w:hanging="0"/>
              <w:jc w:val="left"/>
              <w:rPr>
                <w:rFonts w:ascii="Arial;Helvetica;sans-serif" w:hAnsi="Arial;Helvetica;sans-serif"/>
                <w:color w:val="14202A"/>
                <w:sz w:val="16"/>
              </w:rPr>
            </w:pPr>
            <w:r>
              <w:rPr>
                <w:rFonts w:ascii="Arial;Helvetica;sans-serif" w:hAnsi="Arial;Helvetica;sans-serif"/>
                <w:color w:val="14202A"/>
                <w:sz w:val="16"/>
              </w:rPr>
              <w:t xml:space="preserve">1,234,524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607"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6" w:type="dxa"/>
            <w:tcBorders/>
            <w:vAlign w:val="center"/>
          </w:tcPr>
          <w:p>
            <w:pPr>
              <w:pStyle w:val="TableContents"/>
              <w:bidi w:val="0"/>
              <w:spacing w:before="0" w:after="283"/>
              <w:ind w:left="626" w:right="0" w:hanging="0"/>
              <w:jc w:val="left"/>
              <w:rPr>
                <w:rFonts w:ascii="Arial;Helvetica;sans-serif" w:hAnsi="Arial;Helvetica;sans-serif"/>
                <w:color w:val="14202A"/>
                <w:sz w:val="16"/>
              </w:rPr>
            </w:pPr>
            <w:r>
              <w:rPr>
                <w:rFonts w:ascii="Arial;Helvetica;sans-serif" w:hAnsi="Arial;Helvetica;sans-serif"/>
                <w:color w:val="14202A"/>
                <w:sz w:val="16"/>
              </w:rPr>
              <w:t>3,285,179</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7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7"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16" w:type="dxa"/>
            <w:tcBorders>
              <w:bottom w:val="single" w:sz="8" w:space="0" w:color="14202A"/>
            </w:tcBorders>
            <w:tcMar>
              <w:bottom w:w="28" w:type="dxa"/>
            </w:tcMar>
            <w:vAlign w:val="center"/>
          </w:tcPr>
          <w:p>
            <w:pPr>
              <w:pStyle w:val="TableContents"/>
              <w:bidi w:val="0"/>
              <w:spacing w:before="0" w:after="0"/>
              <w:jc w:val="left"/>
              <w:rPr/>
            </w:pPr>
            <w:r>
              <w:rPr/>
              <w:t> </w:t>
            </w:r>
          </w:p>
        </w:tc>
        <w:tc>
          <w:tcPr>
            <w:tcW w:w="217"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4990" w:type="dxa"/>
        <w:jc w:val="left"/>
        <w:tblInd w:w="0" w:type="dxa"/>
        <w:tblLayout w:type="fixed"/>
        <w:tblCellMar>
          <w:top w:w="0" w:type="dxa"/>
          <w:left w:w="0" w:type="dxa"/>
          <w:bottom w:w="0" w:type="dxa"/>
          <w:right w:w="0" w:type="dxa"/>
        </w:tblCellMar>
      </w:tblPr>
      <w:tblGrid>
        <w:gridCol w:w="215"/>
        <w:gridCol w:w="477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477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Number of securities to be issued in the table are shown in whole numbers.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99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the weighted average exercise price of outstanding stock options only. Restricted share awards do not have an exercise price so weighted average is not applicable. </w:t>
            </w:r>
          </w:p>
        </w:tc>
      </w:tr>
    </w:tbl>
    <w:tbl>
      <w:tblPr>
        <w:tblW w:w="5530" w:type="dxa"/>
        <w:jc w:val="left"/>
        <w:tblInd w:w="0" w:type="dxa"/>
        <w:tblLayout w:type="fixed"/>
        <w:tblCellMar>
          <w:top w:w="0" w:type="dxa"/>
          <w:left w:w="0" w:type="dxa"/>
          <w:bottom w:w="0" w:type="dxa"/>
          <w:right w:w="0" w:type="dxa"/>
        </w:tblCellMar>
      </w:tblPr>
      <w:tblGrid>
        <w:gridCol w:w="215"/>
        <w:gridCol w:w="531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53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stock options and unvested stock awards granted under the 2014 Plan. </w:t>
            </w:r>
          </w:p>
        </w:tc>
      </w:tr>
    </w:tbl>
    <w:tbl>
      <w:tblPr>
        <w:tblW w:w="9460" w:type="dxa"/>
        <w:jc w:val="left"/>
        <w:tblInd w:w="0" w:type="dxa"/>
        <w:tblLayout w:type="fixed"/>
        <w:tblCellMar>
          <w:top w:w="0" w:type="dxa"/>
          <w:left w:w="0" w:type="dxa"/>
          <w:bottom w:w="0" w:type="dxa"/>
          <w:right w:w="0" w:type="dxa"/>
        </w:tblCellMar>
      </w:tblPr>
      <w:tblGrid>
        <w:gridCol w:w="215"/>
        <w:gridCol w:w="924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924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stock options and unvested stock awards granted under the 2019 Plan, which replaced the 2014 Plan effective on December 11, 2018. </w:t>
            </w:r>
          </w:p>
        </w:tc>
      </w:tr>
    </w:tbl>
    <w:tbl>
      <w:tblPr>
        <w:tblW w:w="6070" w:type="dxa"/>
        <w:jc w:val="left"/>
        <w:tblInd w:w="0" w:type="dxa"/>
        <w:tblLayout w:type="fixed"/>
        <w:tblCellMar>
          <w:top w:w="0" w:type="dxa"/>
          <w:left w:w="0" w:type="dxa"/>
          <w:bottom w:w="0" w:type="dxa"/>
          <w:right w:w="0" w:type="dxa"/>
        </w:tblCellMar>
      </w:tblPr>
      <w:tblGrid>
        <w:gridCol w:w="215"/>
        <w:gridCol w:w="585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585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shares available for grant of awards under the 2019 Plan as of August 30, 2025. </w:t>
            </w:r>
          </w:p>
        </w:tc>
      </w:tr>
    </w:tbl>
    <w:tbl>
      <w:tblPr>
        <w:tblW w:w="9955" w:type="dxa"/>
        <w:jc w:val="left"/>
        <w:tblInd w:w="0" w:type="dxa"/>
        <w:tblLayout w:type="fixed"/>
        <w:tblCellMar>
          <w:top w:w="0" w:type="dxa"/>
          <w:left w:w="0" w:type="dxa"/>
          <w:bottom w:w="0" w:type="dxa"/>
          <w:right w:w="0" w:type="dxa"/>
        </w:tblCellMar>
      </w:tblPr>
      <w:tblGrid>
        <w:gridCol w:w="215"/>
        <w:gridCol w:w="974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(6)</w:t>
            </w:r>
          </w:p>
        </w:tc>
        <w:tc>
          <w:tcPr>
            <w:tcW w:w="974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shares subject to purchase in the purchase period then in effect under the Winnebago Industries, Inc. Employee Stock Purchase Plan (ESPP). </w:t>
            </w:r>
          </w:p>
        </w:tc>
      </w:tr>
    </w:tbl>
    <w:tbl>
      <w:tblPr>
        <w:tblW w:w="5410" w:type="dxa"/>
        <w:jc w:val="left"/>
        <w:tblInd w:w="0" w:type="dxa"/>
        <w:tblLayout w:type="fixed"/>
        <w:tblCellMar>
          <w:top w:w="0" w:type="dxa"/>
          <w:left w:w="0" w:type="dxa"/>
          <w:bottom w:w="0" w:type="dxa"/>
          <w:right w:w="0" w:type="dxa"/>
        </w:tblCellMar>
      </w:tblPr>
      <w:tblGrid>
        <w:gridCol w:w="215"/>
        <w:gridCol w:w="519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(7)</w:t>
            </w:r>
          </w:p>
        </w:tc>
        <w:tc>
          <w:tcPr>
            <w:tcW w:w="51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shares available for issuance under the ESPP as of August 30, 2025.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(8)</w:t>
            </w:r>
          </w:p>
        </w:tc>
        <w:tc>
          <w:tcPr>
            <w:tcW w:w="999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Our only equity compensation plan not previously submitted to our shareholders for approval is the Directors’ Deferred Plan. The Board may terminate the Directors’ Deferred Plan at any time.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(9)</w:t>
            </w:r>
          </w:p>
        </w:tc>
        <w:tc>
          <w:tcPr>
            <w:tcW w:w="1000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shares of common stock issued to a trust which underlie stock units, payable on a one-for-one basis, credited to stock unit accounts as of August 30, 2025 under the Directors’ Deferred Plan.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(10)</w:t>
            </w:r>
          </w:p>
        </w:tc>
        <w:tc>
          <w:tcPr>
            <w:tcW w:w="994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table does not reflect a specific number of stock units which may be distributed pursuant to the Directors’ Deferred Plan. The Directors’ Deferred Plan does not limit the number of stock units issuable thereunder. The number of stock units to be distributed pursuant to the Directors’ Deferred Plan will be based on the amount of the director’s compensation deferred and the per share price of our common stock at the time of deferral.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4" w:name="ny20052074x1_def14a_113-prop2_pg1"/>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45" w:name="tPROP2"/>
      <w:bookmarkEnd w:id="145"/>
      <w:r>
        <w:rPr>
          <w:rFonts w:ascii="Arial;Helvetica;sans-serif" w:hAnsi="Arial;Helvetica;sans-serif"/>
          <w:b/>
          <w:color w:val="14202A"/>
          <w:sz w:val="30"/>
        </w:rPr>
        <w:t xml:space="preserve">Proposal 2 – Advisory Vote to Approve the Compensation of our Named Executive Officers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required by SEC rules, shareholders have the opportunity to vote, on an advisory and non-binding basis, on the compensation of our NEOs as set forth in this proxy statement. This is commonly referred to as the “Say on Pay” vote. At the 2023 annual meeting, the shareholders determined that the Say on Pay vote would be held annually.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discussed in greater detail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While the Board and especially the Human Resources Committee intend to carefully consider the results of the voting on this proposal when making future decisions regarding executive compensation, the vote is not binding on the Company or the Board and is advisory in nature.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9280"/>
        <w:gridCol w:w="215"/>
      </w:tblGrid>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283"/>
              <w:jc w:val="right"/>
              <w:rPr>
                <w:color w:val="FFFFFF"/>
              </w:rPr>
            </w:pPr>
            <w:r>
              <w:rPr>
                <w:color w:val="FFFFFF"/>
              </w:rPr>
              <w:t>✔</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283"/>
              <w:ind w:left="0" w:right="0" w:hanging="0"/>
              <w:jc w:val="left"/>
              <w:rPr>
                <w:rFonts w:ascii="Arial;Helvetica;sans-serif" w:hAnsi="Arial;Helvetica;sans-serif"/>
                <w:b/>
                <w:color w:val="FFFFFF"/>
                <w:spacing w:val="-4"/>
                <w:sz w:val="22"/>
              </w:rPr>
            </w:pPr>
            <w:r>
              <w:rPr>
                <w:rFonts w:ascii="Arial;Helvetica;sans-serif" w:hAnsi="Arial;Helvetica;sans-serif"/>
                <w:b/>
                <w:color w:val="FFFFFF"/>
                <w:spacing w:val="-4"/>
                <w:sz w:val="22"/>
              </w:rPr>
              <w:t>The Board unanimously recommends voting, on a non-binding, advisory basis, FOR approval of the compensation of the named executive officers.</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6" w:name="ny20052074x1_def14a_114-prop3_pg1"/>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47" w:name="tPROP3"/>
      <w:bookmarkEnd w:id="147"/>
      <w:r>
        <w:rPr>
          <w:rFonts w:ascii="Arial;Helvetica;sans-serif" w:hAnsi="Arial;Helvetica;sans-serif"/>
          <w:b/>
          <w:color w:val="14202A"/>
          <w:sz w:val="30"/>
        </w:rPr>
        <w:t xml:space="preserve">Proposal 3 – Approval of the Amended and Restated 2019 Omnibus Incentive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are seeking stockholder approval of the amendment and restatement of our Amended and Restated 2019 Omnibus Incentive Plan (the 2019 Plan) to increase the number of shares of our common stock available for issuance under the 2019 Plan by an additional 820,000 shares and extend the term of the 2019 Plan. The 2019 Plan originally became effective on December 11, 2018, and was amended and restated effective December 14, 2023. On October 15, 2025, our Board, at the recommendation of our Human Resources Committee (the Committee), approved the amendment and restatement of the 2019 Plan, subject to approval by our shareholders at the Annual Meeting. This amendment and restatement of the 2019 Plan will become effective on the date it is approved by our shareholders.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Except for the increase in the number of shares and extension of the term, the amended and restated 2019 Plan is substantively the same as the current 2019 Plan.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Factors Considered in Requesting Share Reserve Increase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of October 21, 2025, there were 28,207,219 shares of our common stock issued and outstanding. The closing sale price of a share of our common stock on the NYSE on that date was $31.62.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setting the proposed number of additional shares to be reserved and issuable under the 2019 Plan, the Committee and our Board considered a number of factors as described below.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Awards Outstanding and Shares Available for Grant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table below shows, as of October 21, 2025, the shares reserved for issuance of outstanding awards under the 2019 Plan as well as its predecessor, our 2014 Omnibus Equity, Performance Award and Incentive Compensation Plan (the 2014 Plan), and available for future grant under our 2019 Plan. The table also shows the number of shares that will be available for future grants under the 2019 Plan following approval of the amended and restated 2019 Plan by our shareholders. </w:t>
      </w:r>
    </w:p>
    <w:tbl>
      <w:tblPr>
        <w:tblW w:w="7035" w:type="dxa"/>
        <w:jc w:val="left"/>
        <w:tblInd w:w="0" w:type="dxa"/>
        <w:tblLayout w:type="fixed"/>
        <w:tblCellMar>
          <w:top w:w="0" w:type="dxa"/>
          <w:left w:w="0" w:type="dxa"/>
          <w:bottom w:w="0" w:type="dxa"/>
          <w:right w:w="0" w:type="dxa"/>
        </w:tblCellMar>
      </w:tblPr>
      <w:tblGrid>
        <w:gridCol w:w="185"/>
        <w:gridCol w:w="800"/>
        <w:gridCol w:w="170"/>
        <w:gridCol w:w="170"/>
        <w:gridCol w:w="1280"/>
        <w:gridCol w:w="170"/>
        <w:gridCol w:w="170"/>
        <w:gridCol w:w="1415"/>
        <w:gridCol w:w="170"/>
        <w:gridCol w:w="170"/>
        <w:gridCol w:w="2120"/>
        <w:gridCol w:w="215"/>
      </w:tblGrid>
      <w:tr>
        <w:trPr/>
        <w:tc>
          <w:tcPr>
            <w:tcW w:w="185" w:type="dxa"/>
            <w:tcBorders/>
            <w:shd w:fill="14202A" w:val="clear"/>
            <w:vAlign w:val="center"/>
          </w:tcPr>
          <w:p>
            <w:pPr>
              <w:pStyle w:val="TableContents"/>
              <w:bidi w:val="0"/>
              <w:spacing w:before="0" w:after="0"/>
              <w:jc w:val="left"/>
              <w:rPr/>
            </w:pPr>
            <w:r>
              <w:rPr/>
              <w:t> </w:t>
            </w:r>
          </w:p>
        </w:tc>
        <w:tc>
          <w:tcPr>
            <w:tcW w:w="80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035"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12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80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3035"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As of October 21, 2025</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120" w:type="dxa"/>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After Approval of Restated Plan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80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8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Outstanding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r>
              <w:rPr>
                <w:rFonts w:ascii="Arial;Helvetica;sans-serif" w:hAnsi="Arial;Helvetica;sans-serif"/>
                <w:b/>
                <w:color w:val="FFFFFF"/>
                <w:position w:val="5"/>
                <w:sz w:val="11"/>
                <w:sz w:val="14"/>
              </w:rPr>
              <w:t>(1)</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41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Available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Future Awards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12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Available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Future Awards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b/>
                <w:color w:val="14202A"/>
                <w:sz w:val="16"/>
              </w:rPr>
              <w:t>2014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80" w:type="dxa"/>
            <w:tcBorders>
              <w:bottom w:val="single" w:sz="8" w:space="0" w:color="14202A"/>
            </w:tcBorders>
            <w:tcMar>
              <w:bottom w:w="88" w:type="dxa"/>
            </w:tcMar>
            <w:vAlign w:val="center"/>
          </w:tcPr>
          <w:p>
            <w:pPr>
              <w:pStyle w:val="TableContents"/>
              <w:bidi w:val="0"/>
              <w:spacing w:before="0" w:after="283"/>
              <w:ind w:left="307" w:right="0" w:hanging="0"/>
              <w:jc w:val="left"/>
              <w:rPr>
                <w:rFonts w:ascii="Arial;Helvetica;sans-serif" w:hAnsi="Arial;Helvetica;sans-serif"/>
                <w:color w:val="14202A"/>
                <w:sz w:val="16"/>
              </w:rPr>
            </w:pPr>
            <w:r>
              <w:rPr>
                <w:rFonts w:ascii="Arial;Helvetica;sans-serif" w:hAnsi="Arial;Helvetica;sans-serif"/>
                <w:color w:val="14202A"/>
                <w:sz w:val="16"/>
              </w:rPr>
              <w:t>202,334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88" w:type="dxa"/>
            </w:tcMar>
            <w:vAlign w:val="center"/>
          </w:tcPr>
          <w:p>
            <w:pPr>
              <w:pStyle w:val="TableContents"/>
              <w:bidi w:val="0"/>
              <w:spacing w:before="0" w:after="283"/>
              <w:ind w:left="365"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120" w:type="dxa"/>
            <w:tcBorders>
              <w:bottom w:val="single" w:sz="8" w:space="0" w:color="14202A"/>
            </w:tcBorders>
            <w:tcMar>
              <w:bottom w:w="88" w:type="dxa"/>
            </w:tcMar>
            <w:vAlign w:val="center"/>
          </w:tcPr>
          <w:p>
            <w:pPr>
              <w:pStyle w:val="TableContents"/>
              <w:bidi w:val="0"/>
              <w:spacing w:before="0" w:after="283"/>
              <w:ind w:left="778"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2019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80" w:type="dxa"/>
            <w:tcBorders>
              <w:bottom w:val="single" w:sz="8" w:space="0" w:color="14202A"/>
            </w:tcBorders>
            <w:tcMar>
              <w:bottom w:w="88" w:type="dxa"/>
            </w:tcMar>
            <w:vAlign w:val="center"/>
          </w:tcPr>
          <w:p>
            <w:pPr>
              <w:pStyle w:val="TableContents"/>
              <w:bidi w:val="0"/>
              <w:spacing w:before="0" w:after="283"/>
              <w:ind w:left="307" w:right="0" w:hanging="0"/>
              <w:jc w:val="left"/>
              <w:rPr>
                <w:rFonts w:ascii="Arial;Helvetica;sans-serif" w:hAnsi="Arial;Helvetica;sans-serif"/>
                <w:color w:val="14202A"/>
                <w:sz w:val="16"/>
              </w:rPr>
            </w:pPr>
            <w:r>
              <w:rPr>
                <w:rFonts w:ascii="Arial;Helvetica;sans-serif" w:hAnsi="Arial;Helvetica;sans-serif"/>
                <w:color w:val="14202A"/>
                <w:sz w:val="16"/>
              </w:rPr>
              <w:t>1,506,098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88" w:type="dxa"/>
            </w:tcMar>
            <w:vAlign w:val="center"/>
          </w:tcPr>
          <w:p>
            <w:pPr>
              <w:pStyle w:val="TableContents"/>
              <w:bidi w:val="0"/>
              <w:spacing w:before="0" w:after="283"/>
              <w:ind w:left="365" w:right="0" w:hanging="0"/>
              <w:jc w:val="left"/>
              <w:rPr>
                <w:rFonts w:ascii="Arial;Helvetica;sans-serif" w:hAnsi="Arial;Helvetica;sans-serif"/>
                <w:color w:val="14202A"/>
                <w:sz w:val="16"/>
              </w:rPr>
            </w:pPr>
            <w:r>
              <w:rPr>
                <w:rFonts w:ascii="Arial;Helvetica;sans-serif" w:hAnsi="Arial;Helvetica;sans-serif"/>
                <w:color w:val="14202A"/>
                <w:sz w:val="16"/>
              </w:rPr>
              <w:t>1,760,653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120" w:type="dxa"/>
            <w:tcBorders>
              <w:bottom w:val="single" w:sz="8" w:space="0" w:color="14202A"/>
            </w:tcBorders>
            <w:tcMar>
              <w:bottom w:w="88" w:type="dxa"/>
            </w:tcMar>
            <w:vAlign w:val="center"/>
          </w:tcPr>
          <w:p>
            <w:pPr>
              <w:pStyle w:val="TableContents"/>
              <w:bidi w:val="0"/>
              <w:spacing w:before="0" w:after="283"/>
              <w:ind w:left="778" w:right="0" w:hanging="0"/>
              <w:jc w:val="left"/>
              <w:rPr>
                <w:rFonts w:ascii="Arial;Helvetica;sans-serif" w:hAnsi="Arial;Helvetica;sans-serif"/>
                <w:color w:val="14202A"/>
                <w:sz w:val="16"/>
              </w:rPr>
            </w:pPr>
            <w:r>
              <w:rPr>
                <w:rFonts w:ascii="Arial;Helvetica;sans-serif" w:hAnsi="Arial;Helvetica;sans-serif"/>
                <w:color w:val="14202A"/>
                <w:sz w:val="16"/>
              </w:rPr>
              <w:t xml:space="preserve">2,580,653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7" w:right="0" w:hanging="0"/>
              <w:jc w:val="left"/>
              <w:rPr>
                <w:rFonts w:ascii="Arial;Helvetica;sans-serif" w:hAnsi="Arial;Helvetica;sans-serif"/>
                <w:color w:val="14202A"/>
                <w:sz w:val="16"/>
              </w:rPr>
            </w:pPr>
            <w:r>
              <w:rPr>
                <w:rFonts w:ascii="Arial;Helvetica;sans-serif" w:hAnsi="Arial;Helvetica;sans-serif"/>
                <w:color w:val="14202A"/>
                <w:sz w:val="16"/>
              </w:rPr>
              <w:t>1,708,432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365" w:right="0" w:hanging="0"/>
              <w:jc w:val="left"/>
              <w:rPr>
                <w:rFonts w:ascii="Arial;Helvetica;sans-serif" w:hAnsi="Arial;Helvetica;sans-serif"/>
                <w:color w:val="14202A"/>
                <w:sz w:val="16"/>
              </w:rPr>
            </w:pPr>
            <w:r>
              <w:rPr>
                <w:rFonts w:ascii="Arial;Helvetica;sans-serif" w:hAnsi="Arial;Helvetica;sans-serif"/>
                <w:color w:val="14202A"/>
                <w:sz w:val="16"/>
              </w:rPr>
              <w:t>1,760,653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778" w:right="0" w:hanging="0"/>
              <w:jc w:val="left"/>
              <w:rPr>
                <w:rFonts w:ascii="Arial;Helvetica;sans-serif" w:hAnsi="Arial;Helvetica;sans-serif"/>
                <w:color w:val="14202A"/>
                <w:sz w:val="16"/>
              </w:rPr>
            </w:pPr>
            <w:r>
              <w:rPr>
                <w:rFonts w:ascii="Arial;Helvetica;sans-serif" w:hAnsi="Arial;Helvetica;sans-serif"/>
                <w:color w:val="14202A"/>
                <w:sz w:val="16"/>
              </w:rPr>
              <w:t>2,580,653</w:t>
            </w:r>
            <w:r>
              <w:rPr>
                <w:rFonts w:ascii="Arial;Helvetica;sans-serif" w:hAnsi="Arial;Helvetica;sans-serif"/>
                <w:color w:val="14202A"/>
                <w:position w:val="5"/>
                <w:sz w:val="13"/>
                <w:sz w:val="16"/>
              </w:rPr>
              <w:t>(2)(3)</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41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12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4570" w:type="dxa"/>
        <w:jc w:val="left"/>
        <w:tblInd w:w="0" w:type="dxa"/>
        <w:tblLayout w:type="fixed"/>
        <w:tblCellMar>
          <w:top w:w="0" w:type="dxa"/>
          <w:left w:w="0" w:type="dxa"/>
          <w:bottom w:w="0" w:type="dxa"/>
          <w:right w:w="0" w:type="dxa"/>
        </w:tblCellMar>
      </w:tblPr>
      <w:tblGrid>
        <w:gridCol w:w="215"/>
        <w:gridCol w:w="435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435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Outstanding awards as of October 21, 2025 consist of the following: </w:t>
            </w:r>
          </w:p>
        </w:tc>
      </w:tr>
    </w:tbl>
    <w:tbl>
      <w:tblPr>
        <w:tblW w:w="7335" w:type="dxa"/>
        <w:jc w:val="left"/>
        <w:tblInd w:w="0" w:type="dxa"/>
        <w:tblLayout w:type="fixed"/>
        <w:tblCellMar>
          <w:top w:w="0" w:type="dxa"/>
          <w:left w:w="0" w:type="dxa"/>
          <w:bottom w:w="0" w:type="dxa"/>
          <w:right w:w="0" w:type="dxa"/>
        </w:tblCellMar>
      </w:tblPr>
      <w:tblGrid>
        <w:gridCol w:w="185"/>
        <w:gridCol w:w="800"/>
        <w:gridCol w:w="170"/>
        <w:gridCol w:w="170"/>
        <w:gridCol w:w="935"/>
        <w:gridCol w:w="170"/>
        <w:gridCol w:w="170"/>
        <w:gridCol w:w="1220"/>
        <w:gridCol w:w="170"/>
        <w:gridCol w:w="170"/>
        <w:gridCol w:w="1250"/>
        <w:gridCol w:w="170"/>
        <w:gridCol w:w="170"/>
        <w:gridCol w:w="1370"/>
        <w:gridCol w:w="215"/>
      </w:tblGrid>
      <w:tr>
        <w:trPr/>
        <w:tc>
          <w:tcPr>
            <w:tcW w:w="185" w:type="dxa"/>
            <w:tcBorders/>
            <w:shd w:fill="14202A" w:val="clear"/>
            <w:vAlign w:val="center"/>
          </w:tcPr>
          <w:p>
            <w:pPr>
              <w:pStyle w:val="TableContents"/>
              <w:bidi w:val="0"/>
              <w:spacing w:before="0" w:after="0"/>
              <w:jc w:val="left"/>
              <w:rPr/>
            </w:pPr>
            <w:r>
              <w:rPr/>
              <w:t> </w:t>
            </w:r>
          </w:p>
        </w:tc>
        <w:tc>
          <w:tcPr>
            <w:tcW w:w="80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495"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7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800" w:type="dxa"/>
            <w:tcBorders/>
            <w:shd w:fill="14202A" w:val="clear"/>
            <w:vAlign w:val="center"/>
          </w:tcPr>
          <w:p>
            <w:pPr>
              <w:pStyle w:val="TableContents"/>
              <w:bidi w:val="0"/>
              <w:spacing w:before="0" w:after="283"/>
              <w:ind w:left="60" w:right="0" w:hanging="0"/>
              <w:jc w:val="left"/>
              <w:rPr>
                <w:color w:val="FFFFFF"/>
              </w:rPr>
            </w:pPr>
            <w:r>
              <w:rPr>
                <w:color w:val="FFFFFF"/>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495" w:type="dxa"/>
            <w:gridSpan w:val="4"/>
            <w:tcBorders>
              <w:bottom w:val="single" w:sz="8" w:space="0" w:color="FFFFFF"/>
            </w:tcBorders>
            <w:shd w:fill="14202A" w:val="clear"/>
            <w:tcMar>
              <w:bottom w:w="9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Types of Outstanding Awards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50" w:type="dxa"/>
            <w:tcBorders/>
            <w:shd w:fill="14202A" w:val="clear"/>
            <w:vAlign w:val="center"/>
          </w:tcPr>
          <w:p>
            <w:pPr>
              <w:pStyle w:val="TableContents"/>
              <w:bidi w:val="0"/>
              <w:spacing w:before="0" w:after="283"/>
              <w:jc w:val="center"/>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70" w:type="dxa"/>
            <w:tcBorders/>
            <w:shd w:fill="14202A" w:val="clear"/>
            <w:vAlign w:val="center"/>
          </w:tcPr>
          <w:p>
            <w:pPr>
              <w:pStyle w:val="TableContents"/>
              <w:bidi w:val="0"/>
              <w:spacing w:before="0" w:after="283"/>
              <w:jc w:val="center"/>
              <w:rPr>
                <w:color w:val="FFFFFF"/>
              </w:rPr>
            </w:pPr>
            <w:r>
              <w:rPr>
                <w:color w:val="FFFFFF"/>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80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3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Options/SARs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2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Full Value Awards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Weighted 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Exercise Price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Options/SARs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37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Weighted 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Remaining Term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Options/SARs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(years)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b/>
                <w:color w:val="14202A"/>
                <w:sz w:val="16"/>
              </w:rPr>
              <w:t>2014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35" w:type="dxa"/>
            <w:tcBorders>
              <w:bottom w:val="single" w:sz="8" w:space="0" w:color="14202A"/>
            </w:tcBorders>
            <w:tcMar>
              <w:bottom w:w="88" w:type="dxa"/>
            </w:tcMar>
            <w:vAlign w:val="center"/>
          </w:tcPr>
          <w:p>
            <w:pPr>
              <w:pStyle w:val="TableContents"/>
              <w:bidi w:val="0"/>
              <w:spacing w:before="0" w:after="283"/>
              <w:ind w:left="187" w:right="0" w:hanging="0"/>
              <w:jc w:val="left"/>
              <w:rPr>
                <w:rFonts w:ascii="Arial;Helvetica;sans-serif" w:hAnsi="Arial;Helvetica;sans-serif"/>
                <w:color w:val="14202A"/>
                <w:sz w:val="16"/>
              </w:rPr>
            </w:pPr>
            <w:r>
              <w:rPr>
                <w:rFonts w:ascii="Arial;Helvetica;sans-serif" w:hAnsi="Arial;Helvetica;sans-serif"/>
                <w:color w:val="14202A"/>
                <w:sz w:val="16"/>
              </w:rPr>
              <w:t>167,986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20" w:type="dxa"/>
            <w:tcBorders>
              <w:bottom w:val="single" w:sz="8" w:space="0" w:color="14202A"/>
            </w:tcBorders>
            <w:tcMar>
              <w:bottom w:w="88" w:type="dxa"/>
            </w:tcMar>
            <w:vAlign w:val="center"/>
          </w:tcPr>
          <w:p>
            <w:pPr>
              <w:pStyle w:val="TableContents"/>
              <w:bidi w:val="0"/>
              <w:spacing w:before="0" w:after="283"/>
              <w:ind w:left="287" w:right="0" w:hanging="0"/>
              <w:jc w:val="left"/>
              <w:rPr>
                <w:rFonts w:ascii="Arial;Helvetica;sans-serif" w:hAnsi="Arial;Helvetica;sans-serif"/>
                <w:color w:val="14202A"/>
                <w:sz w:val="16"/>
              </w:rPr>
            </w:pPr>
            <w:r>
              <w:rPr>
                <w:rFonts w:ascii="Arial;Helvetica;sans-serif" w:hAnsi="Arial;Helvetica;sans-serif"/>
                <w:color w:val="14202A"/>
                <w:sz w:val="16"/>
              </w:rPr>
              <w:t>34,348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88" w:type="dxa"/>
            </w:tcMar>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34.82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0" w:type="dxa"/>
            <w:tcBorders>
              <w:bottom w:val="single" w:sz="8" w:space="0" w:color="14202A"/>
            </w:tcBorders>
            <w:tcMar>
              <w:bottom w:w="88" w:type="dxa"/>
            </w:tcMar>
            <w:vAlign w:val="center"/>
          </w:tcPr>
          <w:p>
            <w:pPr>
              <w:pStyle w:val="TableContents"/>
              <w:bidi w:val="0"/>
              <w:spacing w:before="0" w:after="283"/>
              <w:ind w:left="556" w:right="0" w:hanging="0"/>
              <w:jc w:val="left"/>
              <w:rPr>
                <w:rFonts w:ascii="Arial;Helvetica;sans-serif" w:hAnsi="Arial;Helvetica;sans-serif"/>
                <w:color w:val="14202A"/>
                <w:sz w:val="16"/>
              </w:rPr>
            </w:pPr>
            <w:r>
              <w:rPr>
                <w:rFonts w:ascii="Arial;Helvetica;sans-serif" w:hAnsi="Arial;Helvetica;sans-serif"/>
                <w:color w:val="14202A"/>
                <w:sz w:val="16"/>
              </w:rPr>
              <w:t xml:space="preserve">2.26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2019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35" w:type="dxa"/>
            <w:tcBorders>
              <w:bottom w:val="single" w:sz="8" w:space="0" w:color="14202A"/>
            </w:tcBorders>
            <w:tcMar>
              <w:bottom w:w="88" w:type="dxa"/>
            </w:tcMar>
            <w:vAlign w:val="center"/>
          </w:tcPr>
          <w:p>
            <w:pPr>
              <w:pStyle w:val="TableContents"/>
              <w:bidi w:val="0"/>
              <w:spacing w:before="0" w:after="283"/>
              <w:ind w:left="187" w:right="0" w:hanging="0"/>
              <w:jc w:val="left"/>
              <w:rPr>
                <w:rFonts w:ascii="Arial;Helvetica;sans-serif" w:hAnsi="Arial;Helvetica;sans-serif"/>
                <w:color w:val="14202A"/>
                <w:sz w:val="16"/>
              </w:rPr>
            </w:pPr>
            <w:r>
              <w:rPr>
                <w:rFonts w:ascii="Arial;Helvetica;sans-serif" w:hAnsi="Arial;Helvetica;sans-serif"/>
                <w:color w:val="14202A"/>
                <w:sz w:val="16"/>
              </w:rPr>
              <w:t>496,270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20" w:type="dxa"/>
            <w:tcBorders>
              <w:bottom w:val="single" w:sz="8" w:space="0" w:color="14202A"/>
            </w:tcBorders>
            <w:tcMar>
              <w:bottom w:w="88" w:type="dxa"/>
            </w:tcMar>
            <w:vAlign w:val="center"/>
          </w:tcPr>
          <w:p>
            <w:pPr>
              <w:pStyle w:val="TableContents"/>
              <w:bidi w:val="0"/>
              <w:spacing w:before="0" w:after="283"/>
              <w:ind w:left="287" w:right="0" w:hanging="0"/>
              <w:jc w:val="left"/>
              <w:rPr>
                <w:rFonts w:ascii="Arial;Helvetica;sans-serif" w:hAnsi="Arial;Helvetica;sans-serif"/>
                <w:color w:val="14202A"/>
                <w:sz w:val="16"/>
              </w:rPr>
            </w:pPr>
            <w:r>
              <w:rPr>
                <w:rFonts w:ascii="Arial;Helvetica;sans-serif" w:hAnsi="Arial;Helvetica;sans-serif"/>
                <w:color w:val="14202A"/>
                <w:sz w:val="16"/>
              </w:rPr>
              <w:t>1,009,828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88" w:type="dxa"/>
            </w:tcMar>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48.10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0" w:type="dxa"/>
            <w:tcBorders>
              <w:bottom w:val="single" w:sz="8" w:space="0" w:color="14202A"/>
            </w:tcBorders>
            <w:tcMar>
              <w:bottom w:w="88" w:type="dxa"/>
            </w:tcMar>
            <w:vAlign w:val="center"/>
          </w:tcPr>
          <w:p>
            <w:pPr>
              <w:pStyle w:val="TableContents"/>
              <w:bidi w:val="0"/>
              <w:spacing w:before="0" w:after="283"/>
              <w:ind w:left="556" w:right="0" w:hanging="0"/>
              <w:jc w:val="left"/>
              <w:rPr>
                <w:rFonts w:ascii="Arial;Helvetica;sans-serif" w:hAnsi="Arial;Helvetica;sans-serif"/>
                <w:color w:val="14202A"/>
                <w:sz w:val="16"/>
              </w:rPr>
            </w:pPr>
            <w:r>
              <w:rPr>
                <w:rFonts w:ascii="Arial;Helvetica;sans-serif" w:hAnsi="Arial;Helvetica;sans-serif"/>
                <w:color w:val="14202A"/>
                <w:sz w:val="16"/>
              </w:rPr>
              <w:t xml:space="preserve">8.06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87" w:right="0" w:hanging="0"/>
              <w:jc w:val="left"/>
              <w:rPr>
                <w:rFonts w:ascii="Arial;Helvetica;sans-serif" w:hAnsi="Arial;Helvetica;sans-serif"/>
                <w:color w:val="14202A"/>
                <w:sz w:val="16"/>
              </w:rPr>
            </w:pPr>
            <w:r>
              <w:rPr>
                <w:rFonts w:ascii="Arial;Helvetica;sans-serif" w:hAnsi="Arial;Helvetica;sans-serif"/>
                <w:color w:val="14202A"/>
                <w:sz w:val="16"/>
              </w:rPr>
              <w:t>664,256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87" w:right="0" w:hanging="0"/>
              <w:jc w:val="left"/>
              <w:rPr>
                <w:rFonts w:ascii="Arial;Helvetica;sans-serif" w:hAnsi="Arial;Helvetica;sans-serif"/>
                <w:color w:val="14202A"/>
                <w:sz w:val="16"/>
              </w:rPr>
            </w:pPr>
            <w:r>
              <w:rPr>
                <w:rFonts w:ascii="Arial;Helvetica;sans-serif" w:hAnsi="Arial;Helvetica;sans-serif"/>
                <w:color w:val="14202A"/>
                <w:sz w:val="16"/>
              </w:rPr>
              <w:t>1,044,176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460" w:right="0" w:hanging="0"/>
              <w:jc w:val="left"/>
              <w:rPr>
                <w:rFonts w:ascii="Arial;Helvetica;sans-serif" w:hAnsi="Arial;Helvetica;sans-serif"/>
                <w:color w:val="14202A"/>
                <w:sz w:val="16"/>
              </w:rPr>
            </w:pPr>
            <w:r>
              <w:rPr>
                <w:rFonts w:ascii="Arial;Helvetica;sans-serif" w:hAnsi="Arial;Helvetica;sans-serif"/>
                <w:color w:val="14202A"/>
                <w:sz w:val="16"/>
              </w:rPr>
              <w:t>44.74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56" w:right="0" w:hanging="0"/>
              <w:jc w:val="left"/>
              <w:rPr>
                <w:rFonts w:ascii="Arial;Helvetica;sans-serif" w:hAnsi="Arial;Helvetica;sans-serif"/>
                <w:color w:val="14202A"/>
                <w:sz w:val="16"/>
              </w:rPr>
            </w:pPr>
            <w:r>
              <w:rPr>
                <w:rFonts w:ascii="Arial;Helvetica;sans-serif" w:hAnsi="Arial;Helvetica;sans-serif"/>
                <w:color w:val="14202A"/>
                <w:sz w:val="16"/>
              </w:rPr>
              <w:t>6.59</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80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3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2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37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1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We also issue vested deferred stock units pursuant to our Directors’ Deferred Plan. The Directors’ Deferred Plan does not limit the number of shares of common stock issuable thereunder. 20,302 deferred stock units were nominally held in stock unit accounts under the Directors' Deferred Plan as of October 21, 2025.</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0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No further equity awards may be granted under the 2014 Plan; however, any shares that would return to the 2014 Plan as a result of an award terminating, expiring or being forfeited or being settled in cash in lieu of shares are instead available under the 2019 Plan.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8" w:name="ny20052074x1_def14a_114-prop3_pg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Historical Equity Granting Practices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three-year average “burn rate” was 1.26% for Fiscal 2023 through Fiscal 2025. </w:t>
      </w:r>
    </w:p>
    <w:tbl>
      <w:tblPr>
        <w:tblW w:w="6675" w:type="dxa"/>
        <w:jc w:val="left"/>
        <w:tblInd w:w="0" w:type="dxa"/>
        <w:tblLayout w:type="fixed"/>
        <w:tblCellMar>
          <w:top w:w="0" w:type="dxa"/>
          <w:left w:w="0" w:type="dxa"/>
          <w:bottom w:w="0" w:type="dxa"/>
          <w:right w:w="0" w:type="dxa"/>
        </w:tblCellMar>
      </w:tblPr>
      <w:tblGrid>
        <w:gridCol w:w="185"/>
        <w:gridCol w:w="695"/>
        <w:gridCol w:w="170"/>
        <w:gridCol w:w="170"/>
        <w:gridCol w:w="980"/>
        <w:gridCol w:w="170"/>
        <w:gridCol w:w="170"/>
        <w:gridCol w:w="1265"/>
        <w:gridCol w:w="170"/>
        <w:gridCol w:w="170"/>
        <w:gridCol w:w="1250"/>
        <w:gridCol w:w="170"/>
        <w:gridCol w:w="170"/>
        <w:gridCol w:w="725"/>
        <w:gridCol w:w="215"/>
      </w:tblGrid>
      <w:tr>
        <w:trPr/>
        <w:tc>
          <w:tcPr>
            <w:tcW w:w="185" w:type="dxa"/>
            <w:tcBorders/>
            <w:shd w:fill="14202A" w:val="clear"/>
            <w:vAlign w:val="center"/>
          </w:tcPr>
          <w:p>
            <w:pPr>
              <w:pStyle w:val="TableContents"/>
              <w:bidi w:val="0"/>
              <w:spacing w:before="0" w:after="0"/>
              <w:jc w:val="left"/>
              <w:rPr/>
            </w:pPr>
            <w:r>
              <w:rPr/>
              <w:t> </w:t>
            </w:r>
          </w:p>
        </w:tc>
        <w:tc>
          <w:tcPr>
            <w:tcW w:w="6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8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6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5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5"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695"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8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Options/SARs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Granted</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6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Full Value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Granted</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2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Weighted 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Common Shares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Outstanding</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2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Burn Rate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695"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b/>
                <w:color w:val="14202A"/>
                <w:sz w:val="16"/>
              </w:rPr>
              <w:t>2023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66,873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65" w:type="dxa"/>
            <w:tcBorders>
              <w:bottom w:val="single" w:sz="8" w:space="0" w:color="14202A"/>
            </w:tcBorders>
            <w:tcMar>
              <w:bottom w:w="88" w:type="dxa"/>
            </w:tcMar>
            <w:vAlign w:val="center"/>
          </w:tcPr>
          <w:p>
            <w:pPr>
              <w:pStyle w:val="TableContents"/>
              <w:bidi w:val="0"/>
              <w:spacing w:before="0" w:after="283"/>
              <w:ind w:left="342" w:right="0" w:hanging="0"/>
              <w:jc w:val="left"/>
              <w:rPr>
                <w:rFonts w:ascii="Arial;Helvetica;sans-serif" w:hAnsi="Arial;Helvetica;sans-serif"/>
                <w:color w:val="14202A"/>
                <w:sz w:val="16"/>
              </w:rPr>
            </w:pPr>
            <w:r>
              <w:rPr>
                <w:rFonts w:ascii="Arial;Helvetica;sans-serif" w:hAnsi="Arial;Helvetica;sans-serif"/>
                <w:color w:val="14202A"/>
                <w:sz w:val="16"/>
              </w:rPr>
              <w:t>357,297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88" w:type="dxa"/>
            </w:tcMar>
            <w:vAlign w:val="center"/>
          </w:tcPr>
          <w:p>
            <w:pPr>
              <w:pStyle w:val="TableContents"/>
              <w:bidi w:val="0"/>
              <w:spacing w:before="0" w:after="283"/>
              <w:ind w:left="261" w:right="0" w:hanging="0"/>
              <w:jc w:val="left"/>
              <w:rPr>
                <w:rFonts w:ascii="Arial;Helvetica;sans-serif" w:hAnsi="Arial;Helvetica;sans-serif"/>
                <w:color w:val="14202A"/>
                <w:sz w:val="16"/>
              </w:rPr>
            </w:pPr>
            <w:r>
              <w:rPr>
                <w:rFonts w:ascii="Arial;Helvetica;sans-serif" w:hAnsi="Arial;Helvetica;sans-serif"/>
                <w:color w:val="14202A"/>
                <w:sz w:val="16"/>
              </w:rPr>
              <w:t>30,309,730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88" w:type="dxa"/>
            </w:tcMar>
            <w:vAlign w:val="center"/>
          </w:tcPr>
          <w:p>
            <w:pPr>
              <w:pStyle w:val="TableContents"/>
              <w:bidi w:val="0"/>
              <w:spacing w:before="0" w:after="283"/>
              <w:ind w:left="215" w:right="0" w:hanging="0"/>
              <w:jc w:val="left"/>
              <w:rPr>
                <w:rFonts w:ascii="Arial;Helvetica;sans-serif" w:hAnsi="Arial;Helvetica;sans-serif"/>
                <w:color w:val="14202A"/>
                <w:sz w:val="16"/>
              </w:rPr>
            </w:pPr>
            <w:r>
              <w:rPr>
                <w:rFonts w:ascii="Arial;Helvetica;sans-serif" w:hAnsi="Arial;Helvetica;sans-serif"/>
                <w:color w:val="14202A"/>
                <w:sz w:val="16"/>
              </w:rPr>
              <w:t xml:space="preserve">1.40%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69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2024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70,299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65" w:type="dxa"/>
            <w:tcBorders>
              <w:bottom w:val="single" w:sz="8" w:space="0" w:color="14202A"/>
            </w:tcBorders>
            <w:tcMar>
              <w:bottom w:w="88" w:type="dxa"/>
            </w:tcMar>
            <w:vAlign w:val="center"/>
          </w:tcPr>
          <w:p>
            <w:pPr>
              <w:pStyle w:val="TableContents"/>
              <w:bidi w:val="0"/>
              <w:spacing w:before="0" w:after="283"/>
              <w:ind w:left="342" w:right="0" w:hanging="0"/>
              <w:jc w:val="left"/>
              <w:rPr>
                <w:rFonts w:ascii="Arial;Helvetica;sans-serif" w:hAnsi="Arial;Helvetica;sans-serif"/>
                <w:color w:val="14202A"/>
                <w:sz w:val="16"/>
              </w:rPr>
            </w:pPr>
            <w:r>
              <w:rPr>
                <w:rFonts w:ascii="Arial;Helvetica;sans-serif" w:hAnsi="Arial;Helvetica;sans-serif"/>
                <w:color w:val="14202A"/>
                <w:sz w:val="16"/>
              </w:rPr>
              <w:t>292,218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88" w:type="dxa"/>
            </w:tcMar>
            <w:vAlign w:val="center"/>
          </w:tcPr>
          <w:p>
            <w:pPr>
              <w:pStyle w:val="TableContents"/>
              <w:bidi w:val="0"/>
              <w:spacing w:before="0" w:after="283"/>
              <w:ind w:left="261" w:right="0" w:hanging="0"/>
              <w:jc w:val="left"/>
              <w:rPr>
                <w:rFonts w:ascii="Arial;Helvetica;sans-serif" w:hAnsi="Arial;Helvetica;sans-serif"/>
                <w:color w:val="14202A"/>
                <w:sz w:val="16"/>
              </w:rPr>
            </w:pPr>
            <w:r>
              <w:rPr>
                <w:rFonts w:ascii="Arial;Helvetica;sans-serif" w:hAnsi="Arial;Helvetica;sans-serif"/>
                <w:color w:val="14202A"/>
                <w:sz w:val="16"/>
              </w:rPr>
              <w:t>29,205,733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88" w:type="dxa"/>
            </w:tcMar>
            <w:vAlign w:val="center"/>
          </w:tcPr>
          <w:p>
            <w:pPr>
              <w:pStyle w:val="TableContents"/>
              <w:bidi w:val="0"/>
              <w:spacing w:before="0" w:after="283"/>
              <w:ind w:left="215" w:right="0" w:hanging="0"/>
              <w:jc w:val="left"/>
              <w:rPr>
                <w:rFonts w:ascii="Arial;Helvetica;sans-serif" w:hAnsi="Arial;Helvetica;sans-serif"/>
                <w:color w:val="14202A"/>
                <w:sz w:val="16"/>
              </w:rPr>
            </w:pPr>
            <w:r>
              <w:rPr>
                <w:rFonts w:ascii="Arial;Helvetica;sans-serif" w:hAnsi="Arial;Helvetica;sans-serif"/>
                <w:color w:val="14202A"/>
                <w:sz w:val="16"/>
              </w:rPr>
              <w:t>1.24</w:t>
            </w:r>
            <w:r>
              <w:rPr>
                <w:rFonts w:ascii="Arial;Helvetica;sans-serif" w:hAnsi="Arial;Helvetica;sans-serif"/>
                <w:color w:val="14202A"/>
                <w:sz w:val="16"/>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695"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2025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88" w:type="dxa"/>
            </w:tcMar>
            <w:vAlign w:val="center"/>
          </w:tcPr>
          <w:p>
            <w:pPr>
              <w:pStyle w:val="TableContents"/>
              <w:bidi w:val="0"/>
              <w:spacing w:before="0" w:after="283"/>
              <w:ind w:left="239" w:right="0" w:hanging="0"/>
              <w:jc w:val="left"/>
              <w:rPr>
                <w:rFonts w:ascii="Arial;Helvetica;sans-serif" w:hAnsi="Arial;Helvetica;sans-serif"/>
                <w:color w:val="14202A"/>
                <w:sz w:val="16"/>
              </w:rPr>
            </w:pPr>
            <w:r>
              <w:rPr>
                <w:rFonts w:ascii="Arial;Helvetica;sans-serif" w:hAnsi="Arial;Helvetica;sans-serif"/>
                <w:color w:val="14202A"/>
                <w:sz w:val="16"/>
              </w:rPr>
              <w:t>74,927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65" w:type="dxa"/>
            <w:tcBorders>
              <w:bottom w:val="single" w:sz="8" w:space="0" w:color="14202A"/>
            </w:tcBorders>
            <w:tcMar>
              <w:bottom w:w="88" w:type="dxa"/>
            </w:tcMar>
            <w:vAlign w:val="center"/>
          </w:tcPr>
          <w:p>
            <w:pPr>
              <w:pStyle w:val="TableContents"/>
              <w:bidi w:val="0"/>
              <w:spacing w:before="0" w:after="283"/>
              <w:ind w:left="342" w:right="0" w:hanging="0"/>
              <w:jc w:val="left"/>
              <w:rPr>
                <w:rFonts w:ascii="Arial;Helvetica;sans-serif" w:hAnsi="Arial;Helvetica;sans-serif"/>
                <w:color w:val="14202A"/>
                <w:sz w:val="16"/>
              </w:rPr>
            </w:pPr>
            <w:r>
              <w:rPr>
                <w:rFonts w:ascii="Arial;Helvetica;sans-serif" w:hAnsi="Arial;Helvetica;sans-serif"/>
                <w:color w:val="14202A"/>
                <w:sz w:val="16"/>
              </w:rPr>
              <w:t>244,657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88" w:type="dxa"/>
            </w:tcMar>
            <w:vAlign w:val="center"/>
          </w:tcPr>
          <w:p>
            <w:pPr>
              <w:pStyle w:val="TableContents"/>
              <w:bidi w:val="0"/>
              <w:spacing w:before="0" w:after="283"/>
              <w:ind w:left="261" w:right="0" w:hanging="0"/>
              <w:jc w:val="left"/>
              <w:rPr>
                <w:rFonts w:ascii="Arial;Helvetica;sans-serif" w:hAnsi="Arial;Helvetica;sans-serif"/>
                <w:color w:val="14202A"/>
                <w:sz w:val="16"/>
              </w:rPr>
            </w:pPr>
            <w:r>
              <w:rPr>
                <w:rFonts w:ascii="Arial;Helvetica;sans-serif" w:hAnsi="Arial;Helvetica;sans-serif"/>
                <w:color w:val="14202A"/>
                <w:sz w:val="16"/>
              </w:rPr>
              <w:t>28,206,923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88" w:type="dxa"/>
            </w:tcMar>
            <w:vAlign w:val="center"/>
          </w:tcPr>
          <w:p>
            <w:pPr>
              <w:pStyle w:val="TableContents"/>
              <w:bidi w:val="0"/>
              <w:spacing w:before="0" w:after="283"/>
              <w:ind w:left="215" w:right="0" w:hanging="0"/>
              <w:jc w:val="left"/>
              <w:rPr>
                <w:rFonts w:ascii="Arial;Helvetica;sans-serif" w:hAnsi="Arial;Helvetica;sans-serif"/>
                <w:color w:val="14202A"/>
                <w:sz w:val="16"/>
              </w:rPr>
            </w:pPr>
            <w:r>
              <w:rPr>
                <w:rFonts w:ascii="Arial;Helvetica;sans-serif" w:hAnsi="Arial;Helvetica;sans-serif"/>
                <w:color w:val="14202A"/>
                <w:sz w:val="16"/>
              </w:rPr>
              <w:t>1.13</w:t>
            </w:r>
            <w:r>
              <w:rPr>
                <w:rFonts w:ascii="Arial;Helvetica;sans-serif" w:hAnsi="Arial;Helvetica;sans-serif"/>
                <w:color w:val="14202A"/>
                <w:sz w:val="16"/>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Average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39"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42" w:right="0" w:hanging="0"/>
              <w:jc w:val="left"/>
              <w:rPr>
                <w:color w:val="14202A"/>
              </w:rPr>
            </w:pPr>
            <w:r>
              <w:rPr>
                <w:color w:val="14202A"/>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15" w:right="0" w:hanging="0"/>
              <w:jc w:val="left"/>
              <w:rPr>
                <w:rFonts w:ascii="Arial;Helvetica;sans-serif" w:hAnsi="Arial;Helvetica;sans-serif"/>
                <w:color w:val="14202A"/>
                <w:sz w:val="16"/>
              </w:rPr>
            </w:pPr>
            <w:r>
              <w:rPr>
                <w:rFonts w:ascii="Arial;Helvetica;sans-serif" w:hAnsi="Arial;Helvetica;sans-serif"/>
                <w:color w:val="14202A"/>
                <w:sz w:val="16"/>
              </w:rPr>
              <w:t>1.26</w:t>
            </w:r>
            <w:r>
              <w:rPr>
                <w:rFonts w:ascii="Arial;Helvetica;sans-serif" w:hAnsi="Arial;Helvetica;sans-serif"/>
                <w:color w:val="14202A"/>
                <w:sz w:val="16"/>
              </w:rPr>
              <w:t>%</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69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8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6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25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25"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calculated our burn rate by dividing the number of shares granted under the 2019 Plan by the weighted-average number of shares.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Estimated Duration of Shares Available for Issuance under the 2019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expect to continue making equity awards consistent with our practices over the past three years, however, even though our total employee stock award dollar value is comparable to prior years, we expect our average annual burn rate to increase as our stock price has declined. On that basis, we expect that shares currently remaining available for awards under the 2019 Plan will likely be insufficient to continue making awards beyond our most recent grant in October 2025, but that the shares of common stock available for future awards if the amended 2019 Plan is approved by shareholders would be sufficient to cover awards for approximately one additional year.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Expected Dilution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of October 21, 2025, our existing share capital dilution was 12.30%. We define existing share capital dilution as the sum of (i) the total number of shares of our common stock subject to outstanding awards under the 2014 Plan and the 2019 Plan, and (ii) the total number of shares available for future grants under the 2019 Plan, divided by the number of our common shares outstanding. Our projected share capital dilution as of that same date would be 15.21%, based on including the 820,000 additional share reserve under the amended 2019 Plan in the formula. In light of the expected duration of the amended 2019 Plan’s share reserve, we believe the expected dilution that will result from the amended 2019 Plan is reasonable for a company of our size in our industry.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Key Compensation Practices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proposed amendments to the 2019 Plan change only the number of shares and the expiration date. Accordingly, the amended and restated 2019 Plan continues to include a number of features that we believe are consistent with the interests of our shareholders and sensible corporate governance practices, including the following: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Incorporates a fungible share design</w:t>
            </w:r>
            <w:r>
              <w:rPr>
                <w:rFonts w:ascii="Arial;Helvetica;sans-serif" w:hAnsi="Arial;Helvetica;sans-serif"/>
                <w:color w:val="14202A"/>
                <w:sz w:val="18"/>
              </w:rPr>
              <w:t xml:space="preserve">. Full value awards (such as restricted stock units and performance stock units), count </w:t>
            </w:r>
            <w:r>
              <w:rPr>
                <w:rFonts w:ascii="Arial;Helvetica;sans-serif" w:hAnsi="Arial;Helvetica;sans-serif"/>
                <w:i/>
                <w:color w:val="14202A"/>
                <w:sz w:val="18"/>
              </w:rPr>
              <w:t>against</w:t>
            </w:r>
            <w:r>
              <w:rPr>
                <w:rFonts w:ascii="Arial;Helvetica;sans-serif" w:hAnsi="Arial;Helvetica;sans-serif"/>
                <w:color w:val="14202A"/>
                <w:sz w:val="18"/>
              </w:rPr>
              <w:t xml:space="preserve"> the shares reserved for issuance at a 2:1 ratio, while appreciation awards (such as SARs and stock options) count against the share reserve at a 1:1 ratio.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Minimum vesting or performance period for all awards.</w:t>
            </w:r>
            <w:r>
              <w:rPr>
                <w:rFonts w:ascii="Arial;Helvetica;sans-serif" w:hAnsi="Arial;Helvetica;sans-serif"/>
                <w:color w:val="14202A"/>
                <w:sz w:val="18"/>
              </w:rPr>
              <w:t xml:space="preserve"> A minimum vesting or performance period of one year is prescribed for all awards, subject to limited exceptions.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Restrictions on dividends and dividend equivalents</w:t>
            </w:r>
            <w:r>
              <w:rPr>
                <w:rFonts w:ascii="Arial;Helvetica;sans-serif" w:hAnsi="Arial;Helvetica;sans-serif"/>
                <w:color w:val="14202A"/>
                <w:sz w:val="18"/>
              </w:rPr>
              <w:t xml:space="preserve">. The 2019 Plan prohibits the payment of dividends or dividend equivalents on stock options and stock appreciation rights (SARs), and provides that, any dividends or dividend equivalents payable with respect to shares or share equivalents subject to the unvested portion of a full value award are subject to the same restrictions and risk of forfeiture as the shares or share equivalents to which such dividends or dividend equivalents relate, including any performance conditions.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9" w:name="ny20052074x1_def14a_114-prop3_pg3"/>
        <w:bookmarkEnd w:id="1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No liberal definition of “change in control.”</w:t>
            </w:r>
            <w:r>
              <w:rPr>
                <w:rFonts w:ascii="Arial;Helvetica;sans-serif" w:hAnsi="Arial;Helvetica;sans-serif"/>
                <w:color w:val="14202A"/>
                <w:sz w:val="18"/>
              </w:rPr>
              <w:t xml:space="preserve"> No change in control would be triggered by shareholder approval of a business combination transaction, the announcement or commencement of a tender offer, or any board assessment that a change in control may be imminent.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color w:val="D8E47A"/>
              </w:rPr>
            </w:pPr>
            <w:r>
              <w:rPr>
                <w:color w:val="14202A"/>
              </w:rPr>
              <w:t>“</w:t>
            </w:r>
            <w:r>
              <w:rPr>
                <w:rFonts w:ascii="Arial;Helvetica;sans-serif" w:hAnsi="Arial;Helvetica;sans-serif"/>
                <w:i/>
                <w:color w:val="14202A"/>
                <w:sz w:val="18"/>
              </w:rPr>
              <w:t>Double trigger” acceleration of equity awards upon a Change in Control</w:t>
            </w:r>
            <w:r>
              <w:rPr>
                <w:rFonts w:ascii="Arial;Helvetica;sans-serif" w:hAnsi="Arial;Helvetica;sans-serif"/>
                <w:color w:val="14202A"/>
                <w:sz w:val="18"/>
              </w:rPr>
              <w:t xml:space="preserve">. The 2019 Plan provides for vesting of time-based equity awards or performance-based equity awards based on both (i) the occurrence of a change in control and (ii) an accompanying involuntary termination of service without cause or, if so provided by the Committee, a termination for good reason, within 24 months of the consummation of the change in control (other than in the event awards are not continued, assumed, or replaced in connection with a corporate transaction, in which case they will accelerate upon the change in control).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No parachute payment gross-ups; net best cutbacks</w:t>
            </w:r>
            <w:r>
              <w:rPr>
                <w:rFonts w:ascii="Arial;Helvetica;sans-serif" w:hAnsi="Arial;Helvetica;sans-serif"/>
                <w:color w:val="14202A"/>
                <w:sz w:val="18"/>
              </w:rPr>
              <w:t xml:space="preserve">. The 2019 Plan does not provide any parachute payment gross-ups to its participants. The 2019 Plan provides that if any benefits provided to a participant under the 2019 Plan or other Company compensation arrangements in connection with a change in control would constitute “parachute payments” within the meaning of Code Section 280G and result in the imposition of an excise tax on the participant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No repricing of underwater options or stock appreciation rights without shareholder approval.</w:t>
            </w:r>
            <w:r>
              <w:rPr>
                <w:rFonts w:ascii="Arial;Helvetica;sans-serif" w:hAnsi="Arial;Helvetica;sans-serif"/>
                <w:color w:val="14202A"/>
                <w:sz w:val="18"/>
              </w:rPr>
              <w:t xml:space="preserve"> The 2019 Plan prohibits, without shareholder approval, actions to reprice, replace, or repurchase options or SARs when the exercise price per share of an option or SAR exceeds the fair market value of a share of our common stock.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Limit on non-employee director awards</w:t>
            </w:r>
            <w:r>
              <w:rPr>
                <w:rFonts w:ascii="Arial;Helvetica;sans-serif" w:hAnsi="Arial;Helvetica;sans-serif"/>
                <w:color w:val="14202A"/>
                <w:sz w:val="18"/>
              </w:rPr>
              <w:t xml:space="preserve">. The 2019 Plan subjects awards to individual non-employee directors under the 2019 Plan to an annual limit of $400,000.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pPr>
            <w:r>
              <w:rPr>
                <w:rFonts w:ascii="Arial;Helvetica;sans-serif" w:hAnsi="Arial;Helvetica;sans-serif"/>
                <w:i/>
                <w:color w:val="14202A"/>
                <w:sz w:val="18"/>
              </w:rPr>
              <w:t>Clawback provisions.</w:t>
            </w:r>
            <w:r>
              <w:rPr>
                <w:rFonts w:ascii="Arial;Helvetica;sans-serif" w:hAnsi="Arial;Helvetica;sans-serif"/>
                <w:color w:val="14202A"/>
                <w:sz w:val="18"/>
              </w:rPr>
              <w:t xml:space="preserve"> All awards under the 2019 Plan are subject to our compensation forfeiture and recoupment policies. Our clawback policies cover time-based as well as performance-based equity awards in certain circumstances. For more information about our current executive compensation recoupment policies, see “Compensation Discussion and Analysis – Additional Compensation Policies” on page </w:t>
            </w:r>
            <w:hyperlink w:anchor="tADD">
              <w:r>
                <w:rPr>
                  <w:rStyle w:val="InternetLink"/>
                  <w:rFonts w:ascii="Arial;Helvetica;sans-serif" w:hAnsi="Arial;Helvetica;sans-serif"/>
                  <w:color w:val="000080"/>
                  <w:sz w:val="18"/>
                </w:rPr>
                <w:t>42</w:t>
              </w:r>
            </w:hyperlink>
            <w:r>
              <w:rPr>
                <w:rFonts w:ascii="Arial;Helvetica;sans-serif" w:hAnsi="Arial;Helvetica;sans-serif"/>
                <w:color w:val="14202A"/>
                <w:sz w:val="18"/>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i/>
                <w:color w:val="14202A"/>
                <w:sz w:val="18"/>
              </w:rPr>
              <w:t>No discounted option or SAR grants.</w:t>
            </w:r>
            <w:r>
              <w:rPr>
                <w:rFonts w:ascii="Arial;Helvetica;sans-serif" w:hAnsi="Arial;Helvetica;sans-serif"/>
                <w:color w:val="14202A"/>
                <w:sz w:val="18"/>
              </w:rPr>
              <w:t xml:space="preserve"> The 2019 Plan requires that the exercise price of options or SARs be at least equal to the fair market value of our common stock on the date of grant (except in the limited case of “substitute awards” as described below). </w:t>
            </w:r>
          </w:p>
        </w:tc>
      </w:tr>
    </w:tbl>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Description of the Amended and Restated 2019 Omnibus Incentive Plan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proposed material changes to the 2019 Plan are: </w:t>
      </w:r>
    </w:p>
    <w:tbl>
      <w:tblPr>
        <w:tblW w:w="6175" w:type="dxa"/>
        <w:jc w:val="left"/>
        <w:tblInd w:w="0" w:type="dxa"/>
        <w:tblLayout w:type="fixed"/>
        <w:tblCellMar>
          <w:top w:w="0" w:type="dxa"/>
          <w:left w:w="0" w:type="dxa"/>
          <w:bottom w:w="0" w:type="dxa"/>
          <w:right w:w="0" w:type="dxa"/>
        </w:tblCellMar>
      </w:tblPr>
      <w:tblGrid>
        <w:gridCol w:w="260"/>
        <w:gridCol w:w="5915"/>
      </w:tblGrid>
      <w:tr>
        <w:trPr/>
        <w:tc>
          <w:tcPr>
            <w:tcW w:w="260" w:type="dxa"/>
            <w:tcBorders/>
            <w:vAlign w:val="center"/>
          </w:tcPr>
          <w:p>
            <w:pPr>
              <w:pStyle w:val="TableContents"/>
              <w:bidi w:val="0"/>
              <w:spacing w:before="0" w:after="283"/>
              <w:jc w:val="left"/>
              <w:rPr>
                <w:color w:val="D8E47A"/>
              </w:rPr>
            </w:pPr>
            <w:r>
              <w:rPr>
                <w:color w:val="D8E47A"/>
              </w:rPr>
              <w:t>⯀</w:t>
            </w:r>
          </w:p>
        </w:tc>
        <w:tc>
          <w:tcPr>
            <w:tcW w:w="591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Increase the number of shares authorized for issuance by 820,000; and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Extend the term of the 2019 Plan to the date that is 10 years after shareholder approval of the amendment and restatement of the 2019 Plan.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major features of the 2019 Plan are summarized below. The summary is qualified in its entirety by reference to the full text of the 2019 Plan, which is attached to this proxy statement as Appendix A.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Eligible Participants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Employees, consultants, and advisors of the Company or its affiliates, as well as non-employee directors of the Company, are eligible to receive awards under the 2019 Plan. As of October 21, 2025, there were approximately 5,200 employees, an indeterminate number of consultants and advisors of the Company and its affiliates and eight non-employee directors of the Company who would be eligible to receive awards under the 2019 Plan.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0" w:name="ny20052074x1_def14a_114-prop3_pg4"/>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Administration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2019 Plan is administered by the Committee. To the extent not inconsistent with applicable law or stock exchange rules, the Committee may delegate its authority under the 2019 Plan to any one or more of its members, or, with respect to awards to participants who are not themselves our directors or executive officers, to one or more of our directors or executive officers or to a committee of the Board comprised of one or more directors. The Committee may also delegate non-discretionary administrative duties to other persons as it deems advisable. The full Board performs the duties and have the responsibilities of the Committee with respect to awards under the 2019 Plan that are made to our non-employee directors.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has the authority to determine the persons to whom awards will be granted, the timing of awards, the type and number of shares covered by each award, the terms, conditions, performance criteria, and restrictions of the awards as well as the manner in which awards are paid and settled. The Committee may also establish, rescind, and modify rules to administer the 2019 Plan, adopt sub-plans or special provisions applicable to certain awards, interpret the 2019 Plan, any award and any related award agreement, reconcile any inconsistency, correct any defect or supply an omission in the 2019 Plan and any related award agreement, cancel or suspend an award, determine in what circumstances an award will be forfeited, accelerate the vesting (subject to certain minimum vesting provisions) or extend the exercise period of an award (whether by amendment or other action), grant substitute awards in accordance with the 2019 Plan, and require or permit the deferral of the settlement of an award.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Except in connection with equity restructurings and other situations in which share adjustments are specifically authorized, the 2019 Plan prohibits the Committee from repricing any outstanding option or SAR awards without the prior approval of our shareholders. For these purposes, a “repricing” includes amending the terms of an option or SAR award to lower the exercise price, canceling an option or SAR award in conjunction with granting a replacement option or SAR award with a lower exercise price, canceling an option or SAR award in exchange for cash, other property or grant of a new full value award at a time when the per share exercise price of the option or SAR award is greater than the fair market value of a share of our common stock, or otherwise making an option or SAR award subject to any action that would be treated under accounting rules as a “repricing.”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Subject to certain limitations set forth in the 2019 Plan, the Committee may also modify the terms of awards under the 2019 Plan with respect to participants who reside outside of the United States or who are employed by a non-United States subsidiary of the Company in order to comply with local legal or regulatory requirements.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Available Shares and Limitations on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maximum share reserve of 7,320,000 shares of our common stock will be authorized under the amendment and restatement of the 2019 Plan, inclusive of shares previously authorized and issued. The shares of common stock issuable under the 2019 Plan may come from authorized and unissued shares or treasury shares. Full value awards granted under the 2019 Plan count as two shares against the 2019 Plan’s authorized share reserve, whereas options and SARs count as one share against the authorized share reserve.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Under the terms of the 2019 Plan, the aggregate grant date fair value of awards granted under the 2019 Plan during a calendar year to any one of our non-employee directors (excluding awards granted at his or her election in lieu of any portion of retainers or fees otherwise payable in cash) may not exceed $400,000.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share limitations under the 2019 Plan are subject to adjustment for changes in our corporate structure or shares, as described below.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any shares of our common stock subject to any award under the 2019 Plan, or to an award under the 2014 Plan that was outstanding on the date our shareholders originally approved the 2019 Plan, that expires, is forfeited or cancelled, or is settled or paid in cash will, to the extent of such expiration, forfeiture, cancellation or cash settlement, become available again for future awards under the 2019 Plan. Each share that again becomes available for awards in such manner will increase the share reserve, with shares subject to full value awards increasing the share reserve by 2 shares and shares subject to options and SARs increasing the share reserve by one share. However, shares tendered or withheld in payment of the purchase price of a stock option, shares tendered or withheld to satisfy a tax withholding obligation, shares repurchased with proceeds received by the Company from exercise of a stock option and shares subject to a stock appreciation right that are not issued in connection with the stock settlement of the stock appreciation right may not be used again under the 2019 Plan.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1" w:name="ny20052074x1_def14a_114-prop3_pg5"/>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Any shares of common stock issuable during the term of the 2019 Plan as a result of the reinvestment of dividends or the deemed reinvestment of dividend equivalents in connection with an award under the 2019 Plan or our 2019 Plan or 2014 Plan that are forfeited also will automatically replenish the 2019 Plan share reserve to the extent of such forfeiture.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Awards granted or shares of our common stock issued under the 2019 Plan upon the assumption of, or in substitution or exchange for, outstanding equity awards previously granted by an entity acquired by us or any of our affiliates or with which we or any of our affiliates combines (referred to as “substitute awards”) will not reduce the share reserve under the 2019 Plan and will not reduce the shares authorized for grant to a participant in any calendar year.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Additionally, if a company acquired by us or any of our subsidiaries or with which we or any of our subsidiaries combines has shares available under a pre-existing plan approved by its shareholders and not adopted in contemplation of such acquisition or combination, the shares available for grant pursuant to the terms of that pre-existing plan may be used for awards under the 2019 Plan and will supplement the share reserve under the 2019 Plan, but only if the awards are made to individuals who were not employed by, or serving as a non-employee director of, us or any of our subsidiaries prior to such acquisition or combination.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Share Adjustment Provisions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certain equity transactions occur that cause the per share value of our common stock to change, such as stock dividends, stock splits, spin-offs, rights offerings, or certain recapitalizations (referred to as “equity restructurings”), the Committee will make adjustments as it deems equitable and appropriate to: (i) the aggregate number and kind of shares or other securities issued or reserved for issuance under the 2019 Plan, (ii) the number and kind of shares or other securities subject to outstanding awards, (iii) the exercise price of outstanding options and SAR awards, and (iv) award limitations prescribed by the 2019 Plan. Other types of transactions may also affect our common stock, such as a reorganization, merger, consolidation or partial or complete liquidation of our Company. If there is such a transaction and the Committee determines that adjustments of the type previously described in connection with equity restructurings would be appropriate to prevent any dilution or enlargement of benefits under the 2019 Plan, the Committee may make such adjustments as it deems equitable.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Types of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2019 Plan permits us to award stock options, SARs, restricted stock awards, stock unit awards, and other stock-based awards to eligible recipients. These types of awards are described in more detail below.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Stock Options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Employees of the Company or any subsidiary may be granted options to purchase common stock that qualify as “incentive stock options” within the meaning of Section 422 of the Code, and any eligible recipient may be granted options to purchase common stock that do not qualify as incentive stock options, referred to as “nonqualified stock options.” The per share exercise price to be paid by a participant at the time an option is exercised may not be less than 100% of the fair market value of one share of our common stock on the date of grant, unless the option is granted as a substitute award as described above. “Fair market value” under the 2019 Plan as of any date generally means the closing sale price of a share of our common stock on the NYSE on that date.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total purchase price of the shares to be purchased upon exercise of an option will be paid by the participant in cash unless the Committee permits exercise payments to be made, in whole or in part, (i) by means of a broker-assisted sale and remittance program, (ii) by delivery to us (or attestation as to ownership) of shares of common stock already owned by the participant, or (iii) by a “net exercise” of the option in which a portion of the shares otherwise issuable upon exercise of the option are withheld by us. Any shares delivered or withheld in payment of an exercise price will be valued at their fair market value on the exercise date and have an aggregate value equal to the purchase price of the shares being purchased.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An option will vest and become exercisable at such time, in such installments and subject to such conditions as may be determined by the Committee, and no option may have a term greater than ten years from its date of grant. No dividends or dividend equivalents may be paid or credited with respect to shares subject to an option award.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2" w:name="ny20052074x1_def14a_114-prop3_pg6"/>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aggregate fair market value of shares of our common stock with respect to which incentive stock options granted to any participant may first become exercisable during any calendar year may not exceed $100,000. Any incentive stock options that become exercisable in excess of this amount will be treated as nonqualified stock options. The maximum number of shares that may be issued upon the exercise of incentive stock option awards under the 2019 Plan is the same number of shares which may be issued under the plan.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Stock Appreciation Rights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SAR award provides the right to receive, in cash and/or shares of our common stock (as determined by the Committee), an amount equal to the difference between (i) the fair market value as of the date of exercise of the number of shares of our common stock as to which the SAR is being exercised, and (ii) the aggregate exercise price of that number of shares. The exercise price per share of a SAR award will be determined by the Committee, but may not be less than 100% of the fair market value of one share of our common stock on the date of grant, unless the SAR is granted as a substitute award as described above. No dividends or dividend equivalents may be paid or credited with respect to shares subject to a SAR award. A SAR award may not have a term greater than ten years from its date of grant, and will be subject to such other terms and conditions, consistent with the terms of the 2019 Plan, as may be determined by the Committee.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Restricted Stock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restricted stock award is an award of our common stock that vests at such times and in such installments as may be determined by the Committee. Until it vests, the shares subject to the award are subject to restrictions on transferability and the possibility of forfeiture. The Committee may impose such restrictions or conditions to the vesting of restricted stock awards as it deems appropriate, including that we, or any of our subsidiaries or business units, satisfy specified performance goals. Dividends or distributions payable with respect to shares that are subject to the unvested portion of a restricted stock award will be subject to the same restrictions and risk of forfeiture as the shares to which such dividends or distributions relate. Unless otherwise provided in an award agreement, participants are entitled to vote restricted shares prior to the time they vest.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Stock Unit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stock unit award is a right to receive the fair market value of a specified number of shares of our common stock, payable in cash, shares, or a combination of both, that vests at such times, in such installments and subject to such conditions as may be determined by the Committee, including the satisfaction of specified performance goals. Until it vests, a stock unit award is subject to restrictions and the possibility of forfeiture. Following the vesting of a stock unit award, settlement of the award and payment to the participant will be made at such time as determined by the Committee. Stock unit awards will be subject to such other terms and conditions, consistent with the other provisions of the 2019 Plan, as may be determined by the Committee. The Committee may provide for the payment of dividend equivalents on stock unit awards and other stock-based awards and any such dividend equivalents will be subject to the same restrictions and risk of forfeiture as the underlying units or other awards to which such dividend equivalents relate.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Other Stock-Based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may grant awards of common stock and other awards that are valued by reference to and/or payable in shares of our common stock under the 2019 Plan. The Committee has discretion in determining the terms and conditions of such awards, consistent with the terms and purposes of the 2019 Plan.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Minimum Vesting Periods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Awards that vest based solely on the satisfaction of service-based vesting conditions are subject to a minimum vesting period of one year from the date of grant, and awards whose grant or vesting is subject to performance-based vesting conditions must be subject to a performance period of not less than one year. These required vesting and performance periods will not apply: (i) to awards granted to our non-employee directors in payment of or in exchange for other compensation that is already earned and payable, (ii) upon certain specified instances of a change in control, (iii) upon termination of service due to death or disability, (iv) to a substitute award that does not reduce the vesting period of the award being replaced, or (v) to awards involving an aggregate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69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3" w:name="ny20052074x1_def14a_114-prop3_pg7"/>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number of shares not in excess of 5% of the 2019 Plan’s share reserve. For purposes of awards made to non-employee directors, a vesting period will be deemed to be one year if it runs from the date of one annual meeting of the Company’s shareholders to the date of the next annual meeting of the Company’s shareholders, as long as such period lasts at least 50 weeks.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Transferability of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general, no right or interest in any award under the 2019 Plan may be sold, assigned, transferred, exchanged or encumbered by a participant, voluntarily or involuntarily, except by will or the laws of descent and distribution. However, the Committee may provide that an award (other than an incentive stock option) may be transferable by gift to a participant’s family member or pursuant to a domestic relations order. Any award held by such permitted transferee will remain subject to the same terms and conditions that were applicable to the award before the transfer thereof.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Performance-Based Compensation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may grant awards under the 2019 Plan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Performance measures may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 (xi) market share; (xii) 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the Company, its affiliates, divisions, business segments, business units or individual performance.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each performance-based award, the Committee will select the applicable performance measure(s), specify the performance goal(s) based on those performance measures for any performance period, specify in terms of a formula or standard the method for calculating the amount payable to a participant if the performance goal(s) are satisfied, and determine the degree to which applicable performance goals have been satisfied and any amount that vests and is payable in connection with such award. When specifying performance goals in an award, the Committee may provide that one or more adjustments will be made to the performance measures on which the performance goals are based, which may include adjustments that would cause such measures to be considered “non-GAAP” financial measures. The Committee also may provide, in an agreement or otherwise, for the modification of a performance period and/or adjustments to or waivers of the achievement of performance goals under specified circumstances such as the occurrence of events that are unusual in nature or infrequently occurring, such as a change in control, certain equity restructurings, acquisitions, divestitures, restructuring activities, recapitalizations, or asset write-downs, changes in applicable tax laws or accounting principles, or a participant’s death or disability. The Committee may, in its discretion and based on such considerations as it deems appropriate, adjust any amount otherwise determined by the application of the performance goals to be otherwise payable in connection with an award. </w:t>
      </w:r>
    </w:p>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Change in Control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a change in control of the Company that involves a corporate transaction occurs, then the consequences will be as described below unless the Committee provides otherwise in an applicable award or other agreement with a participant. If outstanding awards are continued, assumed or replaced by the surviving or successor entity in connection with a corporate transaction, and if within 24 months after the corporate transaction a participant’s employment or other service is involuntarily terminated without cause, or, if so provided in the discretion of the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2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4" w:name="ny20052074x1_def14a_114-prop3_pg8"/>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Committee in an award agreement, the participant terminates his or her employment or other service for good reason, (i) each of the participant’s outstanding options and SARs will become fully vested and exercisable and will remain exercisable for one year, and (ii) each of the participant’s unvested full value awards will fully vest. To the extent vesting of any award continued, assumed or replaced is subject to satisfaction of specified performance goals, those goals will be deemed to be achieved as of the date of the corporate transaction at the target level of performance, or, in the discretion of the Committee, at the actual level of performance (if determinable), and such Awards will continue to be subject to any continuing service requirements.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any outstanding award is not continued, assumed or replaced in connection with a change in control involving a corporate transaction, then (i) all outstanding options and SARs will become fully vested and exercisable for a period of time prior to the effective time of the corporate transaction and will then terminate at the effective time of the corporate transaction, and (ii) all full value awards will fully vest immediately prior to the effective time of the corporate transaction.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corporate transaction. Alternatively, if outstanding awards are not continued, assumed or replaced, the Committee may elect to cancel such awards at or immediately prior to the effective time of the corporate transaction in exchange for a payment with respect to each award in an amount equal to the excess, if any, between the fair market value of the consideration that would otherwise be received in the corporate transaction for the same number of shares over the aggregate exercise price (if any) for the shares subject to such award (or, if there is no excess, such award may be terminated without payment).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the event of a change in control of the Company that does not involve a corporate transaction, if within 24 months after the change in control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remain exercisable for one year, and (ii) each of the participant’s unvested full value awards will fully vest.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participant’s termination of employment or other service.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2019 Plan also provides that if any payments or benefits provided to a participant under the 2019 Plan or any other Company compensation programs or arrangements in connection with a change in control would constitute “parachute payments” within the meaning of Code Section 280G, and would otherwise result in the imposition of an excise tax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For purposes of the 2019 Plan, the following terms have the meanings indicated: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 “change in control” generally refers to the acquisition by a person or group of beneficial ownership of 30% or more of the combined voting power of our voting securities, our continuing directors ceasing to constitute a majority of our Board, or the consummation of a corporate transaction as defined below (unless immediately following such corporate transaction all or substantially all of our previous holders of voting securities beneficially own 50% or more of the combined voting power of the resulting entity in substantially the same proportions).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 “corporate transaction” generally means (i) a sale or other disposition of all or substantially all of the assets of the Company, or (ii) a merger, consolidation, share exchange or similar transaction involving the Company. </w:t>
            </w:r>
          </w:p>
        </w:tc>
      </w:tr>
    </w:tbl>
    <w:p>
      <w:pPr>
        <w:pStyle w:val="TextBody"/>
        <w:bidi w:val="0"/>
        <w:spacing w:before="26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Effect of Termination of Employment or Other Service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Unless otherwise set forth in an applicable award agreement, if a participant ceases to be employed by or provide other services to us and our affiliates, awards under the 2019 Plan will be treated as set forth in the 2019 Plan. Upon termination for cause or upon conduct that would constitute cause during any post-termination exercise period, all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5" w:name="ny20052074x1_def14a_114-prop3_pg9"/>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unexercised option and SAR awards and all unvested portions of any other outstanding awards will be immediately forfeited without consideration. If a participant’s service is terminated due to his or her death or disability, all unvested portions of any outstanding awards will vest in full immediately and the currently vested and exercisable portions of option and SAR awards may be exercised for a period of one year after the date of such termination. Upon termination for any reason other than death, disability or cause, all unvested and unexercisable portions of any outstanding awards will be immediately forfeited without consideration and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Under the 2019 Plan, “cause” is generally defined as (i) material failure to perform satisfactorily the duties reasonably required of such person; (ii) material violation of any law, rule, regulation, court order or regulatory directive (other than traffic violations, misdemeanors or other minor offenses), including but not limited to, a violation of any federal or state securities laws, rules or regulations or of any rule or other requirement of any securities exchanges on which our common stock may, at the time, be listed; (iii) material breach of our business conduct or ethics code or of any fiduciary duty or nondisclosure, non-solicitation, non-competition or similar obligation owed to the Company or any of its affiliates; (iv) engaging in any act or practice that involves personal dishonesty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 provided that if a participant has another then-effective written agreement with the Company that defines “cause”, that definition will control.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Term of the Amended and Restated 2019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Unless terminated earlier, the 2019 Plan will terminate on the tenth anniversary of shareholder approval of the amendment and restatement of the 2019 Plan. Awards outstanding under the 2019 Plan at the time it is terminated will continue in accordance with their terms and the terms of the 2019 Plan unless otherwise provided in the applicable agreements.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Amendment of the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Board may amend the 2019 Plan from time to time, but no amendments to the 2019 Plan will be effective without shareholder approval if such approval is required under applicable laws, regulations or stock exchange rules. Our Board also may suspend or terminate the 2019 Plan at any time. No termination, suspension or amendment of the 2019 Plan may materially impair the rights of any participant under a previously granted award without the consent of the affected participant, unless such action is necessary to comply with applicable laws or stock exchange rules.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Amendment of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may amend the terms of any award subject to certain limitations, however, no such amendment may materially impair the rights of any participant under a previously granted award without the consent of the affected participant, except for amendments necessary to comply with applicable laws, stock exchange rules or any compensation recovery policy as provided in the 2019 Plan.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Forfeiture and Clawback </w:t>
      </w:r>
    </w:p>
    <w:p>
      <w:pPr>
        <w:pStyle w:val="TextBody"/>
        <w:bidi w:val="0"/>
        <w:spacing w:before="200" w:after="283"/>
        <w:ind w:left="0" w:right="0" w:hanging="0"/>
        <w:jc w:val="left"/>
        <w:rPr/>
      </w:pPr>
      <w:r>
        <w:rPr>
          <w:rFonts w:ascii="Arial;Helvetica;sans-serif" w:hAnsi="Arial;Helvetica;sans-serif"/>
          <w:color w:val="14202A"/>
          <w:sz w:val="18"/>
        </w:rPr>
        <w:t xml:space="preserve">All awards under the 2019 Plan will be subject to the company’s clawback policies. In addition to our Mandatory Compensation Recovery Policy, we have a Supplemental Compensation Recovery Policy which provides that the Committee may recover any equity or equity-based award, including awards subject to time-based vesting, under certain conditions. Both clawback policies are described in the Compensation Discussion and Analysis – Additional Compensation Policies” on page </w:t>
      </w:r>
      <w:hyperlink w:anchor="tADD">
        <w:r>
          <w:rPr>
            <w:rStyle w:val="InternetLink"/>
            <w:rFonts w:ascii="Arial;Helvetica;sans-serif" w:hAnsi="Arial;Helvetica;sans-serif"/>
            <w:color w:val="000080"/>
            <w:sz w:val="18"/>
          </w:rPr>
          <w:t>42</w:t>
        </w:r>
      </w:hyperlink>
      <w:r>
        <w:rPr>
          <w:rFonts w:ascii="Arial;Helvetica;sans-serif" w:hAnsi="Arial;Helvetica;sans-serif"/>
          <w:color w:val="14202A"/>
          <w:sz w:val="18"/>
        </w:rPr>
        <w:t xml:space="preserve"> of this proxy statement.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addition, the Committee may specify in an award agreement that a participant’s rights, payments, and benefits under the award will be subject to reduction, cancellation, forfeiture or recovery by the Company upon the occurrence of certain other specified events, which may include termination of service for cause; violation of any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6" w:name="ny20052074x1_def14a_114-prop3_pg10"/>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material Company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United States Federal Income Tax Consequences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is a summary of the principal United States federal income tax consequences to the Company and to participants subject to United States taxation with respect to awards granted under the 2019 Plan, based on statutes, regulations and interpretations in effect as of the date of this proxy statement.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Non-Qualified Stock Options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a participant is granted a non-qualified stock option under the 2019 Plan, the participant will not recognize taxable income upon the grant of the option. Generally, the participant will recognize ordinary income at the time of exercise in an amount equal to the difference between the fair market value of the shares acquired at the time of exercise and the exercise price paid. The participant’s basis in the common stock for purposes of determining gain or loss on a subsequent sale or disposition of such shares generally will be the fair market value of our common stock on the date the option was exercised. Any subsequent gain or loss will be taxable as a capital gain or loss. The Company will generally be entitled to a federal income tax deduction at the time and for the same amount as the participant recognizes as ordinary income.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Incentive Stock Options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a participant is granted an incentive stock option under the 2019 Plan, the participant will not recognize taxable income upon grant of the option. Generally, the participant will not recognize taxable income at the time of exercise. However, the excess of the fair market value of the shares acquired at the time of exercise over the aggregate exercise price is an item of tax preference income potentially subject to the alternative minimum tax. If shares acquired upon exercise of an incentive stock option satisfy applicable holding period requirements (a minimum of two years from the date of grant and one year from the date of exercise), the gain or loss (in an amount equal to the difference between the fair market value on the date of sale and the exercise price) upon disposition of the shares will be treated as a long-term capital gain or loss, and the Company will not be entitled to any deduction. Except in the event of death, if the holding period requirements are not met, the incentive stock option will be treated as one that does not meet the requirements of the Code for incentive stock options and the tax consequences described for nonqualified stock options will generally apply.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Other Awards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current federal income tax consequences of other awards authorized under the 2019 Plan generally follow certain basic patterns. An award of restricted stock results in income recognition by a participant in an amount equal to the fair market value of the shares received at the time the restrictions lapse and the shares vest, unless the participant elects under Code Section 83(b) to accelerate income recognition and the taxability of the award to the date of grant. Stock unit awards generally result in income recognition by a participant at the time payment of such an award is made in an amount equal to the amount paid in cash or the then-current fair market value of the shares received, as applicable. SAR awards result in income recognition by a participant at the time such an award is exercised in an amount equal to the amount of cash or the then-current fair market value of the shares received by the participant, as applicable. In each of the foregoing cases, the Company will generally have a corresponding deduction at the time the participant recognizes ordinary income, subject to Code Section 162(m) with respect to covered employees. </w:t>
      </w:r>
    </w:p>
    <w:p>
      <w:pPr>
        <w:pStyle w:val="TextBody"/>
        <w:bidi w:val="0"/>
        <w:spacing w:before="27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Section 162(m) of the Code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Any awards the Company grants pursuant to the 2019 Plan to certain covered individuals are subject to a $1 million limit on the amount of annual compensation that a public company is permitted to deduct.</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7" w:name="ny20052074x1_def14a_114-prop3_pg11"/>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14202A"/>
          <w:sz w:val="18"/>
        </w:rPr>
      </w:pPr>
      <w:r>
        <w:rPr>
          <w:rFonts w:ascii="Arial;Helvetica;sans-serif" w:hAnsi="Arial;Helvetica;sans-serif"/>
          <w:b/>
          <w:color w:val="14202A"/>
          <w:sz w:val="18"/>
        </w:rPr>
        <w:t xml:space="preserve">Section 409A of the Code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foregoing discussion of tax consequences of awards under the 2019 Plan assumes that the award discussed is either not considered a “deferred compensation arrangement” subject to Section 409A of the Code, or has been structured to comply with its requirements. If an award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percent income tax on such amount, and would be required to pay interest on the tax that would have been paid but for the deferral.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Awards Under the 2019 Plan </w:t>
      </w:r>
    </w:p>
    <w:p>
      <w:pPr>
        <w:pStyle w:val="TextBody"/>
        <w:bidi w:val="0"/>
        <w:spacing w:before="200" w:after="283"/>
        <w:ind w:left="0" w:right="0" w:hanging="0"/>
        <w:jc w:val="left"/>
        <w:rPr/>
      </w:pPr>
      <w:r>
        <w:rPr>
          <w:rFonts w:ascii="Arial;Helvetica;sans-serif" w:hAnsi="Arial;Helvetica;sans-serif"/>
          <w:color w:val="14202A"/>
          <w:sz w:val="18"/>
        </w:rPr>
        <w:t xml:space="preserve">Since all awards under the 2019 Plan are made in the discretion of the Committee, neither the number nor types of future 2019 Plan awards to be received by or allocated to particular participants or groups of participants is presently determinable, except with respect to restricted stock units granted to each non-employee director under the Company’s non-employee director compensation policy with a grant date value of $150,000 per year. Information regarding awards made under the 2019 Plan during Fiscal 2025 to our NEOs is provided under the caption “Grants of Plan-Based Awards Table” on page </w:t>
      </w:r>
      <w:hyperlink w:anchor="tGRA">
        <w:r>
          <w:rPr>
            <w:rStyle w:val="InternetLink"/>
            <w:rFonts w:ascii="Arial;Helvetica;sans-serif" w:hAnsi="Arial;Helvetica;sans-serif"/>
            <w:color w:val="000080"/>
            <w:sz w:val="18"/>
          </w:rPr>
          <w:t>48</w:t>
        </w:r>
      </w:hyperlink>
      <w:r>
        <w:rPr>
          <w:rFonts w:ascii="Arial;Helvetica;sans-serif" w:hAnsi="Arial;Helvetica;sans-serif"/>
          <w:color w:val="14202A"/>
          <w:sz w:val="18"/>
        </w:rPr>
        <w:t xml:space="preserve"> of this proxy statement and to our non-employee directors under the caption “Director Compensation” on page </w:t>
      </w:r>
      <w:hyperlink w:anchor="tDC">
        <w:r>
          <w:rPr>
            <w:rStyle w:val="InternetLink"/>
            <w:rFonts w:ascii="Arial;Helvetica;sans-serif" w:hAnsi="Arial;Helvetica;sans-serif"/>
            <w:color w:val="000080"/>
            <w:sz w:val="18"/>
          </w:rPr>
          <w:t>23</w:t>
        </w:r>
      </w:hyperlink>
      <w:r>
        <w:rPr>
          <w:rFonts w:ascii="Arial;Helvetica;sans-serif" w:hAnsi="Arial;Helvetica;sans-serif"/>
          <w:color w:val="14202A"/>
          <w:sz w:val="18"/>
        </w:rPr>
        <w:t xml:space="preserve"> of this proxy statement.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9280"/>
        <w:gridCol w:w="215"/>
      </w:tblGrid>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283"/>
              <w:jc w:val="right"/>
              <w:rPr>
                <w:color w:val="FFFFFF"/>
              </w:rPr>
            </w:pPr>
            <w:r>
              <w:rPr>
                <w:color w:val="FFFFFF"/>
              </w:rPr>
              <w:t>✔</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283"/>
              <w:ind w:left="0" w:right="0" w:hanging="0"/>
              <w:jc w:val="left"/>
              <w:rPr>
                <w:rFonts w:ascii="Arial;Helvetica;sans-serif" w:hAnsi="Arial;Helvetica;sans-serif"/>
                <w:b/>
                <w:color w:val="FFFFFF"/>
                <w:spacing w:val="-4"/>
                <w:sz w:val="22"/>
              </w:rPr>
            </w:pPr>
            <w:r>
              <w:rPr>
                <w:rFonts w:ascii="Arial;Helvetica;sans-serif" w:hAnsi="Arial;Helvetica;sans-serif"/>
                <w:b/>
                <w:color w:val="FFFFFF"/>
                <w:spacing w:val="-4"/>
                <w:sz w:val="22"/>
              </w:rPr>
              <w:t>The Board unanimously recommends that you vote FOR the approval of the Amended and Restated 2019 Omnibus Incentive Plan.</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8" w:name="ny20052074x1_def14a_115-prop4_pg1"/>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59" w:name="tPROP4"/>
      <w:bookmarkEnd w:id="159"/>
      <w:r>
        <w:rPr>
          <w:rFonts w:ascii="Arial;Helvetica;sans-serif" w:hAnsi="Arial;Helvetica;sans-serif"/>
          <w:b/>
          <w:color w:val="14202A"/>
          <w:sz w:val="30"/>
        </w:rPr>
        <w:t xml:space="preserve">PROPOSAL 4 – Approval of the Amended and Restated Employee Stock Purchase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are seeking shareholder approval of the amendment and restatement of our Amended and Restated Employee Stock Purchase Plan (the ESPP) to increase the number of shares of our common stock available for issuance under the ESPP by an additional 200,000 shares. The ESPP originally became effective on December 12, 2017, and was amended and restated effective December 14, 2023. On October 15, 2025, our Board, at the recommendation of our Human Resources Committee (the Committee), adopted the Amended and Restated ESPP, subject to approval by our shareholders at the Annual Meeting.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Shareholder approval of the amendment and restatement of the ESPP is being sought in order to satisfy the shareholder approval requirements of Section 423 of the Code and the NYSE listing requirements for an amendment to the ESPP which increases the number of shares of our common stock available for issuance under the ESPP. Except for the increase in the number of shares, the amended and restated ESPP is substantively the same as the current ESPP.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Factors Considered in Requesting Share Reserve Increase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believe that the ESPP is an important tool to provide our employees with direct ownership of our common stock, which provides a strong incentive for our employees to remain with our Company and work towards its success. As of October 21, 2025, 278,425 shares remained available for purchase under the ESPP. The amended and restated ESPP increases the shares available for issuance of options by 200,000 shares, which additional shares are subject to shareholder approval.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shares added with the proposed amendment and restatement of the ESPP will not be available until the offering period beginning January 1, 2026. The Company estimates that, with the shares added by this proposal, the total number of available shares under the ESPP will be sufficient to cover purchases made under the ESPP for four years.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of October 21, 2025, there were 28,207,219 shares of our common stock issued and outstanding. The total shares available under the amended and restated ESPP would constitute less than 2% of our total outstanding shares of common stock as of October 21, 2025. The closing price of a share of our common stock on the NYSE on October 21, 2025 was $31.62.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Description of the Amended and Restated Employee Stock Purchase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major features of the ESPP are summarized below. The summary is qualified in its entirety by reference to the full text of the ESPP, which is attached to this proxy statement as Appendix B.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Eligible Participants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Subject to certain limitations in the ESPP, any employee of Winnebago Industries or any participating subsidiary who is customarily employed for more than 20 hours per week, more than five months in a calendar year, and has completed three or more months of continuous employment service prior to the first day of the applicable offering period is eligible to participate in the Restated ESPP for such offering period. As of October 21, 2025, there were approximately 5,200 employees of the Company and its subsidiaries who were eligible to participate in the ESPP.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Administration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ESPP will be administered by the Committee. To the extent not inconsistent with the terms of the ESPP, applicable law or stock exchange rules, the Committee may delegate non-discretionary administrative duties associated with the administration of the ESPP to any one or more of the Company’s executive officers, employees or agents as the Committee deems advisable.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has the authority to determine the offering periods and the terms and conditions related to the offering periods under the ESPP. The Committee may also designate subsidiaries of the Company that are eligible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0" w:name="ny20052074x1_def14a_115-prop4_pg2"/>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to participate in the ESPP, interpret the ESPP, establish, amend and revoke rules, regulations and procedures to administer the ESPP, correct any defect, omission or inconsistency in the ESPP, adopt rules, procedures and subplans applicable to participants who are foreign nationals or employed outside of the United States by a non-United States subsidiary of the Company in order to comply with local legal or regulatory requirements, and adopt and amend rules and procedures restricting the sale of common stock purchased by a participant under the ESPP. </w:t>
      </w:r>
    </w:p>
    <w:p>
      <w:pPr>
        <w:pStyle w:val="TextBody"/>
        <w:bidi w:val="0"/>
        <w:spacing w:before="19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Share Reserve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maximum share reserve of 750,000 shares of common stock will be authorized under the amended and restated ESPP, inclusive of shares previously authorized and issued.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Participation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Shares generally will be offered under the ESPP through two offering periods of approximately six months that generally commence with the first trading day on or after January 1 and terminate on the following June 30 (or the last trading day prior to such date) and then again commence on the first trading day on or after July 1 and end on the following December 31 (or the last trading day prior to such date). The Committee has discretion to establish different offering periods. To participate in the ESPP, eligible employees must complete a subscription agreement that authorizes payroll deductions of a fixed dollar amount not to exceed 15% percent of the participant’s base salary (or such other maximum amount established by the Committee for the offering period). Once an eligible employee becomes a participant in the ESPP, the employee’s subscription agreement will remain in effect for successive offering periods unless terminated or modified; provided that, during an offering period, participants cannot increase or decrease the amount of payroll deductions but may withdraw from participation.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Stock Purchase Limits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 participant may be granted an option to purchase shares of common stock under the ESPP if such participant’s options under the ESPP and any other employee stock purchase plan of the Company and its subsidiaries has an aggregate fair market value in excess of $25,000 in any calendar year or if the participant’s option under the ESPP is in excess of 10,000 shares in any offering period. In addition, no participant may be granted an option under the ESPP if the participant, immediately after the grant of the option, would own stock (including stock subject to the option) constituting in the aggregate 5% or more of the total combined voting power or value of all classes of issued and outstanding stock of the Company.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Purchase Price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purchase price of each share of common stock sold pursuant to the ESPP will be equal to the lesser of 85% of the fair market value of common stock on the first day of the relevant offering period or 85% of the fair market value common stock on the last day of the relevant offering period. The fair market value of a share of common stock on these measurement dates will be equal to the closing sales price for such stock as reported on the NYSE for that date.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Grant and Exercise of Options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Effective on the first day of each offering period, a participant will be granted an option to purchase shares of common stock, the number of which is determined by dividing the participant’s total payroll deductions made during the offering period and retained in the participant’s ESPP account as of the purchase date by the applicable purchase price without adjustment for changes in the participant’s compensation.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Unless a participant terminates employment or otherwise withdraws from the ESPP, the participant’s option to purchase shares of common stock will be exercised automatically on the purchase date and the maximum number of whole shares subject to the option will be purchased for such participant at the applicable purchase price with the accumulated payroll deductions in the participant’s ESPP account. Shares will thereafter as promptly as practicable be delivered to the participant or the participant’s broker.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1" w:name="ny20052074x1_def14a_115-prop4_pg3"/>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Withdrawal and Termination of Employment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participant may withdraw from the ESPP at any time on or before 30 calendar days prior to the purchase date, in which case the Company will pay to the participant in cash all of the participant’s payroll deductions credited to the participant’s account under the ESPP, without interest. Withdrawal from an offering period will not impact the participant’s eligibility to participate in any succeeding offering period thereafter. A participant whose employment terminates during an offering period and before a purchase date will be deemed to immediately withdraw from the ESPP and that participant’s payroll deductions during that offering period will be refunded without interest in the same manner as described above for a withdrawal.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Transferability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 payroll deductions credited to a participant’s ESPP account, rights to exercise options or rights to receive shares of common stock under the ESPP will be transferable by the participant, except by will, the laws of descent and distribution or in accordance with the beneficiary designation requirements of the ESPP.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Share Adjustment Provisions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any change is made in our capitalization during an offering period, such as a stock split, reverse stock split, stock dividend, consolidation, separation, reorganization or reclassification of the common stock, or any other increase or decrease in the number of shares of common stock effected without receipt of consideration by the Company, appropriate adjustments will be made to the number of shares authorized for issuance under the ESPP, the maximum number of shares that may be purchased by a participant during any offering period, the purchase price and the number of shares covered by each option under the ESPP that has not yet been exercised, in each case as determined by the Committee, to continue to qualify as an option under Sections 423 and 424 of the Code.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Change in Control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all or substantially all of the Company’s assets are sold or there is a merger of the Company with or into another corporation, or a similar transaction, in which the Company is not the surviving corporation, then all outstanding options will be assumed or substituted by the successor corporation. If the outstanding options are not assumed or substituted by the successor corporation, or if there is a dissolution or liquidation of the Company, then the offering period will be shortened, and all outstanding options will automatically be exercised immediately prior to the effective date of the transaction unless the participant terminates employment or withdraws from the shortened offering period pursuant to the terms of the ESPP before the purchase date.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Effective Date and Term of the ESPP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amended and restated ESPP will became effective on the date it was adopted by the Board, subject to approval by the Company’s shareholders within 12 months after its adoption. Unless terminated earlier at the discretion of the Committee, the ESPP will terminate on the date that all the shares reserved for issuance under the ESPP have been purchased. </w:t>
      </w:r>
    </w:p>
    <w:p>
      <w:pPr>
        <w:pStyle w:val="TextBody"/>
        <w:bidi w:val="0"/>
        <w:spacing w:before="31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Amendment and Termination of the ESPP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Committee may, at any time and for any reason, terminate, amend or suspend the ESPP; however, such termination, amendment or suspension may not affect previously granted options, except that an offering period may be terminated by the Board if it determines that such termination is in the best interests of the Company and its shareholders, and may not make any change that would adversely affect the rights of any participant. No amendment may be made to the ESPP without the approval or ratification of our shareholders if such amendment would require shareholder approval under Section 423 of the Code or any other applicable law, regulation or NYSE rule.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2" w:name="ny20052074x1_def14a_115-prop4_pg4"/>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United States Federal Income Tax Consequences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summary is intended only as a general guide as to federal income tax consequences, under current United States tax law, of participation in the ESPP, and does not attempt to describe all potential tax consequences. This discussion is intended for the information of our shareholders considering how to vote at the Annual Meeting and not as tax guidance to individuals who participate in the ESPP. The following is not intended or written to be used, and cannot be used, for the purposes of avoiding taxpayer penalties. Tax consequences are subject to change, and a taxpayer’s particular situation may be such that some variation in application of the desired rules is applicable. Furthermore, ESPP participants who are not subject to United States tax law will be subject to the tax rules of their respective jurisdictions, which are not described here. Accordingly, participants are advised to consult their own tax advisors with respect to the tax consequences of participating in the ESPP.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ESPP is intended to be an “employee stock purchase plan” within the meaning of Section 423 of the Code for ESPP participants who are subject to United States tax law. With respect to these participants, no taxable income will be reportable by a participant, and no deductions will be allowable to us, due to the grant of the option at the beginning of the offering or at the purchase of shares at the end of an offering. A participant subject to United States tax law will, however, recognize taxable income in the year in which the shares purchased under the ESPP are sold or otherwise made the subject of disposition.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sale or other disposition of shares purchased under the ESPP will be a “disqualifying disposition” for a participant subject to United States tax law if such sale or disposition occurs prior to the later of (i) two years after the date the option is granted (i.e., the commencement date of the offering period to which the option pertains) and (ii) one year after the date of the purchase of the applicable shares. If the participant makes a disqualifying disposition of shares purchased under the ESPP, the excess of the fair market value of the shares on the date of purchase over the purchase price will be treated as ordinary income to the participant at the time of such disposition, and any additional gain (or loss) on the disposition (after adding the amount treated as ordinary income to the participant’s basis in the shares) will be a capital gain (or loss) to the participant. We will be entitled to an income tax deduction for the amount treated as ordinary income to the participant for the taxable year in which the disposition occurs, although the income tax deduction may be limited by the deductibility of compensation paid to certain of our officers under Section 162(m) of the Code. In no other instance will we be allowed a deduction with respect to the participant’s disposition of the purchased shares based on current United States tax law.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the participant subject to United States tax law sells or otherwise disposes of shares purchased under the ESPP after satisfying the holding period outlined above (i.e., a qualifying disposition), then the participant will realize ordinary income in the year of disposition equal to the excess of the lesser of (i) the fair market value of the shares on the date of disposition over the purchase price for the shares, or (ii) the greater of (a) the fair market value of the shares on the date the option relating to the disposed shares was first granted over the purchase price and (b) the fair market value of the shares on the day immediately prior to the consummation of the transaction over the purchase price. Any additional gain (or loss) on the disposition (after adding the amount treated as ordinary income to the participant’s basis in the shares) will be long-term capital gain (or loss) to the participant. We will not be entitled to an income tax deduction for any amount with respect to the issuance or exercise of the option or the sale of the underlying shares.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Plan Benefits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Future benefits that will be provided to eligible employees under the ESPP cannot be determined at this time because the amount of contributions set aside to purchase shares of our common stock under the ESPP (subject to the limitations discussed above) is entirely within the discretion of each participant and the value of such stock is subject to change.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9280"/>
        <w:gridCol w:w="215"/>
      </w:tblGrid>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283"/>
              <w:jc w:val="right"/>
              <w:rPr>
                <w:color w:val="FFFFFF"/>
              </w:rPr>
            </w:pPr>
            <w:r>
              <w:rPr>
                <w:color w:val="FFFFFF"/>
              </w:rPr>
              <w:t>✔</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283"/>
              <w:ind w:left="0" w:right="0" w:hanging="0"/>
              <w:jc w:val="left"/>
              <w:rPr>
                <w:rFonts w:ascii="Arial;Helvetica;sans-serif" w:hAnsi="Arial;Helvetica;sans-serif"/>
                <w:b/>
                <w:color w:val="FFFFFF"/>
                <w:spacing w:val="-4"/>
                <w:sz w:val="22"/>
              </w:rPr>
            </w:pPr>
            <w:r>
              <w:rPr>
                <w:rFonts w:ascii="Arial;Helvetica;sans-serif" w:hAnsi="Arial;Helvetica;sans-serif"/>
                <w:b/>
                <w:color w:val="FFFFFF"/>
                <w:spacing w:val="-4"/>
                <w:sz w:val="22"/>
              </w:rPr>
              <w:t>The Board unanimously recommends that you vote FOR the approval of the Amended and Restated Employee Stock Purchase Plan.</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3" w:name="ny20052074x1_def14a_116-prop5_pg1"/>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64" w:name="tPROP5"/>
      <w:bookmarkEnd w:id="164"/>
      <w:r>
        <w:rPr>
          <w:rFonts w:ascii="Arial;Helvetica;sans-serif" w:hAnsi="Arial;Helvetica;sans-serif"/>
          <w:b/>
          <w:color w:val="14202A"/>
          <w:sz w:val="30"/>
        </w:rPr>
        <w:t xml:space="preserve">Proposal 5 – Ratification of the Appointment of Independent Registered Public Accountant for the Fiscal Year Ending August 29, 2026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Audit Committee appointed Deloitte &amp; Touche LLP (Deloitte) as our independent registered public accountant for the fiscal year ending August 29, 2026. We are asking our shareholders to ratify the appointment of Deloitte, who has served as our independent registered public accountant for over 35 years. Representatives of Deloitte will be present at the Annual Meeting and will have the opportunity to make a statement if they so desire and will be available to respond to any shareholder questions that may be asked. For a description of the fees for services rendered by Deloitte in Fiscal 2024 and 2025, and a description of our policy regarding the approval of independent registered public accountant provision of audit and non-audit services, see “Independent Registered Public Accountant’s Fees and Services” below.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Although ratification by the shareholders is not required by law, the Board has determined that it is desirable to request approval of this selection by the shareholders. If our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accountant at any time during the year if it determines that such a change would be in the Company’s best interests and those of its shareholders.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9280"/>
        <w:gridCol w:w="215"/>
      </w:tblGrid>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283"/>
              <w:jc w:val="right"/>
              <w:rPr>
                <w:color w:val="FFFFFF"/>
              </w:rPr>
            </w:pPr>
            <w:r>
              <w:rPr>
                <w:color w:val="FFFFFF"/>
              </w:rPr>
              <w:t>✔</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283"/>
              <w:ind w:left="0" w:right="0" w:hanging="0"/>
              <w:jc w:val="left"/>
              <w:rPr>
                <w:rFonts w:ascii="Arial;Helvetica;sans-serif" w:hAnsi="Arial;Helvetica;sans-serif"/>
                <w:b/>
                <w:color w:val="FFFFFF"/>
                <w:spacing w:val="-4"/>
                <w:sz w:val="22"/>
              </w:rPr>
            </w:pPr>
            <w:r>
              <w:rPr>
                <w:rFonts w:ascii="Arial;Helvetica;sans-serif" w:hAnsi="Arial;Helvetica;sans-serif"/>
                <w:b/>
                <w:color w:val="FFFFFF"/>
                <w:spacing w:val="-4"/>
                <w:sz w:val="22"/>
              </w:rPr>
              <w:t>The Board unanimously recommends that you vote FOR the ratification of the appointment of Deloitte &amp; Touche LLP as our independent registered public accountant for the fiscal year ending August 29, 2026.</w:t>
            </w:r>
          </w:p>
        </w:tc>
        <w:tc>
          <w:tcPr>
            <w:tcW w:w="215" w:type="dxa"/>
            <w:tcBorders/>
            <w:shd w:fill="2E3F4C" w:val="clear"/>
            <w:vAlign w:val="center"/>
          </w:tcPr>
          <w:p>
            <w:pPr>
              <w:pStyle w:val="TableContents"/>
              <w:bidi w:val="0"/>
              <w:spacing w:before="0" w:after="0"/>
              <w:jc w:val="left"/>
              <w:rPr/>
            </w:pPr>
            <w:r>
              <w:rPr/>
              <w:t> </w:t>
            </w:r>
          </w:p>
        </w:tc>
      </w:tr>
      <w:tr>
        <w:trPr/>
        <w:tc>
          <w:tcPr>
            <w:tcW w:w="185" w:type="dxa"/>
            <w:tcBorders/>
            <w:shd w:fill="2E3F4C" w:val="clear"/>
            <w:vAlign w:val="center"/>
          </w:tcPr>
          <w:p>
            <w:pPr>
              <w:pStyle w:val="TableContents"/>
              <w:bidi w:val="0"/>
              <w:spacing w:before="0" w:after="0"/>
              <w:jc w:val="left"/>
              <w:rPr/>
            </w:pPr>
            <w:r>
              <w:rPr/>
              <w:t> </w:t>
            </w:r>
          </w:p>
        </w:tc>
        <w:tc>
          <w:tcPr>
            <w:tcW w:w="185"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170" w:type="dxa"/>
            <w:tcBorders/>
            <w:shd w:fill="2E3F4C" w:val="clear"/>
            <w:vAlign w:val="center"/>
          </w:tcPr>
          <w:p>
            <w:pPr>
              <w:pStyle w:val="TableContents"/>
              <w:bidi w:val="0"/>
              <w:spacing w:before="0" w:after="0"/>
              <w:jc w:val="left"/>
              <w:rPr/>
            </w:pPr>
            <w:r>
              <w:rPr/>
              <w:t> </w:t>
            </w:r>
          </w:p>
        </w:tc>
        <w:tc>
          <w:tcPr>
            <w:tcW w:w="9280" w:type="dxa"/>
            <w:tcBorders/>
            <w:shd w:fill="2E3F4C" w:val="clear"/>
            <w:vAlign w:val="center"/>
          </w:tcPr>
          <w:p>
            <w:pPr>
              <w:pStyle w:val="TableContents"/>
              <w:bidi w:val="0"/>
              <w:spacing w:before="0" w:after="0"/>
              <w:jc w:val="left"/>
              <w:rPr/>
            </w:pPr>
            <w:r>
              <w:rPr/>
              <w:t> </w:t>
            </w:r>
          </w:p>
        </w:tc>
        <w:tc>
          <w:tcPr>
            <w:tcW w:w="215" w:type="dxa"/>
            <w:tcBorders/>
            <w:shd w:fill="2E3F4C" w:val="clear"/>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79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5" w:name="ny20052074x1_def14a_117-report_pg1"/>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66" w:name="tRAC"/>
      <w:bookmarkEnd w:id="166"/>
      <w:r>
        <w:rPr>
          <w:rFonts w:ascii="Arial;Helvetica;sans-serif" w:hAnsi="Arial;Helvetica;sans-serif"/>
          <w:b/>
          <w:color w:val="14202A"/>
          <w:sz w:val="30"/>
        </w:rPr>
        <w:t xml:space="preserve">Report of the Audit Committee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Audit Committee serves as the representative of the Board for general oversight of our financial accounting and reporting, systems of internal control and audit process, and monitoring compliance with laws, regulations, and standards of business conduct.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Management is responsible for the financial statements and the reporting process, including the system of internal controls.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retained PricewaterhouseCoopers LLP (PwC) to support our internal audit function. In this role, PwC assisted management with completing its assessment of our internal control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Audit Committee reviews the Company’s financial reporting process on behalf of the Board. In fulfilling its responsibilities, the Audit Committee has reviewed and discussed the Company’s audited financial statements to be included in the 2025 Form 10-K with management and the independent accountants. The Audit Committee reports as follows: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The Audit Committee has reviewed and discussed the Company’s audited financial statements for the fiscal year ended August 30, 2025 with the Company’s management.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The Audit Committee has discussed with Deloitte the matters required to be discussed by the applicable requirements of the PCAOB and the SEC.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The Audit Committee has received the written disclosures and the letter from Deloitte required by applicable requirements of the PCAOB regarding Deloitte’s communications with the Audit Committee concerning independence, and has discussed with Deloitte its independence.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Based on the review and discussion referred to in the bullet points above, the Audit Committee recommended to the Board that the audited financial statements be included in our 2025 Form 10-K, for filing with the SEC.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Audit Committee: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Kevin E. Bryant, Chair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Christopher J. Braun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William C. Fisher </w:t>
      </w:r>
    </w:p>
    <w:p>
      <w:pPr>
        <w:pStyle w:val="TextBody"/>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Michael E. Pack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3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7" w:name="ny20052074x1_def14a_117-report_pg2"/>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68" w:name="tRP"/>
      <w:bookmarkEnd w:id="168"/>
      <w:r>
        <w:rPr>
          <w:rFonts w:ascii="Arial;Helvetica;sans-serif" w:hAnsi="Arial;Helvetica;sans-serif"/>
          <w:b/>
          <w:color w:val="14202A"/>
          <w:sz w:val="30"/>
        </w:rPr>
        <w:t xml:space="preserve">Independent Registered Public Accountant’s Fees and Services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presents fees for professional audit services rendered by Deloitte for the audit of our annual financial statements for fiscal years ended August 30, 2025 and August 31, 2024, and fees billed for other services rendered by Deloitte during those periods. </w:t>
      </w:r>
    </w:p>
    <w:tbl>
      <w:tblPr>
        <w:tblW w:w="4350" w:type="dxa"/>
        <w:jc w:val="left"/>
        <w:tblInd w:w="0" w:type="dxa"/>
        <w:tblLayout w:type="fixed"/>
        <w:tblCellMar>
          <w:top w:w="0" w:type="dxa"/>
          <w:left w:w="0" w:type="dxa"/>
          <w:bottom w:w="0" w:type="dxa"/>
          <w:right w:w="0" w:type="dxa"/>
        </w:tblCellMar>
      </w:tblPr>
      <w:tblGrid>
        <w:gridCol w:w="185"/>
        <w:gridCol w:w="1610"/>
        <w:gridCol w:w="170"/>
        <w:gridCol w:w="170"/>
        <w:gridCol w:w="830"/>
        <w:gridCol w:w="170"/>
        <w:gridCol w:w="170"/>
        <w:gridCol w:w="830"/>
        <w:gridCol w:w="215"/>
      </w:tblGrid>
      <w:tr>
        <w:trPr/>
        <w:tc>
          <w:tcPr>
            <w:tcW w:w="185" w:type="dxa"/>
            <w:tcBorders/>
            <w:shd w:fill="14202A" w:val="clear"/>
            <w:vAlign w:val="center"/>
          </w:tcPr>
          <w:p>
            <w:pPr>
              <w:pStyle w:val="TableContents"/>
              <w:bidi w:val="0"/>
              <w:spacing w:before="0" w:after="0"/>
              <w:jc w:val="left"/>
              <w:rPr/>
            </w:pPr>
            <w:r>
              <w:rPr/>
              <w:t> </w:t>
            </w:r>
          </w:p>
        </w:tc>
        <w:tc>
          <w:tcPr>
            <w:tcW w:w="161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1610" w:type="dxa"/>
            <w:tcBorders/>
            <w:shd w:fill="14202A"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3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Fiscal 2024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1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Audit Fees</w:t>
            </w:r>
            <w:r>
              <w:rPr>
                <w:rFonts w:ascii="Arial;Helvetica;sans-serif" w:hAnsi="Arial;Helvetica;sans-serif"/>
                <w:color w:val="14202A"/>
                <w:position w:val="5"/>
                <w:sz w:val="13"/>
                <w:sz w:val="16"/>
              </w:rPr>
              <w:t>(1)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30" w:right="0" w:hanging="0"/>
              <w:jc w:val="left"/>
              <w:rPr>
                <w:rFonts w:ascii="Arial;Helvetica;sans-serif" w:hAnsi="Arial;Helvetica;sans-serif"/>
                <w:color w:val="14202A"/>
                <w:sz w:val="16"/>
              </w:rPr>
            </w:pPr>
            <w:r>
              <w:rPr>
                <w:rFonts w:ascii="Arial;Helvetica;sans-serif" w:hAnsi="Arial;Helvetica;sans-serif"/>
                <w:color w:val="14202A"/>
                <w:sz w:val="16"/>
              </w:rPr>
              <w:t>1,879,000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34" w:right="0" w:hanging="0"/>
              <w:jc w:val="left"/>
              <w:rPr>
                <w:rFonts w:ascii="Arial;Helvetica;sans-serif" w:hAnsi="Arial;Helvetica;sans-serif"/>
                <w:color w:val="14202A"/>
                <w:sz w:val="16"/>
              </w:rPr>
            </w:pPr>
            <w:r>
              <w:rPr>
                <w:rFonts w:ascii="Arial;Helvetica;sans-serif" w:hAnsi="Arial;Helvetica;sans-serif"/>
                <w:color w:val="14202A"/>
                <w:sz w:val="16"/>
              </w:rPr>
              <w:t xml:space="preserve">1,970,000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1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Audit-Related Fees</w:t>
            </w:r>
            <w:r>
              <w:rPr>
                <w:rFonts w:ascii="Arial;Helvetica;sans-serif" w:hAnsi="Arial;Helvetica;sans-serif"/>
                <w:color w:val="14202A"/>
                <w:position w:val="5"/>
                <w:sz w:val="13"/>
                <w:sz w:val="16"/>
              </w:rPr>
              <w:t>(2)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30" w:right="0" w:hanging="0"/>
              <w:jc w:val="left"/>
              <w:rPr>
                <w:color w:val="14202A"/>
              </w:rPr>
            </w:pPr>
            <w:r>
              <w:rPr>
                <w:color w:val="14202A"/>
              </w:rPr>
              <w:t>​</w:t>
            </w:r>
            <w:r>
              <w:rPr>
                <w:rFonts w:ascii="Arial;Helvetica;sans-serif" w:hAnsi="Arial;Helvetica;sans-serif"/>
                <w:color w:val="14202A"/>
                <w:sz w:val="16"/>
              </w:rPr>
              <w:t>36,000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34" w:right="0" w:hanging="0"/>
              <w:jc w:val="left"/>
              <w:rPr>
                <w:rFonts w:ascii="Arial;Helvetica;sans-serif" w:hAnsi="Arial;Helvetica;sans-serif"/>
                <w:color w:val="14202A"/>
                <w:sz w:val="16"/>
              </w:rPr>
            </w:pPr>
            <w:r>
              <w:rPr>
                <w:rFonts w:ascii="Arial;Helvetica;sans-serif" w:hAnsi="Arial;Helvetica;sans-serif"/>
                <w:color w:val="14202A"/>
                <w:sz w:val="16"/>
              </w:rPr>
              <w:t xml:space="preserve">43,000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1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All Other Fees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30"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88" w:type="dxa"/>
            </w:tcMar>
            <w:vAlign w:val="center"/>
          </w:tcPr>
          <w:p>
            <w:pPr>
              <w:pStyle w:val="TableContents"/>
              <w:bidi w:val="0"/>
              <w:spacing w:before="0" w:after="283"/>
              <w:ind w:left="34" w:right="0" w:hanging="0"/>
              <w:jc w:val="left"/>
              <w:rPr>
                <w:color w:val="14202A"/>
              </w:rPr>
            </w:pPr>
            <w:r>
              <w:rPr>
                <w:color w:val="14202A"/>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0" w:right="0" w:hanging="0"/>
              <w:jc w:val="left"/>
              <w:rPr>
                <w:color w:val="14202A"/>
              </w:rPr>
            </w:pPr>
            <w:r>
              <w:rPr>
                <w:color w:val="14202A"/>
              </w:rPr>
              <w:t>​</w:t>
            </w:r>
            <w:r>
              <w:rPr>
                <w:rFonts w:ascii="Arial;Helvetica;sans-serif" w:hAnsi="Arial;Helvetica;sans-serif"/>
                <w:color w:val="14202A"/>
                <w:sz w:val="16"/>
              </w:rPr>
              <w:t>1,915,000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4" w:right="0" w:hanging="0"/>
              <w:jc w:val="left"/>
              <w:rPr>
                <w:rFonts w:ascii="Arial;Helvetica;sans-serif" w:hAnsi="Arial;Helvetica;sans-serif"/>
                <w:color w:val="14202A"/>
                <w:sz w:val="16"/>
              </w:rPr>
            </w:pPr>
            <w:r>
              <w:rPr>
                <w:rFonts w:ascii="Arial;Helvetica;sans-serif" w:hAnsi="Arial;Helvetica;sans-serif"/>
                <w:color w:val="14202A"/>
                <w:sz w:val="16"/>
              </w:rPr>
              <w:t>2,013,000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61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3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0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fees for professional services provided for the audit of our annual financial statements, the audit of our internal control over financial reporting, review of our interim financial information, the issuance of our convertible debt and review of other SEC filings. </w:t>
            </w:r>
          </w:p>
        </w:tc>
      </w:tr>
    </w:tbl>
    <w:tbl>
      <w:tblPr>
        <w:tblW w:w="5515" w:type="dxa"/>
        <w:jc w:val="left"/>
        <w:tblInd w:w="0" w:type="dxa"/>
        <w:tblLayout w:type="fixed"/>
        <w:tblCellMar>
          <w:top w:w="0" w:type="dxa"/>
          <w:left w:w="0" w:type="dxa"/>
          <w:bottom w:w="0" w:type="dxa"/>
          <w:right w:w="0" w:type="dxa"/>
        </w:tblCellMar>
      </w:tblPr>
      <w:tblGrid>
        <w:gridCol w:w="215"/>
        <w:gridCol w:w="530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530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Represents fees for professional services provided for the audit of our benefit plan.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 </w:t>
      </w:r>
    </w:p>
    <w:p>
      <w:pPr>
        <w:pStyle w:val="TextBody"/>
        <w:bidi w:val="0"/>
        <w:spacing w:before="240" w:after="283"/>
        <w:ind w:left="0" w:right="0" w:hanging="0"/>
        <w:jc w:val="left"/>
        <w:rPr>
          <w:rFonts w:ascii="Arial;Helvetica;sans-serif" w:hAnsi="Arial;Helvetica;sans-serif"/>
          <w:b/>
          <w:color w:val="D8E47A"/>
          <w:sz w:val="24"/>
        </w:rPr>
      </w:pPr>
      <w:bookmarkStart w:id="169" w:name="tPRAI"/>
      <w:bookmarkEnd w:id="169"/>
      <w:r>
        <w:rPr>
          <w:rFonts w:ascii="Arial;Helvetica;sans-serif" w:hAnsi="Arial;Helvetica;sans-serif"/>
          <w:b/>
          <w:color w:val="D8E47A"/>
          <w:sz w:val="24"/>
        </w:rPr>
        <w:t xml:space="preserve">Policy Regarding the Approval of Independent Registered Public Accountant Provision of Audit and Non-audit Services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Audit Committee charter requires the committee to pre-approve the audit and non-audit fees and services that may be provided to us by Deloitte, our independent registered public accountant. The Audit Committee consults with management but does not delegate these responsibilities, except that pre-approvals of non-audit services may be delegated to a single member of the committee, who then informs the entire committee of the engagement of such services. The Audit Committee pre-approved under that policy all of the audit and non-audit fees and services provided by Deloitte for Fiscal 2025 and 2024.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0" w:name="ny20052074x1_def14a_118-security_pg1"/>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71" w:name="tVSP"/>
      <w:bookmarkEnd w:id="171"/>
      <w:r>
        <w:rPr>
          <w:rFonts w:ascii="Arial;Helvetica;sans-serif" w:hAnsi="Arial;Helvetica;sans-serif"/>
          <w:b/>
          <w:color w:val="14202A"/>
          <w:sz w:val="30"/>
        </w:rPr>
        <w:t xml:space="preserve">Security Ownership of Certain Beneficial Owners and Management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contains information with respect to the ownership of common stock by each person known to us who beneficially owns more than 5% of our outstanding common stock. This information is based on ownership reported as of October 21, 2025 according to SEC filings of the beneficial owners listed below unless more recent information was appropriate to be used. </w:t>
      </w:r>
    </w:p>
    <w:tbl>
      <w:tblPr>
        <w:tblW w:w="7095" w:type="dxa"/>
        <w:jc w:val="left"/>
        <w:tblInd w:w="0" w:type="dxa"/>
        <w:tblLayout w:type="fixed"/>
        <w:tblCellMar>
          <w:top w:w="0" w:type="dxa"/>
          <w:left w:w="0" w:type="dxa"/>
          <w:bottom w:w="0" w:type="dxa"/>
          <w:right w:w="0" w:type="dxa"/>
        </w:tblCellMar>
      </w:tblPr>
      <w:tblGrid>
        <w:gridCol w:w="185"/>
        <w:gridCol w:w="2570"/>
        <w:gridCol w:w="170"/>
        <w:gridCol w:w="170"/>
        <w:gridCol w:w="2795"/>
        <w:gridCol w:w="170"/>
        <w:gridCol w:w="170"/>
        <w:gridCol w:w="650"/>
        <w:gridCol w:w="215"/>
      </w:tblGrid>
      <w:tr>
        <w:trPr/>
        <w:tc>
          <w:tcPr>
            <w:tcW w:w="185" w:type="dxa"/>
            <w:tcBorders/>
            <w:shd w:fill="14202A" w:val="clear"/>
            <w:vAlign w:val="center"/>
          </w:tcPr>
          <w:p>
            <w:pPr>
              <w:pStyle w:val="TableContents"/>
              <w:bidi w:val="0"/>
              <w:spacing w:before="0" w:after="0"/>
              <w:jc w:val="left"/>
              <w:rPr/>
            </w:pPr>
            <w:r>
              <w:rPr/>
              <w:t> </w:t>
            </w:r>
          </w:p>
        </w:tc>
        <w:tc>
          <w:tcPr>
            <w:tcW w:w="25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795"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50" w:type="dxa"/>
            <w:tcBorders/>
            <w:shd w:fill="14202A" w:val="clear"/>
            <w:vAlign w:val="center"/>
          </w:tcPr>
          <w:p>
            <w:pPr>
              <w:pStyle w:val="TableContents"/>
              <w:bidi w:val="0"/>
              <w:spacing w:before="0" w:after="0"/>
              <w:jc w:val="left"/>
              <w:rPr/>
            </w:pPr>
            <w:r>
              <w:rPr/>
              <w:t>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2570"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 and Address of Beneficial Owner</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2795"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Amount and Nature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Beneficial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Ownership</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50"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Common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215"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257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BlackRock, Inc.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50 Hudson Yards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New York, NY 10001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79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4,117,349 shares of common stock</w:t>
            </w:r>
            <w:r>
              <w:rPr>
                <w:rFonts w:ascii="Arial;Helvetica;sans-serif" w:hAnsi="Arial;Helvetica;sans-serif"/>
                <w:color w:val="14202A"/>
                <w:position w:val="5"/>
                <w:sz w:val="13"/>
                <w:sz w:val="16"/>
              </w:rPr>
              <w:t>(2)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135" w:right="0" w:hanging="0"/>
              <w:jc w:val="left"/>
              <w:rPr>
                <w:color w:val="14202A"/>
              </w:rPr>
            </w:pPr>
            <w:r>
              <w:rPr>
                <w:color w:val="14202A"/>
              </w:rPr>
              <w:t>​</w:t>
            </w:r>
            <w:r>
              <w:rPr>
                <w:rFonts w:ascii="Arial;Helvetica;sans-serif" w:hAnsi="Arial;Helvetica;sans-serif"/>
                <w:color w:val="14202A"/>
                <w:sz w:val="16"/>
              </w:rPr>
              <w:t>14.60</w:t>
            </w:r>
            <w:r>
              <w:rPr>
                <w:rFonts w:ascii="Arial;Helvetica;sans-serif" w:hAnsi="Arial;Helvetica;sans-serif"/>
                <w:color w:val="14202A"/>
                <w:sz w:val="16"/>
              </w:rPr>
              <w:t xml:space="preserve">%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257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Cooke &amp; Bieler LP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2001 Market Street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Suite 4000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Philadelphia, PA 19103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79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2,186,515 shares of common stock</w:t>
            </w:r>
            <w:r>
              <w:rPr>
                <w:rFonts w:ascii="Arial;Helvetica;sans-serif" w:hAnsi="Arial;Helvetica;sans-serif"/>
                <w:color w:val="14202A"/>
                <w:position w:val="5"/>
                <w:sz w:val="13"/>
                <w:sz w:val="16"/>
              </w:rPr>
              <w:t>(3)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135" w:right="0" w:hanging="0"/>
              <w:jc w:val="left"/>
              <w:rPr>
                <w:color w:val="14202A"/>
              </w:rPr>
            </w:pPr>
            <w:r>
              <w:rPr>
                <w:color w:val="14202A"/>
              </w:rPr>
              <w:t>​</w:t>
            </w:r>
            <w:r>
              <w:rPr>
                <w:rFonts w:ascii="Arial;Helvetica;sans-serif" w:hAnsi="Arial;Helvetica;sans-serif"/>
                <w:color w:val="14202A"/>
                <w:sz w:val="16"/>
              </w:rPr>
              <w:t xml:space="preserve">7.75%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2570"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Dimensional Fund Advisors LP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6300 Bee Cave Road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Building One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Austin, TX 78746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795"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1,752,053 shares of common stock</w:t>
            </w:r>
            <w:r>
              <w:rPr>
                <w:rFonts w:ascii="Arial;Helvetica;sans-serif" w:hAnsi="Arial;Helvetica;sans-serif"/>
                <w:color w:val="14202A"/>
                <w:position w:val="5"/>
                <w:sz w:val="13"/>
                <w:sz w:val="16"/>
              </w:rPr>
              <w:t>(4)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88" w:type="dxa"/>
            </w:tcMar>
            <w:vAlign w:val="center"/>
          </w:tcPr>
          <w:p>
            <w:pPr>
              <w:pStyle w:val="TableContents"/>
              <w:bidi w:val="0"/>
              <w:spacing w:before="0" w:after="283"/>
              <w:ind w:left="135" w:right="0" w:hanging="0"/>
              <w:jc w:val="left"/>
              <w:rPr>
                <w:color w:val="14202A"/>
              </w:rPr>
            </w:pPr>
            <w:r>
              <w:rPr>
                <w:color w:val="14202A"/>
              </w:rPr>
              <w:t>​</w:t>
            </w:r>
            <w:r>
              <w:rPr>
                <w:rFonts w:ascii="Arial;Helvetica;sans-serif" w:hAnsi="Arial;Helvetica;sans-serif"/>
                <w:color w:val="14202A"/>
                <w:sz w:val="16"/>
              </w:rPr>
              <w:t xml:space="preserve">6.21%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The Vanguard Group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100 Vanguard Blvd. </w:t>
            </w:r>
          </w:p>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Malvern, PA 19355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2,088,125 shares of common stock</w:t>
            </w:r>
            <w:r>
              <w:rPr>
                <w:rFonts w:ascii="Arial;Helvetica;sans-serif" w:hAnsi="Arial;Helvetica;sans-serif"/>
                <w:color w:val="14202A"/>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35" w:right="0" w:hanging="0"/>
              <w:jc w:val="left"/>
              <w:rPr>
                <w:color w:val="14202A"/>
              </w:rPr>
            </w:pPr>
            <w:r>
              <w:rPr>
                <w:color w:val="14202A"/>
              </w:rPr>
              <w:t>​</w:t>
            </w:r>
            <w:r>
              <w:rPr>
                <w:rFonts w:ascii="Arial;Helvetica;sans-serif" w:hAnsi="Arial;Helvetica;sans-serif"/>
                <w:color w:val="14202A"/>
                <w:sz w:val="16"/>
              </w:rPr>
              <w:t>7.40%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25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795"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50" w:type="dxa"/>
            <w:tcBorders>
              <w:bottom w:val="single" w:sz="8" w:space="0" w:color="14202A"/>
            </w:tcBorders>
            <w:tcMar>
              <w:bottom w:w="28" w:type="dxa"/>
            </w:tcMar>
            <w:vAlign w:val="center"/>
          </w:tcPr>
          <w:p>
            <w:pPr>
              <w:pStyle w:val="TableContents"/>
              <w:bidi w:val="0"/>
              <w:spacing w:before="0" w:after="0"/>
              <w:jc w:val="left"/>
              <w:rPr/>
            </w:pPr>
            <w:r>
              <w:rPr/>
              <w:t> </w:t>
            </w:r>
          </w:p>
        </w:tc>
        <w:tc>
          <w:tcPr>
            <w:tcW w:w="215"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5365" w:type="dxa"/>
        <w:jc w:val="left"/>
        <w:tblInd w:w="0" w:type="dxa"/>
        <w:tblLayout w:type="fixed"/>
        <w:tblCellMar>
          <w:top w:w="0" w:type="dxa"/>
          <w:left w:w="0" w:type="dxa"/>
          <w:bottom w:w="0" w:type="dxa"/>
          <w:right w:w="0" w:type="dxa"/>
        </w:tblCellMar>
      </w:tblPr>
      <w:tblGrid>
        <w:gridCol w:w="215"/>
        <w:gridCol w:w="515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515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Based on 28,207,219 outstanding shares of common stock on October 21, 2025.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0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Based on information provided in a Schedule 13G/A filed with the SEC on July 17, 2025 by BlackRock, Inc., a parent holding company. BlackRock reported that it has sole voting power of 4,048,013 shares and sole dispositive power over 4,117,349 shares.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1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Based on information provided in a Schedule 13G/A filed with the SEC on February 13, 2024 by Cooke &amp; Bieler LP, an investment adviser. Cooke &amp; Bieler reported that it has shared voting power over 1,438,551 shares and shared dispositive power over 2,186,515 shares.</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1001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Based on information provided in a Schedule 13G/A filed with the SEC on April 15, 2025 by Dimensional Fund Advisors LP, an investment adviser. Dimensional Fund Advisors reported that it has sole voting power over 1,704,506 shares and sole dispositive power over 1,752,053 shares.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1001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Based on information provided in a Schedule 13G/A filed with the SEC on February 13, 2024 by The Vanguard Group, an investment adviser. The Vanguard Group reported that it has shared voting power over 19,398 shares, sole dispositive power over 2,036,627 shares and shared dispositive power over 51,498 shares.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2" w:name="ny20052074x1_def14a_118-security_pg2"/>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following table sets forth certain information known to us with respect to beneficial ownership of our common stock, as defined in Rule 13d-3 under the Exchange Act, at October 21, 2025 for (i) each of our directors and director nominees, (ii) each NEO listed in the Summary Compensation Table, and (iii) all current executive officers and directors as a group. Except as otherwise indicated, the named beneficial owner has sole voting and investment power with respect to the shares held by such beneficial owner. </w:t>
      </w:r>
    </w:p>
    <w:tbl>
      <w:tblPr>
        <w:tblW w:w="10205" w:type="dxa"/>
        <w:jc w:val="left"/>
        <w:tblInd w:w="0" w:type="dxa"/>
        <w:tblLayout w:type="fixed"/>
        <w:tblCellMar>
          <w:top w:w="0" w:type="dxa"/>
          <w:left w:w="0" w:type="dxa"/>
          <w:bottom w:w="0" w:type="dxa"/>
          <w:right w:w="0" w:type="dxa"/>
        </w:tblCellMar>
      </w:tblPr>
      <w:tblGrid>
        <w:gridCol w:w="185"/>
        <w:gridCol w:w="4211"/>
        <w:gridCol w:w="170"/>
        <w:gridCol w:w="170"/>
        <w:gridCol w:w="699"/>
        <w:gridCol w:w="170"/>
        <w:gridCol w:w="170"/>
        <w:gridCol w:w="853"/>
        <w:gridCol w:w="170"/>
        <w:gridCol w:w="170"/>
        <w:gridCol w:w="778"/>
        <w:gridCol w:w="170"/>
        <w:gridCol w:w="170"/>
        <w:gridCol w:w="917"/>
        <w:gridCol w:w="170"/>
        <w:gridCol w:w="170"/>
        <w:gridCol w:w="643"/>
        <w:gridCol w:w="219"/>
      </w:tblGrid>
      <w:tr>
        <w:trPr/>
        <w:tc>
          <w:tcPr>
            <w:tcW w:w="185" w:type="dxa"/>
            <w:tcBorders/>
            <w:shd w:fill="14202A" w:val="clear"/>
            <w:vAlign w:val="center"/>
          </w:tcPr>
          <w:p>
            <w:pPr>
              <w:pStyle w:val="TableContents"/>
              <w:bidi w:val="0"/>
              <w:spacing w:before="0" w:after="0"/>
              <w:jc w:val="left"/>
              <w:rPr/>
            </w:pPr>
            <w:r>
              <w:rPr/>
              <w:t> </w:t>
            </w:r>
          </w:p>
        </w:tc>
        <w:tc>
          <w:tcPr>
            <w:tcW w:w="4211"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99"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53"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8"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17"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43" w:type="dxa"/>
            <w:tcBorders/>
            <w:shd w:fill="14202A" w:val="clear"/>
            <w:vAlign w:val="center"/>
          </w:tcPr>
          <w:p>
            <w:pPr>
              <w:pStyle w:val="TableContents"/>
              <w:bidi w:val="0"/>
              <w:spacing w:before="0" w:after="0"/>
              <w:jc w:val="left"/>
              <w:rPr/>
            </w:pPr>
            <w:r>
              <w:rPr/>
              <w:t> </w:t>
            </w:r>
          </w:p>
        </w:tc>
        <w:tc>
          <w:tcPr>
            <w:tcW w:w="219"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4211" w:type="dxa"/>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99"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Common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Owned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Outright</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853"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Exercisable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Options</w:t>
            </w:r>
            <w:r>
              <w:rPr>
                <w:rFonts w:ascii="Arial;Helvetica;sans-serif" w:hAnsi="Arial;Helvetica;sans-serif"/>
                <w:b/>
                <w:color w:val="FFFFFF"/>
                <w:position w:val="5"/>
                <w:sz w:val="11"/>
                <w:sz w:val="14"/>
              </w:rPr>
              <w:t>(1)</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78"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Winnebago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Units</w:t>
            </w:r>
            <w:r>
              <w:rPr>
                <w:rFonts w:ascii="Arial;Helvetica;sans-serif" w:hAnsi="Arial;Helvetica;sans-serif"/>
                <w:b/>
                <w:color w:val="FFFFFF"/>
                <w:position w:val="5"/>
                <w:sz w:val="11"/>
                <w:sz w:val="14"/>
              </w:rPr>
              <w:t>(2)</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17"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Shares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Common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Owned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Beneficially</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643"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Common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tc>
        <w:tc>
          <w:tcPr>
            <w:tcW w:w="219"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Sara E. Armbruster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rFonts w:ascii="Arial;Helvetica;sans-serif" w:hAnsi="Arial;Helvetica;sans-serif"/>
                <w:color w:val="14202A"/>
                <w:sz w:val="16"/>
              </w:rPr>
            </w:pPr>
            <w:r>
              <w:rPr>
                <w:rFonts w:ascii="Arial;Helvetica;sans-serif" w:hAnsi="Arial;Helvetica;sans-serif"/>
                <w:color w:val="14202A"/>
                <w:sz w:val="16"/>
              </w:rPr>
              <w:t>6,848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rFonts w:ascii="Arial;Helvetica;sans-serif" w:hAnsi="Arial;Helvetica;sans-serif"/>
                <w:color w:val="14202A"/>
                <w:sz w:val="16"/>
              </w:rPr>
            </w:pPr>
            <w:r>
              <w:rPr>
                <w:rFonts w:ascii="Arial;Helvetica;sans-serif" w:hAnsi="Arial;Helvetica;sans-serif"/>
                <w:color w:val="14202A"/>
                <w:sz w:val="16"/>
              </w:rPr>
              <w:t>6,848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 xml:space="preserve">Stacy L. Bogart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43,201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rFonts w:ascii="Arial;Helvetica;sans-serif" w:hAnsi="Arial;Helvetica;sans-serif"/>
                <w:color w:val="14202A"/>
                <w:sz w:val="16"/>
              </w:rPr>
            </w:pPr>
            <w:r>
              <w:rPr>
                <w:rFonts w:ascii="Arial;Helvetica;sans-serif" w:hAnsi="Arial;Helvetica;sans-serif"/>
                <w:color w:val="14202A"/>
                <w:sz w:val="16"/>
              </w:rPr>
              <w:t>30,697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73,898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Christopher J. Braun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28,690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 xml:space="preserve">28,690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Kevin E. Bryant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13,755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13,755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Donald J. Clark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447,427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447,427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color w:val="14202A"/>
              </w:rPr>
            </w:pPr>
            <w:r>
              <w:rPr>
                <w:color w:val="14202A"/>
              </w:rPr>
              <w:t>​</w:t>
            </w:r>
            <w:r>
              <w:rPr>
                <w:rFonts w:ascii="Arial;Helvetica;sans-serif" w:hAnsi="Arial;Helvetica;sans-serif"/>
                <w:color w:val="14202A"/>
                <w:sz w:val="16"/>
              </w:rPr>
              <w:t xml:space="preserve">1.59%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William C. Fisher</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32,267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r>
              <w:rPr>
                <w:rFonts w:ascii="Arial;Helvetica;sans-serif" w:hAnsi="Arial;Helvetica;sans-serif"/>
                <w:color w:val="14202A"/>
                <w:sz w:val="16"/>
              </w:rPr>
              <w:t>6,327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38,594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J. Happe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239,959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r>
              <w:rPr>
                <w:rFonts w:ascii="Arial;Helvetica;sans-serif" w:hAnsi="Arial;Helvetica;sans-serif"/>
                <w:color w:val="14202A"/>
                <w:sz w:val="16"/>
              </w:rPr>
              <w:t>251,246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491,205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6"/>
              </w:rPr>
            </w:pPr>
            <w:r>
              <w:rPr>
                <w:rFonts w:ascii="Arial;Helvetica;sans-serif" w:hAnsi="Arial;Helvetica;sans-serif"/>
                <w:color w:val="14202A"/>
                <w:sz w:val="16"/>
              </w:rPr>
              <w:t xml:space="preserve">1.73%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Bryan L. Hughes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rFonts w:ascii="Arial;Helvetica;sans-serif" w:hAnsi="Arial;Helvetica;sans-serif"/>
                <w:color w:val="14202A"/>
                <w:sz w:val="16"/>
              </w:rPr>
            </w:pPr>
            <w:r>
              <w:rPr>
                <w:rFonts w:ascii="Arial;Helvetica;sans-serif" w:hAnsi="Arial;Helvetica;sans-serif"/>
                <w:color w:val="14202A"/>
                <w:sz w:val="16"/>
              </w:rPr>
              <w:t xml:space="preserve">62,263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rFonts w:ascii="Arial;Helvetica;sans-serif" w:hAnsi="Arial;Helvetica;sans-serif"/>
                <w:color w:val="14202A"/>
                <w:sz w:val="16"/>
              </w:rPr>
            </w:pPr>
            <w:r>
              <w:rPr>
                <w:rFonts w:ascii="Arial;Helvetica;sans-serif" w:hAnsi="Arial;Helvetica;sans-serif"/>
                <w:color w:val="14202A"/>
                <w:sz w:val="16"/>
              </w:rPr>
              <w:t>46,868</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109,131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Staci L. Kroon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5,113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5,113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David W. Miles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rFonts w:ascii="Arial;Helvetica;sans-serif" w:hAnsi="Arial;Helvetica;sans-serif"/>
                <w:color w:val="14202A"/>
                <w:sz w:val="16"/>
              </w:rPr>
            </w:pPr>
            <w:r>
              <w:rPr>
                <w:rFonts w:ascii="Arial;Helvetica;sans-serif" w:hAnsi="Arial;Helvetica;sans-serif"/>
                <w:color w:val="14202A"/>
                <w:sz w:val="16"/>
              </w:rPr>
              <w:t>28,031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r>
              <w:rPr>
                <w:rFonts w:ascii="Arial;Helvetica;sans-serif" w:hAnsi="Arial;Helvetica;sans-serif"/>
                <w:color w:val="14202A"/>
                <w:sz w:val="16"/>
              </w:rPr>
              <w:t>12,346</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40,377</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John M. Murabito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rFonts w:ascii="Arial;Helvetica;sans-serif" w:hAnsi="Arial;Helvetica;sans-serif"/>
                <w:color w:val="14202A"/>
                <w:sz w:val="16"/>
              </w:rPr>
            </w:pPr>
            <w:r>
              <w:rPr>
                <w:rFonts w:ascii="Arial;Helvetica;sans-serif" w:hAnsi="Arial;Helvetica;sans-serif"/>
                <w:color w:val="14202A"/>
                <w:sz w:val="16"/>
              </w:rPr>
              <w:t>20,790</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 xml:space="preserve">20,790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color w:val="14202A"/>
                <w:sz w:val="16"/>
              </w:rPr>
            </w:pPr>
            <w:r>
              <w:rPr>
                <w:rFonts w:ascii="Arial;Helvetica;sans-serif" w:hAnsi="Arial;Helvetica;sans-serif"/>
                <w:color w:val="14202A"/>
                <w:sz w:val="16"/>
              </w:rPr>
              <w:t>Michael E. Pack</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rFonts w:ascii="Arial;Helvetica;sans-serif" w:hAnsi="Arial;Helvetica;sans-serif"/>
                <w:color w:val="14202A"/>
                <w:sz w:val="16"/>
              </w:rPr>
            </w:pPr>
            <w:r>
              <w:rPr>
                <w:rFonts w:ascii="Arial;Helvetica;sans-serif" w:hAnsi="Arial;Helvetica;sans-serif"/>
                <w:color w:val="14202A"/>
                <w:sz w:val="16"/>
              </w:rPr>
              <w:t>1,629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rFonts w:ascii="Arial;Helvetica;sans-serif" w:hAnsi="Arial;Helvetica;sans-serif"/>
                <w:color w:val="14202A"/>
                <w:sz w:val="16"/>
              </w:rPr>
            </w:pPr>
            <w:r>
              <w:rPr>
                <w:rFonts w:ascii="Arial;Helvetica;sans-serif" w:hAnsi="Arial;Helvetica;sans-serif"/>
                <w:color w:val="14202A"/>
                <w:sz w:val="16"/>
              </w:rPr>
              <w:t>1,629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88" w:type="dxa"/>
            </w:tcMar>
            <w:vAlign w:val="center"/>
          </w:tcPr>
          <w:p>
            <w:pPr>
              <w:pStyle w:val="TableContents"/>
              <w:bidi w:val="0"/>
              <w:spacing w:before="0" w:after="283"/>
              <w:ind w:left="60" w:right="0" w:hanging="0"/>
              <w:jc w:val="left"/>
              <w:rPr>
                <w:color w:val="14202A"/>
              </w:rPr>
            </w:pPr>
            <w:r>
              <w:rPr>
                <w:color w:val="14202A"/>
              </w:rPr>
              <w:t>​</w:t>
            </w:r>
            <w:r>
              <w:rPr>
                <w:rFonts w:ascii="Arial;Helvetica;sans-serif" w:hAnsi="Arial;Helvetica;sans-serif"/>
                <w:color w:val="14202A"/>
                <w:sz w:val="16"/>
              </w:rPr>
              <w:t>Casey J. Tubman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88" w:type="dxa"/>
            </w:tcMar>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14,713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88" w:type="dxa"/>
            </w:tcMar>
            <w:vAlign w:val="center"/>
          </w:tcPr>
          <w:p>
            <w:pPr>
              <w:pStyle w:val="TableContents"/>
              <w:bidi w:val="0"/>
              <w:spacing w:before="0" w:after="283"/>
              <w:ind w:left="104" w:right="0" w:hanging="0"/>
              <w:jc w:val="left"/>
              <w:rPr>
                <w:color w:val="14202A"/>
              </w:rPr>
            </w:pPr>
            <w:r>
              <w:rPr>
                <w:color w:val="14202A"/>
              </w:rPr>
              <w:t>​</w:t>
            </w:r>
            <w:r>
              <w:rPr>
                <w:rFonts w:ascii="Arial;Helvetica;sans-serif" w:hAnsi="Arial;Helvetica;sans-serif"/>
                <w:color w:val="14202A"/>
                <w:sz w:val="16"/>
              </w:rPr>
              <w:t>6,899</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88" w:type="dxa"/>
            </w:tcMar>
            <w:vAlign w:val="center"/>
          </w:tcPr>
          <w:p>
            <w:pPr>
              <w:pStyle w:val="TableContents"/>
              <w:bidi w:val="0"/>
              <w:spacing w:before="0" w:after="283"/>
              <w:ind w:left="168" w:right="0" w:hanging="0"/>
              <w:jc w:val="left"/>
              <w:rPr>
                <w:color w:val="14202A"/>
              </w:rPr>
            </w:pPr>
            <w:r>
              <w:rPr>
                <w:color w:val="14202A"/>
              </w:rPr>
              <w: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88" w:type="dxa"/>
            </w:tcMar>
            <w:vAlign w:val="center"/>
          </w:tcPr>
          <w:p>
            <w:pPr>
              <w:pStyle w:val="TableContents"/>
              <w:bidi w:val="0"/>
              <w:spacing w:before="0" w:after="283"/>
              <w:ind w:left="145" w:right="0" w:hanging="0"/>
              <w:jc w:val="left"/>
              <w:rPr>
                <w:rFonts w:ascii="Arial;Helvetica;sans-serif" w:hAnsi="Arial;Helvetica;sans-serif"/>
                <w:color w:val="14202A"/>
                <w:sz w:val="16"/>
              </w:rPr>
            </w:pPr>
            <w:r>
              <w:rPr>
                <w:rFonts w:ascii="Arial;Helvetica;sans-serif" w:hAnsi="Arial;Helvetica;sans-serif"/>
                <w:color w:val="14202A"/>
                <w:sz w:val="16"/>
              </w:rPr>
              <w:t>21,612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88" w:type="dxa"/>
            </w:tcMar>
            <w:vAlign w:val="center"/>
          </w:tcPr>
          <w:p>
            <w:pPr>
              <w:pStyle w:val="TableContents"/>
              <w:bidi w:val="0"/>
              <w:spacing w:before="0" w:after="283"/>
              <w:ind w:left="167" w:right="0" w:hanging="0"/>
              <w:jc w:val="left"/>
              <w:rPr>
                <w:rFonts w:ascii="Arial;Helvetica;sans-serif" w:hAnsi="Arial;Helvetica;sans-serif"/>
                <w:color w:val="14202A"/>
                <w:sz w:val="12"/>
              </w:rPr>
            </w:pPr>
            <w:r>
              <w:rPr>
                <w:rFonts w:ascii="Arial;Helvetica;sans-serif" w:hAnsi="Arial;Helvetica;sans-serif"/>
                <w:color w:val="14202A"/>
                <w:sz w:val="12"/>
              </w:rPr>
              <w:t>(4)</w:t>
            </w:r>
            <w:r>
              <w:rPr>
                <w:rFonts w:ascii="Arial;Helvetica;sans-serif" w:hAnsi="Arial;Helvetica;sans-serif"/>
                <w:color w:val="14202A"/>
                <w:sz w:val="12"/>
              </w:rPr>
              <w:t xml:space="preserve">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11" w:type="dxa"/>
            <w:tcBorders/>
            <w:vAlign w:val="center"/>
          </w:tcPr>
          <w:p>
            <w:pPr>
              <w:pStyle w:val="TableContents"/>
              <w:bidi w:val="0"/>
              <w:spacing w:before="0" w:after="283"/>
              <w:ind w:left="240" w:right="0" w:hanging="180"/>
              <w:jc w:val="left"/>
              <w:rPr>
                <w:color w:val="14202A"/>
              </w:rPr>
            </w:pPr>
            <w:r>
              <w:rPr>
                <w:color w:val="14202A"/>
              </w:rPr>
              <w:t>​</w:t>
            </w:r>
            <w:r>
              <w:rPr>
                <w:rFonts w:ascii="Arial;Helvetica;sans-serif" w:hAnsi="Arial;Helvetica;sans-serif"/>
                <w:color w:val="14202A"/>
                <w:sz w:val="16"/>
              </w:rPr>
              <w:t>Current directors and executive officers as a group (15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9" w:type="dxa"/>
            <w:tcBorders/>
            <w:vAlign w:val="center"/>
          </w:tcPr>
          <w:p>
            <w:pPr>
              <w:pStyle w:val="TableContents"/>
              <w:bidi w:val="0"/>
              <w:spacing w:before="0" w:after="283"/>
              <w:ind w:left="26" w:right="0" w:hanging="0"/>
              <w:jc w:val="left"/>
              <w:rPr>
                <w:color w:val="14202A"/>
              </w:rPr>
            </w:pPr>
            <w:r>
              <w:rPr>
                <w:color w:val="14202A"/>
              </w:rPr>
              <w:t>​</w:t>
            </w:r>
            <w:r>
              <w:rPr>
                <w:rFonts w:ascii="Arial;Helvetica;sans-serif" w:hAnsi="Arial;Helvetica;sans-serif"/>
                <w:color w:val="14202A"/>
                <w:sz w:val="16"/>
              </w:rPr>
              <w:t>988,383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104" w:right="0" w:hanging="0"/>
              <w:jc w:val="left"/>
              <w:rPr>
                <w:color w:val="14202A"/>
              </w:rPr>
            </w:pPr>
            <w:r>
              <w:rPr>
                <w:color w:val="14202A"/>
              </w:rPr>
              <w:t>​</w:t>
            </w:r>
            <w:r>
              <w:rPr>
                <w:rFonts w:ascii="Arial;Helvetica;sans-serif" w:hAnsi="Arial;Helvetica;sans-serif"/>
                <w:color w:val="14202A"/>
                <w:sz w:val="16"/>
              </w:rPr>
              <w:t>388,770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168" w:right="0" w:hanging="0"/>
              <w:jc w:val="left"/>
              <w:rPr>
                <w:color w:val="14202A"/>
              </w:rPr>
            </w:pPr>
            <w:r>
              <w:rPr>
                <w:color w:val="14202A"/>
              </w:rPr>
              <w:t>​</w:t>
            </w:r>
            <w:r>
              <w:rPr>
                <w:rFonts w:ascii="Arial;Helvetica;sans-serif" w:hAnsi="Arial;Helvetica;sans-serif"/>
                <w:color w:val="14202A"/>
                <w:sz w:val="16"/>
              </w:rPr>
              <w:t xml:space="preserve">20,302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45" w:right="0" w:hanging="0"/>
              <w:jc w:val="left"/>
              <w:rPr>
                <w:color w:val="14202A"/>
              </w:rPr>
            </w:pPr>
            <w:r>
              <w:rPr>
                <w:color w:val="14202A"/>
              </w:rPr>
              <w:t>​</w:t>
            </w:r>
            <w:r>
              <w:rPr>
                <w:rFonts w:ascii="Arial;Helvetica;sans-serif" w:hAnsi="Arial;Helvetica;sans-serif"/>
                <w:color w:val="14202A"/>
                <w:sz w:val="16"/>
              </w:rPr>
              <w:t>1,397,455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67" w:right="0" w:hanging="0"/>
              <w:jc w:val="left"/>
              <w:rPr>
                <w:color w:val="14202A"/>
              </w:rPr>
            </w:pPr>
            <w:r>
              <w:rPr>
                <w:color w:val="14202A"/>
              </w:rPr>
              <w:t>​</w:t>
            </w:r>
            <w:r>
              <w:rPr>
                <w:rFonts w:ascii="Arial;Helvetica;sans-serif" w:hAnsi="Arial;Helvetica;sans-serif"/>
                <w:color w:val="14202A"/>
                <w:sz w:val="16"/>
              </w:rPr>
              <w:t>4.88%</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4211"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99"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853"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78"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17"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643" w:type="dxa"/>
            <w:tcBorders>
              <w:bottom w:val="single" w:sz="8" w:space="0" w:color="14202A"/>
            </w:tcBorders>
            <w:tcMar>
              <w:bottom w:w="28" w:type="dxa"/>
            </w:tcMar>
            <w:vAlign w:val="center"/>
          </w:tcPr>
          <w:p>
            <w:pPr>
              <w:pStyle w:val="TableContents"/>
              <w:bidi w:val="0"/>
              <w:spacing w:before="0" w:after="0"/>
              <w:jc w:val="left"/>
              <w:rPr/>
            </w:pPr>
            <w:r>
              <w:rPr/>
              <w:t> </w:t>
            </w:r>
          </w:p>
        </w:tc>
        <w:tc>
          <w:tcPr>
            <w:tcW w:w="219"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7165" w:type="dxa"/>
        <w:jc w:val="left"/>
        <w:tblInd w:w="0" w:type="dxa"/>
        <w:tblLayout w:type="fixed"/>
        <w:tblCellMar>
          <w:top w:w="0" w:type="dxa"/>
          <w:left w:w="0" w:type="dxa"/>
          <w:bottom w:w="0" w:type="dxa"/>
          <w:right w:w="0" w:type="dxa"/>
        </w:tblCellMar>
      </w:tblPr>
      <w:tblGrid>
        <w:gridCol w:w="215"/>
        <w:gridCol w:w="695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695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Includes shares underlying stock options that are currently exercisable or become exercisable within 60 days.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10019"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Winnebago Stock Units held under our Directors’ Deferred Plan as of October 21, 2025 (see further discussion of the plan in the Director Compensation section). These units are vested and will be settled 100% in common stock upon the earliest of the following events: a date designated by the director, the director’s termination of service, death or disability or a change in control of the Company, as defined in the plan. </w:t>
            </w:r>
          </w:p>
        </w:tc>
      </w:tr>
    </w:tbl>
    <w:tbl>
      <w:tblPr>
        <w:tblW w:w="5365" w:type="dxa"/>
        <w:jc w:val="left"/>
        <w:tblInd w:w="0" w:type="dxa"/>
        <w:tblLayout w:type="fixed"/>
        <w:tblCellMar>
          <w:top w:w="0" w:type="dxa"/>
          <w:left w:w="0" w:type="dxa"/>
          <w:bottom w:w="0" w:type="dxa"/>
          <w:right w:w="0" w:type="dxa"/>
        </w:tblCellMar>
      </w:tblPr>
      <w:tblGrid>
        <w:gridCol w:w="215"/>
        <w:gridCol w:w="5150"/>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5150"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Based on 28,207,219 outstanding shares of common stock on October 21, 2025. </w:t>
            </w:r>
          </w:p>
        </w:tc>
      </w:tr>
    </w:tbl>
    <w:tbl>
      <w:tblPr>
        <w:tblW w:w="1240" w:type="dxa"/>
        <w:jc w:val="left"/>
        <w:tblInd w:w="0" w:type="dxa"/>
        <w:tblLayout w:type="fixed"/>
        <w:tblCellMar>
          <w:top w:w="0" w:type="dxa"/>
          <w:left w:w="0" w:type="dxa"/>
          <w:bottom w:w="0" w:type="dxa"/>
          <w:right w:w="0" w:type="dxa"/>
        </w:tblCellMar>
      </w:tblPr>
      <w:tblGrid>
        <w:gridCol w:w="215"/>
        <w:gridCol w:w="102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102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Less than 1%.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3" w:name="ny20052074x1_def14a_118-security_pg3"/>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74" w:name="tVI"/>
      <w:bookmarkEnd w:id="174"/>
      <w:r>
        <w:rPr>
          <w:rFonts w:ascii="Arial;Helvetica;sans-serif" w:hAnsi="Arial;Helvetica;sans-serif"/>
          <w:b/>
          <w:color w:val="14202A"/>
          <w:sz w:val="30"/>
        </w:rPr>
        <w:t xml:space="preserve">Voting Information </w:t>
      </w:r>
    </w:p>
    <w:p>
      <w:pPr>
        <w:pStyle w:val="TextBody"/>
        <w:bidi w:val="0"/>
        <w:spacing w:before="340" w:after="283"/>
        <w:ind w:left="0" w:right="0" w:hanging="0"/>
        <w:jc w:val="left"/>
        <w:rPr>
          <w:rFonts w:ascii="Arial;Helvetica;sans-serif" w:hAnsi="Arial;Helvetica;sans-serif"/>
          <w:b/>
          <w:color w:val="D8E47A"/>
          <w:sz w:val="24"/>
        </w:rPr>
      </w:pPr>
      <w:bookmarkStart w:id="175" w:name="tINA"/>
      <w:bookmarkEnd w:id="175"/>
      <w:r>
        <w:rPr>
          <w:rFonts w:ascii="Arial;Helvetica;sans-serif" w:hAnsi="Arial;Helvetica;sans-serif"/>
          <w:b/>
          <w:color w:val="D8E47A"/>
          <w:sz w:val="24"/>
        </w:rPr>
        <w:t xml:space="preserve">Internet Availability of Proxy Materials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November 4, 2025. </w:t>
      </w:r>
    </w:p>
    <w:p>
      <w:pPr>
        <w:pStyle w:val="TextBody"/>
        <w:bidi w:val="0"/>
        <w:spacing w:before="300" w:after="283"/>
        <w:ind w:left="0" w:right="0" w:hanging="0"/>
        <w:jc w:val="left"/>
        <w:rPr>
          <w:rFonts w:ascii="Arial;Helvetica;sans-serif" w:hAnsi="Arial;Helvetica;sans-serif"/>
          <w:b/>
          <w:color w:val="D8E47A"/>
          <w:sz w:val="24"/>
        </w:rPr>
      </w:pPr>
      <w:bookmarkStart w:id="176" w:name="tSEV"/>
      <w:bookmarkEnd w:id="176"/>
      <w:r>
        <w:rPr>
          <w:rFonts w:ascii="Arial;Helvetica;sans-serif" w:hAnsi="Arial;Helvetica;sans-serif"/>
          <w:b/>
          <w:color w:val="D8E47A"/>
          <w:sz w:val="24"/>
        </w:rPr>
        <w:t xml:space="preserve">Shareholders Entitled to Vote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set October 21, 2025 as the record date for the Annual Meeting. This means that our shareholders as of the close of business on that date are entitled to notice of and to vote at the Annual Meeting. On the record date, 28,207,219 shares of our common stock were outstanding. The common stock is the only class of securities entitled to vote at the Annual Meeting. Each outstanding share entitles its holder to one vote. </w:t>
      </w:r>
    </w:p>
    <w:p>
      <w:pPr>
        <w:pStyle w:val="TextBody"/>
        <w:bidi w:val="0"/>
        <w:spacing w:before="300" w:after="283"/>
        <w:ind w:left="0" w:right="0" w:hanging="0"/>
        <w:jc w:val="left"/>
        <w:rPr>
          <w:rFonts w:ascii="Arial;Helvetica;sans-serif" w:hAnsi="Arial;Helvetica;sans-serif"/>
          <w:b/>
          <w:color w:val="D8E47A"/>
          <w:sz w:val="24"/>
        </w:rPr>
      </w:pPr>
      <w:bookmarkStart w:id="177" w:name="tQAM"/>
      <w:bookmarkEnd w:id="177"/>
      <w:r>
        <w:rPr>
          <w:rFonts w:ascii="Arial;Helvetica;sans-serif" w:hAnsi="Arial;Helvetica;sans-serif"/>
          <w:b/>
          <w:color w:val="D8E47A"/>
          <w:sz w:val="24"/>
        </w:rPr>
        <w:t xml:space="preserve">Quorum for the Annual Meeting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majority of the outstanding shares is necessary to constitute a quorum for the transaction of business at the Annual Meeting. If you submit a valid proxy or attend the Annual Meeting, your shares will be counted to determine whether there is a quorum. </w:t>
      </w:r>
    </w:p>
    <w:p>
      <w:pPr>
        <w:pStyle w:val="TextBody"/>
        <w:bidi w:val="0"/>
        <w:spacing w:before="300" w:after="283"/>
        <w:ind w:left="0" w:right="0" w:hanging="0"/>
        <w:jc w:val="left"/>
        <w:rPr>
          <w:rFonts w:ascii="Arial;Helvetica;sans-serif" w:hAnsi="Arial;Helvetica;sans-serif"/>
          <w:b/>
          <w:color w:val="D8E47A"/>
          <w:sz w:val="24"/>
        </w:rPr>
      </w:pPr>
      <w:bookmarkStart w:id="178" w:name="tHTV"/>
      <w:bookmarkEnd w:id="178"/>
      <w:r>
        <w:rPr>
          <w:rFonts w:ascii="Arial;Helvetica;sans-serif" w:hAnsi="Arial;Helvetica;sans-serif"/>
          <w:b/>
          <w:color w:val="D8E47A"/>
          <w:sz w:val="24"/>
        </w:rPr>
        <w:t xml:space="preserve">How to Vote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Whether or not you expect to attend the Annual Meeting, please carefully review the proxy materials and follow the instructions below to cast your vote. </w:t>
      </w:r>
    </w:p>
    <w:p>
      <w:pPr>
        <w:pStyle w:val="TextBody"/>
        <w:bidi w:val="0"/>
        <w:spacing w:before="300" w:after="283"/>
        <w:ind w:left="0" w:right="0" w:hanging="0"/>
        <w:jc w:val="left"/>
        <w:rPr>
          <w:rFonts w:ascii="Arial;Helvetica;sans-serif" w:hAnsi="Arial;Helvetica;sans-serif"/>
          <w:b/>
          <w:color w:val="D8E47A"/>
          <w:sz w:val="24"/>
        </w:rPr>
      </w:pPr>
      <w:bookmarkStart w:id="179" w:name="tSRN"/>
      <w:bookmarkEnd w:id="179"/>
      <w:r>
        <w:rPr>
          <w:rFonts w:ascii="Arial;Helvetica;sans-serif" w:hAnsi="Arial;Helvetica;sans-serif"/>
          <w:b/>
          <w:color w:val="D8E47A"/>
          <w:sz w:val="24"/>
        </w:rPr>
        <w:t xml:space="preserve">Shares Registered in Your Name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By submitting voting instructions for shares registered in your name before the Annual Meeting, you are appointing a proxy to vote these shares. You may vote in one of the following ways: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b/>
                <w:i/>
                <w:color w:val="14202A"/>
                <w:sz w:val="18"/>
              </w:rPr>
              <w:t>Voting by Internet or Telephone</w:t>
            </w:r>
            <w:r>
              <w:rPr>
                <w:rFonts w:ascii="Arial;Helvetica;sans-serif" w:hAnsi="Arial;Helvetica;sans-serif"/>
                <w:color w:val="14202A"/>
                <w:sz w:val="18"/>
              </w:rPr>
              <w:t xml:space="preserve">. You may vote using the internet or telephone by following the instructions in the Notice. To vote by the internet, go to www.proxyvote.com and follow the instructions to record your vote. To vote by telephone call 1-800-690-6903. To vote by the internet or telephone, you will need your 16-digit control number included with the Notice.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b/>
                <w:i/>
                <w:color w:val="14202A"/>
                <w:sz w:val="18"/>
              </w:rPr>
              <w:t>Voting by Proxy Card</w:t>
            </w:r>
            <w:r>
              <w:rPr>
                <w:rFonts w:ascii="Arial;Helvetica;sans-serif" w:hAnsi="Arial;Helvetica;sans-serif"/>
                <w:color w:val="14202A"/>
                <w:sz w:val="18"/>
              </w:rPr>
              <w:t xml:space="preserve">. If you obtained a paper copy of the proxy materials, you may vote by completing, signing, dating and returning the proxy card in the enclosed postage pre-paid envelope.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D8E47A"/>
                <w:sz w:val="18"/>
              </w:rPr>
            </w:pPr>
            <w:r>
              <w:rPr>
                <w:rFonts w:ascii="Arial;Helvetica;sans-serif" w:hAnsi="Arial;Helvetica;sans-serif"/>
                <w:b/>
                <w:i/>
                <w:color w:val="14202A"/>
                <w:sz w:val="18"/>
              </w:rPr>
              <w:t>Voting during the Annual Meeting</w:t>
            </w:r>
            <w:r>
              <w:rPr>
                <w:rFonts w:ascii="Arial;Helvetica;sans-serif" w:hAnsi="Arial;Helvetica;sans-serif"/>
                <w:color w:val="14202A"/>
                <w:sz w:val="18"/>
              </w:rPr>
              <w:t xml:space="preserve">. You may also vote by attending the Annual Meeting and voting via the online meeting platform. To vote online during the Annual Meeting, you will need your 16-digit control included with the Notice.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0" w:name="ny20052074x1_def14a_118-security_pg4"/>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181" w:name="tSHS"/>
      <w:bookmarkEnd w:id="181"/>
      <w:r>
        <w:rPr>
          <w:rFonts w:ascii="Arial;Helvetica;sans-serif" w:hAnsi="Arial;Helvetica;sans-serif"/>
          <w:b/>
          <w:color w:val="D8E47A"/>
          <w:sz w:val="24"/>
        </w:rPr>
        <w:t xml:space="preserve">Shares Held in Street Name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If your shares are held in the name of a broker or bank (that is, in “street name”), refer to the instructions provided by your broker or bank regarding how to vote your shares. If you do not return voting instructions to your broker or bank by its deadline, your shares may be voted by your broker or bank on Proposal 5, but not the other proposals described in this proxy. </w:t>
      </w:r>
    </w:p>
    <w:p>
      <w:pPr>
        <w:pStyle w:val="TextBody"/>
        <w:bidi w:val="0"/>
        <w:spacing w:before="310" w:after="283"/>
        <w:ind w:left="0" w:right="0" w:hanging="0"/>
        <w:jc w:val="left"/>
        <w:rPr>
          <w:rFonts w:ascii="Arial;Helvetica;sans-serif" w:hAnsi="Arial;Helvetica;sans-serif"/>
          <w:b/>
          <w:color w:val="D8E47A"/>
          <w:sz w:val="24"/>
        </w:rPr>
      </w:pPr>
      <w:bookmarkStart w:id="182" w:name="tRPV"/>
      <w:bookmarkEnd w:id="182"/>
      <w:r>
        <w:rPr>
          <w:rFonts w:ascii="Arial;Helvetica;sans-serif" w:hAnsi="Arial;Helvetica;sans-serif"/>
          <w:b/>
          <w:color w:val="D8E47A"/>
          <w:sz w:val="24"/>
        </w:rPr>
        <w:t xml:space="preserve">Revoking a Proxy or Voting Instructions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You may revoke your proxy or change your vote at any time before the Annual Meeting by: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D8E47A"/>
              </w:rPr>
            </w:pPr>
            <w:r>
              <w:rPr>
                <w:color w:val="D8E47A"/>
              </w:rPr>
              <w:t>⯀</w:t>
            </w:r>
          </w:p>
        </w:tc>
        <w:tc>
          <w:tcPr>
            <w:tcW w:w="9945"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Submitting a new, later-dated proxy by (1) following the internet voting instructions; (2) following the telephone voting instructions; or (3) completing, signing, dating and returning a new proxy card; </w:t>
            </w:r>
          </w:p>
        </w:tc>
      </w:tr>
    </w:tbl>
    <w:tbl>
      <w:tblPr>
        <w:tblW w:w="9040" w:type="dxa"/>
        <w:jc w:val="left"/>
        <w:tblInd w:w="0" w:type="dxa"/>
        <w:tblLayout w:type="fixed"/>
        <w:tblCellMar>
          <w:top w:w="0" w:type="dxa"/>
          <w:left w:w="0" w:type="dxa"/>
          <w:bottom w:w="0" w:type="dxa"/>
          <w:right w:w="0" w:type="dxa"/>
        </w:tblCellMar>
      </w:tblPr>
      <w:tblGrid>
        <w:gridCol w:w="260"/>
        <w:gridCol w:w="8780"/>
      </w:tblGrid>
      <w:tr>
        <w:trPr/>
        <w:tc>
          <w:tcPr>
            <w:tcW w:w="260" w:type="dxa"/>
            <w:tcBorders/>
            <w:vAlign w:val="center"/>
          </w:tcPr>
          <w:p>
            <w:pPr>
              <w:pStyle w:val="TableContents"/>
              <w:bidi w:val="0"/>
              <w:spacing w:before="0" w:after="283"/>
              <w:jc w:val="left"/>
              <w:rPr>
                <w:color w:val="D8E47A"/>
              </w:rPr>
            </w:pPr>
            <w:r>
              <w:rPr>
                <w:color w:val="D8E47A"/>
              </w:rPr>
              <w:t>⯀</w:t>
            </w:r>
          </w:p>
        </w:tc>
        <w:tc>
          <w:tcPr>
            <w:tcW w:w="878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Giving written notice before the vote to our Corporate Secretary, stating that you are revoking your proxy; or </w:t>
            </w:r>
          </w:p>
        </w:tc>
      </w:tr>
    </w:tbl>
    <w:tbl>
      <w:tblPr>
        <w:tblW w:w="6130" w:type="dxa"/>
        <w:jc w:val="left"/>
        <w:tblInd w:w="0" w:type="dxa"/>
        <w:tblLayout w:type="fixed"/>
        <w:tblCellMar>
          <w:top w:w="0" w:type="dxa"/>
          <w:left w:w="0" w:type="dxa"/>
          <w:bottom w:w="0" w:type="dxa"/>
          <w:right w:w="0" w:type="dxa"/>
        </w:tblCellMar>
      </w:tblPr>
      <w:tblGrid>
        <w:gridCol w:w="260"/>
        <w:gridCol w:w="5870"/>
      </w:tblGrid>
      <w:tr>
        <w:trPr/>
        <w:tc>
          <w:tcPr>
            <w:tcW w:w="260" w:type="dxa"/>
            <w:tcBorders/>
            <w:vAlign w:val="center"/>
          </w:tcPr>
          <w:p>
            <w:pPr>
              <w:pStyle w:val="TableContents"/>
              <w:bidi w:val="0"/>
              <w:spacing w:before="0" w:after="283"/>
              <w:jc w:val="left"/>
              <w:rPr>
                <w:color w:val="D8E47A"/>
              </w:rPr>
            </w:pPr>
            <w:r>
              <w:rPr>
                <w:color w:val="D8E47A"/>
              </w:rPr>
              <w:t>⯀</w:t>
            </w:r>
          </w:p>
        </w:tc>
        <w:tc>
          <w:tcPr>
            <w:tcW w:w="5870" w:type="dxa"/>
            <w:tcBorders/>
            <w:vAlign w:val="center"/>
          </w:tcPr>
          <w:p>
            <w:pPr>
              <w:pStyle w:val="TableContents"/>
              <w:bidi w:val="0"/>
              <w:spacing w:before="0" w:after="0"/>
              <w:jc w:val="left"/>
              <w:rPr>
                <w:rFonts w:ascii="Arial;Helvetica;sans-serif" w:hAnsi="Arial;Helvetica;sans-serif"/>
                <w:color w:val="14202A"/>
                <w:sz w:val="18"/>
              </w:rPr>
            </w:pPr>
            <w:r>
              <w:rPr>
                <w:rFonts w:ascii="Arial;Helvetica;sans-serif" w:hAnsi="Arial;Helvetica;sans-serif"/>
                <w:color w:val="14202A"/>
                <w:sz w:val="18"/>
              </w:rPr>
              <w:t xml:space="preserve">Attending the Annual Meeting and voting via the online voting platform. </w:t>
            </w:r>
          </w:p>
        </w:tc>
      </w:tr>
    </w:tbl>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To revoke your proxy by internet or telephone, you must do so by 11:59 p.m. Eastern Time on December 15, 2025. Attending the Annual Meeting will not, by itself, revoke your proxy. </w:t>
      </w:r>
    </w:p>
    <w:p>
      <w:pPr>
        <w:pStyle w:val="TextBody"/>
        <w:bidi w:val="0"/>
        <w:spacing w:before="310" w:after="283"/>
        <w:ind w:left="0" w:right="0" w:hanging="0"/>
        <w:jc w:val="left"/>
        <w:rPr>
          <w:rFonts w:ascii="Arial;Helvetica;sans-serif" w:hAnsi="Arial;Helvetica;sans-serif"/>
          <w:b/>
          <w:color w:val="D8E47A"/>
          <w:sz w:val="24"/>
        </w:rPr>
      </w:pPr>
      <w:bookmarkStart w:id="183" w:name="tVNT"/>
      <w:bookmarkEnd w:id="183"/>
      <w:r>
        <w:rPr>
          <w:rFonts w:ascii="Arial;Helvetica;sans-serif" w:hAnsi="Arial;Helvetica;sans-serif"/>
          <w:b/>
          <w:color w:val="D8E47A"/>
          <w:sz w:val="24"/>
        </w:rPr>
        <w:t xml:space="preserve">Votes Necessary to Act on Proposals and Board Recommendation </w:t>
      </w:r>
    </w:p>
    <w:tbl>
      <w:tblPr>
        <w:tblW w:w="10205" w:type="dxa"/>
        <w:jc w:val="left"/>
        <w:tblInd w:w="0" w:type="dxa"/>
        <w:tblLayout w:type="fixed"/>
        <w:tblCellMar>
          <w:top w:w="0" w:type="dxa"/>
          <w:left w:w="0" w:type="dxa"/>
          <w:bottom w:w="0" w:type="dxa"/>
          <w:right w:w="0" w:type="dxa"/>
        </w:tblCellMar>
      </w:tblPr>
      <w:tblGrid>
        <w:gridCol w:w="185"/>
        <w:gridCol w:w="172"/>
        <w:gridCol w:w="170"/>
        <w:gridCol w:w="170"/>
        <w:gridCol w:w="2679"/>
        <w:gridCol w:w="170"/>
        <w:gridCol w:w="170"/>
        <w:gridCol w:w="952"/>
        <w:gridCol w:w="170"/>
        <w:gridCol w:w="170"/>
        <w:gridCol w:w="1104"/>
        <w:gridCol w:w="170"/>
        <w:gridCol w:w="170"/>
        <w:gridCol w:w="927"/>
        <w:gridCol w:w="170"/>
        <w:gridCol w:w="170"/>
        <w:gridCol w:w="730"/>
        <w:gridCol w:w="170"/>
        <w:gridCol w:w="170"/>
        <w:gridCol w:w="1198"/>
        <w:gridCol w:w="218"/>
      </w:tblGrid>
      <w:tr>
        <w:trPr/>
        <w:tc>
          <w:tcPr>
            <w:tcW w:w="185" w:type="dxa"/>
            <w:tcBorders/>
            <w:shd w:fill="14202A" w:val="clear"/>
            <w:vAlign w:val="center"/>
          </w:tcPr>
          <w:p>
            <w:pPr>
              <w:pStyle w:val="TableContents"/>
              <w:bidi w:val="0"/>
              <w:spacing w:before="0" w:after="0"/>
              <w:jc w:val="left"/>
              <w:rPr/>
            </w:pPr>
            <w:r>
              <w:rPr/>
              <w:t> </w:t>
            </w:r>
          </w:p>
        </w:tc>
        <w:tc>
          <w:tcPr>
            <w:tcW w:w="3191" w:type="dxa"/>
            <w:gridSpan w:val="4"/>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2"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04"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27"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3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98" w:type="dxa"/>
            <w:tcBorders/>
            <w:shd w:fill="14202A" w:val="clear"/>
            <w:vAlign w:val="center"/>
          </w:tcPr>
          <w:p>
            <w:pPr>
              <w:pStyle w:val="TableContents"/>
              <w:bidi w:val="0"/>
              <w:spacing w:before="0" w:after="0"/>
              <w:jc w:val="left"/>
              <w:rPr/>
            </w:pPr>
            <w:r>
              <w:rPr/>
              <w:t> </w:t>
            </w:r>
          </w:p>
        </w:tc>
        <w:tc>
          <w:tcPr>
            <w:tcW w:w="218" w:type="dxa"/>
            <w:tcBorders/>
            <w:shd w:fill="14202A" w:val="clear"/>
            <w:vAlign w:val="center"/>
          </w:tcPr>
          <w:p>
            <w:pPr>
              <w:pStyle w:val="TableContents"/>
              <w:bidi w:val="0"/>
              <w:spacing w:before="0" w:after="0"/>
              <w:jc w:val="left"/>
              <w:rPr/>
            </w:pPr>
            <w:r>
              <w:rPr/>
              <w:t> </w:t>
            </w:r>
          </w:p>
        </w:tc>
      </w:tr>
      <w:tr>
        <w:trPr/>
        <w:tc>
          <w:tcPr>
            <w:tcW w:w="185" w:type="dxa"/>
            <w:tcBorders/>
            <w:shd w:fill="14202A" w:val="clear"/>
            <w:vAlign w:val="center"/>
          </w:tcPr>
          <w:p>
            <w:pPr>
              <w:pStyle w:val="TableContents"/>
              <w:bidi w:val="0"/>
              <w:spacing w:before="0" w:after="0"/>
              <w:jc w:val="left"/>
              <w:rPr/>
            </w:pPr>
            <w:r>
              <w:rPr/>
              <w:t> </w:t>
            </w:r>
          </w:p>
        </w:tc>
        <w:tc>
          <w:tcPr>
            <w:tcW w:w="3191" w:type="dxa"/>
            <w:gridSpan w:val="4"/>
            <w:tcBorders/>
            <w:shd w:fill="14202A"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Proposals​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52"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Vote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Required</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04"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Voting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Options</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927"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Broker </w:t>
            </w:r>
          </w:p>
          <w:p>
            <w:pPr>
              <w:pStyle w:val="TableContents"/>
              <w:bidi w:val="0"/>
              <w:spacing w:before="0" w:after="283"/>
              <w:ind w:left="0" w:right="0" w:hanging="0"/>
              <w:jc w:val="both"/>
              <w:rPr>
                <w:rFonts w:ascii="Arial;Helvetica;sans-serif" w:hAnsi="Arial;Helvetica;sans-serif"/>
                <w:b/>
                <w:color w:val="FFFFFF"/>
                <w:sz w:val="14"/>
              </w:rPr>
            </w:pPr>
            <w:r>
              <w:rPr>
                <w:rFonts w:ascii="Arial;Helvetica;sans-serif" w:hAnsi="Arial;Helvetica;sans-serif"/>
                <w:b/>
                <w:color w:val="FFFFFF"/>
                <w:sz w:val="14"/>
              </w:rPr>
              <w:t xml:space="preserve">Discretionary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Voting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Allowed</w:t>
            </w:r>
            <w:r>
              <w:rPr>
                <w:rFonts w:ascii="Arial;Helvetica;sans-serif" w:hAnsi="Arial;Helvetica;sans-serif"/>
                <w:b/>
                <w:color w:val="FFFFFF"/>
                <w:position w:val="5"/>
                <w:sz w:val="11"/>
                <w:sz w:val="14"/>
              </w:rPr>
              <w:t>(1)</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730" w:type="dxa"/>
            <w:tcBorders/>
            <w:shd w:fill="14202A" w:val="clear"/>
            <w:vAlign w:val="center"/>
          </w:tcPr>
          <w:p>
            <w:pPr>
              <w:pStyle w:val="TableContents"/>
              <w:bidi w:val="0"/>
              <w:spacing w:before="0" w:after="283"/>
              <w:jc w:val="center"/>
              <w:rPr>
                <w:color w:val="FFFFFF"/>
              </w:rPr>
            </w:pPr>
            <w:r>
              <w:rPr>
                <w:color w:val="FFFFFF"/>
              </w:rPr>
              <w:t xml:space="preserve">​ </w:t>
            </w:r>
            <w:r>
              <w:rPr>
                <w:rFonts w:ascii="Arial;Helvetica;sans-serif" w:hAnsi="Arial;Helvetica;sans-serif"/>
                <w:b/>
                <w:color w:val="FFFFFF"/>
                <w:sz w:val="14"/>
              </w:rPr>
              <w:t xml:space="preserve">Impact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Abstention</w:t>
            </w:r>
          </w:p>
        </w:tc>
        <w:tc>
          <w:tcPr>
            <w:tcW w:w="170" w:type="dxa"/>
            <w:tcBorders/>
            <w:shd w:fill="14202A" w:val="clear"/>
            <w:vAlign w:val="center"/>
          </w:tcPr>
          <w:p>
            <w:pPr>
              <w:pStyle w:val="TableContents"/>
              <w:bidi w:val="0"/>
              <w:spacing w:before="0" w:after="0"/>
              <w:jc w:val="left"/>
              <w:rPr/>
            </w:pPr>
            <w:r>
              <w:rPr/>
              <w:t> </w:t>
            </w:r>
          </w:p>
        </w:tc>
        <w:tc>
          <w:tcPr>
            <w:tcW w:w="170" w:type="dxa"/>
            <w:tcBorders/>
            <w:shd w:fill="14202A" w:val="clear"/>
            <w:vAlign w:val="center"/>
          </w:tcPr>
          <w:p>
            <w:pPr>
              <w:pStyle w:val="TableContents"/>
              <w:bidi w:val="0"/>
              <w:spacing w:before="0" w:after="0"/>
              <w:jc w:val="left"/>
              <w:rPr/>
            </w:pPr>
            <w:r>
              <w:rPr/>
              <w:t> </w:t>
            </w:r>
          </w:p>
        </w:tc>
        <w:tc>
          <w:tcPr>
            <w:tcW w:w="1198" w:type="dxa"/>
            <w:tcBorders/>
            <w:shd w:fill="14202A"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Board </w:t>
            </w:r>
          </w:p>
          <w:p>
            <w:pPr>
              <w:pStyle w:val="TableContents"/>
              <w:bidi w:val="0"/>
              <w:spacing w:before="0" w:after="283"/>
              <w:ind w:left="0" w:right="0" w:hanging="0"/>
              <w:jc w:val="both"/>
              <w:rPr>
                <w:rFonts w:ascii="Arial;Helvetica;sans-serif" w:hAnsi="Arial;Helvetica;sans-serif"/>
                <w:b/>
                <w:color w:val="FFFFFF"/>
                <w:sz w:val="14"/>
              </w:rPr>
            </w:pPr>
            <w:r>
              <w:rPr>
                <w:rFonts w:ascii="Arial;Helvetica;sans-serif" w:hAnsi="Arial;Helvetica;sans-serif"/>
                <w:b/>
                <w:color w:val="FFFFFF"/>
                <w:sz w:val="14"/>
              </w:rPr>
              <w:t>Recommendation</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tc>
        <w:tc>
          <w:tcPr>
            <w:tcW w:w="218" w:type="dxa"/>
            <w:tcBorders/>
            <w:shd w:fill="14202A" w:val="cle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2"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1.</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79"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Elect three Class II directors to hold office for a three-year term</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2"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Plurality of the votes cast</w:t>
            </w:r>
            <w:r>
              <w:rPr>
                <w:rFonts w:ascii="Arial;Helvetica;sans-serif" w:hAnsi="Arial;Helvetica;sans-serif"/>
                <w:color w:val="14202A"/>
                <w:position w:val="5"/>
                <w:sz w:val="13"/>
                <w:sz w:val="16"/>
              </w:rPr>
              <w:t>(3)</w:t>
            </w:r>
            <w:r>
              <w:rPr>
                <w:rFonts w:ascii="Arial;Helvetica;sans-serif" w:hAnsi="Arial;Helvetica;sans-serif"/>
                <w:color w:val="14202A"/>
                <w:sz w:val="16"/>
              </w:rPr>
              <w:t xml:space="preserve">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04"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FOR </w:t>
            </w:r>
          </w:p>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WITHHOLD</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7"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No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30"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None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FOR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2"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2.</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79"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Approve, on an advisory basis, the compensation of our named executive officers</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2"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Majority of the votes cast</w:t>
            </w:r>
            <w:r>
              <w:rPr>
                <w:rFonts w:ascii="Arial;Helvetica;sans-serif" w:hAnsi="Arial;Helvetica;sans-serif"/>
                <w:color w:val="14202A"/>
                <w:position w:val="5"/>
                <w:sz w:val="13"/>
                <w:sz w:val="16"/>
              </w:rPr>
              <w:t>(4)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04"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FOR </w:t>
            </w:r>
          </w:p>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AGAINST </w:t>
            </w:r>
          </w:p>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ABSTAIN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7"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No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30"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None</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FOR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2"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3.</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79"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Approve our amended and restated 2019 Omnibus Incentive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2"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Majority of the shares present</w:t>
            </w:r>
            <w:r>
              <w:rPr>
                <w:rFonts w:ascii="Arial;Helvetica;sans-serif" w:hAnsi="Arial;Helvetica;sans-serif"/>
                <w:color w:val="14202A"/>
                <w:position w:val="5"/>
                <w:sz w:val="13"/>
                <w:sz w:val="16"/>
              </w:rPr>
              <w:t>(5)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04"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FOR AGAINST ABSTAIN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7"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w:t>
            </w:r>
            <w:r>
              <w:rPr>
                <w:rFonts w:ascii="Arial;Helvetica;sans-serif" w:hAnsi="Arial;Helvetica;sans-serif"/>
                <w:color w:val="14202A"/>
                <w:sz w:val="16"/>
              </w:rPr>
              <w:t>No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30"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Against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FOR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2" w:type="dxa"/>
            <w:tcBorders>
              <w:bottom w:val="single" w:sz="8" w:space="0" w:color="14202A"/>
            </w:tcBorders>
            <w:tcMar>
              <w:bottom w:w="88" w:type="dxa"/>
            </w:tcMar>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4.</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79" w:type="dxa"/>
            <w:tcBorders>
              <w:bottom w:val="single" w:sz="8" w:space="0" w:color="14202A"/>
            </w:tcBorders>
            <w:tcMar>
              <w:bottom w:w="88" w:type="dxa"/>
            </w:tcMar>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Approve our amended and restated Employee Stock Purchase Plan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2"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Majority of the shares present</w:t>
            </w:r>
            <w:r>
              <w:rPr>
                <w:rFonts w:ascii="Arial;Helvetica;sans-serif" w:hAnsi="Arial;Helvetica;sans-serif"/>
                <w:color w:val="14202A"/>
                <w:position w:val="5"/>
                <w:sz w:val="13"/>
                <w:sz w:val="16"/>
              </w:rPr>
              <w:t>(5)</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04"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FOR AGAINST ABSTAIN</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7" w:type="dxa"/>
            <w:tcBorders>
              <w:bottom w:val="single" w:sz="8" w:space="0" w:color="14202A"/>
            </w:tcBorders>
            <w:tcMar>
              <w:bottom w:w="88" w:type="dxa"/>
            </w:tcMar>
            <w:vAlign w:val="center"/>
          </w:tcPr>
          <w:p>
            <w:pPr>
              <w:pStyle w:val="TableContents"/>
              <w:bidi w:val="0"/>
              <w:spacing w:before="0" w:after="283"/>
              <w:jc w:val="center"/>
              <w:rPr>
                <w:color w:val="14202A"/>
              </w:rPr>
            </w:pPr>
            <w:r>
              <w:rPr>
                <w:color w:val="14202A"/>
              </w:rPr>
              <w:t>​</w:t>
            </w:r>
            <w:r>
              <w:rPr>
                <w:rFonts w:ascii="Arial;Helvetica;sans-serif" w:hAnsi="Arial;Helvetica;sans-serif"/>
                <w:color w:val="14202A"/>
                <w:sz w:val="16"/>
              </w:rPr>
              <w:t>No</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30"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Against</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8" w:type="dxa"/>
            <w:tcBorders>
              <w:bottom w:val="single" w:sz="8" w:space="0" w:color="14202A"/>
            </w:tcBorders>
            <w:tcMar>
              <w:bottom w:w="88" w:type="dxa"/>
            </w:tcMar>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 xml:space="preserve">FOR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283"/>
              <w:ind w:left="60" w:right="0" w:hanging="0"/>
              <w:jc w:val="left"/>
              <w:rPr>
                <w:rFonts w:ascii="Arial;Helvetica;sans-serif" w:hAnsi="Arial;Helvetica;sans-serif"/>
                <w:b/>
                <w:color w:val="14202A"/>
                <w:sz w:val="16"/>
              </w:rPr>
            </w:pPr>
            <w:r>
              <w:rPr>
                <w:rFonts w:ascii="Arial;Helvetica;sans-serif" w:hAnsi="Arial;Helvetica;sans-serif"/>
                <w:b/>
                <w:color w:val="14202A"/>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9" w:type="dxa"/>
            <w:tcBorders/>
            <w:vAlign w:val="center"/>
          </w:tcPr>
          <w:p>
            <w:pPr>
              <w:pStyle w:val="TableContents"/>
              <w:bidi w:val="0"/>
              <w:spacing w:before="0" w:after="283"/>
              <w:ind w:left="0" w:right="0" w:hanging="0"/>
              <w:jc w:val="left"/>
              <w:rPr>
                <w:rFonts w:ascii="Arial;Helvetica;sans-serif" w:hAnsi="Arial;Helvetica;sans-serif"/>
                <w:color w:val="14202A"/>
                <w:sz w:val="16"/>
              </w:rPr>
            </w:pPr>
            <w:r>
              <w:rPr>
                <w:rFonts w:ascii="Arial;Helvetica;sans-serif" w:hAnsi="Arial;Helvetica;sans-serif"/>
                <w:color w:val="14202A"/>
                <w:sz w:val="16"/>
              </w:rPr>
              <w:t>Ratify the appointment of Deloitte &amp; Touche LLP as our independent registered public accountant for the fiscal year ending August 29,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Majority of the shares present</w:t>
            </w:r>
            <w:r>
              <w:rPr>
                <w:rFonts w:ascii="Arial;Helvetica;sans-serif" w:hAnsi="Arial;Helvetica;sans-serif"/>
                <w:color w:val="14202A"/>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4" w:type="dxa"/>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FOR </w:t>
            </w:r>
          </w:p>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 xml:space="preserve">AGAINST </w:t>
            </w:r>
          </w:p>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Yes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jc w:val="center"/>
              <w:rPr>
                <w:rFonts w:ascii="Arial;Helvetica;sans-serif" w:hAnsi="Arial;Helvetica;sans-serif"/>
                <w:color w:val="14202A"/>
                <w:sz w:val="16"/>
              </w:rPr>
            </w:pPr>
            <w:r>
              <w:rPr>
                <w:rFonts w:ascii="Arial;Helvetica;sans-serif" w:hAnsi="Arial;Helvetica;sans-serif"/>
                <w:color w:val="14202A"/>
                <w:sz w:val="16"/>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283"/>
              <w:jc w:val="center"/>
              <w:rPr>
                <w:rFonts w:ascii="Arial;Helvetica;sans-serif" w:hAnsi="Arial;Helvetica;sans-serif"/>
                <w:b/>
                <w:color w:val="14202A"/>
                <w:sz w:val="16"/>
              </w:rPr>
            </w:pPr>
            <w:r>
              <w:rPr>
                <w:rFonts w:ascii="Arial;Helvetica;sans-serif" w:hAnsi="Arial;Helvetica;sans-serif"/>
                <w:b/>
                <w:color w:val="14202A"/>
                <w:sz w:val="16"/>
              </w:rPr>
              <w:t>FOR</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14202A"/>
            </w:tcBorders>
            <w:tcMar>
              <w:bottom w:w="28" w:type="dxa"/>
            </w:tcMar>
            <w:vAlign w:val="center"/>
          </w:tcPr>
          <w:p>
            <w:pPr>
              <w:pStyle w:val="TableContents"/>
              <w:bidi w:val="0"/>
              <w:spacing w:before="0" w:after="0"/>
              <w:jc w:val="left"/>
              <w:rPr/>
            </w:pPr>
            <w:r>
              <w:rPr/>
              <w:t> </w:t>
            </w:r>
          </w:p>
        </w:tc>
        <w:tc>
          <w:tcPr>
            <w:tcW w:w="17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2679"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52"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04"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927"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73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70" w:type="dxa"/>
            <w:tcBorders>
              <w:bottom w:val="single" w:sz="8" w:space="0" w:color="14202A"/>
            </w:tcBorders>
            <w:tcMar>
              <w:bottom w:w="28" w:type="dxa"/>
            </w:tcMar>
            <w:vAlign w:val="center"/>
          </w:tcPr>
          <w:p>
            <w:pPr>
              <w:pStyle w:val="TableContents"/>
              <w:bidi w:val="0"/>
              <w:spacing w:before="0" w:after="0"/>
              <w:jc w:val="left"/>
              <w:rPr/>
            </w:pPr>
            <w:r>
              <w:rPr/>
              <w:t> </w:t>
            </w:r>
          </w:p>
        </w:tc>
        <w:tc>
          <w:tcPr>
            <w:tcW w:w="1198" w:type="dxa"/>
            <w:tcBorders>
              <w:bottom w:val="single" w:sz="8" w:space="0" w:color="14202A"/>
            </w:tcBorders>
            <w:tcMar>
              <w:bottom w:w="28" w:type="dxa"/>
            </w:tcMar>
            <w:vAlign w:val="center"/>
          </w:tcPr>
          <w:p>
            <w:pPr>
              <w:pStyle w:val="TableContents"/>
              <w:bidi w:val="0"/>
              <w:spacing w:before="0" w:after="0"/>
              <w:jc w:val="left"/>
              <w:rPr/>
            </w:pPr>
            <w:r>
              <w:rPr/>
              <w:t> </w:t>
            </w:r>
          </w:p>
        </w:tc>
        <w:tc>
          <w:tcPr>
            <w:tcW w:w="218" w:type="dxa"/>
            <w:tcBorders>
              <w:bottom w:val="single" w:sz="8" w:space="0" w:color="14202A"/>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(1)</w:t>
            </w:r>
          </w:p>
        </w:tc>
        <w:tc>
          <w:tcPr>
            <w:tcW w:w="1002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If broker discretionary voting is not allowed, your broker will not be able to vote your shares on these matters unless your broker receives voting instructions from you. A broker non-vote will have no effect on the outcome of the voting on any of the proposals; provided, that a broker non-vote will have the effect of a vote “AGAINST” Proposal 3, 4 and 5 if a majority of the voting power of the minimum number of shares entitled to vote that would constitute a quorum at the meeting is required in order to approve the item as described in footnote 5 below. </w:t>
            </w:r>
          </w:p>
        </w:tc>
      </w:tr>
    </w:tbl>
    <w:tbl>
      <w:tblPr>
        <w:tblW w:w="9010" w:type="dxa"/>
        <w:jc w:val="left"/>
        <w:tblInd w:w="0" w:type="dxa"/>
        <w:tblLayout w:type="fixed"/>
        <w:tblCellMar>
          <w:top w:w="0" w:type="dxa"/>
          <w:left w:w="0" w:type="dxa"/>
          <w:bottom w:w="0" w:type="dxa"/>
          <w:right w:w="0" w:type="dxa"/>
        </w:tblCellMar>
      </w:tblPr>
      <w:tblGrid>
        <w:gridCol w:w="215"/>
        <w:gridCol w:w="8795"/>
      </w:tblGrid>
      <w:tr>
        <w:trPr/>
        <w:tc>
          <w:tcPr>
            <w:tcW w:w="21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(2)</w:t>
            </w:r>
          </w:p>
        </w:tc>
        <w:tc>
          <w:tcPr>
            <w:tcW w:w="8795"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All properly submitted proxy cards not containing specific voting instructions will be voted in accordance with the Board’s recommendations.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(3)</w:t>
            </w:r>
          </w:p>
        </w:tc>
        <w:tc>
          <w:tcPr>
            <w:tcW w:w="10022"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Our Board has adopted a majority voting policy for the election of directors in uncontested elections. Under this policy, in any uncontested election of directors of the Company, if any nominee receives less than a majority of the votes cast for the nominee, that nominee will still be elected, but must tender his or her resignation to the Board for consideration at the next regularly scheduled meeting of the Board. The Board will only not accept the tendered resignation for, in its judgment, a compelling reason.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(4)</w:t>
            </w:r>
          </w:p>
        </w:tc>
        <w:tc>
          <w:tcPr>
            <w:tcW w:w="10014"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The vote of shareholders on this proposal is not binding, but rather is advisory in nature; however, the Board intends to carefully consider the result of the vote on this proposal. The Board will consider shareholders to have approved our executive compensation if more shares are voted “FOR” than “AGAINST” this proposal.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(5)</w:t>
            </w:r>
          </w:p>
        </w:tc>
        <w:tc>
          <w:tcPr>
            <w:tcW w:w="10008" w:type="dxa"/>
            <w:tcBorders/>
            <w:vAlign w:val="center"/>
          </w:tcPr>
          <w:p>
            <w:pPr>
              <w:pStyle w:val="TableContents"/>
              <w:bidi w:val="0"/>
              <w:spacing w:before="0" w:after="0"/>
              <w:jc w:val="left"/>
              <w:rPr>
                <w:rFonts w:ascii="Arial;Helvetica;sans-serif" w:hAnsi="Arial;Helvetica;sans-serif"/>
                <w:color w:val="14202A"/>
                <w:sz w:val="14"/>
              </w:rPr>
            </w:pPr>
            <w:r>
              <w:rPr>
                <w:rFonts w:ascii="Arial;Helvetica;sans-serif" w:hAnsi="Arial;Helvetica;sans-serif"/>
                <w:color w:val="14202A"/>
                <w:sz w:val="14"/>
              </w:rPr>
              <w:t xml:space="preserve">Majority of shares means the majority of shares present and entitled to vote on the matter or, if greater, the vote required is a majority of the voting power of the minimum number of shares entitled to vote that would constitute a quorum at the Annual Meeting.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4" w:name="ny20052074x1_def14a_118-security_pg5"/>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200" w:after="283"/>
        <w:ind w:left="0" w:right="0" w:hanging="0"/>
        <w:jc w:val="left"/>
        <w:rPr>
          <w:rFonts w:ascii="Arial;Helvetica;sans-serif" w:hAnsi="Arial;Helvetica;sans-serif"/>
          <w:b/>
          <w:color w:val="14202A"/>
          <w:sz w:val="30"/>
        </w:rPr>
      </w:pPr>
      <w:bookmarkStart w:id="185" w:name="tOI"/>
      <w:bookmarkEnd w:id="185"/>
      <w:r>
        <w:rPr>
          <w:rFonts w:ascii="Arial;Helvetica;sans-serif" w:hAnsi="Arial;Helvetica;sans-serif"/>
          <w:b/>
          <w:color w:val="14202A"/>
          <w:sz w:val="30"/>
        </w:rPr>
        <w:t xml:space="preserve">Other Information </w:t>
      </w:r>
    </w:p>
    <w:p>
      <w:pPr>
        <w:pStyle w:val="TextBody"/>
        <w:bidi w:val="0"/>
        <w:spacing w:before="340" w:after="283"/>
        <w:ind w:left="0" w:right="0" w:hanging="0"/>
        <w:jc w:val="left"/>
        <w:rPr>
          <w:rFonts w:ascii="Arial;Helvetica;sans-serif" w:hAnsi="Arial;Helvetica;sans-serif"/>
          <w:b/>
          <w:color w:val="D8E47A"/>
          <w:sz w:val="24"/>
        </w:rPr>
      </w:pPr>
      <w:bookmarkStart w:id="186" w:name="tOTHE"/>
      <w:bookmarkEnd w:id="186"/>
      <w:r>
        <w:rPr>
          <w:rFonts w:ascii="Arial;Helvetica;sans-serif" w:hAnsi="Arial;Helvetica;sans-serif"/>
          <w:b/>
          <w:color w:val="D8E47A"/>
          <w:sz w:val="24"/>
        </w:rPr>
        <w:t xml:space="preserve">Other Matters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 </w:t>
      </w:r>
    </w:p>
    <w:p>
      <w:pPr>
        <w:pStyle w:val="TextBody"/>
        <w:bidi w:val="0"/>
        <w:spacing w:before="300" w:after="283"/>
        <w:ind w:left="0" w:right="0" w:hanging="0"/>
        <w:jc w:val="left"/>
        <w:rPr>
          <w:rFonts w:ascii="Arial;Helvetica;sans-serif" w:hAnsi="Arial;Helvetica;sans-serif"/>
          <w:b/>
          <w:color w:val="D8E47A"/>
          <w:sz w:val="24"/>
        </w:rPr>
      </w:pPr>
      <w:bookmarkStart w:id="187" w:name="tDELI"/>
      <w:bookmarkEnd w:id="187"/>
      <w:r>
        <w:rPr>
          <w:rFonts w:ascii="Arial;Helvetica;sans-serif" w:hAnsi="Arial;Helvetica;sans-serif"/>
          <w:b/>
          <w:color w:val="D8E47A"/>
          <w:sz w:val="24"/>
        </w:rPr>
        <w:t xml:space="preserve">Delinquent Section 16(a) Reports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Section 16(a) of the Exchange Act requires our directors, executive officers and persons who own more than 10% of our common stock to file reports of ownership and changes in ownership with the SEC. Such directors, executive officers and shareholders are also required by SEC rules to provide us with copies of all Section 16(a) forms that they file. Based solely on our review of the copies of such forms provided to us and written representations that no reports were required to be filed during Fiscal 2025, we believe that for Fiscal 2025, all required reports were filed on a timely basis under Section 16(a), except for one Form 4 filing for each of Ms. Woods and Mr. Miles reporting the issuance of deferred stock units under the Directors’ Deferred Plan, due to administrative oversight. </w:t>
      </w:r>
    </w:p>
    <w:p>
      <w:pPr>
        <w:pStyle w:val="TextBody"/>
        <w:bidi w:val="0"/>
        <w:spacing w:before="300" w:after="283"/>
        <w:ind w:left="0" w:right="0" w:hanging="0"/>
        <w:jc w:val="left"/>
        <w:rPr>
          <w:rFonts w:ascii="Arial;Helvetica;sans-serif" w:hAnsi="Arial;Helvetica;sans-serif"/>
          <w:b/>
          <w:color w:val="D8E47A"/>
          <w:sz w:val="24"/>
        </w:rPr>
      </w:pPr>
      <w:bookmarkStart w:id="188" w:name="tFISCA"/>
      <w:bookmarkEnd w:id="188"/>
      <w:r>
        <w:rPr>
          <w:rFonts w:ascii="Arial;Helvetica;sans-serif" w:hAnsi="Arial;Helvetica;sans-serif"/>
          <w:b/>
          <w:color w:val="D8E47A"/>
          <w:sz w:val="24"/>
        </w:rPr>
        <w:t xml:space="preserve">Fiscal 2026 Shareholder Proposals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To be considered for inclusion in our proxy statement for the 2026 annual meeting of shareholders, shareholder proposals other than a director nomination must comply with Rule 14a-8 under the Exchange Act and must be submitted in writing and received by us no later than July 7, 2026 at our principal executive offices, addressed to the Corporate Secretary.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shareholder proposal that is not intended for inclusion in our proxy statement under Rule 14a-8 or a shareholder nomination of a director candidate may be brought before the 2026 annual meeting so long as we receive information and notice of the proposal in compliance with the requirements of our bylaws. Notice of such proposal or nomination must be addressed to the Corporate Secretary at our principal executive offices and received no later than September 17, 2026 and no earlier than August 18, 2026.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In addition, to comply with the SEC’s universal proxy rules, a shareholder who intends to solicit proxies in support of director nominees other than the Company’s nominees, must provide notice that sets forth the information required by Rule 14a-19 of the Exchange Act no later than October 19, 2026. However, this date does not supersede any of the requirements or timing required by our bylaws.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It is also possible that certain other deadlines would apply under either the Exchange Act rules or our bylaws if, for example, the date of our 2026 annual meeting of shareholders differs from the anniversary of the 2025 Annual Meeting by more than the number of days specified in the Exchange Act rules or our bylaws, as applicable.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 copy of our bylaws may be obtained by written request to: Winnebago Industries, Inc., Attn: Senior Vice President — Chief Legal Officer, Corporate Secretary and Corporate Responsibility, 13200 Pioneer Trail, Eden Prairie, Minnesota 55347. </w:t>
      </w:r>
    </w:p>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9" w:name="ny20052074x1_def14a_118-security_pg6"/>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D8E47A"/>
          <w:sz w:val="24"/>
        </w:rPr>
      </w:pPr>
      <w:bookmarkStart w:id="190" w:name="tPROXY"/>
      <w:bookmarkEnd w:id="190"/>
      <w:r>
        <w:rPr>
          <w:rFonts w:ascii="Arial;Helvetica;sans-serif" w:hAnsi="Arial;Helvetica;sans-serif"/>
          <w:b/>
          <w:color w:val="D8E47A"/>
          <w:sz w:val="24"/>
        </w:rPr>
        <w:t xml:space="preserve">Proxy Solicitation Costs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 will pay the cost of soliciting proxies. The Company will be soliciting proxies primarily through the internet and the use of mail. Our directors and employees (without additional compensation) may also solicit proxies in person, by telephone or email. We will reimburse brokers, banks, and other custodians, nominees, and fiduciaries for reasonable expenses incurred in forwarding proxies and proxy materials to the beneficial owners of Winnebago Industries stock. </w:t>
      </w:r>
    </w:p>
    <w:p>
      <w:pPr>
        <w:pStyle w:val="TextBody"/>
        <w:bidi w:val="0"/>
        <w:spacing w:before="300" w:after="283"/>
        <w:ind w:left="0" w:right="0" w:hanging="0"/>
        <w:jc w:val="left"/>
        <w:rPr>
          <w:rFonts w:ascii="Arial;Helvetica;sans-serif" w:hAnsi="Arial;Helvetica;sans-serif"/>
          <w:b/>
          <w:color w:val="D8E47A"/>
          <w:sz w:val="24"/>
        </w:rPr>
      </w:pPr>
      <w:bookmarkStart w:id="191" w:name="tANRE"/>
      <w:bookmarkEnd w:id="191"/>
      <w:r>
        <w:rPr>
          <w:rFonts w:ascii="Arial;Helvetica;sans-serif" w:hAnsi="Arial;Helvetica;sans-serif"/>
          <w:b/>
          <w:color w:val="D8E47A"/>
          <w:sz w:val="24"/>
        </w:rPr>
        <w:t xml:space="preserve">Annual Report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Our Annual Report on Form 10-K for the fiscal year ended August 30, 2025 is available on our website at </w:t>
      </w:r>
      <w:r>
        <w:rPr>
          <w:rFonts w:ascii="Arial;Helvetica;sans-serif" w:hAnsi="Arial;Helvetica;sans-serif"/>
          <w:b/>
          <w:color w:val="14202A"/>
          <w:sz w:val="18"/>
        </w:rPr>
        <w:t>www.winnebagoind.com</w:t>
      </w:r>
      <w:r>
        <w:rPr>
          <w:rFonts w:ascii="Arial;Helvetica;sans-serif" w:hAnsi="Arial;Helvetica;sans-serif"/>
          <w:color w:val="14202A"/>
          <w:sz w:val="18"/>
        </w:rPr>
        <w:t xml:space="preserve"> under “Finance Information” in the “Investors” section. The financial statements contained in the Annual Report on Form 10-K are not deemed material to the exercise of prudent judgment in regard to any matter to be acted upon at the Annual Meeting and, therefore, such financial statements are not incorporated in this proxy statement by reference. You may also request a free copy of our Annual Report on Form 10-K and this proxy statement by writing to Winnebago Industries, Inc., Attn: Senior Vice President — Chief Legal Officer, Corporate Secretary and Corporate Responsibility, 13200 Pioneer Trail, Eden Prairie, Minnesota 55347. </w:t>
      </w:r>
    </w:p>
    <w:p>
      <w:pPr>
        <w:pStyle w:val="TextBody"/>
        <w:bidi w:val="0"/>
        <w:spacing w:before="300" w:after="283"/>
        <w:ind w:left="0" w:right="0" w:hanging="0"/>
        <w:jc w:val="left"/>
        <w:rPr>
          <w:rFonts w:ascii="Arial;Helvetica;sans-serif" w:hAnsi="Arial;Helvetica;sans-serif"/>
          <w:b/>
          <w:color w:val="D8E47A"/>
          <w:sz w:val="24"/>
        </w:rPr>
      </w:pPr>
      <w:bookmarkStart w:id="192" w:name="tFLI"/>
      <w:bookmarkEnd w:id="192"/>
      <w:r>
        <w:rPr>
          <w:rFonts w:ascii="Arial;Helvetica;sans-serif" w:hAnsi="Arial;Helvetica;sans-serif"/>
          <w:b/>
          <w:color w:val="D8E47A"/>
          <w:sz w:val="24"/>
        </w:rPr>
        <w:t xml:space="preserve">Forward-looking Information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Statements made in this proxy statement that are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forward-looking statements include (without limitation) statements as to future expectations, beliefs, plans, strategies, objectives, events, conditions and financial performance.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30, 2025 filed with the SEC for a list of such factors. </w:t>
      </w:r>
    </w:p>
    <w:p>
      <w:pPr>
        <w:pStyle w:val="TextBody"/>
        <w:bidi w:val="0"/>
        <w:spacing w:before="300" w:after="283"/>
        <w:ind w:left="0" w:right="0" w:hanging="0"/>
        <w:jc w:val="left"/>
        <w:rPr>
          <w:rFonts w:ascii="Arial;Helvetica;sans-serif" w:hAnsi="Arial;Helvetica;sans-serif"/>
          <w:b/>
          <w:color w:val="D8E47A"/>
          <w:sz w:val="24"/>
        </w:rPr>
      </w:pPr>
      <w:r>
        <w:rPr>
          <w:rFonts w:ascii="Arial;Helvetica;sans-serif" w:hAnsi="Arial;Helvetica;sans-serif"/>
          <w:b/>
          <w:color w:val="D8E47A"/>
          <w:sz w:val="24"/>
        </w:rPr>
        <w:t xml:space="preserve">Website References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Website references throughout this proxy statement are provided for convenience only and the content on the referenced websites, including but not limited to the content contained in our Corporate Responsibility Report, is not incorporated herein by reference into this proxy statement, nor does it constitute a part of this proxy statement. </w:t>
      </w:r>
    </w:p>
    <w:tbl>
      <w:tblPr>
        <w:tblW w:w="9665" w:type="dxa"/>
        <w:jc w:val="left"/>
        <w:tblInd w:w="0" w:type="dxa"/>
        <w:tblLayout w:type="fixed"/>
        <w:tblCellMar>
          <w:top w:w="0" w:type="dxa"/>
          <w:left w:w="0" w:type="dxa"/>
          <w:bottom w:w="0" w:type="dxa"/>
          <w:right w:w="0" w:type="dxa"/>
        </w:tblCellMar>
      </w:tblPr>
      <w:tblGrid>
        <w:gridCol w:w="1580"/>
        <w:gridCol w:w="170"/>
        <w:gridCol w:w="170"/>
        <w:gridCol w:w="7745"/>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5"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5"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By Order of the Board of Directors </w:t>
            </w:r>
          </w:p>
        </w:tc>
      </w:tr>
      <w:tr>
        <w:trPr/>
        <w:tc>
          <w:tcPr>
            <w:tcW w:w="1580" w:type="dxa"/>
            <w:tcBorders/>
            <w:vAlign w:val="center"/>
          </w:tcPr>
          <w:p>
            <w:pPr>
              <w:pStyle w:val="TableContents"/>
              <w:bidi w:val="0"/>
              <w:spacing w:before="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5" w:type="dxa"/>
            <w:tcBorders/>
            <w:vAlign w:val="center"/>
          </w:tcPr>
          <w:p>
            <w:pPr>
              <w:pStyle w:val="TableContents"/>
              <w:bidi w:val="0"/>
              <w:spacing w:before="0" w:after="0"/>
              <w:jc w:val="left"/>
              <w:rPr>
                <w:color w:val="14202A"/>
              </w:rPr>
            </w:pPr>
            <w:r>
              <w:rPr>
                <w:color w:val="14202A"/>
              </w:rPr>
              <w:t> </w:t>
            </w:r>
          </w:p>
        </w:tc>
      </w:tr>
      <w:tr>
        <w:trPr/>
        <w:tc>
          <w:tcPr>
            <w:tcW w:w="1580"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November 4,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5"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590675" cy="342900"/>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7"/>
                          <a:stretch>
                            <a:fillRect/>
                          </a:stretch>
                        </pic:blipFill>
                        <pic:spPr bwMode="auto">
                          <a:xfrm>
                            <a:off x="0" y="0"/>
                            <a:ext cx="1590675" cy="342900"/>
                          </a:xfrm>
                          <a:prstGeom prst="rect">
                            <a:avLst/>
                          </a:prstGeom>
                        </pic:spPr>
                      </pic:pic>
                    </a:graphicData>
                  </a:graphic>
                </wp:inline>
              </w:drawing>
            </w:r>
          </w:p>
          <w:p>
            <w:pPr>
              <w:pStyle w:val="TableContents"/>
              <w:bidi w:val="0"/>
              <w:spacing w:before="0" w:after="283"/>
              <w:ind w:left="0" w:right="0" w:hanging="0"/>
              <w:jc w:val="left"/>
              <w:rPr>
                <w:color w:val="14202A"/>
              </w:rPr>
            </w:pPr>
            <w:r>
              <w:rPr>
                <w:color w:val="14202A"/>
              </w:rPr>
              <w:t> </w:t>
            </w:r>
          </w:p>
        </w:tc>
      </w:tr>
      <w:tr>
        <w:trPr/>
        <w:tc>
          <w:tcPr>
            <w:tcW w:w="1580" w:type="dxa"/>
            <w:tcBorders/>
            <w:vAlign w:val="center"/>
          </w:tcPr>
          <w:p>
            <w:pPr>
              <w:pStyle w:val="TableContents"/>
              <w:bidi w:val="0"/>
              <w:spacing w:before="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5"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Stacy L. Bogart </w:t>
            </w:r>
          </w:p>
        </w:tc>
      </w:tr>
      <w:tr>
        <w:trPr/>
        <w:tc>
          <w:tcPr>
            <w:tcW w:w="1580" w:type="dxa"/>
            <w:tcBorders/>
            <w:vAlign w:val="center"/>
          </w:tcPr>
          <w:p>
            <w:pPr>
              <w:pStyle w:val="TableContents"/>
              <w:bidi w:val="0"/>
              <w:spacing w:before="0" w:after="283"/>
              <w:ind w:left="0" w:right="0" w:hanging="0"/>
              <w:jc w:val="left"/>
              <w:rPr>
                <w:color w:val="14202A"/>
              </w:rPr>
            </w:pPr>
            <w:r>
              <w:rPr>
                <w:color w:val="14202A"/>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5" w:type="dxa"/>
            <w:tcBorders/>
            <w:vAlign w:val="center"/>
          </w:tcPr>
          <w:p>
            <w:pPr>
              <w:pStyle w:val="TableContents"/>
              <w:bidi w:val="0"/>
              <w:spacing w:before="0" w:after="283"/>
              <w:ind w:left="0" w:right="0" w:hanging="0"/>
              <w:jc w:val="left"/>
              <w:rPr>
                <w:rFonts w:ascii="Arial;Helvetica;sans-serif" w:hAnsi="Arial;Helvetica;sans-serif"/>
                <w:color w:val="14202A"/>
                <w:sz w:val="18"/>
              </w:rPr>
            </w:pPr>
            <w:r>
              <w:rPr>
                <w:rFonts w:ascii="Arial;Helvetica;sans-serif" w:hAnsi="Arial;Helvetica;sans-serif"/>
                <w:color w:val="14202A"/>
                <w:sz w:val="18"/>
              </w:rPr>
              <w:t>Senior Vice President – Chief Legal Officer, Corporate Secretary and Corporate Responsibility</w:t>
            </w:r>
          </w:p>
        </w:tc>
      </w:tr>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5" w:type="dxa"/>
            <w:tcBorders/>
            <w:vAlign w:val="center"/>
          </w:tcPr>
          <w:p>
            <w:pPr>
              <w:pStyle w:val="TableContents"/>
              <w:bidi w:val="0"/>
              <w:spacing w:before="0" w:after="0"/>
              <w:jc w:val="left"/>
              <w:rPr/>
            </w:pPr>
            <w:r>
              <w:rPr/>
              <w:t> </w:t>
            </w:r>
          </w:p>
        </w:tc>
      </w:tr>
    </w:tbl>
    <w:tbl>
      <w:tblPr>
        <w:tblW w:w="6045" w:type="dxa"/>
        <w:jc w:val="left"/>
        <w:tblInd w:w="0" w:type="dxa"/>
        <w:tblLayout w:type="fixed"/>
        <w:tblCellMar>
          <w:top w:w="0" w:type="dxa"/>
          <w:left w:w="0" w:type="dxa"/>
          <w:bottom w:w="0" w:type="dxa"/>
          <w:right w:w="0" w:type="dxa"/>
        </w:tblCellMar>
      </w:tblPr>
      <w:tblGrid>
        <w:gridCol w:w="2610"/>
        <w:gridCol w:w="170"/>
        <w:gridCol w:w="170"/>
        <w:gridCol w:w="309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87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3" w:name="ny20052074x1_def14a_200-appa_pg1"/>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b/>
          <w:color w:val="14202A"/>
          <w:sz w:val="18"/>
        </w:rPr>
      </w:pPr>
      <w:bookmarkStart w:id="194" w:name="tAPPA"/>
      <w:bookmarkEnd w:id="194"/>
      <w:r>
        <w:rPr>
          <w:rFonts w:ascii="Arial;Helvetica;sans-serif" w:hAnsi="Arial;Helvetica;sans-serif"/>
          <w:b/>
          <w:color w:val="14202A"/>
          <w:sz w:val="18"/>
        </w:rPr>
        <w:t>Appendix A</w:t>
      </w:r>
    </w:p>
    <w:p>
      <w:pPr>
        <w:pStyle w:val="TextBody"/>
        <w:bidi w:val="0"/>
        <w:spacing w:before="27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WINNEBAGO INDUSTRIES, INC. </w:t>
      </w:r>
    </w:p>
    <w:p>
      <w:pPr>
        <w:pStyle w:val="TextBody"/>
        <w:bidi w:val="0"/>
        <w:spacing w:before="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AMENDED AND RESTATED 2019 OMNIBUS INCENTIVE PLAN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1. </w:t>
      </w:r>
      <w:r>
        <w:rPr>
          <w:rFonts w:ascii="Arial;Helvetica;sans-serif" w:hAnsi="Arial;Helvetica;sans-serif"/>
          <w:b/>
          <w:color w:val="14202A"/>
          <w:sz w:val="18"/>
          <w:u w:val="single"/>
        </w:rPr>
        <w:t>Purpose</w:t>
      </w:r>
      <w:r>
        <w:rPr>
          <w:rFonts w:ascii="Arial;Helvetica;sans-serif" w:hAnsi="Arial;Helvetica;sans-serif"/>
          <w:b/>
          <w:color w:val="14202A"/>
          <w:sz w:val="18"/>
        </w:rPr>
        <w:t>.</w:t>
      </w:r>
      <w:r>
        <w:rPr>
          <w:rFonts w:ascii="Arial;Helvetica;sans-serif" w:hAnsi="Arial;Helvetica;sans-serif"/>
          <w:color w:val="14202A"/>
          <w:sz w:val="18"/>
        </w:rPr>
        <w:t xml:space="preserve"> The Company previously adopted the 2019 Omnibus Incentive Plan, which was initially adopted by the Board on October 16, 2018, and approved by the shareholders of the Company on December 11, 2018 (the “Effective Date”). The 2019 Plan was first amended and restated effective as of December 14, 2023. The Board approved this second amendment and restatement of the Plan on October 15, 2025, which will be effective on the date it is approved by the Company’s shareholders (the “Restatement Date”). The purpose of the Plan is to attract and retain the best available personnel for positions of responsibility with the Company, to provide additional incentives to them and align their interests with those of the Company’s shareholders, and to thereby promote the Company’s long-term business success. The terms of this second Amended and Restated Plan shall apply to Awards granted on and after the Restatement Date.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2. </w:t>
      </w:r>
      <w:r>
        <w:rPr>
          <w:rFonts w:ascii="Arial;Helvetica;sans-serif" w:hAnsi="Arial;Helvetica;sans-serif"/>
          <w:b/>
          <w:color w:val="14202A"/>
          <w:sz w:val="18"/>
          <w:u w:val="single"/>
        </w:rPr>
        <w:t>Definitions</w:t>
      </w:r>
      <w:r>
        <w:rPr>
          <w:rFonts w:ascii="Arial;Helvetica;sans-serif" w:hAnsi="Arial;Helvetica;sans-serif"/>
          <w:b/>
          <w:color w:val="14202A"/>
          <w:sz w:val="18"/>
        </w:rPr>
        <w:t>.</w:t>
      </w:r>
      <w:r>
        <w:rPr>
          <w:rFonts w:ascii="Arial;Helvetica;sans-serif" w:hAnsi="Arial;Helvetica;sans-serif"/>
          <w:color w:val="14202A"/>
          <w:sz w:val="18"/>
        </w:rPr>
        <w:t xml:space="preserve"> In this Plan, the following definitions will apply.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(a) “Affiliate” means any entity that is a Subsidiary of the Company.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(b) “Agreement” means the written or electronic agreement, notice or other document containing the terms and conditions applicable to each Award granted under the Plan, including all amendments thereto. An Agreement is subject to the terms and conditions of the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(c) “Award” means a grant made under the Plan in the form of Options, Stock Appreciation Rights, Restricted Stock, Stock Units or an Other Stock-Based Award.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(d) “Board” means the Board of Directors of the Company.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(e) “Cause” means, unless otherwise defined in a then-effective written agreement (including an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(f) “Change in Control” means, unless otherwise defined in a then-effective written agreement (including an Agreement) between a Participant and the Company or any Affiliate, one of the following: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 </w:t>
      </w:r>
    </w:p>
    <w:p>
      <w:pPr>
        <w:pStyle w:val="TextBody"/>
        <w:bidi w:val="0"/>
        <w:spacing w:before="200" w:after="283"/>
        <w:ind w:left="1200" w:right="0" w:hanging="0"/>
        <w:jc w:val="left"/>
        <w:rPr>
          <w:rFonts w:ascii="Arial;Helvetica;sans-serif" w:hAnsi="Arial;Helvetica;sans-serif"/>
          <w:color w:val="14202A"/>
          <w:sz w:val="18"/>
        </w:rPr>
      </w:pPr>
      <w:r>
        <w:rPr>
          <w:rFonts w:ascii="Arial;Helvetica;sans-serif" w:hAnsi="Arial;Helvetica;sans-serif"/>
          <w:color w:val="14202A"/>
          <w:sz w:val="18"/>
        </w:rPr>
        <w:t xml:space="preserve">(A) any acquisition of securities of the Company by an Exchange Act Person from the Company for the purpose of providing financing to the Company; </w:t>
      </w:r>
    </w:p>
    <w:p>
      <w:pPr>
        <w:pStyle w:val="TextBody"/>
        <w:bidi w:val="0"/>
        <w:spacing w:before="200" w:after="283"/>
        <w:ind w:left="1200" w:right="0" w:hanging="0"/>
        <w:jc w:val="left"/>
        <w:rPr>
          <w:rFonts w:ascii="Arial;Helvetica;sans-serif" w:hAnsi="Arial;Helvetica;sans-serif"/>
          <w:color w:val="14202A"/>
          <w:sz w:val="18"/>
        </w:rPr>
      </w:pPr>
      <w:r>
        <w:rPr>
          <w:rFonts w:ascii="Arial;Helvetica;sans-serif" w:hAnsi="Arial;Helvetica;sans-serif"/>
          <w:color w:val="14202A"/>
          <w:sz w:val="18"/>
        </w:rPr>
        <w:t xml:space="preserve">(B) any formation of a Group consisting solely of beneficial owners of the Company’s Voting Securities as of the Effective Date; or </w:t>
      </w:r>
    </w:p>
    <w:p>
      <w:pPr>
        <w:pStyle w:val="TextBody"/>
        <w:bidi w:val="0"/>
        <w:spacing w:before="200" w:after="283"/>
        <w:ind w:left="1200" w:right="0" w:hanging="0"/>
        <w:jc w:val="left"/>
        <w:rPr>
          <w:rFonts w:ascii="Arial;Helvetica;sans-serif" w:hAnsi="Arial;Helvetica;sans-serif"/>
          <w:color w:val="14202A"/>
          <w:sz w:val="18"/>
        </w:rPr>
      </w:pPr>
      <w:r>
        <w:rPr>
          <w:rFonts w:ascii="Arial;Helvetica;sans-serif" w:hAnsi="Arial;Helvetica;sans-serif"/>
          <w:color w:val="14202A"/>
          <w:sz w:val="18"/>
        </w:rPr>
        <w:t xml:space="preserve">(C) any repurchase or other acquisition by the Company of its Voting Securities that causes any Exchange Act Person to become the beneficial owner of 30% or more of the Company’s Voting Securities.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5" w:name="ny20052074x1_def14a_200-appa_pg2"/>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(2) Individuals who are Continuing Directors cease for any reason to constitute a majority of the members of the Board.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(3) A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(g) “Code” means the Internal Revenue Code of 1986, as amended and in effect from time to time. For purposes of the Plan, references to sections of the Code shall be deemed to include any applicable regulations and guidance thereunder and any successor or similar statutory provisions.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(h) “Committee” means two or more Non-Employee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 The Committee shall be the Human Resources Committee of the Board unless otherwise specified by the Board.</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(i) “Company” means Winnebago Industries, Inc., a Minnesota corporation, and any successor thereto.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(j) “Consultant” means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(k) “Continuing Director” means an individual (i) who is, as of the Effective Date, a director of the Company, or (ii) who becomes a director of the Company after the Effective Date and whose initial election, or nomination for election by the Company’s shareholders,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(l) “Corporate Transaction” means (i) a sale or other disposition of all or substantially all of the assets of the Company, or (ii) a merger, consolidation, share exchange or similar transaction involving the Company, regardless of whether the Company is the surviving entity.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(m) “Disability”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22(e)(3).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(n) “Effective Date” means December 11, 2018.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(o) “Employee” means an employee of the Company or an Affiliate.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4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6" w:name="ny20052074x1_def14a_200-appa_pg3"/>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(p) “Exchange Act” means the Securities Exchange Act of 1934, as amended and in effect from time to time.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(q) “Exchange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(r) “Fair Market Value” means the fair market value of a Share determined as follows: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Helvetica;sans-serif" w:hAnsi="Arial;Helvetica;sans-serif"/>
          <w:i/>
          <w:color w:val="14202A"/>
          <w:sz w:val="18"/>
        </w:rPr>
        <w:t xml:space="preserve">The Wall Street Journal </w:t>
      </w:r>
      <w:r>
        <w:rPr>
          <w:rFonts w:ascii="Arial;Helvetica;sans-serif" w:hAnsi="Arial;Helvetica;sans-serif"/>
          <w:color w:val="14202A"/>
          <w:sz w:val="18"/>
        </w:rPr>
        <w:t xml:space="preserve">or such other source as the Committee deems reliable; or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(s) “Full Value Award” means an Award other than an Option Award or Stock Appreciation Right Award.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(t) “Grant Date” means the date on which the Committee approves the grant of an Award under the Plan, or such later date as may be specified by the Committee on the date the Committee approves the Award.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(u) “Group” means two or more persons who act, or agree to act together, as a partnership, limited partnership, syndicate or other group for the purpose of acquiring, holding, voting or disposing of securities of the Company.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(v) “Non-Employee Director” means a member of the Board who is not an Employee.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(w) “Option” means a right granted under the Plan to purchase a specified number of Shares at a specified price. An “Incentive Stock Option” or “ISO” means any Option designated as such and granted in accordance with the requirements of Code Section 422. A “Non-Qualified Stock Option” or “NQSO” means an Option other than an Incentive Stock Option.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(x) “Other Stock-Based Award” means an Award described in Section 11 of this Plan.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(y) “Parent” means a “parent corporation,” as defined in Code Section 424(e).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(z) “Participant” means a Service Provider to whom a then-outstanding Award has been granted under the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(aa) “Performance Measure” is a metric selected by the Committee, which may, but is not required to,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 (xi) market share; (xii) 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Company, Affiliate, division, business segments, business units or individual performance.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7" w:name="ny20052074x1_def14a_200-appa_pg4"/>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(bb) “Plan” means this Winnebago Industries, Inc. Amended and Restated 2019 Omnibus Incentive Plan, as amended and in effect from time to time.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(cc) “Prior Plan” means the Winnebago Industries, Inc. 2014 Omnibus Equity, Performance Award and Incentive Compensation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(dd) “Restricted Stock” means Shares issued to a Participant that are subject to such restrictions on transfer, vesting conditions and other restrictions or limitations as may be set forth in this Plan and the applicable Agreement.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(ee) “Separation from Service” means a “separation from service” as such term is defined for purposes of Code Section 409A.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(ff) “Service”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 (iii) any change in status so long as the individual remains in the service of the Company or any Affiliate in any Service Provider capacity.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(gg) “Service Provider” means an Employee, a Non-Employee Director, or Consultant.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(hh) “Share” means a share of Stock.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(ii) “Stock” means the common stock, $0.50 par value per Share, of the Company.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(jj) “Stock Appreciation Right” or “SAR” means the right to receive, in cash and/or Shares as determined by the Committee, an amount equal to the appreciation in value of a specified number of Shares between the Grant Date of the SAR and its exercise date.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(kk) “Stock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(ll) “Subsidiary” means a “subsidiary corporation,” as defined in Code Section 424(f), of the Company.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(mm) “Substitute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(nn) “Voting Securities” of an entity means the outstanding equity securities (or comparable equity interests) entitled to vote generally in the election of directors of such entity.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3. </w:t>
      </w:r>
      <w:r>
        <w:rPr>
          <w:rFonts w:ascii="Arial;Helvetica;sans-serif" w:hAnsi="Arial;Helvetica;sans-serif"/>
          <w:b/>
          <w:color w:val="14202A"/>
          <w:sz w:val="18"/>
          <w:u w:val="single"/>
        </w:rPr>
        <w:t>Administration of the Plan</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Administration</w:t>
      </w:r>
      <w:r>
        <w:rPr>
          <w:rFonts w:ascii="Arial;Helvetica;sans-serif" w:hAnsi="Arial;Helvetica;sans-serif"/>
          <w:color w:val="14202A"/>
          <w:sz w:val="18"/>
        </w:rPr>
        <w:t xml:space="preserve">. The authority to control and manage the operations and administration of the Plan shall be vested in the Committee in accordance with this Section 3.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Scope of Authority</w:t>
      </w:r>
      <w:r>
        <w:rPr>
          <w:rFonts w:ascii="Arial;Helvetica;sans-serif" w:hAnsi="Arial;Helvetica;sans-serif"/>
          <w:color w:val="14202A"/>
          <w:sz w:val="18"/>
        </w:rPr>
        <w:t xml:space="preserve">. Subject to the terms of the Plan, the Committee shall have the authority, in its discretion, to take such actions as it deems necessary or advisable to administer the Plan, including: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8" w:name="ny20052074x1_def14a_200-appa_pg5"/>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(2) cancelling or suspending an Award, accelerating the vesting or extending the exercise period of an Award, or otherwise amending the terms and conditions of any outstanding Award, subject to the requirements of Sections 6(b), 15(d) and 15(e);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(3) adopting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 </w:t>
      </w:r>
    </w:p>
    <w:p>
      <w:pPr>
        <w:pStyle w:val="TextBody"/>
        <w:bidi w:val="0"/>
        <w:spacing w:before="26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(4) granting Substitute Awards under the Plan </w:t>
      </w:r>
    </w:p>
    <w:p>
      <w:pPr>
        <w:pStyle w:val="TextBody"/>
        <w:bidi w:val="0"/>
        <w:spacing w:before="26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(5) taking such actions as are provided in Section 3(c) with respect to Awards to foreign Service Providers; and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(6) requiring or permitting the deferral of the settlement of an Award, and establishing the terms and conditions of any such deferral.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Notwithstanding the foregoing, the Board shall perform the duties and have the responsibilities of the Committee with respect to Awards made to Non-Employee Directors.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Awards to Foreign Service Providers</w:t>
      </w:r>
      <w:r>
        <w:rPr>
          <w:rFonts w:ascii="Arial;Helvetica;sans-serif" w:hAnsi="Arial;Helvetica;sans-serif"/>
          <w:color w:val="14202A"/>
          <w:sz w:val="18"/>
        </w:rPr>
        <w:t xml:space="preserve">.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or annexes to Award Agreements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Acts of the Committee; Delegation</w:t>
      </w:r>
      <w:r>
        <w:rPr>
          <w:rFonts w:ascii="Arial;Helvetica;sans-serif" w:hAnsi="Arial;Helvetica;sans-serif"/>
          <w:color w:val="14202A"/>
          <w:sz w:val="18"/>
        </w:rPr>
        <w:t xml:space="preserve">.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(e) </w:t>
      </w:r>
      <w:r>
        <w:rPr>
          <w:rFonts w:ascii="Arial;Helvetica;sans-serif" w:hAnsi="Arial;Helvetica;sans-serif"/>
          <w:color w:val="14202A"/>
          <w:sz w:val="18"/>
          <w:u w:val="single"/>
        </w:rPr>
        <w:t>Finality of Decisions</w:t>
      </w:r>
      <w:r>
        <w:rPr>
          <w:rFonts w:ascii="Arial;Helvetica;sans-serif" w:hAnsi="Arial;Helvetica;sans-serif"/>
          <w:color w:val="14202A"/>
          <w:sz w:val="18"/>
        </w:rPr>
        <w:t xml:space="preserve">. The Committee’s interpretation of the Plan and of any Award or Agreement made under the Plan and all related decisions or resolutions of the Board or Committee shall be final and binding on all parties with an interest therein.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(f) </w:t>
      </w:r>
      <w:r>
        <w:rPr>
          <w:rFonts w:ascii="Arial;Helvetica;sans-serif" w:hAnsi="Arial;Helvetica;sans-serif"/>
          <w:color w:val="14202A"/>
          <w:sz w:val="18"/>
          <w:u w:val="single"/>
        </w:rPr>
        <w:t>Indemnification</w:t>
      </w:r>
      <w:r>
        <w:rPr>
          <w:rFonts w:ascii="Arial;Helvetica;sans-serif" w:hAnsi="Arial;Helvetica;sans-serif"/>
          <w:color w:val="14202A"/>
          <w:sz w:val="18"/>
        </w:rPr>
        <w:t xml:space="preserve">.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The foregoing right of indemnification shall not be exclusive of any other rights of indemnification to which such person or persons may be entitled under the Company’s Articles of Incorporation or Bylaws, as a matter of law, or otherwise.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9" w:name="ny20052074x1_def14a_200-appa_pg6"/>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4. </w:t>
      </w:r>
      <w:r>
        <w:rPr>
          <w:rFonts w:ascii="Arial;Helvetica;sans-serif" w:hAnsi="Arial;Helvetica;sans-serif"/>
          <w:b/>
          <w:color w:val="14202A"/>
          <w:sz w:val="18"/>
          <w:u w:val="single"/>
        </w:rPr>
        <w:t>Shares Available Under the Plan</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Maximum Shares Available</w:t>
      </w:r>
      <w:r>
        <w:rPr>
          <w:rFonts w:ascii="Arial;Helvetica;sans-serif" w:hAnsi="Arial;Helvetica;sans-serif"/>
          <w:color w:val="14202A"/>
          <w:sz w:val="18"/>
        </w:rPr>
        <w:t xml:space="preserve">. Subject to Section 4(b) and to adjustment as provided in Section 12(a), the number of Shares that may be the subject of Awards and issued under the Plan shall be 7,320,000. No further awards may be made under the Prior Plan after the Effective Date of this Plan. Shares issued under the Plan may come from authorized and unissued shares or treasury shares. In determining the number of Shares to be counted against this share reserve in connection with any Award, the following rules shall apply: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(1) Shares that are subject to Awards of Options or Stock Appreciation Rights shall be counted against the share reserve as one Share for every one Share granted.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(2) Shares that are subject to Full Value Awards shall be counted against the share reserve as 2.0 Shares for every one Share granted.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(3) Where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(4) Where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(5) Shares subject to Substitute Awards shall not be counted against the share reserve, nor shall they reduce the Shares authorized for grant to a Participant in any calendar year.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(6) Awards that may be settled solely in cash shall not be counted against the share reserve, nor shall they reduce the Shares authorized for grant to a Participant in any calendar year.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Effect of Forfeitures and Other Actions</w:t>
      </w:r>
      <w:r>
        <w:rPr>
          <w:rFonts w:ascii="Arial;Helvetica;sans-serif" w:hAnsi="Arial;Helvetica;sans-serif"/>
          <w:color w:val="14202A"/>
          <w:sz w:val="18"/>
        </w:rPr>
        <w:t xml:space="preserve">. Any Shares subject to an Award, or to an award granted under the Prior Plan that is outstanding on the Effective Date (a “Prior Plan Award”), that expires, is cancelled or forfeited or is settled for cash shall, to the extent of such cancellation, forfeiture, expiration or cash settlement, again become available for Awards under this Plan, and the share reserve under Section 4(a) shall be correspondingly replenished as provided in Section 4(c) below.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the Prior Plan, (ii) Shares tendered (either actually or by attestation) by the Participant or withheld by the Company to satisfy any tax withholding obligation with respect to an award under this Plan or the Prior Plan, (iii) Shares repurchased by the Company with proceeds received from the exercise of a stock option issued under this Plan or the Prior Plan, and (iv) Shares subject to a stock appreciation right award issued under this Plan or the Prior Plan that are not issued in connection with the stock settlement of that award upon its exercise.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Counting Shares Again Available</w:t>
      </w:r>
      <w:r>
        <w:rPr>
          <w:rFonts w:ascii="Arial;Helvetica;sans-serif" w:hAnsi="Arial;Helvetica;sans-serif"/>
          <w:color w:val="14202A"/>
          <w:sz w:val="18"/>
        </w:rPr>
        <w:t xml:space="preserve">. Each Share that again becomes available for Awards as provided in Section 4(b) shall correspondingly increase the share reserve under Section 4(a) by (i) one Share if such Share was subject to an Option or Stock Appreciation Right Award under the Plan, and (ii) 2.0 Shares if such Share was subject to a Full Value Award under the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Effect of Plans Operated by Acquired Companies</w:t>
      </w:r>
      <w:r>
        <w:rPr>
          <w:rFonts w:ascii="Arial;Helvetica;sans-serif" w:hAnsi="Arial;Helvetica;sans-serif"/>
          <w:color w:val="14202A"/>
          <w:sz w:val="18"/>
        </w:rPr>
        <w:t xml:space="preserve">.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0" w:name="ny20052074x1_def14a_200-appa_pg7"/>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(e) </w:t>
      </w:r>
      <w:r>
        <w:rPr>
          <w:rFonts w:ascii="Arial;Helvetica;sans-serif" w:hAnsi="Arial;Helvetica;sans-serif"/>
          <w:color w:val="14202A"/>
          <w:sz w:val="18"/>
          <w:u w:val="single"/>
        </w:rPr>
        <w:t>No Fractional Shares</w:t>
      </w:r>
      <w:r>
        <w:rPr>
          <w:rFonts w:ascii="Arial;Helvetica;sans-serif" w:hAnsi="Arial;Helvetica;sans-serif"/>
          <w:color w:val="14202A"/>
          <w:sz w:val="18"/>
        </w:rPr>
        <w:t xml:space="preserve">.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(f) </w:t>
      </w:r>
      <w:r>
        <w:rPr>
          <w:rFonts w:ascii="Arial;Helvetica;sans-serif" w:hAnsi="Arial;Helvetica;sans-serif"/>
          <w:color w:val="14202A"/>
          <w:sz w:val="18"/>
          <w:u w:val="single"/>
        </w:rPr>
        <w:t>Limits on Awards to Non-Employee Directors</w:t>
      </w:r>
      <w:r>
        <w:rPr>
          <w:rFonts w:ascii="Arial;Helvetica;sans-serif" w:hAnsi="Arial;Helvetica;sans-serif"/>
          <w:color w:val="14202A"/>
          <w:sz w:val="18"/>
        </w:rPr>
        <w:t xml:space="preserve">. The aggregate grant date fair value (as determined in accordance with generally accepted accounting principles applicable in the United States) of all Awards granted during any calendar year to any Non-Employee Director (excluding any Awards granted at the election of a Non-Employee Director in lieu of all or any portion of retainers or fees otherwise payable to Non-Employee Directors in cash) with respect to such individual’s Service as a Non-Employee Director shall not exceed $400,000.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5. </w:t>
      </w:r>
      <w:r>
        <w:rPr>
          <w:rFonts w:ascii="Arial;Helvetica;sans-serif" w:hAnsi="Arial;Helvetica;sans-serif"/>
          <w:b/>
          <w:color w:val="14202A"/>
          <w:sz w:val="18"/>
          <w:u w:val="single"/>
        </w:rPr>
        <w:t>Eligibility</w:t>
      </w:r>
      <w:r>
        <w:rPr>
          <w:rFonts w:ascii="Arial;Helvetica;sans-serif" w:hAnsi="Arial;Helvetica;sans-serif"/>
          <w:b/>
          <w:color w:val="14202A"/>
          <w:sz w:val="18"/>
        </w:rPr>
        <w:t>.</w:t>
      </w:r>
      <w:r>
        <w:rPr>
          <w:rFonts w:ascii="Arial;Helvetica;sans-serif" w:hAnsi="Arial;Helvetica;sans-serif"/>
          <w:color w:val="14202A"/>
          <w:sz w:val="18"/>
        </w:rPr>
        <w:t xml:space="preserve"> Participation in the Plan is limited to Service Providers. Incentive Stock Options may only be granted to Employees who are subject to income taxes imposed by the United States.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6. </w:t>
      </w:r>
      <w:r>
        <w:rPr>
          <w:rFonts w:ascii="Arial;Helvetica;sans-serif" w:hAnsi="Arial;Helvetica;sans-serif"/>
          <w:b/>
          <w:color w:val="14202A"/>
          <w:sz w:val="18"/>
          <w:u w:val="single"/>
        </w:rPr>
        <w:t>General Terms of Awards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Award Agreement</w:t>
      </w:r>
      <w:r>
        <w:rPr>
          <w:rFonts w:ascii="Arial;Helvetica;sans-serif" w:hAnsi="Arial;Helvetica;sans-serif"/>
          <w:color w:val="14202A"/>
          <w:sz w:val="18"/>
        </w:rPr>
        <w:t xml:space="preserve">.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Vesting and Term</w:t>
      </w:r>
      <w:r>
        <w:rPr>
          <w:rFonts w:ascii="Arial;Helvetica;sans-serif" w:hAnsi="Arial;Helvetica;sans-serif"/>
          <w:color w:val="14202A"/>
          <w:sz w:val="18"/>
        </w:rPr>
        <w:t xml:space="preserve">.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12(b)(2), 12(b)(4) or 12(c), (ii) a Separation from Service due to death, Disability, (iii) to a Substitute Award that does not reduce the vesting period of the award being replaced, (iv) Awards made in payment of or exchange for other compensation already earned and payable, and (v) 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 Company’s shareholders to the date of the next annual meeting of the Company’s shareholders, provided that such period lasts at least fifty (50) weeks.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Transferability</w:t>
      </w:r>
      <w:r>
        <w:rPr>
          <w:rFonts w:ascii="Arial;Helvetica;sans-serif" w:hAnsi="Arial;Helvetica;sans-serif"/>
          <w:color w:val="14202A"/>
          <w:sz w:val="18"/>
        </w:rPr>
        <w:t xml:space="preserve">.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Separation from Service of a Participant, the references to “Participant” shall mean the original grantee of an Award and not any transferee.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1" w:name="ny20052074x1_def14a_200-appa_pg8"/>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Designation of Beneficiary</w:t>
      </w:r>
      <w:r>
        <w:rPr>
          <w:rFonts w:ascii="Arial;Helvetica;sans-serif" w:hAnsi="Arial;Helvetica;sans-serif"/>
          <w:color w:val="14202A"/>
          <w:sz w:val="18"/>
        </w:rPr>
        <w:t xml:space="preserve">.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(e) </w:t>
      </w:r>
      <w:r>
        <w:rPr>
          <w:rFonts w:ascii="Arial;Helvetica;sans-serif" w:hAnsi="Arial;Helvetica;sans-serif"/>
          <w:color w:val="14202A"/>
          <w:sz w:val="18"/>
          <w:u w:val="single"/>
        </w:rPr>
        <w:t>Termination of Service</w:t>
      </w:r>
      <w:r>
        <w:rPr>
          <w:rFonts w:ascii="Arial;Helvetica;sans-serif" w:hAnsi="Arial;Helvetica;sans-serif"/>
          <w:color w:val="14202A"/>
          <w:sz w:val="18"/>
        </w:rPr>
        <w:t xml:space="preserve">.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(1) Upon Separation from Service for Cause, or upon conduct during a post-termination exercise period that would constitute Cause, all unexercised Option and SAR Awards and all unvested portions of any other outstanding Awards shall be immediately forfeited without consideration.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(2) Upon Separation from Service for death or Disability, all unvested portions of any outstanding Awards shall vest in full immediately. If the vesting of any such Award is subject to satisfaction of specified performance goals, such Award shall be deemed “fully vested” for purposes of this Section 6(e)(2) at the target level of performance or, in the discretion of the Committee, the actual level of performance (if determinable).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(3) Upon Separation from Service for any reason other than death or Disability, all unvested and unexercisable portions of any outstanding Awards shall be immediately forfeited without consideration.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(4) Upon Separation from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(5) Upon Separation from Service due to death or Disability, the currently vested and exercisable portions of Option and SAR Awards may be exercised for a period of one year after the date of such Separation from Service.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(f) </w:t>
      </w:r>
      <w:r>
        <w:rPr>
          <w:rFonts w:ascii="Arial;Helvetica;sans-serif" w:hAnsi="Arial;Helvetica;sans-serif"/>
          <w:color w:val="14202A"/>
          <w:sz w:val="18"/>
          <w:u w:val="single"/>
        </w:rPr>
        <w:t>Rights as Shareholder</w:t>
      </w:r>
      <w:r>
        <w:rPr>
          <w:rFonts w:ascii="Arial;Helvetica;sans-serif" w:hAnsi="Arial;Helvetica;sans-serif"/>
          <w:color w:val="14202A"/>
          <w:sz w:val="18"/>
        </w:rPr>
        <w:t xml:space="preserve">. No Participant shall have any rights as a shareholder with respect to any Shares covered by an Award unless and until the date the Participant becomes the holder of record of the Shares, if any, to which the Award relates.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(g) </w:t>
      </w:r>
      <w:r>
        <w:rPr>
          <w:rFonts w:ascii="Arial;Helvetica;sans-serif" w:hAnsi="Arial;Helvetica;sans-serif"/>
          <w:color w:val="14202A"/>
          <w:sz w:val="18"/>
          <w:u w:val="single"/>
        </w:rPr>
        <w:t>Performance-Based Awards</w:t>
      </w:r>
      <w:r>
        <w:rPr>
          <w:rFonts w:ascii="Arial;Helvetica;sans-serif" w:hAnsi="Arial;Helvetica;sans-serif"/>
          <w:color w:val="14202A"/>
          <w:sz w:val="18"/>
        </w:rPr>
        <w:t xml:space="preserve">. Any Award may be granted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The Committee will select the applicable Performance Measure(s) and specify the performance goal(s) based on those Performance Measures for any performance period, specify in terms of a formula or standard the method for calculating the amount payable to a Participant if the performance goal(s) are satisfied, and determine the degree to which the grant, vesting, exercisability, lapse of restrictions and/or settlement of such Award has been earned, including the degree to which applicable performance goals have been satisfied. The Committee shall also have the authority to provide, in an Agreement or otherwise, for the modification of a performance period and/or adjustments to or waivers of the achievement of performance goals. The Committee may, in its discretion and based on such considerations as it deems appropriate, adjust any amount otherwise determined by the application of the performance goals to be otherwise payable in connection with an Award.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(h) </w:t>
      </w:r>
      <w:r>
        <w:rPr>
          <w:rFonts w:ascii="Arial;Helvetica;sans-serif" w:hAnsi="Arial;Helvetica;sans-serif"/>
          <w:color w:val="14202A"/>
          <w:sz w:val="18"/>
          <w:u w:val="single"/>
        </w:rPr>
        <w:t>Dividends and Dividend Equivalents</w:t>
      </w:r>
      <w:r>
        <w:rPr>
          <w:rFonts w:ascii="Arial;Helvetica;sans-serif" w:hAnsi="Arial;Helvetica;sans-serif"/>
          <w:color w:val="14202A"/>
          <w:sz w:val="18"/>
        </w:rPr>
        <w:t xml:space="preserve">. No dividends, dividend equivalents or distributions will be paid with respect to Shares subject to an Option or SAR Award. Any dividends or distributions payable with respect to Shares that are subject to the unvested portion of a Restricted Stock Award will be subject to the same restrictions and risk of forfeiture as the Shares to which such dividends or distributions relate.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2" w:name="ny20052074x1_def14a_200-appa_pg9"/>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as the units or other Share equivalents to which such dividend equivalents relate. Dividends and dividend equivalents on performance-based awards will be subject to the same terms and conditions, including vesting conditions and the achievement of any applicable performance goals, as the original Award. For the avoidance of doubt, no dividends or dividends equivalents will vest or be paid out with respect to any unvested awards under the Plan.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(i) </w:t>
      </w:r>
      <w:r>
        <w:rPr>
          <w:rFonts w:ascii="Arial;Helvetica;sans-serif" w:hAnsi="Arial;Helvetica;sans-serif"/>
          <w:color w:val="14202A"/>
          <w:sz w:val="18"/>
          <w:u w:val="single"/>
        </w:rPr>
        <w:t>Deferrals of Full Value Awards</w:t>
      </w:r>
      <w:r>
        <w:rPr>
          <w:rFonts w:ascii="Arial;Helvetica;sans-serif" w:hAnsi="Arial;Helvetica;sans-serif"/>
          <w:color w:val="14202A"/>
          <w:sz w:val="18"/>
        </w:rPr>
        <w:t xml:space="preserve">.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 To the extent that any such deferral is effected in accordance with any then-effective non-qualified deferred compensation plan of the Company, the Share equivalents credited to such non-qualified deferred compensation plan account of a Participant shall be deemed Stock Units for purposes of this Plan, and if settled in Shares, such Shares shall be drawn from and charged against the Plan’s share reserve.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7. </w:t>
      </w:r>
      <w:r>
        <w:rPr>
          <w:rFonts w:ascii="Arial;Helvetica;sans-serif" w:hAnsi="Arial;Helvetica;sans-serif"/>
          <w:b/>
          <w:color w:val="14202A"/>
          <w:sz w:val="18"/>
          <w:u w:val="single"/>
        </w:rPr>
        <w:t>Stock Option Awards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Type and Exercise Price</w:t>
      </w:r>
      <w:r>
        <w:rPr>
          <w:rFonts w:ascii="Arial;Helvetica;sans-serif" w:hAnsi="Arial;Helvetica;sans-serif"/>
          <w:color w:val="14202A"/>
          <w:sz w:val="18"/>
        </w:rPr>
        <w:t xml:space="preserve">.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Payment of Exercise Price</w:t>
      </w:r>
      <w:r>
        <w:rPr>
          <w:rFonts w:ascii="Arial;Helvetica;sans-serif" w:hAnsi="Arial;Helvetica;sans-serif"/>
          <w:color w:val="14202A"/>
          <w:sz w:val="18"/>
        </w:rPr>
        <w:t xml:space="preserve">.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Exercisability and Expiration</w:t>
      </w:r>
      <w:r>
        <w:rPr>
          <w:rFonts w:ascii="Arial;Helvetica;sans-serif" w:hAnsi="Arial;Helvetica;sans-serif"/>
          <w:color w:val="14202A"/>
          <w:sz w:val="18"/>
        </w:rPr>
        <w:t xml:space="preserve">. Each Option Award shall be exercisable in whole or in part on the terms provided in the Agreement. No Option Award shall be exercisable at any time after its scheduled expiration. When an Option Award is no longer exercisable, it shall be deemed to have terminated.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Incentive Stock Options</w:t>
      </w:r>
      <w:r>
        <w:rPr>
          <w:rFonts w:ascii="Arial;Helvetica;sans-serif" w:hAnsi="Arial;Helvetica;sans-serif"/>
          <w:color w:val="14202A"/>
          <w:sz w:val="18"/>
        </w:rPr>
        <w:t xml:space="preserv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(1) An Option Award will constitute an Incentive Stock Option Award only if the Participant receiving the Option Award is an Employee,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3" w:name="ny20052074x1_def14a_200-appa_pg10"/>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Award. The maximum number of Shares that may be issued upon the exercise of Incentive Stock Option Awards under the Plan shall be the total number of Shares in the Plan’s share reserve as specified in the first sentence of Section 4(a), subject to adjustment as provided in Section 12(a).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(3) For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(4) If an Incentive Stock Option Award is exercised after the expiration of the exercise periods that apply for purposes of Code Section 422, or otherwise fails to qualify as an Incentive Stock Option, such Option shall thereafter be treated as a Non-Qualified Stock Option.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(5) The Agreement covering an Incentive Stock Option Award shall contain such other terms and provisions that the Committee determines necessary to qualify the Option Award as an Incentive Stock Option Award.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8. </w:t>
      </w:r>
      <w:r>
        <w:rPr>
          <w:rFonts w:ascii="Arial;Helvetica;sans-serif" w:hAnsi="Arial;Helvetica;sans-serif"/>
          <w:b/>
          <w:color w:val="14202A"/>
          <w:sz w:val="18"/>
          <w:u w:val="single"/>
        </w:rPr>
        <w:t>Stock Appreciation Right Awards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Nature of Award</w:t>
      </w:r>
      <w:r>
        <w:rPr>
          <w:rFonts w:ascii="Arial;Helvetica;sans-serif" w:hAnsi="Arial;Helvetica;sans-serif"/>
          <w:color w:val="14202A"/>
          <w:sz w:val="18"/>
        </w:rPr>
        <w:t xml:space="preserve">.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Exercise of SAR</w:t>
      </w:r>
      <w:r>
        <w:rPr>
          <w:rFonts w:ascii="Arial;Helvetica;sans-serif" w:hAnsi="Arial;Helvetica;sans-serif"/>
          <w:color w:val="14202A"/>
          <w:sz w:val="18"/>
        </w:rPr>
        <w:t xml:space="preserve">.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9. </w:t>
      </w:r>
      <w:r>
        <w:rPr>
          <w:rFonts w:ascii="Arial;Helvetica;sans-serif" w:hAnsi="Arial;Helvetica;sans-serif"/>
          <w:b/>
          <w:color w:val="14202A"/>
          <w:sz w:val="18"/>
          <w:u w:val="single"/>
        </w:rPr>
        <w:t>Restricted Stock Awards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Vesting and Consideration</w:t>
      </w:r>
      <w:r>
        <w:rPr>
          <w:rFonts w:ascii="Arial;Helvetica;sans-serif" w:hAnsi="Arial;Helvetica;sans-serif"/>
          <w:color w:val="14202A"/>
          <w:sz w:val="18"/>
        </w:rPr>
        <w:t xml:space="preserve">. Shares subject to a Restricted Stock Award shall be subject to vesting and the lapse of applicable restrictions based on such conditions or factors and occurring over such period of time as the Committee may determine in its discretion, subject to the requirements of Section 6(b).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Shares Subject to Restricted Stock Awards</w:t>
      </w:r>
      <w:r>
        <w:rPr>
          <w:rFonts w:ascii="Arial;Helvetica;sans-serif" w:hAnsi="Arial;Helvetica;sans-serif"/>
          <w:color w:val="14202A"/>
          <w:sz w:val="18"/>
        </w:rPr>
        <w:t xml:space="preserve">.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comparable restrictions and corresponding stop transfer </w:t>
      </w:r>
    </w:p>
    <w:tbl>
      <w:tblPr>
        <w:tblW w:w="6180" w:type="dxa"/>
        <w:jc w:val="left"/>
        <w:tblInd w:w="0" w:type="dxa"/>
        <w:tblLayout w:type="fixed"/>
        <w:tblCellMar>
          <w:top w:w="0" w:type="dxa"/>
          <w:left w:w="0" w:type="dxa"/>
          <w:bottom w:w="0" w:type="dxa"/>
          <w:right w:w="0" w:type="dxa"/>
        </w:tblCellMar>
      </w:tblPr>
      <w:tblGrid>
        <w:gridCol w:w="2610"/>
        <w:gridCol w:w="170"/>
        <w:gridCol w:w="170"/>
        <w:gridCol w:w="323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A-10</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4" w:name="ny20052074x1_def14a_200-appa_pg11"/>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10. </w:t>
      </w:r>
      <w:r>
        <w:rPr>
          <w:rFonts w:ascii="Arial;Helvetica;sans-serif" w:hAnsi="Arial;Helvetica;sans-serif"/>
          <w:b/>
          <w:color w:val="14202A"/>
          <w:sz w:val="18"/>
          <w:u w:val="single"/>
        </w:rPr>
        <w:t>Stock Unit Awards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 xml:space="preserve"> Vesting and Consideration</w:t>
      </w:r>
      <w:r>
        <w:rPr>
          <w:rFonts w:ascii="Arial;Helvetica;sans-serif" w:hAnsi="Arial;Helvetica;sans-serif"/>
          <w:color w:val="14202A"/>
          <w:sz w:val="18"/>
        </w:rPr>
        <w:t xml:space="preserve">. A Stock Unit Award shall be subject to vesting and the lapse of applicable restrictions based on such conditions or factors and occurring over such period of time as the Committee may determine in its discretion, subject to the requirements of Section 6(b).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Settlement of Award</w:t>
      </w:r>
      <w:r>
        <w:rPr>
          <w:rFonts w:ascii="Arial;Helvetica;sans-serif" w:hAnsi="Arial;Helvetica;sans-serif"/>
          <w:color w:val="14202A"/>
          <w:sz w:val="18"/>
        </w:rPr>
        <w:t xml:space="preserve">.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11. </w:t>
      </w:r>
      <w:r>
        <w:rPr>
          <w:rFonts w:ascii="Arial;Helvetica;sans-serif" w:hAnsi="Arial;Helvetica;sans-serif"/>
          <w:b/>
          <w:color w:val="14202A"/>
          <w:sz w:val="18"/>
          <w:u w:val="single"/>
        </w:rPr>
        <w:t>Other Stock-Based Awards</w:t>
      </w:r>
      <w:r>
        <w:rPr>
          <w:rFonts w:ascii="Arial;Helvetica;sans-serif" w:hAnsi="Arial;Helvetica;sans-serif"/>
          <w:b/>
          <w:color w:val="14202A"/>
          <w:sz w:val="18"/>
        </w:rPr>
        <w:t>.</w:t>
      </w:r>
      <w:r>
        <w:rPr>
          <w:rFonts w:ascii="Arial;Helvetica;sans-serif" w:hAnsi="Arial;Helvetica;sans-serif"/>
          <w:color w:val="14202A"/>
          <w:sz w:val="18"/>
        </w:rPr>
        <w:t xml:space="preserve"> The Committee may from time to time grant Shares and other Awards that are valued by reference to and/or payable in 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12. </w:t>
      </w:r>
      <w:r>
        <w:rPr>
          <w:rFonts w:ascii="Arial;Helvetica;sans-serif" w:hAnsi="Arial;Helvetica;sans-serif"/>
          <w:b/>
          <w:color w:val="14202A"/>
          <w:sz w:val="18"/>
          <w:u w:val="single"/>
        </w:rPr>
        <w:t>Changes in Capitalization, Corporate Transactions, Change in Control</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Adjustments for Changes in Capitalization</w:t>
      </w:r>
      <w:r>
        <w:rPr>
          <w:rFonts w:ascii="Arial;Helvetica;sans-serif" w:hAnsi="Arial;Helvetica;sans-serif"/>
          <w:color w:val="14202A"/>
          <w:sz w:val="18"/>
        </w:rPr>
        <w:t xml:space="preserve">.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Corporate Transactions; Change in Control</w:t>
      </w:r>
      <w:r>
        <w:rPr>
          <w:rFonts w:ascii="Arial;Helvetica;sans-serif" w:hAnsi="Arial;Helvetica;sans-serif"/>
          <w:color w:val="14202A"/>
          <w:sz w:val="18"/>
        </w:rPr>
        <w:t xml:space="preserve">. Unless otherwise provided in an applicable Agreement or another written agreement between a Participant and the Company, the following provisions shall apply to outstanding Awards in the event of a Change in Control that involves a Corporate Transaction. The Committee will not be required to treat all Awards or Participants similarly for purposes of this Section 12(b).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(1) </w:t>
      </w:r>
      <w:r>
        <w:rPr>
          <w:rFonts w:ascii="Arial;Helvetica;sans-serif" w:hAnsi="Arial;Helvetica;sans-serif"/>
          <w:i/>
          <w:color w:val="14202A"/>
          <w:sz w:val="18"/>
          <w:u w:val="single"/>
        </w:rPr>
        <w:t>Continuation, Assumption or Replacement of Awards</w:t>
      </w:r>
      <w:r>
        <w:rPr>
          <w:rFonts w:ascii="Arial;Helvetica;sans-serif" w:hAnsi="Arial;Helvetica;sans-serif"/>
          <w:color w:val="14202A"/>
          <w:sz w:val="18"/>
        </w:rPr>
        <w:t xml:space="preserve">. In the event of a Corporate Transaction, then the surviving or successor entity (or its Parent) may continue, assume or replace Awards outstanding as of the date of the Corporate Transaction (with such adjustments as may be required or permitted by Section 12(a)), and such Awards or replacements therefor shall remain outstanding and be governed by </w:t>
      </w:r>
    </w:p>
    <w:tbl>
      <w:tblPr>
        <w:tblW w:w="6180" w:type="dxa"/>
        <w:jc w:val="left"/>
        <w:tblInd w:w="0" w:type="dxa"/>
        <w:tblLayout w:type="fixed"/>
        <w:tblCellMar>
          <w:top w:w="0" w:type="dxa"/>
          <w:left w:w="0" w:type="dxa"/>
          <w:bottom w:w="0" w:type="dxa"/>
          <w:right w:w="0" w:type="dxa"/>
        </w:tblCellMar>
      </w:tblPr>
      <w:tblGrid>
        <w:gridCol w:w="2610"/>
        <w:gridCol w:w="170"/>
        <w:gridCol w:w="170"/>
        <w:gridCol w:w="323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5" w:name="ny20052074x1_def14a_200-appa_pg12"/>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their respective terms, subject to Section 12(b)(4) below.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12(b)(1)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(2) </w:t>
      </w:r>
      <w:r>
        <w:rPr>
          <w:rFonts w:ascii="Arial;Helvetica;sans-serif" w:hAnsi="Arial;Helvetica;sans-serif"/>
          <w:i/>
          <w:color w:val="14202A"/>
          <w:sz w:val="18"/>
          <w:u w:val="single"/>
        </w:rPr>
        <w:t>Acceleration</w:t>
      </w:r>
      <w:r>
        <w:rPr>
          <w:rFonts w:ascii="Arial;Helvetica;sans-serif" w:hAnsi="Arial;Helvetica;sans-serif"/>
          <w:color w:val="14202A"/>
          <w:sz w:val="18"/>
        </w:rPr>
        <w:t xml:space="preserve">. If and to the extent that outstanding Awards under the Plan are not continued, assumed or replaced in connection with a 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(3) </w:t>
      </w:r>
      <w:r>
        <w:rPr>
          <w:rFonts w:ascii="Arial;Helvetica;sans-serif" w:hAnsi="Arial;Helvetica;sans-serif"/>
          <w:i/>
          <w:color w:val="14202A"/>
          <w:sz w:val="18"/>
          <w:u w:val="single"/>
        </w:rPr>
        <w:t>Payment for Awards</w:t>
      </w:r>
      <w:r>
        <w:rPr>
          <w:rFonts w:ascii="Arial;Helvetica;sans-serif" w:hAnsi="Arial;Helvetica;sans-serif"/>
          <w:color w:val="14202A"/>
          <w:sz w:val="18"/>
        </w:rPr>
        <w:t xml:space="preserve">. If and to the extent that outstanding Awards under the Plan are not continued, assumed or replaced in connection 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12(b)(3) 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shareholders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(4) </w:t>
      </w:r>
      <w:r>
        <w:rPr>
          <w:rFonts w:ascii="Arial;Helvetica;sans-serif" w:hAnsi="Arial;Helvetica;sans-serif"/>
          <w:i/>
          <w:color w:val="14202A"/>
          <w:sz w:val="18"/>
          <w:u w:val="single"/>
        </w:rPr>
        <w:t>Termination After a Corporate Transaction</w:t>
      </w:r>
      <w:r>
        <w:rPr>
          <w:rFonts w:ascii="Arial;Helvetica;sans-serif" w:hAnsi="Arial;Helvetica;sans-serif"/>
          <w:color w:val="14202A"/>
          <w:sz w:val="18"/>
        </w:rPr>
        <w:t xml:space="preserve">. If and to the extent that Awards are continued, assumed or replaced under the circumstances described in Section 12(b)(1), and if within twenty-four (24) months after the Corporate Transaction a Participant experiences an involuntary Separation from Service for reasons other than Cause, or, if so provided in the discretion of the Committee in an Agreement, terminates his or her Service for Good Reason (as defined in the applicable Agreement or other </w:t>
      </w:r>
    </w:p>
    <w:tbl>
      <w:tblPr>
        <w:tblW w:w="6180" w:type="dxa"/>
        <w:jc w:val="left"/>
        <w:tblInd w:w="0" w:type="dxa"/>
        <w:tblLayout w:type="fixed"/>
        <w:tblCellMar>
          <w:top w:w="0" w:type="dxa"/>
          <w:left w:w="0" w:type="dxa"/>
          <w:bottom w:w="0" w:type="dxa"/>
          <w:right w:w="0" w:type="dxa"/>
        </w:tblCellMar>
      </w:tblPr>
      <w:tblGrid>
        <w:gridCol w:w="2610"/>
        <w:gridCol w:w="170"/>
        <w:gridCol w:w="170"/>
        <w:gridCol w:w="323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5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6" w:name="ny20052074x1_def14a_200-appa_pg13"/>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then-effective written agreement between the Participant and the Company), then (i) outstanding Option and SAR Awards issued to the Participant that are not yet fully exercisable shall immediately become exercisable in full and shall remain exercisable for one year following the Participant’s Separation from Service, (ii) any Full Value Awards that are not yet fully vested shall immediately vest in full, and (iii) to the extent vesting of any Award is subject to satisfaction of specified performance goals, such Award shall be deemed “fully vested” at the greater of target level of performance or actual level of performance (if determinable) and the vested portion of the Award at that level of performance is proportionate to the portion of the performance period that has occurred up to the date of such Participant’s Separation from Service.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Other Change in Control</w:t>
      </w:r>
      <w:r>
        <w:rPr>
          <w:rFonts w:ascii="Arial;Helvetica;sans-serif" w:hAnsi="Arial;Helvetica;sans-serif"/>
          <w:color w:val="14202A"/>
          <w:sz w:val="18"/>
        </w:rPr>
        <w:t xml:space="preserve">. In the event of a Change in Control that does not involve a Corporate Transaction, if within twenty-four (24) months after the Change in Control a Participant experiences an involuntary Separation from Service for reasons other than Cause, or, if so provided in the discretion of the Committee in an Agreement, terminates his or her Service for Good Reason (as defined in the applicable Agreement or other then-effective written agreement between the Participant and the Company), then (i) outstanding Option and SAR Awards issued to the Participant that are not yet fully exercisable shall immediately become fully vested and exercisable and shall remain exercisable for one year following the Participant’s Separation from Service, and (ii) any Full Value Awards that are not yet fully vested shall immediately vest in full.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Dissolution or Liquidation</w:t>
      </w:r>
      <w:r>
        <w:rPr>
          <w:rFonts w:ascii="Arial;Helvetica;sans-serif" w:hAnsi="Arial;Helvetica;sans-serif"/>
          <w:color w:val="14202A"/>
          <w:sz w:val="18"/>
        </w:rPr>
        <w:t xml:space="preserve">.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(e) </w:t>
      </w:r>
      <w:r>
        <w:rPr>
          <w:rFonts w:ascii="Arial;Helvetica;sans-serif" w:hAnsi="Arial;Helvetica;sans-serif"/>
          <w:color w:val="14202A"/>
          <w:sz w:val="18"/>
          <w:u w:val="single"/>
        </w:rPr>
        <w:t>Parachute Payment Limitation</w:t>
      </w:r>
      <w:r>
        <w:rPr>
          <w:rFonts w:ascii="Arial;Helvetica;sans-serif" w:hAnsi="Arial;Helvetica;sans-serif"/>
          <w:color w:val="14202A"/>
          <w:sz w:val="18"/>
        </w:rPr>
        <w:t xml:space="preserv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(1) Notwithstanding any other provision of this Plan or any other plan, arrangement or agreement to the contrary, if any of the payments or benefits provided or to be provided by the Company or its Affiliates to a Participant or for the Participant’s benefit pursuant to the terms of this Plan or otherwise (“Covered Payments”) constitute parachute payments (“Parachute Payments”) within the meaning of Section 280G of the Code, and would, but for this Section 12(e) be subject to the excise tax imposed under Section 4999 of the Code (or any successor provision thereto) or any similar tax imposed by state or local law and any interest or penalties with respect to such taxes (collectively, the “Excise Tax”), then the Covered Payments shall be payable either (i) in full or (ii) reduced to the minimum extent necessary to ensure that no portion of the Covered Payments is subject to the Excise Tax, whichever of the foregoing clauses (i) or (ii) results in the Participant’s receipt on an after-tax basis of the greatest amount of payments and benefits after taking into account the applicable federal, state, local and foreign income, employment and excise taxes (including the Excise Tax).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(2) Any such reduction shall be made in accordance with Section 409A of the Code and the following: (i) the Covered Payments which do not constitute deferred compensation subject to Section 409A of the Code shall be reduced first, and (ii) Covered Payments that are cash payments shall be reduced before non-cash payments, and Covered Payments to be made on a later payment date shall be reduced before payments to be made on an earlier payment date.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(3) If, notwithstanding the initial application of this Section 12(e), the Internal Revenue Service determines that any Covered Payment constitutes an “excess parachute payment” (as defined by Section 280G(b) of the Code), this Section 12(e) will be reapplied based on the Internal Revenue Service’s determination, and the Participant will be required to promptly repay the portion of the Covered Payments required to avoid imposition of the Excise Tax together with interest at the applicable federal rate (as defined in Section 7872(f)(2)(A) of the Code) from the date of the Participant’s receipt of the excess payments until the date of repayment).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(4) Any determination required under this Section 12(e) shall be made in writing in good faith by the accounting firm which was the Company’s independent auditor immediately before the Change in Control (the “Accountants”), which shall provide detailed supporting calculations to the Company and the </w:t>
      </w:r>
    </w:p>
    <w:tbl>
      <w:tblPr>
        <w:tblW w:w="6180" w:type="dxa"/>
        <w:jc w:val="left"/>
        <w:tblInd w:w="0" w:type="dxa"/>
        <w:tblLayout w:type="fixed"/>
        <w:tblCellMar>
          <w:top w:w="0" w:type="dxa"/>
          <w:left w:w="0" w:type="dxa"/>
          <w:bottom w:w="0" w:type="dxa"/>
          <w:right w:w="0" w:type="dxa"/>
        </w:tblCellMar>
      </w:tblPr>
      <w:tblGrid>
        <w:gridCol w:w="2610"/>
        <w:gridCol w:w="170"/>
        <w:gridCol w:w="170"/>
        <w:gridCol w:w="323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7" w:name="ny20052074x1_def14a_200-appa_pg14"/>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Participant as requested by the Company or the Participant. The Company and the Participant shall provide the Accountants with such information and documents as the Accountants may reasonably request in order to make a determination under this Section 12(e). The Company shall be responsible for all fees and expenses of the Accountants.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13. </w:t>
      </w:r>
      <w:r>
        <w:rPr>
          <w:rFonts w:ascii="Arial;Helvetica;sans-serif" w:hAnsi="Arial;Helvetica;sans-serif"/>
          <w:b/>
          <w:color w:val="14202A"/>
          <w:sz w:val="18"/>
          <w:u w:val="single"/>
        </w:rPr>
        <w:t>Plan Participation and Service Provider Status</w:t>
      </w:r>
      <w:r>
        <w:rPr>
          <w:rFonts w:ascii="Arial;Helvetica;sans-serif" w:hAnsi="Arial;Helvetica;sans-serif"/>
          <w:b/>
          <w:color w:val="14202A"/>
          <w:sz w:val="18"/>
        </w:rPr>
        <w:t>.</w:t>
      </w:r>
      <w:r>
        <w:rPr>
          <w:rFonts w:ascii="Arial;Helvetica;sans-serif" w:hAnsi="Arial;Helvetica;sans-serif"/>
          <w:color w:val="14202A"/>
          <w:sz w:val="18"/>
        </w:rPr>
        <w:t xml:space="preserve"> Status as a Service Provider shall not be construed as a commitment that any Award will be made 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Service Provider’s Service at any time with or without Cause or change such Service Provider’s compensation, other benefits, job responsibilities or title.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14. </w:t>
      </w:r>
      <w:r>
        <w:rPr>
          <w:rFonts w:ascii="Arial;Helvetica;sans-serif" w:hAnsi="Arial;Helvetica;sans-serif"/>
          <w:b/>
          <w:color w:val="14202A"/>
          <w:sz w:val="18"/>
          <w:u w:val="single"/>
        </w:rPr>
        <w:t>Tax Withholding</w:t>
      </w:r>
      <w:r>
        <w:rPr>
          <w:rFonts w:ascii="Arial;Helvetica;sans-serif" w:hAnsi="Arial;Helvetica;sans-serif"/>
          <w:b/>
          <w:color w:val="14202A"/>
          <w:sz w:val="18"/>
        </w:rPr>
        <w:t>.</w:t>
      </w:r>
      <w:r>
        <w:rPr>
          <w:rFonts w:ascii="Arial;Helvetica;sans-serif" w:hAnsi="Arial;Helvetica;sans-serif"/>
          <w:color w:val="14202A"/>
          <w:sz w:val="18"/>
        </w:rPr>
        <w:t xml:space="preserve"> The Company or any Affiliate, as applicable, shall have the right to (i) withhold from any cash payment under the Plan or any other 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(but not to exceed the maximum individual statutory tax rate in each applicable jurisdiction)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15. </w:t>
      </w:r>
      <w:r>
        <w:rPr>
          <w:rFonts w:ascii="Arial;Helvetica;sans-serif" w:hAnsi="Arial;Helvetica;sans-serif"/>
          <w:b/>
          <w:color w:val="14202A"/>
          <w:sz w:val="18"/>
          <w:u w:val="single"/>
        </w:rPr>
        <w:t>Effective Date, Duration, Amendment and Termination of the Plan</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Effective Date</w:t>
      </w:r>
      <w:r>
        <w:rPr>
          <w:rFonts w:ascii="Arial;Helvetica;sans-serif" w:hAnsi="Arial;Helvetica;sans-serif"/>
          <w:color w:val="14202A"/>
          <w:sz w:val="18"/>
        </w:rPr>
        <w:t xml:space="preserve">. This Amended and Restated Plan was approved by the Board on October 15, 2025, and shall become effective on the Restatement Date, which shall be considered the date of its adoption for purposes of Treasury Regulation §1.422-2(b)(2)(i).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Duration of the Plan</w:t>
      </w:r>
      <w:r>
        <w:rPr>
          <w:rFonts w:ascii="Arial;Helvetica;sans-serif" w:hAnsi="Arial;Helvetica;sans-serif"/>
          <w:color w:val="14202A"/>
          <w:sz w:val="18"/>
        </w:rPr>
        <w:t xml:space="preserve">. The Plan shall remain in effect until all Shares subject to it are distributed, all Awards have expired or terminated, the Plan is terminated pursuant to Section 15(c), or the tenth anniversary of the Restatement Date, whichever occurs first (the “Termination Date”). Awards made before the Termination Date shall continue to be outstanding in accordance with their terms and the terms of the Plan and applicable Agreement unless otherwise provided in the applicable Agreements.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Amendment and Termination of the Plan</w:t>
      </w:r>
      <w:r>
        <w:rPr>
          <w:rFonts w:ascii="Arial;Helvetica;sans-serif" w:hAnsi="Arial;Helvetica;sans-serif"/>
          <w:color w:val="14202A"/>
          <w:sz w:val="18"/>
        </w:rPr>
        <w:t xml:space="preserve">.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Amendment of Awards</w:t>
      </w:r>
      <w:r>
        <w:rPr>
          <w:rFonts w:ascii="Arial;Helvetica;sans-serif" w:hAnsi="Arial;Helvetica;sans-serif"/>
          <w:color w:val="14202A"/>
          <w:sz w:val="18"/>
        </w:rPr>
        <w:t xml:space="preserve">.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(e) </w:t>
      </w:r>
      <w:r>
        <w:rPr>
          <w:rFonts w:ascii="Arial;Helvetica;sans-serif" w:hAnsi="Arial;Helvetica;sans-serif"/>
          <w:color w:val="14202A"/>
          <w:sz w:val="18"/>
          <w:u w:val="single"/>
        </w:rPr>
        <w:t>No Option or SAR Repricing</w:t>
      </w:r>
      <w:r>
        <w:rPr>
          <w:rFonts w:ascii="Arial;Helvetica;sans-serif" w:hAnsi="Arial;Helvetica;sans-serif"/>
          <w:color w:val="14202A"/>
          <w:sz w:val="18"/>
        </w:rPr>
        <w:t xml:space="preserve">. Except as provided in Section 12(a), no Option or Stock Appreciation Right Award granted under the Plan may be (i) 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16. </w:t>
      </w:r>
      <w:r>
        <w:rPr>
          <w:rFonts w:ascii="Arial;Helvetica;sans-serif" w:hAnsi="Arial;Helvetica;sans-serif"/>
          <w:b/>
          <w:color w:val="14202A"/>
          <w:sz w:val="18"/>
          <w:u w:val="single"/>
        </w:rPr>
        <w:t>Other Provisions</w:t>
      </w:r>
      <w:r>
        <w:rPr>
          <w:rFonts w:ascii="Arial;Helvetica;sans-serif" w:hAnsi="Arial;Helvetica;sans-serif"/>
          <w:b/>
          <w:color w:val="14202A"/>
          <w:sz w:val="18"/>
        </w:rPr>
        <w:t>.</w:t>
      </w:r>
      <w:r>
        <w:rPr>
          <w:rFonts w:ascii="Arial;Helvetica;sans-serif" w:hAnsi="Arial;Helvetica;sans-serif"/>
          <w:color w:val="14202A"/>
          <w:sz w:val="18"/>
        </w:rPr>
        <w:t xml:space="preserve"> </w:t>
      </w:r>
    </w:p>
    <w:tbl>
      <w:tblPr>
        <w:tblW w:w="6180" w:type="dxa"/>
        <w:jc w:val="left"/>
        <w:tblInd w:w="0" w:type="dxa"/>
        <w:tblLayout w:type="fixed"/>
        <w:tblCellMar>
          <w:top w:w="0" w:type="dxa"/>
          <w:left w:w="0" w:type="dxa"/>
          <w:bottom w:w="0" w:type="dxa"/>
          <w:right w:w="0" w:type="dxa"/>
        </w:tblCellMar>
      </w:tblPr>
      <w:tblGrid>
        <w:gridCol w:w="2610"/>
        <w:gridCol w:w="170"/>
        <w:gridCol w:w="170"/>
        <w:gridCol w:w="323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8" w:name="ny20052074x1_def14a_200-appa_pg15"/>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Unfunded Plan</w:t>
      </w:r>
      <w:r>
        <w:rPr>
          <w:rFonts w:ascii="Arial;Helvetica;sans-serif" w:hAnsi="Arial;Helvetica;sans-serif"/>
          <w:color w:val="14202A"/>
          <w:sz w:val="18"/>
        </w:rPr>
        <w:t xml:space="preserve">.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Limits of Liability</w:t>
      </w:r>
      <w:r>
        <w:rPr>
          <w:rFonts w:ascii="Arial;Helvetica;sans-serif" w:hAnsi="Arial;Helvetica;sans-serif"/>
          <w:color w:val="14202A"/>
          <w:sz w:val="18"/>
        </w:rPr>
        <w:t xml:space="preserve">.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Compliance with Applicable Legal Requirements and Company Policies</w:t>
      </w:r>
      <w:r>
        <w:rPr>
          <w:rFonts w:ascii="Arial;Helvetica;sans-serif" w:hAnsi="Arial;Helvetica;sans-serif"/>
          <w:color w:val="14202A"/>
          <w:sz w:val="18"/>
        </w:rPr>
        <w:t xml:space="preserve">.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Other Benefit and Compensation Programs</w:t>
      </w:r>
      <w:r>
        <w:rPr>
          <w:rFonts w:ascii="Arial;Helvetica;sans-serif" w:hAnsi="Arial;Helvetica;sans-serif"/>
          <w:color w:val="14202A"/>
          <w:sz w:val="18"/>
        </w:rPr>
        <w:t xml:space="preserve">.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(e) </w:t>
      </w:r>
      <w:r>
        <w:rPr>
          <w:rFonts w:ascii="Arial;Helvetica;sans-serif" w:hAnsi="Arial;Helvetica;sans-serif"/>
          <w:color w:val="14202A"/>
          <w:sz w:val="18"/>
          <w:u w:val="single"/>
        </w:rPr>
        <w:t>Governing Law</w:t>
      </w:r>
      <w:r>
        <w:rPr>
          <w:rFonts w:ascii="Arial;Helvetica;sans-serif" w:hAnsi="Arial;Helvetica;sans-serif"/>
          <w:color w:val="14202A"/>
          <w:sz w:val="18"/>
        </w:rPr>
        <w:t xml:space="preserve">. To the extent that federal laws do not otherwise control, the Plan and all determinations made and actions taken pursuant to the Plan shall be governed by the laws of the State of Minnesota without regard to its conflicts-of-law principles and shall be construed accordingly.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(f) </w:t>
      </w:r>
      <w:r>
        <w:rPr>
          <w:rFonts w:ascii="Arial;Helvetica;sans-serif" w:hAnsi="Arial;Helvetica;sans-serif"/>
          <w:color w:val="14202A"/>
          <w:sz w:val="18"/>
          <w:u w:val="single"/>
        </w:rPr>
        <w:t>Severability</w:t>
      </w:r>
      <w:r>
        <w:rPr>
          <w:rFonts w:ascii="Arial;Helvetica;sans-serif" w:hAnsi="Arial;Helvetica;sans-serif"/>
          <w:color w:val="14202A"/>
          <w:sz w:val="18"/>
        </w:rPr>
        <w:t xml:space="preserve">. If any provision of the Plan shall be held illegal or invalid for any reason, the illegality or invalidity shall not affect the remaining parts of the Plan, and the Plan shall be construed and enforced as if the illegal or invalid provision had not been included.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(g) </w:t>
      </w:r>
      <w:r>
        <w:rPr>
          <w:rFonts w:ascii="Arial;Helvetica;sans-serif" w:hAnsi="Arial;Helvetica;sans-serif"/>
          <w:color w:val="14202A"/>
          <w:sz w:val="18"/>
          <w:u w:val="single"/>
        </w:rPr>
        <w:t>Code Section 409A</w:t>
      </w:r>
      <w:r>
        <w:rPr>
          <w:rFonts w:ascii="Arial;Helvetica;sans-serif" w:hAnsi="Arial;Helvetica;sans-serif"/>
          <w:color w:val="14202A"/>
          <w:sz w:val="18"/>
        </w:rPr>
        <w:t xml:space="preserve">. It is intended that all Awards under the Plan will be exempt from, or comply with, Code Section 409A, and to the maximum extent permitted the Awards and the Plan will be administered and interpreted in accordance with this intent. Notwithstanding anything to the contrary in the Plan or any Agreement, with respect to any Award that constitutes a deferral of compensation subject to Code Section 409A: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(1) If any amount is payable under such Award upon a termination of Service, a termination of Service will be deemed to have occurred only at such time as the Participant has experienced a Separation from Service;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(2) Each amount to be paid or benefit to be provided under an Award shall be construed as a separate and distinct payment for purposes of Section 409A; </w:t>
      </w:r>
    </w:p>
    <w:tbl>
      <w:tblPr>
        <w:tblW w:w="6180" w:type="dxa"/>
        <w:jc w:val="left"/>
        <w:tblInd w:w="0" w:type="dxa"/>
        <w:tblLayout w:type="fixed"/>
        <w:tblCellMar>
          <w:top w:w="0" w:type="dxa"/>
          <w:left w:w="0" w:type="dxa"/>
          <w:bottom w:w="0" w:type="dxa"/>
          <w:right w:w="0" w:type="dxa"/>
        </w:tblCellMar>
      </w:tblPr>
      <w:tblGrid>
        <w:gridCol w:w="2610"/>
        <w:gridCol w:w="170"/>
        <w:gridCol w:w="170"/>
        <w:gridCol w:w="323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9" w:name="ny20052074x1_def14a_200-appa_pg16"/>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(3) If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by the Board in its discretion in accordance with the default provisions specified under Code Section 409A; and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(4) If payment under an Award is to be made within a designated period which does not begin and end within one calendar year, the Participant does not have a right to designate the taxable year of the payment.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(h) </w:t>
      </w:r>
      <w:r>
        <w:rPr>
          <w:rFonts w:ascii="Arial;Helvetica;sans-serif" w:hAnsi="Arial;Helvetica;sans-serif"/>
          <w:color w:val="14202A"/>
          <w:sz w:val="18"/>
          <w:u w:val="single"/>
        </w:rPr>
        <w:t>Rule 16b-3</w:t>
      </w:r>
      <w:r>
        <w:rPr>
          <w:rFonts w:ascii="Arial;Helvetica;sans-serif" w:hAnsi="Arial;Helvetica;sans-serif"/>
          <w:color w:val="14202A"/>
          <w:sz w:val="18"/>
        </w:rPr>
        <w:t xml:space="preserve">.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(i) </w:t>
      </w:r>
      <w:r>
        <w:rPr>
          <w:rFonts w:ascii="Arial;Helvetica;sans-serif" w:hAnsi="Arial;Helvetica;sans-serif"/>
          <w:color w:val="14202A"/>
          <w:sz w:val="18"/>
          <w:u w:val="single"/>
        </w:rPr>
        <w:t>Forfeiture and Compensation Recovery</w:t>
      </w:r>
      <w:r>
        <w:rPr>
          <w:rFonts w:ascii="Arial;Helvetica;sans-serif" w:hAnsi="Arial;Helvetica;sans-serif"/>
          <w:color w:val="14202A"/>
          <w:sz w:val="18"/>
        </w:rPr>
        <w:t xml:space="preserve">.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Separation from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(2) Awards and any compensation associated therewith are subject to forfeiture, recovery by the Company or other action pursuant to any compensation recovery policy adopted by the Board or the Committee at any time, as amended from time to time, which includes but is not limited to, any compensation recovery policy adopted by the Board or the Committee including in response to the requirements of Section 10D of the Exchange Act, the SEC’s final rules thereunder, and any applicable listing rules or other rules and regulations implementing the foregoing or as otherwise required by law. Any Agreement will be automatically unilaterally amended to comply with any such compensation recovery policy. </w:t>
      </w:r>
    </w:p>
    <w:tbl>
      <w:tblPr>
        <w:tblW w:w="6180" w:type="dxa"/>
        <w:jc w:val="left"/>
        <w:tblInd w:w="0" w:type="dxa"/>
        <w:tblLayout w:type="fixed"/>
        <w:tblCellMar>
          <w:top w:w="0" w:type="dxa"/>
          <w:left w:w="0" w:type="dxa"/>
          <w:bottom w:w="0" w:type="dxa"/>
          <w:right w:w="0" w:type="dxa"/>
        </w:tblCellMar>
      </w:tblPr>
      <w:tblGrid>
        <w:gridCol w:w="2610"/>
        <w:gridCol w:w="170"/>
        <w:gridCol w:w="170"/>
        <w:gridCol w:w="3230"/>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4"/>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A-16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0" w:name="ny20052074x1_def14a_201-appb_pg1"/>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b/>
          <w:color w:val="14202A"/>
          <w:sz w:val="18"/>
        </w:rPr>
      </w:pPr>
      <w:bookmarkStart w:id="211" w:name="tAPPB"/>
      <w:bookmarkEnd w:id="211"/>
      <w:r>
        <w:rPr>
          <w:rFonts w:ascii="Arial;Helvetica;sans-serif" w:hAnsi="Arial;Helvetica;sans-serif"/>
          <w:b/>
          <w:color w:val="14202A"/>
          <w:sz w:val="18"/>
        </w:rPr>
        <w:t>Appendix B</w:t>
      </w:r>
    </w:p>
    <w:p>
      <w:pPr>
        <w:pStyle w:val="TextBody"/>
        <w:bidi w:val="0"/>
        <w:spacing w:before="27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Winnebago Industries, Inc. </w:t>
      </w:r>
    </w:p>
    <w:p>
      <w:pPr>
        <w:pStyle w:val="TextBody"/>
        <w:bidi w:val="0"/>
        <w:spacing w:before="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Amended and Restated Employee Stock Purchase Plan </w:t>
      </w:r>
    </w:p>
    <w:p>
      <w:pPr>
        <w:pStyle w:val="TextBody"/>
        <w:bidi w:val="0"/>
        <w:spacing w:before="0" w:after="283"/>
        <w:ind w:left="0" w:right="0" w:hanging="0"/>
        <w:jc w:val="left"/>
        <w:rPr>
          <w:rFonts w:ascii="Arial;Helvetica;sans-serif" w:hAnsi="Arial;Helvetica;sans-serif"/>
          <w:b/>
          <w:color w:val="14202A"/>
          <w:sz w:val="30"/>
        </w:rPr>
      </w:pPr>
      <w:r>
        <w:rPr>
          <w:rFonts w:ascii="Arial;Helvetica;sans-serif" w:hAnsi="Arial;Helvetica;sans-serif"/>
          <w:b/>
          <w:color w:val="14202A"/>
          <w:sz w:val="30"/>
        </w:rPr>
        <w:t xml:space="preserve">(as of October 15, 2025)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1. </w:t>
      </w:r>
      <w:r>
        <w:rPr>
          <w:rFonts w:ascii="Arial;Helvetica;sans-serif" w:hAnsi="Arial;Helvetica;sans-serif"/>
          <w:b/>
          <w:color w:val="14202A"/>
          <w:sz w:val="18"/>
          <w:u w:val="single"/>
        </w:rPr>
        <w:t>Purpose</w:t>
      </w:r>
      <w:r>
        <w:rPr>
          <w:rFonts w:ascii="Arial;Helvetica;sans-serif" w:hAnsi="Arial;Helvetica;sans-serif"/>
          <w:b/>
          <w:color w:val="14202A"/>
          <w:sz w:val="18"/>
        </w:rPr>
        <w:t>.</w:t>
      </w:r>
      <w:r>
        <w:rPr>
          <w:rFonts w:ascii="Arial;Helvetica;sans-serif" w:hAnsi="Arial;Helvetica;sans-serif"/>
          <w:color w:val="14202A"/>
          <w:sz w:val="18"/>
        </w:rPr>
        <w:t xml:space="preserve"> The purpose of this Winnebago Industries, Inc. Amended and Restated Employee Stock Purchase Plan is to provide employees of the Company and its Designated Subsidiaries with an opportunity to purchase Common Stock of the Company through accumulated payroll deductions. It is the intention of the Company to have the Plan continue to qualify as an “Employee Stock Purchase Plan” under Section 423 of the Internal Revenue Code of 1986, as amended. The provisions of the Plan, accordingly, will be construed in a uniform and nondiscriminatory manner consistent with the requirements of Sections 423 and related sections of the Code. The Plan was initially approved by the Board of Directors on October 18, 2017 and approved by shareholders of the Company on December 12, 2017. The Plan was first amended and restated effective December 14, 2023. On October 15, 2025, the Plan was again amended and restated as set forth herein, subject to approval of the Company’s shareholders.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2. </w:t>
      </w:r>
      <w:r>
        <w:rPr>
          <w:rFonts w:ascii="Arial;Helvetica;sans-serif" w:hAnsi="Arial;Helvetica;sans-serif"/>
          <w:b/>
          <w:color w:val="14202A"/>
          <w:sz w:val="18"/>
          <w:u w:val="single"/>
        </w:rPr>
        <w:t>Definitions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(a) “Board” means the Company’s Board of Directors.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(b) “Code” means the Internal Revenue Code of 1986, as amended.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(c) “Committee” means the Human Resources Committee of the Board, or its successor, or another committee of the Board as designated by the Board, and if no such committee exists or is designated by the Board, the Board will act as the Committee as described in the Plan.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(d) “Common Stock” means the Company’s common stock, $.01 par value.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(e) “Company” means Winnebago Industries, Inc., a Minnesota corporation.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(f) “Compensation” will be defined from time to time by the Committee in its sole discretion with respect to any Offering Period. Except as otherwise defined by the Committee from time to time in its sole discretion, Compensation means all gross cash compensation received by an Employee from the Company or a Designated Subsidiary and includable in the Employee’s gross income for federal income tax purposes, other than any taxable reimbursements, plus any pre-tax contributions made by the Employee under Section 401(k) and 125 of the Code. Except as otherwise defined by the Committee from time to time in its sole discretion, by way of illustration, but not limitation, “Compensation” will include regular compensation such as salary, wages, overtime, shift differentials, bonuses, commissions, and incentive compensation, but will exclude relocation reimbursements, expense reimbursements, tuition or other reimbursements, and income realized as a result of participation in any stock Option, stock purchase, or similar plan of the Company or any Designated Subsidiary.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(g) “Designated Subsidiary” means any Subsidiary of the Company designated by the Committee from time to time in its sole discretion as a Subsidiary whose employees are eligible to participate in the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(h) “Employee” means any individual who is an employee of the Company (or Designated Subsidiary) for tax purposes and excludes persons paid under a contract and not through Company (or Designated Subsidiary) payroll. For purposes of the Plan, the employment relationship will be treated as continuing intact while the individual is on sick leave or other leave of absence approved by the Company (or applicable Designated Subsidiary), except that where the period of leave exceeds 90 days and the individual’s right to reemployment is not guaranteed by either statute or contract, the employment relationship will be deemed to have terminated on the 91st day of such leave.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(i) “Exercise” means the purchase of shares of Common Stock pursuant to an Option granted under Section 6 in accordance with the terms of the Plan.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5"/>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B-1</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2" w:name="ny20052074x1_def14a_201-appb_pg2"/>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(j) “Fair Market Value” of Common Stock means, as of any date, the closing sales price for such stock (or the closing bid, if no sales were reported) as quoted on the New York Stock Exchange (“NYSE”) for that date (or if that date is not a Trading Day, the last market trading day before the date of such determination), as reported in </w:t>
      </w:r>
      <w:r>
        <w:rPr>
          <w:rFonts w:ascii="Arial;Helvetica;sans-serif" w:hAnsi="Arial;Helvetica;sans-serif"/>
          <w:i/>
          <w:color w:val="14202A"/>
          <w:sz w:val="18"/>
        </w:rPr>
        <w:t xml:space="preserve">The Wall Street Journal </w:t>
      </w:r>
      <w:r>
        <w:rPr>
          <w:rFonts w:ascii="Arial;Helvetica;sans-serif" w:hAnsi="Arial;Helvetica;sans-serif"/>
          <w:color w:val="14202A"/>
          <w:sz w:val="18"/>
        </w:rPr>
        <w:t xml:space="preserve">or such other source as the Committee deems reliable. </w:t>
      </w:r>
    </w:p>
    <w:p>
      <w:pPr>
        <w:pStyle w:val="TextBody"/>
        <w:bidi w:val="0"/>
        <w:spacing w:before="27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(k) “Offering Commencement Date” means the first day of each Offering Period.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(l) “Offering Period” means a period of time during which offers to purchase Common Stock are outstanding under the Plan. Unless the Committee determines otherwise, each Offering Period will be a period of approximately six months commencing on the first Trading Day on or after January 1, and terminating on the following June 30 (or the last Trading Day prior to such date); and commencing on the first Trading Day on or after July 1, and ending on the following December 31 (or the last Trading Day prior to such date). The length of each Offering Period need not be uniform; provided that no Offering Period will exceed 27 months in length.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(m) “Option” means the right of a Participant who enrolls in the Plan to purchase Common Stock in accordance with the terms of the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(n) “Parent” means a corporation, domestic or foreign, that owns not less than 50% of the voting shares of the Company or of another Parent, whether or not such corporation now exists or is hereafter organized or acquires the Company or a Parent.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(o) “Participant” means an eligible Employee who has elected to participate in the Plan in the manner set forth in Section 4 and whose participation has not ended pursuant to Section 9 or Section 10.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(p) “Plan” means this Amended and Restated Winnebago Industries, Inc. Employee Stock Purchase Plan.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(q) “Purchase Date” means the last Trading Day of each Offering Period.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(r) “Purchase Price” means, unless a different purchase price is established by the Committee, the lesser of (i) 85% of the Fair Market Value of a share of Common Stock on the Offering Commencement Date, and (ii) 85% of the Fair Market Value of a share of Common Stock on the Purchase Date. However, the Purchase Price may be adjusted by the Committee pursuant to Section 18 of this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(s) “Recordkeeping Account” means the account maintained in the books and records of the Company (or its agent) recording the amount contributed to the Plan by each Participant through payroll deductions.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(t) “Reserves” means the number of shares of Common Stock covered by each Option under the Plan that have not yet been Exercised and the number of shares of Common Stock that have been authorized for issuance under the Plan, but not yet placed under Option.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(u) “Subsidiary” means a corporation, domestic or foreign, of which not less than 50% of the voting shares are held by the Company or another Subsidiary, whether or not such corporation now exists or is hereafter organized or acquired by the Company or a Subsidiary.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(v) “Trading Day” means a day on which the NYSE is open for trading.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3. </w:t>
      </w:r>
      <w:r>
        <w:rPr>
          <w:rFonts w:ascii="Arial;Helvetica;sans-serif" w:hAnsi="Arial;Helvetica;sans-serif"/>
          <w:b/>
          <w:color w:val="14202A"/>
          <w:sz w:val="18"/>
          <w:u w:val="single"/>
        </w:rPr>
        <w:t>Eligibility</w:t>
      </w:r>
      <w:r>
        <w:rPr>
          <w:rFonts w:ascii="Arial;Helvetica;sans-serif" w:hAnsi="Arial;Helvetica;sans-serif"/>
          <w:b/>
          <w:color w:val="14202A"/>
          <w:sz w:val="18"/>
        </w:rPr>
        <w:t xml:space="preserve">. </w:t>
      </w:r>
      <w:r>
        <w:rPr>
          <w:rFonts w:ascii="Arial;Helvetica;sans-serif" w:hAnsi="Arial;Helvetica;sans-serif"/>
          <w:color w:val="14202A"/>
          <w:sz w:val="18"/>
        </w:rPr>
        <w:t xml:space="preserve">With respect to the purchase of shares under this Plan, any Employee employed by the Company or a Designated Subsidiary on a given Offering Commencement Date will be eligible to participate in the Plan, except: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(a) Any Employee employed by the Company (or Designated Subsidiary) for less than three (3) months before the applicable Offering Commencement Date;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(b) Any Employee whose customary employment is less than 20 hours per week;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(c) Any Employee whose customary employment is not more than five (5) months in any calendar year;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(d) To the extent that, immediately after the grant, such Employee (including by attribution under Section 424(d) of the Code) would own capital stock of the Company and/or hold outstanding Options to purchase stock of the Company constituting in the aggregate five percent (5%) or more of the total combined voting power or value of all classes of the capital stock of the Company;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6"/>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B-2</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3" w:name="ny20052074x1_def14a_201-appb_pg3"/>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(e) To the extent that such Employee’s Option to purchase stock under this Plan and any other employee stock purchase plans (within the meaning of Section 423(b) of the Code), if any, of the Company and its Subsidiaries exceeds $25,000 worth of stock (determined at the Fair Market Value of the shares at the time the Option is granted) in the aggregate for each calendar year in which the Option is outstanding at any time; and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(f) To the extent that such Employee’s Option to purchase stock under this Plan is in excess of 10,000 shares in any one Offering Period (or such other maximum share limit, other than no share limit, as established by the Committee in its sole discretion, with respect to any Offering Period).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Notwithstanding the foregoing, with respect to any Offering Period, the Committee may provide for the inclusion of Employees described in one or more of (a) – (c) above, or may change the exclusions provided in one or more of (a) – (c) above in any manner allowable under Treasury Regulations section 1.423-2(e)(1) and (2). In addition, notwithstanding the foregoing, with respect to any Offering Period, the Committee may provide for the exclusion of certain employees within the limitations described in Treasury Regulations section 1.423-2(e)(3).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4. </w:t>
      </w:r>
      <w:r>
        <w:rPr>
          <w:rFonts w:ascii="Arial;Helvetica;sans-serif" w:hAnsi="Arial;Helvetica;sans-serif"/>
          <w:b/>
          <w:color w:val="14202A"/>
          <w:sz w:val="18"/>
          <w:u w:val="single"/>
        </w:rPr>
        <w:t>Participation</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(a) An eligible Employee may become a Participant in the Plan by completing a subscription agreement authorizing payroll deductions in the form and process (which may be electronic) determined by the Committee before the applicable Offering Commencement Date, unless a later time for submission is set by the Committee for all eligible Employees with respect to a given Offering Period.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(b) Payroll deductions for a Participant will commence on the first payroll date occurring on or after the applicable Offering Commencement Date and will end on the last payroll date occurring on or before the Purchase Date of the Offering Period to which such authorization is applicable, unless sooner terminated by the Participant as provided in Section 9 or pursuant to Section 10.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5. </w:t>
      </w:r>
      <w:r>
        <w:rPr>
          <w:rFonts w:ascii="Arial;Helvetica;sans-serif" w:hAnsi="Arial;Helvetica;sans-serif"/>
          <w:b/>
          <w:color w:val="14202A"/>
          <w:sz w:val="18"/>
          <w:u w:val="single"/>
        </w:rPr>
        <w:t>Payroll Deductions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(a) At the time a Participant files a subscription agreement, the Participant will elect to have payroll deductions made on each pay day during the Offering Period in an amount equal to a fixed dollar amount, but not exceeding 15% (or such other maximum percentage as the Committee may establish from time to time prior to the commencement of an Offering Period), of the Compensation that the Participant receives on each pay day during the Offering Period.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(b) All payroll deductions made for a Participant will be credited to the Participant’s Recordkeeping Account under the Plan. A Participant may not make any additional payments into such account, except to the extent allowed under Section 5(f) below. A Participant’s account will be only a bookkeeping account maintained by the Company, and neither the Company nor any Subsidiary is obligated to segregate or hold in trust or escrow any funds in a Participant’s account. Except for amounts not expended because of the Plan rule that fractional shares will not be purchased, no amount of accumulated payroll deductions will be carried over with respect to any Participant from the end of one Offering Period to the beginning of another.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(c) A Participant may discontinue participation in the Plan as provided in Section 9, but no other change can be made and, specifically, a Participant may not alter the rate of the Participant’s payroll deductions during an Offering Period. A Participant’s subscription agreement will remain in effect for successive Offering Periods unless terminated or modified as provided in Section 9.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(d) Notwithstanding the foregoing, to the extent necessary to comply with the limitations of Section 423(b)(8) of the Code or Section 3 of this Plan, a Participant’s payroll deductions may be decreased to 0% at any time during an Offering Period. In such event, payroll deductions will recommence at the rate provided in the Participant’s subscription agreement at the beginning of the first Offering Period scheduled to end in the following calendar year, unless terminated by the Participant as provided in Section 9.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(e) At the time the Option is Exercised, in whole or in part, or at the time some or all of the Common Stock issued under the Plan is disposed of, the Participant must make adequate provision for federal, state, or other tax withholding obligations, if any, arising upon the Exercise of the Option or the disposition of the Common Stock. The Company may, but is not obligated to, withhold from the Participant’s other Compensation the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7"/>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B-3</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4" w:name="ny20052074x1_def14a_201-appb_pg4"/>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amount necessary for the Company to meet applicable withholding obligations related to the Participant’s tax obligations, including any withholding required to make available to the Company any tax deductions or benefits attributable to sale or early disposition of Common Stock by the Employee.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(f) If specifically provided by the Committee in connection with an Offering Period (including for purposes of complying with applicable local law), in addition to or instead of making contributions by payroll deduction, a Participant may make additional contributions to the Participant’s Recordkeeping Account through the payment of cash or check prior to a Purchase Date. A Participant may make such additional contributions into the Participant’s Recordkeeping Account only if the Participant has not already made the maximum permitted amount withheld during the Offering Period through payroll deductions, subject to the limitations set forth in Section 3(e). Any such additional contributions will be credited to the applicable Recordkeeping Accounts within a reasonable amount of time following receipt by the Company.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6. </w:t>
      </w:r>
      <w:r>
        <w:rPr>
          <w:rFonts w:ascii="Arial;Helvetica;sans-serif" w:hAnsi="Arial;Helvetica;sans-serif"/>
          <w:b/>
          <w:color w:val="14202A"/>
          <w:sz w:val="18"/>
          <w:u w:val="single"/>
        </w:rPr>
        <w:t>Grant of Option</w:t>
      </w:r>
      <w:r>
        <w:rPr>
          <w:rFonts w:ascii="Arial;Helvetica;sans-serif" w:hAnsi="Arial;Helvetica;sans-serif"/>
          <w:b/>
          <w:color w:val="14202A"/>
          <w:sz w:val="18"/>
        </w:rPr>
        <w:t>.</w:t>
      </w:r>
      <w:r>
        <w:rPr>
          <w:rFonts w:ascii="Arial;Helvetica;sans-serif" w:hAnsi="Arial;Helvetica;sans-serif"/>
          <w:color w:val="14202A"/>
          <w:sz w:val="18"/>
        </w:rPr>
        <w:t xml:space="preserve"> Effective on the Offering Commencement Date of each Offering Period, each eligible Employee participating in such Offering Period will be granted an Option to purchase on the Purchase Date of such Offering Period, at the applicable Purchase Price, a number of full shares of Common Stock determined by dividing such Employee’s total payroll deductions actually made before such Purchase Date and retained in the Participant’s Recordkeeping Account as of the Purchase Date by the applicable Purchase Price without adjustment for changes in the Compensation of the Participant.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7. </w:t>
      </w:r>
      <w:r>
        <w:rPr>
          <w:rFonts w:ascii="Arial;Helvetica;sans-serif" w:hAnsi="Arial;Helvetica;sans-serif"/>
          <w:b/>
          <w:color w:val="14202A"/>
          <w:sz w:val="18"/>
          <w:u w:val="single"/>
        </w:rPr>
        <w:t>Exercise of Option</w:t>
      </w:r>
      <w:r>
        <w:rPr>
          <w:rFonts w:ascii="Arial;Helvetica;sans-serif" w:hAnsi="Arial;Helvetica;sans-serif"/>
          <w:b/>
          <w:color w:val="14202A"/>
          <w:sz w:val="18"/>
        </w:rPr>
        <w:t>.</w:t>
      </w:r>
      <w:r>
        <w:rPr>
          <w:rFonts w:ascii="Arial;Helvetica;sans-serif" w:hAnsi="Arial;Helvetica;sans-serif"/>
          <w:color w:val="14202A"/>
          <w:sz w:val="18"/>
        </w:rPr>
        <w:t xml:space="preserve"> Unless a Participant terminates employment or otherwise withdraws from the Plan as provided in Section 9, or except to the extent that the limitation of Section 423(b)(8) of the Code would otherwise be violated, the Participant’s Option for the purchase of shares will be exercised automatically on the Purchase Date, and the maximum number of full shares subject to the Option will be purchased for such Participant at the applicable Purchase Price with the accumulated payroll deductions in the Participant’s Recordkeeping Account. No fractional shares will be purchased; any payroll deductions accumulated in a Participant’s Recordkeeping Account that are insufficient to purchase a full share will be retained in the Participant’s Recordkeeping Account for the subsequent Offering Period, subject to earlier termination of employment or withdrawal by the Participant as provided in Section 9. Any other funds left over in a Participant’s Recordkeeping Account after the Purchase Date will be returned to the Participant. During a Participant’s lifetime, a Participant’s Option to purchase shares under this Plan is exercisable only by the Participant.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8. </w:t>
      </w:r>
      <w:r>
        <w:rPr>
          <w:rFonts w:ascii="Arial;Helvetica;sans-serif" w:hAnsi="Arial;Helvetica;sans-serif"/>
          <w:b/>
          <w:color w:val="14202A"/>
          <w:sz w:val="18"/>
          <w:u w:val="single"/>
        </w:rPr>
        <w:t>Delivery</w:t>
      </w:r>
      <w:r>
        <w:rPr>
          <w:rFonts w:ascii="Arial;Helvetica;sans-serif" w:hAnsi="Arial;Helvetica;sans-serif"/>
          <w:b/>
          <w:color w:val="14202A"/>
          <w:sz w:val="18"/>
        </w:rPr>
        <w:t>.</w:t>
      </w:r>
      <w:r>
        <w:rPr>
          <w:rFonts w:ascii="Arial;Helvetica;sans-serif" w:hAnsi="Arial;Helvetica;sans-serif"/>
          <w:color w:val="14202A"/>
          <w:sz w:val="18"/>
        </w:rPr>
        <w:t xml:space="preserve"> As promptly as practicable after each Purchase Date on which a purchase of shares occurs, the Company will make a book entry for each Participant or the Participant’s broker, or to a broker designated by the Committee, evidencing the shares purchased upon Exercise of the Option. Shares may be registered in the name of the Participant or jointly in the name of the Participant and the Participant’s spouse as joint tenants with right of survivorship, or as community property, as the Participant may direct on an appropriate form filed with the Company (or its agent).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9. </w:t>
      </w:r>
      <w:r>
        <w:rPr>
          <w:rFonts w:ascii="Arial;Helvetica;sans-serif" w:hAnsi="Arial;Helvetica;sans-serif"/>
          <w:b/>
          <w:color w:val="14202A"/>
          <w:sz w:val="18"/>
          <w:u w:val="single"/>
        </w:rPr>
        <w:t>Withdrawal</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(a) A Participant may at any time on or before 30 calendar days before the Purchase Date withdraw from the Plan by complying with the rules set by the Committee. If a Participant withdraws, the Company will pay to the Participant in cash all of the Participant’s payroll deductions credited to the Participant’s Recordkeeping Account promptly after receipt of notice of withdrawal, such Participant’s Option for the Offering Period will automatically be terminated, and no further payroll deductions for the purchase of shares will be made for such Offering Period. If a Participant withdraws from an Offering Period, payroll deductions will not resume at the beginning of the succeeding Offering Period or any subsequent Offering Period unless the Participant delivers to the Company (or its agent) a new subscription agreement.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(b) A Participant’s withdrawal from an Offering Period will not have any effect upon the Participant’s eligibility to participate in any succeeding Offering Period commencing after the termination of the Offering Period from which the Participant withdraws.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10. </w:t>
      </w:r>
      <w:r>
        <w:rPr>
          <w:rFonts w:ascii="Arial;Helvetica;sans-serif" w:hAnsi="Arial;Helvetica;sans-serif"/>
          <w:b/>
          <w:color w:val="14202A"/>
          <w:sz w:val="18"/>
          <w:u w:val="single"/>
        </w:rPr>
        <w:t>Termination of Employment</w:t>
      </w:r>
      <w:r>
        <w:rPr>
          <w:rFonts w:ascii="Arial;Helvetica;sans-serif" w:hAnsi="Arial;Helvetica;sans-serif"/>
          <w:b/>
          <w:color w:val="14202A"/>
          <w:sz w:val="18"/>
        </w:rPr>
        <w:t>.</w:t>
      </w:r>
      <w:r>
        <w:rPr>
          <w:rFonts w:ascii="Arial;Helvetica;sans-serif" w:hAnsi="Arial;Helvetica;sans-serif"/>
          <w:color w:val="14202A"/>
          <w:sz w:val="18"/>
        </w:rPr>
        <w:t xml:space="preserve"> If a Participant ceases to be an Employee for any reason at any time before the Purchase Date of an Offering Period, including but not limited to the sale of a Designated Subsidiary, the Participant will be deemed to have elected to withdraw from the Plan, and the payroll deductions credited to the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8"/>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B-4</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5" w:name="ny20052074x1_def14a_201-appb_pg5"/>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Participant’s Recordkeeping Account during the Offering Period will be returned to the Participant or, in the case of the Participant’s death, to the person or persons entitled thereto under Section 14, and the Participant’s Option will be automatically terminated as of the date the Participant ceases to be an Employee.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11. </w:t>
      </w:r>
      <w:r>
        <w:rPr>
          <w:rFonts w:ascii="Arial;Helvetica;sans-serif" w:hAnsi="Arial;Helvetica;sans-serif"/>
          <w:b/>
          <w:color w:val="14202A"/>
          <w:sz w:val="18"/>
          <w:u w:val="single"/>
        </w:rPr>
        <w:t>No Interest</w:t>
      </w:r>
      <w:r>
        <w:rPr>
          <w:rFonts w:ascii="Arial;Helvetica;sans-serif" w:hAnsi="Arial;Helvetica;sans-serif"/>
          <w:b/>
          <w:color w:val="14202A"/>
          <w:sz w:val="18"/>
        </w:rPr>
        <w:t>.</w:t>
      </w:r>
      <w:r>
        <w:rPr>
          <w:rFonts w:ascii="Arial;Helvetica;sans-serif" w:hAnsi="Arial;Helvetica;sans-serif"/>
          <w:color w:val="14202A"/>
          <w:sz w:val="18"/>
        </w:rPr>
        <w:t xml:space="preserve"> No interest will accrue or be payable on the payroll deductions credited to a Participant’s Recordkeeping Account in the Plan (unless required under local law).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12. </w:t>
      </w:r>
      <w:r>
        <w:rPr>
          <w:rFonts w:ascii="Arial;Helvetica;sans-serif" w:hAnsi="Arial;Helvetica;sans-serif"/>
          <w:b/>
          <w:color w:val="14202A"/>
          <w:sz w:val="18"/>
          <w:u w:val="single"/>
        </w:rPr>
        <w:t>Stock</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(a) The shares of Common Stock to be sold to Participants under the Plan may, at the election of the Company, be either authorized but unissued shares or shares purchased by the Company on the open market.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(b) 750,000 shares of Common Stock are reserved for the Exercise of Options under the Plan, as adjusted as provided in Section 18. Shares reserved for Options that are not Exercised will again be available for Options under the Plan. If on a given Purchase Date the number of shares with respect to which Options are to be Exercised exceeds the number of shares then available under the Plan, the Committee will make a pro rata allocation of the shares remaining available for purchase in as uniform a manner as is practicable and as it determines to be equitable.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(c) The Participant will have no interest or voting rights in shares covered by an Option or in any dividends declared by the Company in respect of its outstanding Common Stock until such Option has been Exercised and the shares of Common Stock have been issued and delivered.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13. </w:t>
      </w:r>
      <w:r>
        <w:rPr>
          <w:rFonts w:ascii="Arial;Helvetica;sans-serif" w:hAnsi="Arial;Helvetica;sans-serif"/>
          <w:b/>
          <w:color w:val="14202A"/>
          <w:sz w:val="18"/>
          <w:u w:val="single"/>
        </w:rPr>
        <w:t>Administration</w:t>
      </w:r>
      <w:r>
        <w:rPr>
          <w:rFonts w:ascii="Arial;Helvetica;sans-serif" w:hAnsi="Arial;Helvetica;sans-serif"/>
          <w:b/>
          <w:color w:val="14202A"/>
          <w:sz w:val="18"/>
        </w:rPr>
        <w:t>.</w:t>
      </w:r>
      <w:r>
        <w:rPr>
          <w:rFonts w:ascii="Arial;Helvetica;sans-serif" w:hAnsi="Arial;Helvetica;sans-serif"/>
          <w:color w:val="14202A"/>
          <w:sz w:val="18"/>
        </w:rPr>
        <w:t xml:space="preserve"> This Plan will be administered by the Committee. Subject to the express provisions of the Plan and applicable law, and in addition to other express powers and authorizations conferred on the Committee by the Plan, the Committee has full power and authority to: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(a) Determine when each Offering Period under this Plan occurs, and the terms and conditions of each related Offering Period (which need not be identical); </w:t>
      </w:r>
    </w:p>
    <w:p>
      <w:pPr>
        <w:pStyle w:val="TextBody"/>
        <w:bidi w:val="0"/>
        <w:spacing w:before="26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(b) Designate from time to time which Subsidiaries of the Company are eligible to participate in the Plan;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(c) Construe and interpret the Plan and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(d) Exercise such powers and perform such acts as the Committee may deem necessary, desirable or appropriate to promote the best interests of the Company and its Designated Subsidiaries and to carry out the intent that each Offering Period under the Plan is treated as qualifying under Section 423(b) of the Code;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(e) As more fully described in Section 24(f), to adopt such rules, procedures and sub-plans as may be necessary, desirable or appropriate to permit participation in the Plan by employees who are foreign nationals or employed outside the United States by a non-U.S. Designated Subsidiary, and to achieve tax, securities law and other compliance objectives in particular locations outside the United States; and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(f) Adopt and amend, as the Committee deems appropriate, a Plan rule specifying that shares of Common Stock purchased by a Participant during an Offering Period may not be sold by the Participant for a specified period of time after the Purchase Date on which the shares were purchased by the Participant, and establish such procedures as the Committee may deem necessary to implement such rule.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Unless otherwise expressly provided in the Plan, all designations, determinations, interpretations, and other decisions under or with respect to the Plan will be within the sole discretion of the Committee, may be made at any time and will be final, conclusive, and binding upon all persons, including the Company, any Subsidiary, any Participant and any Employee.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Subject to the terms of the Plan and applicable law, the Committee may delegate ministerial duties associated with the administration of the Plan to such of the Company’s officers, employees or agents as the Committee may determine.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9"/>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B-5</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6" w:name="ny20052074x1_def14a_201-appb_pg6"/>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No member of the Board or Committee will be liable for any action taken or determination made in good faith with respect to the Plan. In addition to such other rights of indemnification as they may have as members of the Board or officers or employees of the Company or a Designated Subsidiary, members of the Board and Committee and any officers or employees of the Company or Designated Subsidiary to whom authority to act for the Committee is delegated will be indemnified by the Company from and against any and all liabilities, costs and expenses incurred by such persons as a result of any act or omission to act in connection with the performance of such person’s duties, responsibilities and obligations under the Plan if such person has acted in good faith and in a manner that he or she reasonably believes to be in, or not opposed to, the best interests of the Company.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14. </w:t>
      </w:r>
      <w:r>
        <w:rPr>
          <w:rFonts w:ascii="Arial;Helvetica;sans-serif" w:hAnsi="Arial;Helvetica;sans-serif"/>
          <w:b/>
          <w:color w:val="14202A"/>
          <w:sz w:val="18"/>
          <w:u w:val="single"/>
        </w:rPr>
        <w:t>Designation of Beneficiary</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(a) A Participant may file a designation, including by electronic means, as determined by the Committee from time to time, of a beneficiary who is to receive: (i) any shares and any cash, if any, from the Participant’s Recordkeeping Account under the Plan in the event of the Participant’s death subsequent to a Purchase Date on which the Option is Exercised, but before delivery to the Participant of the shares of Common Stock and cash, or (ii) any cash from the Participant’s Recordkeeping Account under the Plan in the event of the Participant’s death before Exercise of the Option. If a Participant is married and the designated beneficiary is not the Participant’s spouse, spousal consent will be required for such designation to be effective on such forms as approved by the Committee. Such designation of beneficiary may be changed by the Participant at any time by written notice, including electronic as determined by the Committee, subject to the requirements in the preceding sentence. No beneficiary will, prior to the death of the Participant by whom the Participant has been designated, acquire any interest in any shares of Common Stock or in any Option or cash credited to the Participant’s account.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(b) In the event of a Participant’s death and in the absence of a beneficiary validly designated under the Plan who is living at the time of the Participant’s death, the Committee will deliver the shares of Common Stock and/or cash first to the Participant’s spouse, if any, and then to the executor or administrator of the estate of the Participant or, if to the best of the Committee’s knowledge no such executor or administrator has been appointed, the Committee, in its sole discretion, may deliver such shares and/or cash to any one or more dependents or relatives of the Participant, or if no spouse, dependent, or relative is known to the Committee, then to such other person as the Committee may designate. The Committee may require reasonable proof of the identity and existence at the Participant’s death of the beneficiary validly designated under this Section 14. The Committee will not be responsible for or be required to give effect to the disposition of any cash or shares of Common Stock in accordance with any will or other testamentary disposition made by the Participant or in accordance with the provision of any law concerning intestacy, or otherwise.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15. </w:t>
      </w:r>
      <w:r>
        <w:rPr>
          <w:rFonts w:ascii="Arial;Helvetica;sans-serif" w:hAnsi="Arial;Helvetica;sans-serif"/>
          <w:b/>
          <w:color w:val="14202A"/>
          <w:sz w:val="18"/>
          <w:u w:val="single"/>
        </w:rPr>
        <w:t>Transferability</w:t>
      </w:r>
      <w:r>
        <w:rPr>
          <w:rFonts w:ascii="Arial;Helvetica;sans-serif" w:hAnsi="Arial;Helvetica;sans-serif"/>
          <w:b/>
          <w:color w:val="14202A"/>
          <w:sz w:val="18"/>
        </w:rPr>
        <w:t>.</w:t>
      </w:r>
      <w:r>
        <w:rPr>
          <w:rFonts w:ascii="Arial;Helvetica;sans-serif" w:hAnsi="Arial;Helvetica;sans-serif"/>
          <w:color w:val="14202A"/>
          <w:sz w:val="18"/>
        </w:rPr>
        <w:t xml:space="preserve"> Neither payroll deductions credited to a Participant’s Recordkeeping Account nor any rights with regard to the Exercise of an Option or to receive shares of Common Stock under the Plan may be assigned, transferred, pledged, or otherwise disposed of in any way (other than by will, the laws of descent and distribution, or as provided in Section 14) by the Participant. Any such attempt at assignment, transfer, pledge, or other disposition is void and without effect, except that the Committee may treat such act as an election to withdraw funds from an Offering Period in accordance with Section 9.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16. </w:t>
      </w:r>
      <w:r>
        <w:rPr>
          <w:rFonts w:ascii="Arial;Helvetica;sans-serif" w:hAnsi="Arial;Helvetica;sans-serif"/>
          <w:b/>
          <w:color w:val="14202A"/>
          <w:sz w:val="18"/>
          <w:u w:val="single"/>
        </w:rPr>
        <w:t>Use of Funds</w:t>
      </w:r>
      <w:r>
        <w:rPr>
          <w:rFonts w:ascii="Arial;Helvetica;sans-serif" w:hAnsi="Arial;Helvetica;sans-serif"/>
          <w:b/>
          <w:color w:val="14202A"/>
          <w:sz w:val="18"/>
        </w:rPr>
        <w:t>.</w:t>
      </w:r>
      <w:r>
        <w:rPr>
          <w:rFonts w:ascii="Arial;Helvetica;sans-serif" w:hAnsi="Arial;Helvetica;sans-serif"/>
          <w:color w:val="14202A"/>
          <w:sz w:val="18"/>
        </w:rPr>
        <w:t xml:space="preserve"> The Recordkeeping Accounts are established solely for accounting purposes, and all payroll deductions received or held by the Company in the Recordkeeping Accounts under the Plan will be general corporate funds and as such may be used by the Company for any corporate purpose, and the Company will not be obligated to segregate payroll deductions.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17. </w:t>
      </w:r>
      <w:r>
        <w:rPr>
          <w:rFonts w:ascii="Arial;Helvetica;sans-serif" w:hAnsi="Arial;Helvetica;sans-serif"/>
          <w:b/>
          <w:color w:val="14202A"/>
          <w:sz w:val="18"/>
          <w:u w:val="single"/>
        </w:rPr>
        <w:t>Reports</w:t>
      </w:r>
      <w:r>
        <w:rPr>
          <w:rFonts w:ascii="Arial;Helvetica;sans-serif" w:hAnsi="Arial;Helvetica;sans-serif"/>
          <w:b/>
          <w:color w:val="14202A"/>
          <w:sz w:val="18"/>
        </w:rPr>
        <w:t>.</w:t>
      </w:r>
      <w:r>
        <w:rPr>
          <w:rFonts w:ascii="Arial;Helvetica;sans-serif" w:hAnsi="Arial;Helvetica;sans-serif"/>
          <w:color w:val="14202A"/>
          <w:sz w:val="18"/>
        </w:rPr>
        <w:t xml:space="preserve"> Statements of account will be available to Participants on a periodic basis setting forth their payroll deductions, the Purchase Price, the number of shares purchased, and the remaining cash balance, if any.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18. </w:t>
      </w:r>
      <w:r>
        <w:rPr>
          <w:rFonts w:ascii="Arial;Helvetica;sans-serif" w:hAnsi="Arial;Helvetica;sans-serif"/>
          <w:b/>
          <w:color w:val="14202A"/>
          <w:sz w:val="18"/>
          <w:u w:val="single"/>
        </w:rPr>
        <w:t>Adjustments Upon Changes in Capitalization, Dissolution, Liquidation, Merger, or Asset Sale</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(a) Subject to any required action by the shareholders of the Company, the Reserves, the maximum number of shares each Participant may purchase per Offering Period, as well as the Purchase Price per share, the number of shares of Common Stock covered by each Option under the Plan which has not yet been Exercised will be adjusted for any increase or decrease in the number of issued shares of Common Stock resulting from a stock split, reverse stock split, stock dividend, consolidation, separation, reorganization or reclassification of the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60"/>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B-6</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7" w:name="ny20052074x1_def14a_201-appb_pg7"/>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Common Stock, or any other increase or decrease in the number of shares of Common Stock effected without receipt of consideration by the Company; provided, however, that conversion of any convertible securities of the Company will not be deemed to have been “effected without receipt of consideration.” Such adjustment will be made by the Committee, in a manner that causes each Option to continue to qualify as an option issued pursuant to an “employee stock purchase plan” within the meaning of Section 423 and 424 of the Code. The determination of the Committee is final and binding on all parties.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(b) In the event of the proposed dissolution or liquidation of the Company, the Offering Period then in progress will be shortened by setting a new Purchase Date (the “New Purchase Date”), and the Offering Period will terminate immediately before the consummation of the proposed dissolution or liquidation, unless provided otherwise by the Committee. The New Purchase Date will be determined by the Committee and will be before the date of the Company’s proposed dissolution or liquidation. The Committee will notify each Participant in writing before the New Purchase Date that the Purchase Date for the Participant’s Option has been changed to the New Purchase Date and that the Participant’s Option will be Exercised automatically on the New Purchase Date, unless the Participant terminates employment or withdraws from the Offering Period as provided in Section 9 before the New Purchase Date.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(c) In the event of a sale of all or substantially all of the assets of the Company, or the merger of the Company with or into another corporation, or similar corporate transaction, each outstanding Option will be assumed, or an Option substituted, by the successor corporation or a Parent or Subsidiary of the successor corporation; provided that the terms of the Option remain substantially the same, the number of shares and the Purchase Price is proportionally adjusted such that the aggregate spread between the Purchase Price and Fair Market Value immediately after the transaction is not greater or less than the aggregate spread between the Purchase Price and Fair Market Value immediately prior to the transaction. If the successor corporation elects not to assume the Option or substitute equivalent Options, the Offering Period then in progress will be shortened by setting a New Purchase Date. The New Purchase Date will be before the date of the Company’s proposed sale or merger. The Committee will notify each Participant in writing before the New Purchase Date, that the Purchase Date for the Participant’s Option has been changed to the New Purchase Date and that the Participant’s Option will be Exercised automatically on the New Purchase Date, unless Participant terminates employment or withdraws from the Offering Period as provided in Section 9 before the New Purchase Date.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(d) Except as otherwise expressly provided in this Section 18: (i) no adjustment will be made for dividends (ordinary or extraordinary, whether in cash, securities or other property), distributions or other rights for which the record date is prior to the Common Stock actually issued, (ii) no Participant will have any right by reason of any subdivision or consolidation of shares of any class or the payment of any stock dividend or any other increase or decrease in the number of shares of any class or by reason of any dissolution, liquidation, merger, or consolidation or spin-off of assets or stock of another corporation, and (iii) any issue by the Company of shares of any class, or securities convertible into shares of any class, will not affect, and no adjustment for such reason will be made with respect to, the number or price of shares subject to the Option.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19. </w:t>
      </w:r>
      <w:r>
        <w:rPr>
          <w:rFonts w:ascii="Arial;Helvetica;sans-serif" w:hAnsi="Arial;Helvetica;sans-serif"/>
          <w:b/>
          <w:color w:val="14202A"/>
          <w:sz w:val="18"/>
          <w:u w:val="single"/>
        </w:rPr>
        <w:t>Amendment and Termination</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(a) The Committee, in its sole discretion, may at any time and for any reason terminate, amend or suspend the Plan. Except as provided in Section 18, no termination, amendment or suspension can affect Options previously granted, provided that an Offering Period may be terminated by the Board on or prior to any Purchase Date if the Board determines that the termination of the Offering Period or the Plan is in the best interests of the Company and its shareholders. Except as provided in Section 18 and this Section 19, no amendment may make any change in any Option previously granted that adversely affects the rights of any Participant. To the extent necessary to comply with Section 423 of the Code (or any other applicable law, regulation, or NYSE rule), the Company will obtain shareholder approval in such manner and to such degree as required.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(b) Without shareholder consent and without regard to whether any Participant’s rights may be considered to have been “adversely affected,” the Committee will be entitled to exercise its authority under the Plan, including but not limited to, changing the Offering Periods or the maximum amount of permitted payroll deductions; establishing the exchange ratio applicable to amounts withheld in a currency other than U.S. dollars; permitting payroll withholding in excess of the amount designated by a Participant in order to adjust for delays or mistakes in the Company’s processing of properly completed withholding elections; establishing reasonable waiting and adjustment periods and/or accounting and crediting procedures to ensure that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1"/>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B-7</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8" w:name="ny20052074x1_def14a_201-appb_pg8"/>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amounts applied toward the purchase of Common Stock for each Participant properly correspond with amounts withheld from the Participant’s Compensation; and establishing such other limitations and procedures as the Committee determines in its sole discretion are advisable.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(c) If the Committee determines that the ongoing operation of the Plan may result in unfavorable financial accounting consequences, the Committee may, in its sole discretion and, to the extent necessary or desirable, modify or amend the Plan to reduce or eliminate such accounting consequences including, but not limited to: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(1) altering the Purchase Price for any Offering Period, including an Offering Period underway at the time of the change in Purchase Price; or </w:t>
      </w:r>
    </w:p>
    <w:p>
      <w:pPr>
        <w:pStyle w:val="TextBody"/>
        <w:bidi w:val="0"/>
        <w:spacing w:before="200" w:after="283"/>
        <w:ind w:left="800" w:right="0" w:hanging="0"/>
        <w:jc w:val="left"/>
        <w:rPr>
          <w:rFonts w:ascii="Arial;Helvetica;sans-serif" w:hAnsi="Arial;Helvetica;sans-serif"/>
          <w:color w:val="14202A"/>
          <w:sz w:val="18"/>
        </w:rPr>
      </w:pPr>
      <w:r>
        <w:rPr>
          <w:rFonts w:ascii="Arial;Helvetica;sans-serif" w:hAnsi="Arial;Helvetica;sans-serif"/>
          <w:color w:val="14202A"/>
          <w:sz w:val="18"/>
        </w:rPr>
        <w:t xml:space="preserve">(2) shortening any Offering Period so that the Offering Period ends on a new Purchase Date, including an Offering Period underway at the time of the Committee action.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Such modifications or amendments will not require shareholder approval or the consent of any Participants.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20. </w:t>
      </w:r>
      <w:r>
        <w:rPr>
          <w:rFonts w:ascii="Arial;Helvetica;sans-serif" w:hAnsi="Arial;Helvetica;sans-serif"/>
          <w:b/>
          <w:color w:val="14202A"/>
          <w:sz w:val="18"/>
          <w:u w:val="single"/>
        </w:rPr>
        <w:t>Notices</w:t>
      </w:r>
      <w:r>
        <w:rPr>
          <w:rFonts w:ascii="Arial;Helvetica;sans-serif" w:hAnsi="Arial;Helvetica;sans-serif"/>
          <w:b/>
          <w:color w:val="14202A"/>
          <w:sz w:val="18"/>
        </w:rPr>
        <w:t>.</w:t>
      </w:r>
      <w:r>
        <w:rPr>
          <w:rFonts w:ascii="Arial;Helvetica;sans-serif" w:hAnsi="Arial;Helvetica;sans-serif"/>
          <w:color w:val="14202A"/>
          <w:sz w:val="18"/>
        </w:rPr>
        <w:t xml:space="preserve"> All notices or other communications by a Participant to the Company under or in connection with the Plan will be deemed to have been duly given when received in the form specified by the Company at the location, or by the person, designated by the Company for the receipt thereof. </w:t>
      </w:r>
    </w:p>
    <w:p>
      <w:pPr>
        <w:pStyle w:val="TextBody"/>
        <w:bidi w:val="0"/>
        <w:spacing w:before="270" w:after="283"/>
        <w:ind w:left="0" w:right="0" w:hanging="0"/>
        <w:jc w:val="left"/>
        <w:rPr>
          <w:rFonts w:ascii="Arial;Helvetica;sans-serif" w:hAnsi="Arial;Helvetica;sans-serif"/>
          <w:color w:val="14202A"/>
          <w:sz w:val="18"/>
        </w:rPr>
      </w:pPr>
      <w:r>
        <w:rPr>
          <w:rFonts w:ascii="Arial;Helvetica;sans-serif" w:hAnsi="Arial;Helvetica;sans-serif"/>
          <w:color w:val="14202A"/>
          <w:sz w:val="18"/>
        </w:rPr>
        <w:t>21. </w:t>
      </w:r>
      <w:r>
        <w:rPr>
          <w:rFonts w:ascii="Arial;Helvetica;sans-serif" w:hAnsi="Arial;Helvetica;sans-serif"/>
          <w:b/>
          <w:color w:val="14202A"/>
          <w:sz w:val="18"/>
          <w:u w:val="single"/>
        </w:rPr>
        <w:t>Conditions Upon Issuance of Shares</w:t>
      </w:r>
      <w:r>
        <w:rPr>
          <w:rFonts w:ascii="Arial;Helvetica;sans-serif" w:hAnsi="Arial;Helvetica;sans-serif"/>
          <w:b/>
          <w:color w:val="14202A"/>
          <w:sz w:val="18"/>
        </w:rPr>
        <w:t>.</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(a) Shares will not be issued with respect to an Option unless the Exercise of such Option and the issuance and delivery of the shares will comply with all applicable provisions of law, domestic or foreign, including, without limitation, the Securities Act of 1933, as amended, the Securities Exchange Act of 1934, as amended, the rules and regulations promulgated thereunder, and the requirements of the NYSE, and will be further subject to the approval of counsel for the Company with respect to such compliance.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 xml:space="preserve">(b) As a condition to the Exercise of an Option, the Company may require the person exercising such Option to represent and warrant at the time of the Exercise that the shares are being purchased only for investment and without any present intention to sell or distribute such shares if, in the opinion of counsel for the Company, such a representation is required by any of the aforementioned applicable provisions of law.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22. </w:t>
      </w:r>
      <w:r>
        <w:rPr>
          <w:rFonts w:ascii="Arial;Helvetica;sans-serif" w:hAnsi="Arial;Helvetica;sans-serif"/>
          <w:b/>
          <w:color w:val="14202A"/>
          <w:sz w:val="18"/>
          <w:u w:val="single"/>
        </w:rPr>
        <w:t>Term of Plan</w:t>
      </w:r>
      <w:r>
        <w:rPr>
          <w:rFonts w:ascii="Arial;Helvetica;sans-serif" w:hAnsi="Arial;Helvetica;sans-serif"/>
          <w:color w:val="14202A"/>
          <w:sz w:val="18"/>
        </w:rPr>
        <w:t xml:space="preserve">. The Plan was originally effective on December 12, 2017. This amended and restated Plan is effective on October 15, 2025, subject to approval by the shareholders of the Company within 12 months after its adoption, and will apply to Offering Periods beginning after the receipt of such Board approval. The Plan and all rights of Participants under the Plan will terminate (i) at any time, at the discretion of the Committee, or (ii) upon the completion of any Offering under which the limitation on the total number of shares of Common Stock to be issued during the entire term of the Plan, as determined in accordance with Section 3, has been reached. Except as otherwise determined by the Committee, upon termination of this Plan, the Company will pay to each Participant cash in an amount equal to the entire remaining balance in such Participant’s Recordkeeping Account. </w:t>
      </w:r>
    </w:p>
    <w:p>
      <w:pPr>
        <w:pStyle w:val="TextBody"/>
        <w:bidi w:val="0"/>
        <w:spacing w:before="200" w:after="283"/>
        <w:ind w:left="0" w:right="0" w:hanging="0"/>
        <w:jc w:val="left"/>
        <w:rPr>
          <w:rFonts w:ascii="Arial;Helvetica;sans-serif" w:hAnsi="Arial;Helvetica;sans-serif"/>
          <w:color w:val="14202A"/>
          <w:sz w:val="18"/>
        </w:rPr>
      </w:pPr>
      <w:r>
        <w:rPr>
          <w:rFonts w:ascii="Arial;Helvetica;sans-serif" w:hAnsi="Arial;Helvetica;sans-serif"/>
          <w:color w:val="14202A"/>
          <w:sz w:val="18"/>
        </w:rPr>
        <w:t>23. </w:t>
      </w:r>
      <w:r>
        <w:rPr>
          <w:rFonts w:ascii="Arial;Helvetica;sans-serif" w:hAnsi="Arial;Helvetica;sans-serif"/>
          <w:b/>
          <w:color w:val="14202A"/>
          <w:sz w:val="18"/>
          <w:u w:val="single"/>
        </w:rPr>
        <w:t>Additional Restrictions of Rule 16b-3</w:t>
      </w:r>
      <w:r>
        <w:rPr>
          <w:rFonts w:ascii="Arial;Helvetica;sans-serif" w:hAnsi="Arial;Helvetica;sans-serif"/>
          <w:b/>
          <w:color w:val="14202A"/>
          <w:sz w:val="18"/>
        </w:rPr>
        <w:t>.</w:t>
      </w:r>
      <w:r>
        <w:rPr>
          <w:rFonts w:ascii="Arial;Helvetica;sans-serif" w:hAnsi="Arial;Helvetica;sans-serif"/>
          <w:color w:val="14202A"/>
          <w:sz w:val="18"/>
        </w:rPr>
        <w:t xml:space="preserve"> The terms and conditions of Options granted under the Plan to, and the purchase of shares by, persons subject to Section 16 of the Exchange Act will comply with the applicable provisions of Rule 16b-3. In the cases of any such persons, this Plan and Options issued to such persons will be deemed to contain, and the shares of Common Stock issued upon Exercise of the Options will be subject to, such additional conditions and restrictions as may be required by Rule 16b-3 to qualify for the maximum exemption from Section 16 of the Exchange Act with respect to Plan transactions on behalf of such persons.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24. </w:t>
      </w:r>
      <w:r>
        <w:rPr>
          <w:rFonts w:ascii="Arial;Helvetica;sans-serif" w:hAnsi="Arial;Helvetica;sans-serif"/>
          <w:b/>
          <w:color w:val="14202A"/>
          <w:sz w:val="18"/>
          <w:u w:val="single"/>
        </w:rPr>
        <w:t>Miscellaneous</w:t>
      </w:r>
      <w:r>
        <w:rPr>
          <w:rFonts w:ascii="Arial;Helvetica;sans-serif" w:hAnsi="Arial;Helvetica;sans-serif"/>
          <w:color w:val="14202A"/>
          <w:sz w:val="18"/>
        </w:rPr>
        <w:t xml:space="preserv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(a) </w:t>
      </w:r>
      <w:r>
        <w:rPr>
          <w:rFonts w:ascii="Arial;Helvetica;sans-serif" w:hAnsi="Arial;Helvetica;sans-serif"/>
          <w:color w:val="14202A"/>
          <w:sz w:val="18"/>
          <w:u w:val="single"/>
        </w:rPr>
        <w:t>No Rights to Employment</w:t>
      </w:r>
      <w:r>
        <w:rPr>
          <w:rFonts w:ascii="Arial;Helvetica;sans-serif" w:hAnsi="Arial;Helvetica;sans-serif"/>
          <w:color w:val="14202A"/>
          <w:sz w:val="18"/>
        </w:rPr>
        <w:t xml:space="preserve">. The Plan will not, directly or indirectly, create any right for the benefit of any Employee or class of Employees to purchase any shares of Common Stock under the Plan, or create in any Employee or class of Employees any right with respect to continuation of employment by the Company, and it will not be deemed to interfere in any way with the Company’s right to terminate, or otherwise modify, an Employee’s employment at any time.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(b) </w:t>
      </w:r>
      <w:r>
        <w:rPr>
          <w:rFonts w:ascii="Arial;Helvetica;sans-serif" w:hAnsi="Arial;Helvetica;sans-serif"/>
          <w:color w:val="14202A"/>
          <w:sz w:val="18"/>
          <w:u w:val="single"/>
        </w:rPr>
        <w:t>Governing Law</w:t>
      </w:r>
      <w:r>
        <w:rPr>
          <w:rFonts w:ascii="Arial;Helvetica;sans-serif" w:hAnsi="Arial;Helvetica;sans-serif"/>
          <w:color w:val="14202A"/>
          <w:sz w:val="18"/>
        </w:rPr>
        <w:t xml:space="preserve">. The law of the State of Minnesota will govern all matters relating to this Plan except to the extent it is superseded by the laws of the United States.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2"/>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B-8</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9" w:name="ny20052074x1_def14a_201-appb_pg9"/>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(c) </w:t>
      </w:r>
      <w:r>
        <w:rPr>
          <w:rFonts w:ascii="Arial;Helvetica;sans-serif" w:hAnsi="Arial;Helvetica;sans-serif"/>
          <w:color w:val="14202A"/>
          <w:sz w:val="18"/>
          <w:u w:val="single"/>
        </w:rPr>
        <w:t>Electronic Documentation and Signatures</w:t>
      </w:r>
      <w:r>
        <w:rPr>
          <w:rFonts w:ascii="Arial;Helvetica;sans-serif" w:hAnsi="Arial;Helvetica;sans-serif"/>
          <w:color w:val="14202A"/>
          <w:sz w:val="18"/>
        </w:rPr>
        <w:t xml:space="preserve">. Any reference in the Plan to election or enrollment forms, notices, authorizations or any other document to be provided in writing will include the provision of any such form, notice, authorization or document by electronic means, including through the Company’s intranet or with the Company’s agent, and any reference in the Plan to the signing of any document will include the authentication of any such document provided in electronic form, in each case in accordance with procedures established by the Committee.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(d) </w:t>
      </w:r>
      <w:r>
        <w:rPr>
          <w:rFonts w:ascii="Arial;Helvetica;sans-serif" w:hAnsi="Arial;Helvetica;sans-serif"/>
          <w:color w:val="14202A"/>
          <w:sz w:val="18"/>
          <w:u w:val="single"/>
        </w:rPr>
        <w:t>Section 409A of the Code</w:t>
      </w:r>
      <w:r>
        <w:rPr>
          <w:rFonts w:ascii="Arial;Helvetica;sans-serif" w:hAnsi="Arial;Helvetica;sans-serif"/>
          <w:color w:val="14202A"/>
          <w:sz w:val="18"/>
        </w:rPr>
        <w:t xml:space="preserve">. The Plan is exempt from the application of Section 409A of the Code (“Section 409A”) and any ambiguities in the Plan will be interpreted to so be exempt from Section 409A. In furtherance of the foregoing and notwithstanding any provision in the Plan to the contrary, if the Committee determines that an Option granted under the Plan may be subject to Section 409A or that any provision in the Plan would cause an Option under the Plan to be subject to Section 409A, the Committee may amend the terms of the Plan and/or of an outstanding Option under the Plan, or take such other action as the Committee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actions by the Committee would not violate Section 409A. Notwithstanding the foregoing, the Company and the Committee will have no liability to a Participant or any other party if the Option to purchase shares under the Plan that is intended to be exempt from or compliant with Section 409A is not exempt or compliant or for any action taken by the Committee with respect thereto. The Company makes no representations that the Option to purchase shares under the Plan is compliant with Section 409A.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(e) </w:t>
      </w:r>
      <w:r>
        <w:rPr>
          <w:rFonts w:ascii="Arial;Helvetica;sans-serif" w:hAnsi="Arial;Helvetica;sans-serif"/>
          <w:color w:val="14202A"/>
          <w:sz w:val="18"/>
          <w:u w:val="single"/>
        </w:rPr>
        <w:t>Severability</w:t>
      </w:r>
      <w:r>
        <w:rPr>
          <w:rFonts w:ascii="Arial;Helvetica;sans-serif" w:hAnsi="Arial;Helvetica;sans-serif"/>
          <w:color w:val="14202A"/>
          <w:sz w:val="18"/>
        </w:rPr>
        <w:t xml:space="preserve">.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(f) </w:t>
      </w:r>
      <w:r>
        <w:rPr>
          <w:rFonts w:ascii="Arial;Helvetica;sans-serif" w:hAnsi="Arial;Helvetica;sans-serif"/>
          <w:color w:val="14202A"/>
          <w:sz w:val="18"/>
          <w:u w:val="single"/>
        </w:rPr>
        <w:t>Payments to Minors, Etc</w:t>
      </w:r>
      <w:r>
        <w:rPr>
          <w:rFonts w:ascii="Arial;Helvetica;sans-serif" w:hAnsi="Arial;Helvetica;sans-serif"/>
          <w:color w:val="14202A"/>
          <w:sz w:val="18"/>
        </w:rPr>
        <w:t xml:space="preserve">. Any benefit payable to or for the benefit of a minor, an incompetent individual or other person incapable of receipt thereof will be deemed paid when paid to such individual’s guardian or to the party providing or reasonably appearing to provide for the care of such person, and such payment will fully discharge the Committee, the Board, the Company, its Subsidiaries and their employees, agents and representatives with respect thereto. </w:t>
      </w:r>
    </w:p>
    <w:p>
      <w:pPr>
        <w:pStyle w:val="TextBody"/>
        <w:bidi w:val="0"/>
        <w:spacing w:before="200" w:after="283"/>
        <w:ind w:left="400" w:right="0" w:hanging="0"/>
        <w:jc w:val="left"/>
        <w:rPr>
          <w:rFonts w:ascii="Arial;Helvetica;sans-serif" w:hAnsi="Arial;Helvetica;sans-serif"/>
          <w:color w:val="14202A"/>
          <w:sz w:val="18"/>
        </w:rPr>
      </w:pPr>
      <w:r>
        <w:rPr>
          <w:rFonts w:ascii="Arial;Helvetica;sans-serif" w:hAnsi="Arial;Helvetica;sans-serif"/>
          <w:color w:val="14202A"/>
          <w:sz w:val="18"/>
        </w:rPr>
        <w:t>(g) </w:t>
      </w:r>
      <w:r>
        <w:rPr>
          <w:rFonts w:ascii="Arial;Helvetica;sans-serif" w:hAnsi="Arial;Helvetica;sans-serif"/>
          <w:color w:val="14202A"/>
          <w:sz w:val="18"/>
          <w:u w:val="single"/>
        </w:rPr>
        <w:t>Rules for Foreign Jurisdictions</w:t>
      </w:r>
      <w:r>
        <w:rPr>
          <w:rFonts w:ascii="Arial;Helvetica;sans-serif" w:hAnsi="Arial;Helvetica;sans-serif"/>
          <w:color w:val="14202A"/>
          <w:sz w:val="18"/>
        </w:rPr>
        <w:t xml:space="preserve">. The Committee may adopt rules, procedures or subplans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the definition of Compensation, withholding procedures and handling of stock certificates that vary with local requirements.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Amended Plan Approved by Board of Directors: October 15, 2025 </w:t>
      </w:r>
    </w:p>
    <w:p>
      <w:pPr>
        <w:pStyle w:val="TextBody"/>
        <w:bidi w:val="0"/>
        <w:spacing w:before="260" w:after="283"/>
        <w:ind w:left="0" w:right="0" w:hanging="0"/>
        <w:jc w:val="left"/>
        <w:rPr>
          <w:rFonts w:ascii="Arial;Helvetica;sans-serif" w:hAnsi="Arial;Helvetica;sans-serif"/>
          <w:color w:val="14202A"/>
          <w:sz w:val="18"/>
        </w:rPr>
      </w:pPr>
      <w:r>
        <w:rPr>
          <w:rFonts w:ascii="Arial;Helvetica;sans-serif" w:hAnsi="Arial;Helvetica;sans-serif"/>
          <w:color w:val="14202A"/>
          <w:sz w:val="18"/>
        </w:rPr>
        <w:t xml:space="preserve">Amended Plan Approved by Shareholders: </w:t>
      </w:r>
      <w:r>
        <w:rPr>
          <w:rFonts w:ascii="Arial;Helvetica;sans-serif" w:hAnsi="Arial;Helvetica;sans-serif"/>
          <w:color w:val="14202A"/>
          <w:sz w:val="18"/>
          <w:u w:val="single"/>
        </w:rPr>
        <w:t>    </w:t>
      </w:r>
      <w:r>
        <w:rPr>
          <w:rFonts w:ascii="Arial;Helvetica;sans-serif" w:hAnsi="Arial;Helvetica;sans-serif"/>
          <w:color w:val="14202A"/>
          <w:sz w:val="18"/>
        </w:rPr>
        <w:t xml:space="preserve">, 2025 </w:t>
      </w:r>
    </w:p>
    <w:tbl>
      <w:tblPr>
        <w:tblW w:w="6105" w:type="dxa"/>
        <w:jc w:val="left"/>
        <w:tblInd w:w="0" w:type="dxa"/>
        <w:tblLayout w:type="fixed"/>
        <w:tblCellMar>
          <w:top w:w="0" w:type="dxa"/>
          <w:left w:w="0" w:type="dxa"/>
          <w:bottom w:w="0" w:type="dxa"/>
          <w:right w:w="0" w:type="dxa"/>
        </w:tblCellMar>
      </w:tblPr>
      <w:tblGrid>
        <w:gridCol w:w="2610"/>
        <w:gridCol w:w="170"/>
        <w:gridCol w:w="170"/>
        <w:gridCol w:w="3155"/>
      </w:tblGrid>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2610" w:type="dxa"/>
            <w:tcBorders/>
            <w:vAlign w:val="center"/>
          </w:tcPr>
          <w:p>
            <w:pPr>
              <w:pStyle w:val="TableContents"/>
              <w:bidi w:val="0"/>
              <w:spacing w:before="0" w:after="283"/>
              <w:ind w:left="0" w:right="0" w:hanging="0"/>
              <w:jc w:val="left"/>
              <w:rPr>
                <w:color w:val="14202A"/>
              </w:rPr>
            </w:pPr>
            <w:r>
              <w:rPr>
                <w:color w:val="14202A"/>
              </w:rPr>
              <w:drawing>
                <wp:inline distT="0" distB="0" distL="0" distR="0">
                  <wp:extent cx="1628775" cy="10477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3"/>
                          <a:stretch>
                            <a:fillRect/>
                          </a:stretch>
                        </pic:blipFill>
                        <pic:spPr bwMode="auto">
                          <a:xfrm>
                            <a:off x="0" y="0"/>
                            <a:ext cx="1628775" cy="1047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right"/>
              <w:rPr>
                <w:rFonts w:ascii="Arial;Helvetica;sans-serif" w:hAnsi="Arial;Helvetica;sans-serif"/>
                <w:color w:val="14202A"/>
                <w:sz w:val="14"/>
              </w:rPr>
            </w:pPr>
            <w:r>
              <w:rPr>
                <w:rFonts w:ascii="Arial;Helvetica;sans-serif" w:hAnsi="Arial;Helvetica;sans-serif"/>
                <w:color w:val="14202A"/>
                <w:sz w:val="14"/>
              </w:rPr>
              <w:t>Proxy Statement for 2025 Annual Meeting  </w:t>
            </w:r>
            <w:r>
              <w:rPr>
                <w:rFonts w:ascii="Arial;Helvetica;sans-serif" w:hAnsi="Arial;Helvetica;sans-serif"/>
                <w:b/>
                <w:color w:val="14202A"/>
                <w:sz w:val="14"/>
              </w:rPr>
              <w:t>B-9</w:t>
            </w:r>
          </w:p>
        </w:tc>
      </w:tr>
      <w:tr>
        <w:trPr/>
        <w:tc>
          <w:tcPr>
            <w:tcW w:w="2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0" w:name="ny20052074x1_def14a_300-bcv_pg1"/>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2188" w:after="283"/>
        <w:ind w:left="0" w:right="0" w:hanging="0"/>
        <w:jc w:val="center"/>
        <w:rPr>
          <w:color w:val="14202A"/>
        </w:rPr>
      </w:pPr>
      <w:r>
        <w:rPr>
          <w:color w:val="14202A"/>
        </w:rPr>
        <w:drawing>
          <wp:inline distT="0" distB="0" distL="0" distR="0">
            <wp:extent cx="7781925" cy="745807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4"/>
                    <a:stretch>
                      <a:fillRect/>
                    </a:stretch>
                  </pic:blipFill>
                  <pic:spPr bwMode="auto">
                    <a:xfrm>
                      <a:off x="0" y="0"/>
                      <a:ext cx="7781925" cy="7458075"/>
                    </a:xfrm>
                    <a:prstGeom prst="rect">
                      <a:avLst/>
                    </a:prstGeom>
                  </pic:spPr>
                </pic:pic>
              </a:graphicData>
            </a:graphic>
          </wp:inline>
        </w:drawing>
      </w:r>
    </w:p>
    <w:p>
      <w:pPr>
        <w:pStyle w:val="TextBody"/>
        <w:bidi w:val="0"/>
        <w:spacing w:before="0" w:after="283"/>
        <w:ind w:left="0" w:right="0" w:hanging="0"/>
        <w:jc w:val="left"/>
        <w:rPr>
          <w:color w:val="14202A"/>
        </w:rPr>
      </w:pPr>
      <w:r>
        <w:rPr>
          <w:color w:val="14202A"/>
        </w:rPr>
        <w:t> </w:t>
      </w:r>
    </w:p>
    <w:p>
      <w:pPr>
        <w:pStyle w:val="HorizontalLine"/>
        <w:bidi w:val="0"/>
        <w:spacing w:before="200" w:after="200"/>
        <w:jc w:val="left"/>
        <w:rPr/>
      </w:pPr>
      <w:r>
        <w:rPr/>
      </w:r>
    </w:p>
    <w:p>
      <w:pPr>
        <w:pStyle w:val="TextBody"/>
        <w:bidi w:val="0"/>
        <w:jc w:val="left"/>
        <w:rPr/>
      </w:pPr>
      <w:hyperlink w:anchor="TOC">
        <w:bookmarkStart w:id="221" w:name="ny20052074x1_def14a_400-proxycards_pg1"/>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222" w:name="ny20052074x1_def14a_400-proxycards_pg2"/>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6.jpeg"/><Relationship Id="rId30" Type="http://schemas.openxmlformats.org/officeDocument/2006/relationships/image" Target="media/image22.jpeg"/><Relationship Id="rId31" Type="http://schemas.openxmlformats.org/officeDocument/2006/relationships/image" Target="media/image6.jpeg"/><Relationship Id="rId32" Type="http://schemas.openxmlformats.org/officeDocument/2006/relationships/image" Target="media/image23.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24.jpeg"/><Relationship Id="rId36" Type="http://schemas.openxmlformats.org/officeDocument/2006/relationships/image" Target="media/image24.jpeg"/><Relationship Id="rId37" Type="http://schemas.openxmlformats.org/officeDocument/2006/relationships/image" Target="media/image24.jpeg"/><Relationship Id="rId38" Type="http://schemas.openxmlformats.org/officeDocument/2006/relationships/image" Target="media/image24.jpeg"/><Relationship Id="rId39" Type="http://schemas.openxmlformats.org/officeDocument/2006/relationships/image" Target="media/image24.jpeg"/><Relationship Id="rId40" Type="http://schemas.openxmlformats.org/officeDocument/2006/relationships/image" Target="media/image24.jpeg"/><Relationship Id="rId41" Type="http://schemas.openxmlformats.org/officeDocument/2006/relationships/image" Target="media/image24.jpeg"/><Relationship Id="rId42" Type="http://schemas.openxmlformats.org/officeDocument/2006/relationships/image" Target="media/image24.jpeg"/><Relationship Id="rId43" Type="http://schemas.openxmlformats.org/officeDocument/2006/relationships/image" Target="media/image24.jpeg"/><Relationship Id="rId44" Type="http://schemas.openxmlformats.org/officeDocument/2006/relationships/image" Target="media/image24.jpeg"/><Relationship Id="rId45" Type="http://schemas.openxmlformats.org/officeDocument/2006/relationships/image" Target="media/image24.jpeg"/><Relationship Id="rId46" Type="http://schemas.openxmlformats.org/officeDocument/2006/relationships/image" Target="media/image6.jpeg"/><Relationship Id="rId47" Type="http://schemas.openxmlformats.org/officeDocument/2006/relationships/image" Target="media/image6.jpeg"/><Relationship Id="rId48" Type="http://schemas.openxmlformats.org/officeDocument/2006/relationships/image" Target="media/image6.jpeg"/><Relationship Id="rId49" Type="http://schemas.openxmlformats.org/officeDocument/2006/relationships/image" Target="media/image25.jpeg"/><Relationship Id="rId50" Type="http://schemas.openxmlformats.org/officeDocument/2006/relationships/image" Target="media/image6.jpeg"/><Relationship Id="rId51" Type="http://schemas.openxmlformats.org/officeDocument/2006/relationships/image" Target="media/image6.jpeg"/><Relationship Id="rId52" Type="http://schemas.openxmlformats.org/officeDocument/2006/relationships/image" Target="media/image6.jpeg"/><Relationship Id="rId53" Type="http://schemas.openxmlformats.org/officeDocument/2006/relationships/image" Target="media/image6.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6.jpeg"/><Relationship Id="rId57" Type="http://schemas.openxmlformats.org/officeDocument/2006/relationships/image" Target="media/image28.jpeg"/><Relationship Id="rId58" Type="http://schemas.openxmlformats.org/officeDocument/2006/relationships/image" Target="media/image29.jpeg"/><Relationship Id="rId59" Type="http://schemas.openxmlformats.org/officeDocument/2006/relationships/image" Target="media/image6.jpeg"/><Relationship Id="rId60" Type="http://schemas.openxmlformats.org/officeDocument/2006/relationships/image" Target="media/image30.jpeg"/><Relationship Id="rId61" Type="http://schemas.openxmlformats.org/officeDocument/2006/relationships/image" Target="media/image31.jpeg"/><Relationship Id="rId62" Type="http://schemas.openxmlformats.org/officeDocument/2006/relationships/image" Target="media/image6.jpeg"/><Relationship Id="rId63" Type="http://schemas.openxmlformats.org/officeDocument/2006/relationships/image" Target="media/image32.jpeg"/><Relationship Id="rId64" Type="http://schemas.openxmlformats.org/officeDocument/2006/relationships/image" Target="media/image33.jpeg"/><Relationship Id="rId65" Type="http://schemas.openxmlformats.org/officeDocument/2006/relationships/image" Target="media/image6.jpeg"/><Relationship Id="rId66" Type="http://schemas.openxmlformats.org/officeDocument/2006/relationships/image" Target="media/image34.jpeg"/><Relationship Id="rId67" Type="http://schemas.openxmlformats.org/officeDocument/2006/relationships/image" Target="media/image6.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6.jpeg"/><Relationship Id="rId72" Type="http://schemas.openxmlformats.org/officeDocument/2006/relationships/image" Target="media/image6.jpeg"/><Relationship Id="rId73" Type="http://schemas.openxmlformats.org/officeDocument/2006/relationships/image" Target="media/image35.jpeg"/><Relationship Id="rId74" Type="http://schemas.openxmlformats.org/officeDocument/2006/relationships/image" Target="media/image6.jpeg"/><Relationship Id="rId75" Type="http://schemas.openxmlformats.org/officeDocument/2006/relationships/image" Target="media/image6.jpeg"/><Relationship Id="rId76" Type="http://schemas.openxmlformats.org/officeDocument/2006/relationships/image" Target="media/image6.jpeg"/><Relationship Id="rId77" Type="http://schemas.openxmlformats.org/officeDocument/2006/relationships/image" Target="media/image36.jpeg"/><Relationship Id="rId78" Type="http://schemas.openxmlformats.org/officeDocument/2006/relationships/image" Target="media/image6.jpeg"/><Relationship Id="rId79" Type="http://schemas.openxmlformats.org/officeDocument/2006/relationships/image" Target="media/image6.jpeg"/><Relationship Id="rId80" Type="http://schemas.openxmlformats.org/officeDocument/2006/relationships/image" Target="media/image6.jpeg"/><Relationship Id="rId81" Type="http://schemas.openxmlformats.org/officeDocument/2006/relationships/image" Target="media/image6.jpeg"/><Relationship Id="rId82" Type="http://schemas.openxmlformats.org/officeDocument/2006/relationships/image" Target="media/image6.jpeg"/><Relationship Id="rId83" Type="http://schemas.openxmlformats.org/officeDocument/2006/relationships/image" Target="media/image6.jpeg"/><Relationship Id="rId84" Type="http://schemas.openxmlformats.org/officeDocument/2006/relationships/image" Target="media/image6.jpeg"/><Relationship Id="rId85" Type="http://schemas.openxmlformats.org/officeDocument/2006/relationships/image" Target="media/image6.jpeg"/><Relationship Id="rId86" Type="http://schemas.openxmlformats.org/officeDocument/2006/relationships/image" Target="media/image6.jpeg"/><Relationship Id="rId87" Type="http://schemas.openxmlformats.org/officeDocument/2006/relationships/image" Target="media/image6.jpeg"/><Relationship Id="rId88" Type="http://schemas.openxmlformats.org/officeDocument/2006/relationships/image" Target="media/image6.jpeg"/><Relationship Id="rId89" Type="http://schemas.openxmlformats.org/officeDocument/2006/relationships/image" Target="media/image6.jpeg"/><Relationship Id="rId90" Type="http://schemas.openxmlformats.org/officeDocument/2006/relationships/image" Target="media/image6.jpeg"/><Relationship Id="rId91" Type="http://schemas.openxmlformats.org/officeDocument/2006/relationships/image" Target="media/image6.jpeg"/><Relationship Id="rId92" Type="http://schemas.openxmlformats.org/officeDocument/2006/relationships/image" Target="media/image6.jpeg"/><Relationship Id="rId93" Type="http://schemas.openxmlformats.org/officeDocument/2006/relationships/image" Target="media/image6.jpeg"/><Relationship Id="rId94" Type="http://schemas.openxmlformats.org/officeDocument/2006/relationships/image" Target="media/image6.jpeg"/><Relationship Id="rId95" Type="http://schemas.openxmlformats.org/officeDocument/2006/relationships/image" Target="media/image6.jpeg"/><Relationship Id="rId96" Type="http://schemas.openxmlformats.org/officeDocument/2006/relationships/image" Target="media/image6.jpeg"/><Relationship Id="rId97" Type="http://schemas.openxmlformats.org/officeDocument/2006/relationships/image" Target="media/image6.jpeg"/><Relationship Id="rId98" Type="http://schemas.openxmlformats.org/officeDocument/2006/relationships/image" Target="media/image6.jpeg"/><Relationship Id="rId99" Type="http://schemas.openxmlformats.org/officeDocument/2006/relationships/image" Target="media/image6.jpeg"/><Relationship Id="rId100" Type="http://schemas.openxmlformats.org/officeDocument/2006/relationships/image" Target="media/image6.jpeg"/><Relationship Id="rId101" Type="http://schemas.openxmlformats.org/officeDocument/2006/relationships/image" Target="media/image6.jpeg"/><Relationship Id="rId102" Type="http://schemas.openxmlformats.org/officeDocument/2006/relationships/image" Target="media/image6.jpeg"/><Relationship Id="rId103" Type="http://schemas.openxmlformats.org/officeDocument/2006/relationships/image" Target="media/image6.jpeg"/><Relationship Id="rId104" Type="http://schemas.openxmlformats.org/officeDocument/2006/relationships/image" Target="media/image6.jpeg"/><Relationship Id="rId105" Type="http://schemas.openxmlformats.org/officeDocument/2006/relationships/image" Target="media/image6.jpeg"/><Relationship Id="rId106" Type="http://schemas.openxmlformats.org/officeDocument/2006/relationships/image" Target="media/image6.jpeg"/><Relationship Id="rId107" Type="http://schemas.openxmlformats.org/officeDocument/2006/relationships/image" Target="media/image37.jpeg"/><Relationship Id="rId108" Type="http://schemas.openxmlformats.org/officeDocument/2006/relationships/image" Target="media/image38.jpeg"/><Relationship Id="rId109" Type="http://schemas.openxmlformats.org/officeDocument/2006/relationships/image" Target="media/image39.jpeg"/><Relationship Id="rId110" Type="http://schemas.openxmlformats.org/officeDocument/2006/relationships/image" Target="media/image6.jpeg"/><Relationship Id="rId111" Type="http://schemas.openxmlformats.org/officeDocument/2006/relationships/image" Target="media/image6.jpeg"/><Relationship Id="rId112" Type="http://schemas.openxmlformats.org/officeDocument/2006/relationships/image" Target="media/image6.jpeg"/><Relationship Id="rId113" Type="http://schemas.openxmlformats.org/officeDocument/2006/relationships/image" Target="media/image6.jpeg"/><Relationship Id="rId114" Type="http://schemas.openxmlformats.org/officeDocument/2006/relationships/image" Target="media/image6.jpeg"/><Relationship Id="rId115" Type="http://schemas.openxmlformats.org/officeDocument/2006/relationships/image" Target="media/image6.jpeg"/><Relationship Id="rId116" Type="http://schemas.openxmlformats.org/officeDocument/2006/relationships/image" Target="media/image6.jpeg"/><Relationship Id="rId117" Type="http://schemas.openxmlformats.org/officeDocument/2006/relationships/image" Target="media/image6.jpeg"/><Relationship Id="rId118" Type="http://schemas.openxmlformats.org/officeDocument/2006/relationships/image" Target="media/image6.jpeg"/><Relationship Id="rId119" Type="http://schemas.openxmlformats.org/officeDocument/2006/relationships/image" Target="media/image6.jpeg"/><Relationship Id="rId120" Type="http://schemas.openxmlformats.org/officeDocument/2006/relationships/image" Target="media/image6.jpeg"/><Relationship Id="rId121" Type="http://schemas.openxmlformats.org/officeDocument/2006/relationships/image" Target="media/image6.jpeg"/><Relationship Id="rId122" Type="http://schemas.openxmlformats.org/officeDocument/2006/relationships/image" Target="media/image6.jpeg"/><Relationship Id="rId123" Type="http://schemas.openxmlformats.org/officeDocument/2006/relationships/image" Target="media/image6.jpeg"/><Relationship Id="rId124" Type="http://schemas.openxmlformats.org/officeDocument/2006/relationships/image" Target="media/image6.jpeg"/><Relationship Id="rId125" Type="http://schemas.openxmlformats.org/officeDocument/2006/relationships/image" Target="media/image6.jpeg"/><Relationship Id="rId126" Type="http://schemas.openxmlformats.org/officeDocument/2006/relationships/image" Target="media/image6.jpeg"/><Relationship Id="rId127" Type="http://schemas.openxmlformats.org/officeDocument/2006/relationships/image" Target="media/image6.jpeg"/><Relationship Id="rId128" Type="http://schemas.openxmlformats.org/officeDocument/2006/relationships/image" Target="media/image6.jpeg"/><Relationship Id="rId129" Type="http://schemas.openxmlformats.org/officeDocument/2006/relationships/image" Target="media/image6.jpeg"/><Relationship Id="rId130" Type="http://schemas.openxmlformats.org/officeDocument/2006/relationships/image" Target="media/image6.jpeg"/><Relationship Id="rId131" Type="http://schemas.openxmlformats.org/officeDocument/2006/relationships/image" Target="media/image6.jpeg"/><Relationship Id="rId132" Type="http://schemas.openxmlformats.org/officeDocument/2006/relationships/image" Target="media/image6.jpeg"/><Relationship Id="rId133" Type="http://schemas.openxmlformats.org/officeDocument/2006/relationships/image" Target="media/image6.jpeg"/><Relationship Id="rId134" Type="http://schemas.openxmlformats.org/officeDocument/2006/relationships/image" Target="media/image6.jpeg"/><Relationship Id="rId135" Type="http://schemas.openxmlformats.org/officeDocument/2006/relationships/image" Target="media/image6.jpeg"/><Relationship Id="rId136" Type="http://schemas.openxmlformats.org/officeDocument/2006/relationships/image" Target="media/image6.jpeg"/><Relationship Id="rId137" Type="http://schemas.openxmlformats.org/officeDocument/2006/relationships/image" Target="media/image40.jpeg"/><Relationship Id="rId138" Type="http://schemas.openxmlformats.org/officeDocument/2006/relationships/image" Target="media/image6.jpeg"/><Relationship Id="rId139" Type="http://schemas.openxmlformats.org/officeDocument/2006/relationships/image" Target="media/image6.jpeg"/><Relationship Id="rId140" Type="http://schemas.openxmlformats.org/officeDocument/2006/relationships/image" Target="media/image6.jpeg"/><Relationship Id="rId141" Type="http://schemas.openxmlformats.org/officeDocument/2006/relationships/image" Target="media/image6.jpeg"/><Relationship Id="rId142" Type="http://schemas.openxmlformats.org/officeDocument/2006/relationships/image" Target="media/image6.jpeg"/><Relationship Id="rId143" Type="http://schemas.openxmlformats.org/officeDocument/2006/relationships/image" Target="media/image6.jpeg"/><Relationship Id="rId144" Type="http://schemas.openxmlformats.org/officeDocument/2006/relationships/image" Target="media/image6.jpeg"/><Relationship Id="rId145" Type="http://schemas.openxmlformats.org/officeDocument/2006/relationships/image" Target="media/image6.jpeg"/><Relationship Id="rId146" Type="http://schemas.openxmlformats.org/officeDocument/2006/relationships/image" Target="media/image6.jpeg"/><Relationship Id="rId147" Type="http://schemas.openxmlformats.org/officeDocument/2006/relationships/image" Target="media/image6.jpeg"/><Relationship Id="rId148" Type="http://schemas.openxmlformats.org/officeDocument/2006/relationships/image" Target="media/image6.jpeg"/><Relationship Id="rId149" Type="http://schemas.openxmlformats.org/officeDocument/2006/relationships/image" Target="media/image6.jpeg"/><Relationship Id="rId150" Type="http://schemas.openxmlformats.org/officeDocument/2006/relationships/image" Target="media/image6.jpeg"/><Relationship Id="rId151" Type="http://schemas.openxmlformats.org/officeDocument/2006/relationships/image" Target="media/image6.jpeg"/><Relationship Id="rId152" Type="http://schemas.openxmlformats.org/officeDocument/2006/relationships/image" Target="media/image6.jpeg"/><Relationship Id="rId153" Type="http://schemas.openxmlformats.org/officeDocument/2006/relationships/image" Target="media/image6.jpeg"/><Relationship Id="rId154" Type="http://schemas.openxmlformats.org/officeDocument/2006/relationships/image" Target="media/image6.jpeg"/><Relationship Id="rId155" Type="http://schemas.openxmlformats.org/officeDocument/2006/relationships/image" Target="media/image6.jpeg"/><Relationship Id="rId156" Type="http://schemas.openxmlformats.org/officeDocument/2006/relationships/image" Target="media/image6.jpeg"/><Relationship Id="rId157" Type="http://schemas.openxmlformats.org/officeDocument/2006/relationships/image" Target="media/image6.jpeg"/><Relationship Id="rId158" Type="http://schemas.openxmlformats.org/officeDocument/2006/relationships/image" Target="media/image6.jpeg"/><Relationship Id="rId159" Type="http://schemas.openxmlformats.org/officeDocument/2006/relationships/image" Target="media/image6.jpeg"/><Relationship Id="rId160" Type="http://schemas.openxmlformats.org/officeDocument/2006/relationships/image" Target="media/image6.jpeg"/><Relationship Id="rId161" Type="http://schemas.openxmlformats.org/officeDocument/2006/relationships/image" Target="media/image6.jpeg"/><Relationship Id="rId162" Type="http://schemas.openxmlformats.org/officeDocument/2006/relationships/image" Target="media/image6.jpeg"/><Relationship Id="rId163" Type="http://schemas.openxmlformats.org/officeDocument/2006/relationships/image" Target="media/image6.jpeg"/><Relationship Id="rId164" Type="http://schemas.openxmlformats.org/officeDocument/2006/relationships/image" Target="media/image41.jpeg"/><Relationship Id="rId165" Type="http://schemas.openxmlformats.org/officeDocument/2006/relationships/image" Target="media/image42.jpeg"/><Relationship Id="rId166" Type="http://schemas.openxmlformats.org/officeDocument/2006/relationships/image" Target="media/image43.jpeg"/><Relationship Id="rId167" Type="http://schemas.openxmlformats.org/officeDocument/2006/relationships/fontTable" Target="fontTable.xml"/><Relationship Id="rId1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58603</Words>
  <Characters>314387</Characters>
  <CharactersWithSpaces>380377</CharactersWithSpaces>
  <Paragraphs>13101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