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47"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45085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206" w:lineRule="exact"/>
        <w:rPr>
          <w:sz w:val="24"/>
          <w:szCs w:val="24"/>
          <w:color w:val="auto"/>
        </w:rPr>
      </w:pPr>
    </w:p>
    <w:p>
      <w:pPr>
        <w:ind w:left="680" w:hanging="449"/>
        <w:spacing w:after="0"/>
        <w:tabs>
          <w:tab w:leader="none" w:pos="6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February 27, 2016</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206" w:lineRule="exact"/>
        <w:rPr>
          <w:sz w:val="24"/>
          <w:szCs w:val="24"/>
          <w:color w:val="auto"/>
        </w:rPr>
      </w:pPr>
    </w:p>
    <w:p>
      <w:pPr>
        <w:ind w:left="3020" w:right="2420" w:hanging="2789"/>
        <w:spacing w:after="0" w:line="509" w:lineRule="auto"/>
        <w:tabs>
          <w:tab w:leader="none" w:pos="684"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Times New Roman" w:cs="Times New Roman" w:eastAsia="Times New Roman" w:hAnsi="Times New Roman"/>
          <w:sz w:val="16"/>
          <w:szCs w:val="16"/>
          <w:color w:val="auto"/>
        </w:rPr>
      </w:pPr>
    </w:p>
    <w:p>
      <w:pPr>
        <w:ind w:left="4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144780</wp:posOffset>
            </wp:positionV>
            <wp:extent cx="326707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16"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20"/>
                <w:szCs w:val="20"/>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79"/>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8"/>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33020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6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20" w:lineRule="exact"/>
        <w:rPr>
          <w:sz w:val="24"/>
          <w:szCs w:val="24"/>
          <w:color w:val="auto"/>
        </w:rPr>
      </w:pPr>
    </w:p>
    <w:p>
      <w:pPr>
        <w:ind w:right="18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Times New Roman" w:cs="Times New Roman" w:eastAsia="Times New Roman" w:hAnsi="Times New Roman"/>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Times New Roman" w:cs="Times New Roman" w:eastAsia="Times New Roman" w:hAnsi="Times New Roman"/>
          <w:sz w:val="18"/>
          <w:szCs w:val="18"/>
          <w:color w:val="auto"/>
        </w:rPr>
        <w:t>o</w:t>
      </w:r>
    </w:p>
    <w:p>
      <w:pPr>
        <w:spacing w:after="0" w:line="238" w:lineRule="exact"/>
        <w:rPr>
          <w:sz w:val="24"/>
          <w:szCs w:val="24"/>
          <w:color w:val="auto"/>
        </w:rPr>
      </w:pPr>
    </w:p>
    <w:p>
      <w:pPr>
        <w:ind w:right="2480"/>
        <w:spacing w:after="0" w:line="502" w:lineRule="auto"/>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The number of shares of common stock, par value $0.50 per share, outstanding March 23, 2016 was 26,891,658.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40" w:type="dxa"/>
            <w:vAlign w:val="bottom"/>
            <w:gridSpan w:val="7"/>
          </w:tcPr>
          <w:p>
            <w:pPr>
              <w:jc w:val="center"/>
              <w:ind w:right="18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30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6"/>
          </w:tcPr>
          <w:p>
            <w:pPr>
              <w:jc w:val="center"/>
              <w:ind w:right="240"/>
              <w:spacing w:after="0"/>
              <w:rPr>
                <w:sz w:val="20"/>
                <w:szCs w:val="20"/>
                <w:color w:val="auto"/>
              </w:rPr>
            </w:pPr>
            <w:r>
              <w:rPr>
                <w:rFonts w:ascii="Arial" w:cs="Arial" w:eastAsia="Arial" w:hAnsi="Arial"/>
                <w:sz w:val="22"/>
                <w:szCs w:val="22"/>
                <w:b w:val="1"/>
                <w:bCs w:val="1"/>
                <w:color w:val="auto"/>
                <w:w w:val="97"/>
              </w:rPr>
              <w:t>Table of Contents</w:t>
            </w:r>
          </w:p>
        </w:tc>
      </w:tr>
      <w:tr>
        <w:trPr>
          <w:trHeight w:val="514"/>
        </w:trPr>
        <w:tc>
          <w:tcPr>
            <w:tcW w:w="64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20"/>
        </w:trPr>
        <w:tc>
          <w:tcPr>
            <w:tcW w:w="520" w:type="dxa"/>
            <w:vAlign w:val="bottom"/>
          </w:tcPr>
          <w:p>
            <w:pPr>
              <w:spacing w:after="0"/>
              <w:rPr>
                <w:rFonts w:ascii="Arial" w:cs="Arial" w:eastAsia="Arial" w:hAnsi="Arial"/>
                <w:sz w:val="16"/>
                <w:szCs w:val="16"/>
                <w:b w:val="1"/>
                <w:bCs w:val="1"/>
                <w:color w:val="0000EE"/>
                <w:w w:val="95"/>
              </w:rPr>
            </w:pPr>
            <w:hyperlink w:anchor="page3">
              <w:r>
                <w:rPr>
                  <w:rFonts w:ascii="Arial" w:cs="Arial" w:eastAsia="Arial" w:hAnsi="Arial"/>
                  <w:sz w:val="16"/>
                  <w:szCs w:val="16"/>
                  <w:b w:val="1"/>
                  <w:bCs w:val="1"/>
                  <w:color w:val="0000EE"/>
                  <w:w w:val="95"/>
                </w:rPr>
                <w:t>PART I</w:t>
              </w:r>
            </w:hyperlink>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27"/>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360" w:type="dxa"/>
            <w:vAlign w:val="bottom"/>
            <w:gridSpan w:val="2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tcBorders>
              <w:bottom w:val="single" w:sz="8" w:color="0000EE"/>
            </w:tcBorders>
            <w:gridSpan w:val="2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and Comprehensive Income</w:t>
              </w:r>
            </w:hyperlink>
          </w:p>
        </w:tc>
        <w:tc>
          <w:tcPr>
            <w:tcW w:w="148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EE"/>
            </w:tcBorders>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w:t>
              </w:r>
            </w:hyperlink>
          </w:p>
        </w:tc>
        <w:tc>
          <w:tcPr>
            <w:tcW w:w="324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6"/>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820" w:type="dxa"/>
            <w:vAlign w:val="bottom"/>
            <w:tcBorders>
              <w:top w:val="single" w:sz="8" w:color="0000EE"/>
            </w:tcBorders>
            <w:gridSpan w:val="5"/>
          </w:tcPr>
          <w:p>
            <w:pPr>
              <w:spacing w:after="0"/>
              <w:rPr>
                <w:sz w:val="21"/>
                <w:szCs w:val="21"/>
                <w:color w:val="auto"/>
              </w:rPr>
            </w:pPr>
          </w:p>
        </w:tc>
        <w:tc>
          <w:tcPr>
            <w:tcW w:w="298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EE"/>
            </w:tcBorders>
            <w:gridSpan w:val="21"/>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3: Investments and Fair Value Measurements</w:t>
              </w:r>
            </w:hyperlink>
          </w:p>
        </w:tc>
        <w:tc>
          <w:tcPr>
            <w:tcW w:w="2260" w:type="dxa"/>
            <w:vAlign w:val="bottom"/>
            <w:gridSpan w:val="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Note 4: Inventories</w:t>
              </w:r>
            </w:hyperlink>
          </w:p>
        </w:tc>
        <w:tc>
          <w:tcPr>
            <w:tcW w:w="4540" w:type="dxa"/>
            <w:vAlign w:val="bottom"/>
            <w:gridSpan w:val="1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Borders>
              <w:bottom w:val="single" w:sz="8" w:color="0000EE"/>
            </w:tcBorders>
            <w:gridSpan w:val="16"/>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5: Property, Plant and Equipment</w:t>
              </w:r>
            </w:hyperlink>
          </w:p>
        </w:tc>
        <w:tc>
          <w:tcPr>
            <w:tcW w:w="312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Note 6: Warranty</w:t>
              </w:r>
            </w:hyperlink>
          </w:p>
        </w:tc>
        <w:tc>
          <w:tcPr>
            <w:tcW w:w="4680" w:type="dxa"/>
            <w:vAlign w:val="bottom"/>
            <w:gridSpan w:val="2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7"/>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7: Employee and Retiree Benefits</w:t>
              </w:r>
            </w:hyperlink>
          </w:p>
        </w:tc>
        <w:tc>
          <w:tcPr>
            <w:tcW w:w="310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Borders>
              <w:bottom w:val="single" w:sz="8" w:color="0000EE"/>
            </w:tcBorders>
            <w:gridSpan w:val="13"/>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8: Shareholders' Equity</w:t>
              </w:r>
            </w:hyperlink>
          </w:p>
        </w:tc>
        <w:tc>
          <w:tcPr>
            <w:tcW w:w="3840" w:type="dxa"/>
            <w:vAlign w:val="bottom"/>
            <w:gridSpan w:val="1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tcBorders>
              <w:bottom w:val="single" w:sz="8" w:color="0000EE"/>
            </w:tcBorders>
            <w:gridSpan w:val="20"/>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9: Contingent Liabilities and Commitments</w:t>
              </w:r>
            </w:hyperlink>
          </w:p>
        </w:tc>
        <w:tc>
          <w:tcPr>
            <w:tcW w:w="248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0000EE"/>
            </w:tcBorders>
            <w:gridSpan w:val="9"/>
          </w:tcPr>
          <w:p>
            <w:pPr>
              <w:spacing w:after="0"/>
              <w:rPr>
                <w:rFonts w:ascii="Arial" w:cs="Arial" w:eastAsia="Arial" w:hAnsi="Arial"/>
                <w:sz w:val="16"/>
                <w:szCs w:val="16"/>
                <w:color w:val="0000EE"/>
                <w:w w:val="99"/>
              </w:rPr>
            </w:pPr>
            <w:hyperlink w:anchor="page12">
              <w:r>
                <w:rPr>
                  <w:rFonts w:ascii="Arial" w:cs="Arial" w:eastAsia="Arial" w:hAnsi="Arial"/>
                  <w:sz w:val="16"/>
                  <w:szCs w:val="16"/>
                  <w:color w:val="0000EE"/>
                  <w:w w:val="99"/>
                </w:rPr>
                <w:t>Note 10: Income Taxes</w:t>
              </w:r>
            </w:hyperlink>
          </w:p>
        </w:tc>
        <w:tc>
          <w:tcPr>
            <w:tcW w:w="4240" w:type="dxa"/>
            <w:vAlign w:val="bottom"/>
            <w:gridSpan w:val="1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Borders>
              <w:bottom w:val="single" w:sz="8" w:color="0000EE"/>
            </w:tcBorders>
            <w:gridSpan w:val="13"/>
          </w:tcPr>
          <w:p>
            <w:pPr>
              <w:spacing w:after="0"/>
              <w:rPr>
                <w:rFonts w:ascii="Arial" w:cs="Arial" w:eastAsia="Arial" w:hAnsi="Arial"/>
                <w:sz w:val="16"/>
                <w:szCs w:val="16"/>
                <w:color w:val="0000EE"/>
                <w:w w:val="99"/>
              </w:rPr>
            </w:pPr>
            <w:hyperlink w:anchor="page12">
              <w:r>
                <w:rPr>
                  <w:rFonts w:ascii="Arial" w:cs="Arial" w:eastAsia="Arial" w:hAnsi="Arial"/>
                  <w:sz w:val="16"/>
                  <w:szCs w:val="16"/>
                  <w:color w:val="0000EE"/>
                  <w:w w:val="99"/>
                </w:rPr>
                <w:t>Note 11: Earnings Per Share</w:t>
              </w:r>
            </w:hyperlink>
          </w:p>
        </w:tc>
        <w:tc>
          <w:tcPr>
            <w:tcW w:w="3840" w:type="dxa"/>
            <w:vAlign w:val="bottom"/>
            <w:gridSpan w:val="1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Borders>
              <w:bottom w:val="single" w:sz="8" w:color="0000EE"/>
            </w:tcBorders>
            <w:gridSpan w:val="1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12: Comprehensive Income (Loss)</w:t>
              </w:r>
            </w:hyperlink>
          </w:p>
        </w:tc>
        <w:tc>
          <w:tcPr>
            <w:tcW w:w="3040" w:type="dxa"/>
            <w:vAlign w:val="bottom"/>
            <w:gridSpan w:val="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bottom w:val="single" w:sz="8" w:color="0000EE"/>
            </w:tcBorders>
            <w:gridSpan w:val="1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13: Subsequent Event</w:t>
              </w:r>
            </w:hyperlink>
          </w:p>
        </w:tc>
        <w:tc>
          <w:tcPr>
            <w:tcW w:w="3920" w:type="dxa"/>
            <w:vAlign w:val="bottom"/>
            <w:gridSpan w:val="13"/>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360" w:type="dxa"/>
            <w:vAlign w:val="bottom"/>
            <w:tcBorders>
              <w:bottom w:val="single" w:sz="8" w:color="0000EE"/>
            </w:tcBorders>
            <w:gridSpan w:val="27"/>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bottom w:val="single" w:sz="8" w:color="0000EE"/>
            </w:tcBorders>
            <w:gridSpan w:val="24"/>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Quantitative and Qualitative Disclosures About Market Risk</w:t>
              </w:r>
            </w:hyperlink>
          </w:p>
        </w:tc>
        <w:tc>
          <w:tcPr>
            <w:tcW w:w="2120" w:type="dxa"/>
            <w:vAlign w:val="bottom"/>
            <w:gridSpan w:val="3"/>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360" w:type="dxa"/>
            <w:vAlign w:val="bottom"/>
            <w:gridSpan w:val="27"/>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22">
              <w:r>
                <w:rPr>
                  <w:rFonts w:ascii="Arial" w:cs="Arial" w:eastAsia="Arial" w:hAnsi="Arial"/>
                  <w:sz w:val="16"/>
                  <w:szCs w:val="16"/>
                  <w:b w:val="1"/>
                  <w:bCs w:val="1"/>
                  <w:color w:val="0000EE"/>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9"/>
              </w:rPr>
            </w:pPr>
            <w:hyperlink w:anchor="page22">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4580" w:type="dxa"/>
            <w:vAlign w:val="bottom"/>
            <w:gridSpan w:val="19"/>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22">
              <w:r>
                <w:rPr>
                  <w:rFonts w:ascii="Arial" w:cs="Arial" w:eastAsia="Arial" w:hAnsi="Arial"/>
                  <w:sz w:val="16"/>
                  <w:szCs w:val="16"/>
                  <w:color w:val="0000EE"/>
                  <w:w w:val="99"/>
                </w:rPr>
                <w:t>Legal Proceedings</w:t>
              </w:r>
            </w:hyperlink>
          </w:p>
        </w:tc>
        <w:tc>
          <w:tcPr>
            <w:tcW w:w="5020" w:type="dxa"/>
            <w:vAlign w:val="bottom"/>
            <w:gridSpan w:val="22"/>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22">
              <w:r>
                <w:rPr>
                  <w:rFonts w:ascii="Arial" w:cs="Arial" w:eastAsia="Arial" w:hAnsi="Arial"/>
                  <w:sz w:val="16"/>
                  <w:szCs w:val="16"/>
                  <w:color w:val="0000EE"/>
                  <w:w w:val="98"/>
                </w:rPr>
                <w:t>Risk Factors</w:t>
              </w:r>
            </w:hyperlink>
          </w:p>
        </w:tc>
        <w:tc>
          <w:tcPr>
            <w:tcW w:w="5460" w:type="dxa"/>
            <w:vAlign w:val="bottom"/>
            <w:gridSpan w:val="23"/>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360" w:type="dxa"/>
            <w:vAlign w:val="bottom"/>
            <w:gridSpan w:val="27"/>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EE"/>
            </w:tcBorders>
            <w:gridSpan w:val="25"/>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Exhibits</w:t>
              </w:r>
            </w:hyperlink>
          </w:p>
        </w:tc>
        <w:tc>
          <w:tcPr>
            <w:tcW w:w="2000" w:type="dxa"/>
            <w:vAlign w:val="bottom"/>
            <w:gridSpan w:val="2"/>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rFonts w:ascii="Arial" w:cs="Arial" w:eastAsia="Arial" w:hAnsi="Arial"/>
          <w:sz w:val="16"/>
          <w:szCs w:val="16"/>
          <w:color w:val="0000EE"/>
        </w:rPr>
      </w:pPr>
      <w:hyperlink w:anchor="page2">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8</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9</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1">
        <w:r>
          <w:rPr>
            <w:rFonts w:ascii="Arial" w:cs="Arial" w:eastAsia="Arial" w:hAnsi="Arial"/>
            <w:sz w:val="16"/>
            <w:szCs w:val="16"/>
            <w:color w:val="0000EE"/>
          </w:rPr>
          <w:t>18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19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19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19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20</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20</w:t>
        </w:r>
      </w:hyperlink>
    </w:p>
    <w:p>
      <w:pPr>
        <w:sectPr>
          <w:pgSz w:w="11900" w:h="16838" w:orient="portrait"/>
          <w:cols w:equalWidth="0" w:num="2">
            <w:col w:w="10460" w:space="720"/>
            <w:col w:w="180"/>
          </w:cols>
          <w:pgMar w:left="280" w:top="117"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r>
      <w:tr>
        <w:trPr>
          <w:trHeight w:val="198"/>
        </w:trPr>
        <w:tc>
          <w:tcPr>
            <w:tcW w:w="2360" w:type="dxa"/>
            <w:vAlign w:val="bottom"/>
          </w:tcPr>
          <w:p>
            <w:pPr>
              <w:ind w:left="40"/>
              <w:spacing w:after="0"/>
              <w:rPr>
                <w:sz w:val="20"/>
                <w:szCs w:val="20"/>
                <w:color w:val="auto"/>
              </w:rPr>
            </w:pPr>
            <w:r>
              <w:rPr>
                <w:rFonts w:ascii="Arial" w:cs="Arial" w:eastAsia="Arial" w:hAnsi="Arial"/>
                <w:sz w:val="16"/>
                <w:szCs w:val="16"/>
                <w:color w:val="auto"/>
              </w:rPr>
              <w:t>Amended Credit Agreement</w:t>
            </w:r>
          </w:p>
        </w:tc>
        <w:tc>
          <w:tcPr>
            <w:tcW w:w="9060" w:type="dxa"/>
            <w:vAlign w:val="bottom"/>
          </w:tcPr>
          <w:p>
            <w:pPr>
              <w:ind w:left="30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w:t>
            </w:r>
          </w:p>
        </w:tc>
      </w:tr>
      <w:tr>
        <w:trPr>
          <w:trHeight w:val="219"/>
        </w:trPr>
        <w:tc>
          <w:tcPr>
            <w:tcW w:w="2360" w:type="dxa"/>
            <w:vAlign w:val="bottom"/>
          </w:tcPr>
          <w:p>
            <w:pPr>
              <w:spacing w:after="0"/>
              <w:rPr>
                <w:sz w:val="19"/>
                <w:szCs w:val="19"/>
                <w:color w:val="auto"/>
              </w:rPr>
            </w:pPr>
          </w:p>
        </w:tc>
        <w:tc>
          <w:tcPr>
            <w:tcW w:w="9060" w:type="dxa"/>
            <w:vAlign w:val="bottom"/>
          </w:tcPr>
          <w:p>
            <w:pPr>
              <w:ind w:left="300"/>
              <w:spacing w:after="0"/>
              <w:rPr>
                <w:sz w:val="20"/>
                <w:szCs w:val="20"/>
                <w:color w:val="auto"/>
              </w:rPr>
            </w:pPr>
            <w:r>
              <w:rPr>
                <w:rFonts w:ascii="Arial" w:cs="Arial" w:eastAsia="Arial" w:hAnsi="Arial"/>
                <w:sz w:val="16"/>
                <w:szCs w:val="16"/>
                <w:color w:val="auto"/>
              </w:rPr>
              <w:t>as Borrowers, and General Electric Capital Corporation, as Agent</w:t>
            </w:r>
          </w:p>
        </w:tc>
      </w:tr>
      <w:tr>
        <w:trPr>
          <w:trHeight w:val="70"/>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r>
      <w:tr>
        <w:trPr>
          <w:trHeight w:val="297"/>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Accounting Standards Codification</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ASP</w:t>
            </w:r>
          </w:p>
        </w:tc>
        <w:tc>
          <w:tcPr>
            <w:tcW w:w="9060" w:type="dxa"/>
            <w:vAlign w:val="bottom"/>
          </w:tcPr>
          <w:p>
            <w:pPr>
              <w:ind w:left="300"/>
              <w:spacing w:after="0"/>
              <w:rPr>
                <w:sz w:val="20"/>
                <w:szCs w:val="20"/>
                <w:color w:val="auto"/>
              </w:rPr>
            </w:pPr>
            <w:r>
              <w:rPr>
                <w:rFonts w:ascii="Arial" w:cs="Arial" w:eastAsia="Arial" w:hAnsi="Arial"/>
                <w:sz w:val="16"/>
                <w:szCs w:val="16"/>
                <w:color w:val="auto"/>
              </w:rPr>
              <w:t>Average Sales Price</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Accounting Standards Update</w:t>
            </w:r>
          </w:p>
        </w:tc>
      </w:tr>
      <w:tr>
        <w:trPr>
          <w:trHeight w:val="228"/>
        </w:trPr>
        <w:tc>
          <w:tcPr>
            <w:tcW w:w="2360" w:type="dxa"/>
            <w:vAlign w:val="bottom"/>
          </w:tcPr>
          <w:p>
            <w:pPr>
              <w:ind w:left="40"/>
              <w:spacing w:after="0"/>
              <w:rPr>
                <w:sz w:val="20"/>
                <w:szCs w:val="20"/>
                <w:color w:val="auto"/>
              </w:rPr>
            </w:pPr>
            <w:r>
              <w:rPr>
                <w:rFonts w:ascii="Arial" w:cs="Arial" w:eastAsia="Arial" w:hAnsi="Arial"/>
                <w:sz w:val="16"/>
                <w:szCs w:val="16"/>
                <w:color w:val="auto"/>
              </w:rPr>
              <w:t>BOM</w:t>
            </w:r>
          </w:p>
        </w:tc>
        <w:tc>
          <w:tcPr>
            <w:tcW w:w="9060" w:type="dxa"/>
            <w:vAlign w:val="bottom"/>
          </w:tcPr>
          <w:p>
            <w:pPr>
              <w:ind w:left="300"/>
              <w:spacing w:after="0"/>
              <w:rPr>
                <w:sz w:val="20"/>
                <w:szCs w:val="20"/>
                <w:color w:val="auto"/>
              </w:rPr>
            </w:pPr>
            <w:r>
              <w:rPr>
                <w:rFonts w:ascii="Arial" w:cs="Arial" w:eastAsia="Arial" w:hAnsi="Arial"/>
                <w:sz w:val="16"/>
                <w:szCs w:val="16"/>
                <w:color w:val="auto"/>
              </w:rPr>
              <w:t>Bill of Material</w:t>
            </w:r>
          </w:p>
        </w:tc>
      </w:tr>
      <w:tr>
        <w:trPr>
          <w:trHeight w:val="70"/>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r>
      <w:tr>
        <w:trPr>
          <w:trHeight w:val="228"/>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Country Coach</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Country Coach Corporation</w:t>
            </w:r>
          </w:p>
        </w:tc>
      </w:tr>
      <w:tr>
        <w:trPr>
          <w:trHeight w:val="70"/>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EPS</w:t>
            </w:r>
          </w:p>
        </w:tc>
        <w:tc>
          <w:tcPr>
            <w:tcW w:w="9060" w:type="dxa"/>
            <w:vAlign w:val="bottom"/>
          </w:tcPr>
          <w:p>
            <w:pPr>
              <w:ind w:left="300"/>
              <w:spacing w:after="0"/>
              <w:rPr>
                <w:sz w:val="20"/>
                <w:szCs w:val="20"/>
                <w:color w:val="auto"/>
              </w:rPr>
            </w:pPr>
            <w:r>
              <w:rPr>
                <w:rFonts w:ascii="Arial" w:cs="Arial" w:eastAsia="Arial" w:hAnsi="Arial"/>
                <w:sz w:val="16"/>
                <w:szCs w:val="16"/>
                <w:color w:val="auto"/>
              </w:rPr>
              <w:t>Earnings Per Share</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ERP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Enterprise Resource Planning</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FASB</w:t>
            </w:r>
          </w:p>
        </w:tc>
        <w:tc>
          <w:tcPr>
            <w:tcW w:w="9060" w:type="dxa"/>
            <w:vAlign w:val="bottom"/>
          </w:tcPr>
          <w:p>
            <w:pPr>
              <w:ind w:left="300"/>
              <w:spacing w:after="0"/>
              <w:rPr>
                <w:sz w:val="20"/>
                <w:szCs w:val="20"/>
                <w:color w:val="auto"/>
              </w:rPr>
            </w:pPr>
            <w:r>
              <w:rPr>
                <w:rFonts w:ascii="Arial" w:cs="Arial" w:eastAsia="Arial" w:hAnsi="Arial"/>
                <w:sz w:val="16"/>
                <w:szCs w:val="16"/>
                <w:color w:val="auto"/>
              </w:rPr>
              <w:t>Financial Accounting Standards Board</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First In, First Out</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GAAP</w:t>
            </w:r>
          </w:p>
        </w:tc>
        <w:tc>
          <w:tcPr>
            <w:tcW w:w="9060" w:type="dxa"/>
            <w:vAlign w:val="bottom"/>
          </w:tcPr>
          <w:p>
            <w:pPr>
              <w:ind w:left="300"/>
              <w:spacing w:after="0"/>
              <w:rPr>
                <w:sz w:val="20"/>
                <w:szCs w:val="20"/>
                <w:color w:val="auto"/>
              </w:rPr>
            </w:pPr>
            <w:r>
              <w:rPr>
                <w:rFonts w:ascii="Arial" w:cs="Arial" w:eastAsia="Arial" w:hAnsi="Arial"/>
                <w:sz w:val="16"/>
                <w:szCs w:val="16"/>
                <w:color w:val="auto"/>
              </w:rPr>
              <w:t>Generally Accepted Accounting Principles</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GECC</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Electric Capital Corporation</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IRS</w:t>
            </w:r>
          </w:p>
        </w:tc>
        <w:tc>
          <w:tcPr>
            <w:tcW w:w="9060" w:type="dxa"/>
            <w:vAlign w:val="bottom"/>
          </w:tcPr>
          <w:p>
            <w:pPr>
              <w:ind w:left="300"/>
              <w:spacing w:after="0"/>
              <w:rPr>
                <w:sz w:val="20"/>
                <w:szCs w:val="20"/>
                <w:color w:val="auto"/>
              </w:rPr>
            </w:pPr>
            <w:r>
              <w:rPr>
                <w:rFonts w:ascii="Arial" w:cs="Arial" w:eastAsia="Arial" w:hAnsi="Arial"/>
                <w:sz w:val="16"/>
                <w:szCs w:val="16"/>
                <w:color w:val="auto"/>
              </w:rPr>
              <w:t>Internal Revenue Service</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IT</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Information Technology</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Knott Investments</w:t>
            </w:r>
          </w:p>
        </w:tc>
        <w:tc>
          <w:tcPr>
            <w:tcW w:w="9060" w:type="dxa"/>
            <w:vAlign w:val="bottom"/>
          </w:tcPr>
          <w:p>
            <w:pPr>
              <w:ind w:left="300"/>
              <w:spacing w:after="0"/>
              <w:rPr>
                <w:sz w:val="20"/>
                <w:szCs w:val="20"/>
                <w:color w:val="auto"/>
              </w:rPr>
            </w:pPr>
            <w:r>
              <w:rPr>
                <w:rFonts w:ascii="Arial" w:cs="Arial" w:eastAsia="Arial" w:hAnsi="Arial"/>
                <w:sz w:val="16"/>
                <w:szCs w:val="16"/>
                <w:color w:val="auto"/>
              </w:rPr>
              <w:t>Knott Investment Pty Ltd, et. al.</w:t>
            </w:r>
          </w:p>
        </w:tc>
      </w:tr>
      <w:tr>
        <w:trPr>
          <w:trHeight w:val="23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Last In, First Out</w:t>
            </w:r>
          </w:p>
        </w:tc>
      </w:tr>
      <w:tr>
        <w:trPr>
          <w:trHeight w:val="70"/>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NMF</w:t>
            </w:r>
          </w:p>
        </w:tc>
        <w:tc>
          <w:tcPr>
            <w:tcW w:w="9060" w:type="dxa"/>
            <w:vAlign w:val="bottom"/>
          </w:tcPr>
          <w:p>
            <w:pPr>
              <w:ind w:left="300"/>
              <w:spacing w:after="0"/>
              <w:rPr>
                <w:sz w:val="20"/>
                <w:szCs w:val="20"/>
                <w:color w:val="auto"/>
              </w:rPr>
            </w:pPr>
            <w:r>
              <w:rPr>
                <w:rFonts w:ascii="Arial" w:cs="Arial" w:eastAsia="Arial" w:hAnsi="Arial"/>
                <w:sz w:val="16"/>
                <w:szCs w:val="16"/>
                <w:color w:val="auto"/>
              </w:rPr>
              <w:t>Non-Meaningful Figure</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New York Stock Exchange</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OCI</w:t>
            </w:r>
          </w:p>
        </w:tc>
        <w:tc>
          <w:tcPr>
            <w:tcW w:w="9060" w:type="dxa"/>
            <w:vAlign w:val="bottom"/>
          </w:tcPr>
          <w:p>
            <w:pPr>
              <w:ind w:left="300"/>
              <w:spacing w:after="0"/>
              <w:rPr>
                <w:sz w:val="20"/>
                <w:szCs w:val="20"/>
                <w:color w:val="auto"/>
              </w:rPr>
            </w:pPr>
            <w:r>
              <w:rPr>
                <w:rFonts w:ascii="Arial" w:cs="Arial" w:eastAsia="Arial" w:hAnsi="Arial"/>
                <w:sz w:val="16"/>
                <w:szCs w:val="16"/>
                <w:color w:val="auto"/>
              </w:rPr>
              <w:t>Other Comprehensive Income</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PLM</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Lifecycle Management</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RV</w:t>
            </w:r>
          </w:p>
        </w:tc>
        <w:tc>
          <w:tcPr>
            <w:tcW w:w="9060" w:type="dxa"/>
            <w:vAlign w:val="bottom"/>
          </w:tcPr>
          <w:p>
            <w:pPr>
              <w:ind w:left="300"/>
              <w:spacing w:after="0"/>
              <w:rPr>
                <w:sz w:val="20"/>
                <w:szCs w:val="20"/>
                <w:color w:val="auto"/>
              </w:rPr>
            </w:pPr>
            <w:r>
              <w:rPr>
                <w:rFonts w:ascii="Arial" w:cs="Arial" w:eastAsia="Arial" w:hAnsi="Arial"/>
                <w:sz w:val="16"/>
                <w:szCs w:val="16"/>
                <w:color w:val="auto"/>
              </w:rPr>
              <w:t>Recreation Vehicle</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Recreation Vehicle Industry Association</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SEC</w:t>
            </w:r>
          </w:p>
        </w:tc>
        <w:tc>
          <w:tcPr>
            <w:tcW w:w="9060" w:type="dxa"/>
            <w:vAlign w:val="bottom"/>
          </w:tcPr>
          <w:p>
            <w:pPr>
              <w:ind w:left="300"/>
              <w:spacing w:after="0"/>
              <w:rPr>
                <w:sz w:val="20"/>
                <w:szCs w:val="20"/>
                <w:color w:val="auto"/>
              </w:rPr>
            </w:pPr>
            <w:r>
              <w:rPr>
                <w:rFonts w:ascii="Arial" w:cs="Arial" w:eastAsia="Arial" w:hAnsi="Arial"/>
                <w:sz w:val="16"/>
                <w:szCs w:val="16"/>
                <w:color w:val="auto"/>
              </w:rPr>
              <w:t>U.S. Securities and Exchange Commission</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Supplemental Executive Retirement Plan</w:t>
            </w:r>
          </w:p>
        </w:tc>
      </w:tr>
      <w:tr>
        <w:trPr>
          <w:trHeight w:val="228"/>
        </w:trPr>
        <w:tc>
          <w:tcPr>
            <w:tcW w:w="236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060" w:type="dxa"/>
            <w:vAlign w:val="bottom"/>
          </w:tcPr>
          <w:p>
            <w:pPr>
              <w:ind w:left="300"/>
              <w:spacing w:after="0"/>
              <w:rPr>
                <w:sz w:val="20"/>
                <w:szCs w:val="20"/>
                <w:color w:val="auto"/>
              </w:rPr>
            </w:pPr>
            <w:r>
              <w:rPr>
                <w:rFonts w:ascii="Arial" w:cs="Arial" w:eastAsia="Arial" w:hAnsi="Arial"/>
                <w:sz w:val="16"/>
                <w:szCs w:val="16"/>
                <w:color w:val="auto"/>
              </w:rPr>
              <w:t>Statistical Surveys, Inc.</w:t>
            </w:r>
          </w:p>
        </w:tc>
      </w:tr>
      <w:tr>
        <w:trPr>
          <w:trHeight w:val="70"/>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r>
      <w:tr>
        <w:trPr>
          <w:trHeight w:val="228"/>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Winnebago of Indiana, LLC, a wholly-owned subsidiary of Winnebago Industries, Inc.</w:t>
            </w:r>
          </w:p>
        </w:tc>
      </w:tr>
      <w:tr>
        <w:trPr>
          <w:trHeight w:val="70"/>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r>
      <w:tr>
        <w:trPr>
          <w:trHeight w:val="228"/>
        </w:trPr>
        <w:tc>
          <w:tcPr>
            <w:tcW w:w="2360" w:type="dxa"/>
            <w:vAlign w:val="bottom"/>
          </w:tcPr>
          <w:p>
            <w:pPr>
              <w:ind w:left="40"/>
              <w:spacing w:after="0"/>
              <w:rPr>
                <w:sz w:val="20"/>
                <w:szCs w:val="20"/>
                <w:color w:val="auto"/>
              </w:rPr>
            </w:pPr>
            <w:r>
              <w:rPr>
                <w:rFonts w:ascii="Arial" w:cs="Arial" w:eastAsia="Arial" w:hAnsi="Arial"/>
                <w:sz w:val="16"/>
                <w:szCs w:val="16"/>
                <w:color w:val="auto"/>
              </w:rPr>
              <w:t>US</w:t>
            </w:r>
          </w:p>
        </w:tc>
        <w:tc>
          <w:tcPr>
            <w:tcW w:w="9060" w:type="dxa"/>
            <w:vAlign w:val="bottom"/>
          </w:tcPr>
          <w:p>
            <w:pPr>
              <w:ind w:left="300"/>
              <w:spacing w:after="0"/>
              <w:rPr>
                <w:sz w:val="20"/>
                <w:szCs w:val="20"/>
                <w:color w:val="auto"/>
              </w:rPr>
            </w:pPr>
            <w:r>
              <w:rPr>
                <w:rFonts w:ascii="Arial" w:cs="Arial" w:eastAsia="Arial" w:hAnsi="Arial"/>
                <w:sz w:val="16"/>
                <w:szCs w:val="16"/>
                <w:color w:val="auto"/>
              </w:rPr>
              <w:t>United States of America</w:t>
            </w:r>
          </w:p>
        </w:tc>
      </w:tr>
      <w:tr>
        <w:trPr>
          <w:trHeight w:val="70"/>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r>
      <w:tr>
        <w:trPr>
          <w:trHeight w:val="228"/>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eXtensible Business Reporting Language</w:t>
            </w:r>
          </w:p>
        </w:tc>
      </w:tr>
      <w:tr>
        <w:trPr>
          <w:trHeight w:val="70"/>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r>
      <w:tr>
        <w:trPr>
          <w:trHeight w:val="228"/>
        </w:trPr>
        <w:tc>
          <w:tcPr>
            <w:tcW w:w="2360" w:type="dxa"/>
            <w:vAlign w:val="bottom"/>
          </w:tcPr>
          <w:p>
            <w:pPr>
              <w:ind w:left="40"/>
              <w:spacing w:after="0"/>
              <w:rPr>
                <w:sz w:val="20"/>
                <w:szCs w:val="20"/>
                <w:color w:val="auto"/>
              </w:rPr>
            </w:pPr>
            <w:r>
              <w:rPr>
                <w:rFonts w:ascii="Arial" w:cs="Arial" w:eastAsia="Arial" w:hAnsi="Arial"/>
                <w:sz w:val="16"/>
                <w:szCs w:val="16"/>
                <w:color w:val="auto"/>
              </w:rPr>
              <w:t>YTD</w:t>
            </w:r>
          </w:p>
        </w:tc>
        <w:tc>
          <w:tcPr>
            <w:tcW w:w="9060" w:type="dxa"/>
            <w:vAlign w:val="bottom"/>
          </w:tcPr>
          <w:p>
            <w:pPr>
              <w:ind w:left="300"/>
              <w:spacing w:after="0"/>
              <w:rPr>
                <w:sz w:val="20"/>
                <w:szCs w:val="20"/>
                <w:color w:val="auto"/>
              </w:rPr>
            </w:pPr>
            <w:r>
              <w:rPr>
                <w:rFonts w:ascii="Arial" w:cs="Arial" w:eastAsia="Arial" w:hAnsi="Arial"/>
                <w:sz w:val="16"/>
                <w:szCs w:val="16"/>
                <w:color w:val="auto"/>
              </w:rPr>
              <w:t>Year to Date</w:t>
            </w:r>
          </w:p>
        </w:tc>
      </w:tr>
      <w:tr>
        <w:trPr>
          <w:trHeight w:val="918"/>
        </w:trPr>
        <w:tc>
          <w:tcPr>
            <w:tcW w:w="236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3"/>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27,</w:t>
            </w: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w:t>
            </w:r>
          </w:p>
        </w:tc>
        <w:tc>
          <w:tcPr>
            <w:tcW w:w="2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w:t>
            </w:r>
          </w:p>
        </w:tc>
        <w:tc>
          <w:tcPr>
            <w:tcW w:w="20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28,</w:t>
            </w:r>
          </w:p>
        </w:tc>
        <w:tc>
          <w:tcPr>
            <w:tcW w:w="0" w:type="dxa"/>
            <w:vAlign w:val="bottom"/>
          </w:tcPr>
          <w:p>
            <w:pPr>
              <w:spacing w:after="0"/>
              <w:rPr>
                <w:sz w:val="1"/>
                <w:szCs w:val="1"/>
                <w:color w:val="auto"/>
              </w:rPr>
            </w:pPr>
          </w:p>
        </w:tc>
      </w:tr>
      <w:tr>
        <w:trPr>
          <w:trHeight w:val="23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225,672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234,543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439,895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458,946</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200,396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210,285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389,370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410,302</w:t>
            </w:r>
          </w:p>
        </w:tc>
        <w:tc>
          <w:tcPr>
            <w:tcW w:w="0" w:type="dxa"/>
            <w:vAlign w:val="bottom"/>
          </w:tcPr>
          <w:p>
            <w:pPr>
              <w:spacing w:after="0"/>
              <w:rPr>
                <w:sz w:val="1"/>
                <w:szCs w:val="1"/>
                <w:color w:val="auto"/>
              </w:rPr>
            </w:pP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25,276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24,258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50,525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48,644</w:t>
            </w:r>
          </w:p>
        </w:tc>
        <w:tc>
          <w:tcPr>
            <w:tcW w:w="0" w:type="dxa"/>
            <w:vAlign w:val="bottom"/>
          </w:tcPr>
          <w:p>
            <w:pPr>
              <w:spacing w:after="0"/>
              <w:rPr>
                <w:sz w:val="1"/>
                <w:szCs w:val="1"/>
                <w:color w:val="auto"/>
              </w:rPr>
            </w:pPr>
          </w:p>
        </w:tc>
      </w:tr>
      <w:tr>
        <w:trPr>
          <w:trHeight w:val="256"/>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9,944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9,553</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6,844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14,319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12,701</w:t>
            </w:r>
          </w:p>
        </w:tc>
        <w:tc>
          <w:tcPr>
            <w:tcW w:w="0" w:type="dxa"/>
            <w:vAlign w:val="bottom"/>
          </w:tcPr>
          <w:p>
            <w:pPr>
              <w:spacing w:after="0"/>
              <w:rPr>
                <w:sz w:val="1"/>
                <w:szCs w:val="1"/>
                <w:color w:val="auto"/>
              </w:rPr>
            </w:pPr>
          </w:p>
        </w:tc>
      </w:tr>
      <w:tr>
        <w:trPr>
          <w:trHeight w:val="25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11,773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12,310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24,263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22,254</w:t>
            </w:r>
          </w:p>
        </w:tc>
        <w:tc>
          <w:tcPr>
            <w:tcW w:w="0" w:type="dxa"/>
            <w:vAlign w:val="bottom"/>
          </w:tcPr>
          <w:p>
            <w:pPr>
              <w:spacing w:after="0"/>
              <w:rPr>
                <w:sz w:val="1"/>
                <w:szCs w:val="1"/>
                <w:color w:val="auto"/>
              </w:rPr>
            </w:pPr>
          </w:p>
        </w:tc>
      </w:tr>
      <w:tr>
        <w:trPr>
          <w:trHeight w:val="249"/>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1"/>
                <w:szCs w:val="21"/>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13,503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11,948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26,262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26,390</w:t>
            </w:r>
          </w:p>
        </w:tc>
        <w:tc>
          <w:tcPr>
            <w:tcW w:w="0" w:type="dxa"/>
            <w:vAlign w:val="bottom"/>
          </w:tcPr>
          <w:p>
            <w:pPr>
              <w:spacing w:after="0"/>
              <w:rPr>
                <w:sz w:val="1"/>
                <w:szCs w:val="1"/>
                <w:color w:val="auto"/>
              </w:rPr>
            </w:pPr>
          </w:p>
        </w:tc>
      </w:tr>
      <w:tr>
        <w:trPr>
          <w:trHeight w:val="271"/>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(expense) income</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9"/>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21"/>
                <w:szCs w:val="21"/>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13,485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11,976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26,379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26,425</w:t>
            </w:r>
          </w:p>
        </w:tc>
        <w:tc>
          <w:tcPr>
            <w:tcW w:w="0" w:type="dxa"/>
            <w:vAlign w:val="bottom"/>
          </w:tcPr>
          <w:p>
            <w:pPr>
              <w:spacing w:after="0"/>
              <w:rPr>
                <w:sz w:val="1"/>
                <w:szCs w:val="1"/>
                <w:color w:val="auto"/>
              </w:rPr>
            </w:pPr>
          </w:p>
        </w:tc>
      </w:tr>
      <w:tr>
        <w:trPr>
          <w:trHeight w:val="271"/>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4,131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3,880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8,467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8,434</w:t>
            </w:r>
          </w:p>
        </w:tc>
        <w:tc>
          <w:tcPr>
            <w:tcW w:w="0" w:type="dxa"/>
            <w:vAlign w:val="bottom"/>
          </w:tcPr>
          <w:p>
            <w:pPr>
              <w:spacing w:after="0"/>
              <w:rPr>
                <w:sz w:val="1"/>
                <w:szCs w:val="1"/>
                <w:color w:val="auto"/>
              </w:rPr>
            </w:pPr>
          </w:p>
        </w:tc>
      </w:tr>
      <w:tr>
        <w:trPr>
          <w:trHeight w:val="282"/>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9,354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8,096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17,912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79"/>
        </w:trPr>
        <w:tc>
          <w:tcPr>
            <w:tcW w:w="4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62"/>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305"/>
        </w:trPr>
        <w:tc>
          <w:tcPr>
            <w:tcW w:w="4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26,946</w:t>
            </w:r>
          </w:p>
        </w:tc>
        <w:tc>
          <w:tcPr>
            <w:tcW w:w="0" w:type="dxa"/>
            <w:vAlign w:val="bottom"/>
          </w:tcPr>
          <w:p>
            <w:pPr>
              <w:spacing w:after="0"/>
              <w:rPr>
                <w:sz w:val="1"/>
                <w:szCs w:val="1"/>
                <w:color w:val="auto"/>
              </w:rPr>
            </w:pPr>
          </w:p>
        </w:tc>
      </w:tr>
      <w:tr>
        <w:trPr>
          <w:trHeight w:val="262"/>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27,015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27,018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27,042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27,048</w:t>
            </w:r>
          </w:p>
        </w:tc>
        <w:tc>
          <w:tcPr>
            <w:tcW w:w="0" w:type="dxa"/>
            <w:vAlign w:val="bottom"/>
          </w:tcPr>
          <w:p>
            <w:pPr>
              <w:spacing w:after="0"/>
              <w:rPr>
                <w:sz w:val="1"/>
                <w:szCs w:val="1"/>
                <w:color w:val="auto"/>
              </w:rPr>
            </w:pPr>
          </w:p>
        </w:tc>
      </w:tr>
      <w:tr>
        <w:trPr>
          <w:trHeight w:val="305"/>
        </w:trPr>
        <w:tc>
          <w:tcPr>
            <w:tcW w:w="4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Dividends paid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305"/>
        </w:trPr>
        <w:tc>
          <w:tcPr>
            <w:tcW w:w="4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8,096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17,912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78"/>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$764, $506, $1,417 and $998)</w:t>
            </w:r>
          </w:p>
        </w:tc>
        <w:tc>
          <w:tcPr>
            <w:tcW w:w="240" w:type="dxa"/>
            <w:vAlign w:val="bottom"/>
          </w:tcPr>
          <w:p>
            <w:pPr>
              <w:spacing w:after="0"/>
              <w:rPr>
                <w:sz w:val="19"/>
                <w:szCs w:val="19"/>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$160, $136, $302 and $258)</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9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Plan amendment</w:t>
            </w:r>
          </w:p>
        </w:tc>
        <w:tc>
          <w:tcPr>
            <w:tcW w:w="240" w:type="dxa"/>
            <w:vAlign w:val="bottom"/>
          </w:tcPr>
          <w:p>
            <w:pPr>
              <w:spacing w:after="0"/>
              <w:rPr>
                <w:sz w:val="17"/>
                <w:szCs w:val="17"/>
                <w:color w:val="auto"/>
              </w:rPr>
            </w:pPr>
          </w:p>
        </w:tc>
        <w:tc>
          <w:tcPr>
            <w:tcW w:w="158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$0, $581, $10,895 and $581)</w:t>
            </w:r>
          </w:p>
        </w:tc>
        <w:tc>
          <w:tcPr>
            <w:tcW w:w="2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(982)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342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15,890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42"/>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8,372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8,438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33,802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17,732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2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2"/>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February 27,</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29,</w:t>
            </w:r>
          </w:p>
        </w:tc>
      </w:tr>
      <w:tr>
        <w:trPr>
          <w:trHeight w:val="232"/>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26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36,872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70,239</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($146 and $120)</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70,060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66,936</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134,169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112,165</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13,038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6,882</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9,995</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254,139</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266,217</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50,719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37,250</w:t>
            </w: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26,531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26,172</w:t>
            </w:r>
          </w:p>
        </w:tc>
      </w:tr>
      <w:tr>
        <w:trPr>
          <w:trHeight w:val="278"/>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19,844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21,994</w:t>
            </w:r>
          </w:p>
        </w:tc>
      </w:tr>
      <w:tr>
        <w:trPr>
          <w:trHeight w:val="26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9,109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10,541</w:t>
            </w:r>
          </w:p>
        </w:tc>
      </w:tr>
      <w:tr>
        <w:trPr>
          <w:trHeight w:val="242"/>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360,342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362,174</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5"/>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41,461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33,158</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2,314</w:t>
            </w:r>
          </w:p>
        </w:tc>
      </w:tr>
      <w:tr>
        <w:trPr>
          <w:trHeight w:val="278"/>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14,334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18,346</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11,727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5,780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6,242</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1,329</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3,149</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5,293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5,818</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83,889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81,610</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2,511</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26,572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57,090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28,820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59,601</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06"/>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31,649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32,018</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598,399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585,941</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13,616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(2,274)</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(24,885 and 24,825 shares)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(421,919)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(420,610)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247,633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220,963</w:t>
            </w:r>
          </w:p>
        </w:tc>
      </w:tr>
      <w:tr>
        <w:trPr>
          <w:trHeight w:val="242"/>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360,342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362,174</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82"/>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126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6"/>
                <w:szCs w:val="16"/>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28,</w:t>
            </w:r>
          </w:p>
        </w:tc>
      </w:tr>
      <w:tr>
        <w:trPr>
          <w:trHeight w:val="232"/>
        </w:trPr>
        <w:tc>
          <w:tcPr>
            <w:tcW w:w="7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r>
      <w:tr>
        <w:trPr>
          <w:trHeight w:val="26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17,912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17,991</w:t>
            </w:r>
          </w:p>
        </w:tc>
      </w:tr>
      <w:tr>
        <w:trPr>
          <w:trHeight w:val="278"/>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2,763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2,125</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626</w:t>
            </w: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1,348</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7,127</w:t>
            </w: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(338)</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w:t>
            </w: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Loss (gain) on disposal of property</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(35)</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life insurance</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(462)</w:t>
            </w:r>
          </w:p>
        </w:tc>
      </w:tr>
      <w:tr>
        <w:trPr>
          <w:trHeight w:val="278"/>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(22,592)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(37,619)</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(7,560)</w:t>
            </w: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260" w:type="dxa"/>
            <w:vAlign w:val="bottom"/>
          </w:tcPr>
          <w:p>
            <w:pPr>
              <w:spacing w:after="0"/>
              <w:rPr>
                <w:sz w:val="22"/>
                <w:szCs w:val="22"/>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(72)</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(11,258)</w:t>
            </w: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(4,075)</w:t>
            </w:r>
          </w:p>
        </w:tc>
      </w:tr>
      <w:tr>
        <w:trPr>
          <w:trHeight w:val="271"/>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(1,972)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(1,852)</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(34,052)</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2"/>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(16,357)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(5,154)</w:t>
            </w: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43</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294</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(16,055)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(4,817)</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(6,141)</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(5,455)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(4,883)</w:t>
            </w: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Borrowings on loans</w:t>
            </w:r>
          </w:p>
        </w:tc>
        <w:tc>
          <w:tcPr>
            <w:tcW w:w="260" w:type="dxa"/>
            <w:vAlign w:val="bottom"/>
          </w:tcPr>
          <w:p>
            <w:pPr>
              <w:spacing w:after="0"/>
              <w:rPr>
                <w:sz w:val="22"/>
                <w:szCs w:val="22"/>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22,000</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loans</w:t>
            </w:r>
          </w:p>
        </w:tc>
        <w:tc>
          <w:tcPr>
            <w:tcW w:w="2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(22,000)</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(8,500)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(10,997)</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(33,367)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(49,866)</w:t>
            </w:r>
          </w:p>
        </w:tc>
      </w:tr>
      <w:tr>
        <w:trPr>
          <w:trHeight w:val="264"/>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70,239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57,804</w:t>
            </w:r>
          </w:p>
        </w:tc>
      </w:tr>
      <w:tr>
        <w:trPr>
          <w:trHeight w:val="242"/>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36,872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7,938</w:t>
            </w:r>
          </w:p>
        </w:tc>
      </w:tr>
      <w:tr>
        <w:trPr>
          <w:trHeight w:val="20"/>
        </w:trPr>
        <w:tc>
          <w:tcPr>
            <w:tcW w:w="12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5"/>
        </w:trPr>
        <w:tc>
          <w:tcPr>
            <w:tcW w:w="12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 cash flow disclosure:</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2"/>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Income taxes paid,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12,848</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12,565</w:t>
            </w:r>
          </w:p>
        </w:tc>
      </w:tr>
      <w:tr>
        <w:trPr>
          <w:trHeight w:val="278"/>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55"/>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085"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085"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6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21"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3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our consolidated financial position as of February 27, 2016 and the consolidated results of income and comprehensive income and consolidated cash flows for the first six months of Fiscal 2016 and 2015. The consolidated statement of income and comprehensive income for the first six months of Fiscal 2016 is not necessarily indicative of the results to be expected for the full year. The consolidated balance sheet data as of August 29, 2015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29, 2015.</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2016 and Fiscal 2015 are 52-week years.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In August 2015, the FASB deferred the effective date of this standard by one year, which would become effective for fiscal years beginning after December 15, 2017 (our Fiscal 2019). We are currently evaluating the impact on our consolidated financial statements.</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xml:space="preserve">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fiscal years beginning after December 15, 2016 (our Fiscal 2018). We are currently evaluating the impact on our consolidated financial statements.</w:t>
      </w:r>
    </w:p>
    <w:p>
      <w:pPr>
        <w:spacing w:after="0" w:line="14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ASU 2015-16 is effective for fiscal years, and the interim periods within those years, beginning after December 15, 2015 (our Fiscal 2017). This new standard will be applied prospectively to adjustments to provisional amounts that occur after the effective date with earlier application permitted for financial statements that have not been issued. We are currently evaluating the impact of this ASU on our consolidated financial statements, which will be dependent on future acquisitions.</w:t>
      </w:r>
    </w:p>
    <w:p>
      <w:pPr>
        <w:spacing w:after="0" w:line="150"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to simplify the presentation of deferred income taxes. Under the new standard, both deferred tax liabilities and assets are required to be classified as noncurrent in a classified balance sheet. During the first quarter of Fiscal 2016, we elected to prospectively adopt ASU 2015-17, thus reclassifying current deferred tax assets to noncurrent on the accompanying consolidated balance sheet. The prior reporting period was not retrospectively adjusted. The adoption of this guidance had no impact on our consolidated statements of income and comprehensive income.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Times New Roman" w:cs="Times New Roman" w:eastAsia="Times New Roman" w:hAnsi="Times New Roman"/>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One of our dealer organizations accounted for 21.2% and 20.1% of our consolidated net revenues for the first six months of Fiscal 2016 and Fiscal 2015, respectively. A second dealer organization accounted for 16.4% and 19.2% of our consolidated net revenues for the first six months of Fiscal 2016 and Fiscal 2015, respectively.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2016 and August 29, 2015 according to the valuation techniques we used to determine their fair values: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February 27,</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5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2"/>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1"/>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32,595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32,455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29,</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5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63,107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2"/>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1"/>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68,821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68,729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7"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 and are included in cash and cash equivalents on the accompanying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which are classified as Level 1 as they are traded in an active market for which closing stock prices are readily available. These securities fund the Executive share option plan and the Executive deferred compensation plan (see Note 7). The assets related to these deferred compensation plans that will expire within a year are included in prepaid expenses and other assets in the accompanying consolidated balance sheets; the remaining noncurrent assets are included in other assets.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six months of Fiscal 2016, no impairments were recorded for non-financial assets.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648"/>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4: Inventories</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43"/>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0"/>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February 27,</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29,</w:t>
            </w:r>
          </w:p>
        </w:tc>
      </w:tr>
      <w:tr>
        <w:trPr>
          <w:trHeight w:val="232"/>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2015</w:t>
            </w:r>
          </w:p>
        </w:tc>
      </w:tr>
      <w:tr>
        <w:trPr>
          <w:trHeight w:val="254"/>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28,068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12,179</w:t>
            </w:r>
          </w:p>
        </w:tc>
      </w:tr>
      <w:tr>
        <w:trPr>
          <w:trHeight w:val="262"/>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74,998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66,602</w:t>
            </w:r>
          </w:p>
        </w:tc>
      </w:tr>
      <w:tr>
        <w:trPr>
          <w:trHeight w:val="271"/>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64,235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65,928</w:t>
            </w:r>
          </w:p>
        </w:tc>
      </w:tr>
      <w:tr>
        <w:trPr>
          <w:trHeight w:val="249"/>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167,301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144,709</w:t>
            </w:r>
          </w:p>
        </w:tc>
      </w:tr>
      <w:tr>
        <w:trPr>
          <w:trHeight w:val="271"/>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(33,132)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(32,544)</w:t>
            </w:r>
          </w:p>
        </w:tc>
      </w:tr>
      <w:tr>
        <w:trPr>
          <w:trHeight w:val="242"/>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134,169</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112,165</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$167.3 million and</w:t>
      </w:r>
    </w:p>
    <w:p>
      <w:pPr>
        <w:spacing w:after="0" w:line="25"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$144.7 million inventory at February 27, 2016 and August 29, 2015, respectively, $154.5 million and $136.3 million is valued on a LIFO basis; the remaining inventories of $12.8 million and $8.4 million at February 27, 2016 and August 29, 2015, respectively, are valued on a FIFO basis.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February 27,</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29,</w:t>
            </w:r>
          </w:p>
        </w:tc>
      </w:tr>
      <w:tr>
        <w:trPr>
          <w:trHeight w:val="232"/>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2015</w:t>
            </w:r>
          </w:p>
        </w:tc>
      </w:tr>
      <w:tr>
        <w:trPr>
          <w:trHeight w:val="254"/>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3,864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1,874</w:t>
            </w:r>
          </w:p>
        </w:tc>
      </w:tr>
      <w:tr>
        <w:trPr>
          <w:trHeight w:val="26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61,207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53,388</w:t>
            </w:r>
          </w:p>
        </w:tc>
      </w:tr>
      <w:tr>
        <w:trPr>
          <w:trHeight w:val="278"/>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96,670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94,034</w:t>
            </w:r>
          </w:p>
        </w:tc>
      </w:tr>
      <w:tr>
        <w:trPr>
          <w:trHeight w:val="26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11,523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8,033</w:t>
            </w:r>
          </w:p>
        </w:tc>
      </w:tr>
      <w:tr>
        <w:trPr>
          <w:trHeight w:val="27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8,939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8,913</w:t>
            </w:r>
          </w:p>
        </w:tc>
      </w:tr>
      <w:tr>
        <w:trPr>
          <w:trHeight w:val="249"/>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tcPr>
          <w:p>
            <w:pPr>
              <w:spacing w:after="0"/>
              <w:rPr>
                <w:sz w:val="21"/>
                <w:szCs w:val="21"/>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182,203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166,242</w:t>
            </w:r>
          </w:p>
        </w:tc>
      </w:tr>
      <w:tr>
        <w:trPr>
          <w:trHeight w:val="27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(131,484)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(128,992)</w:t>
            </w:r>
          </w:p>
        </w:tc>
      </w:tr>
      <w:tr>
        <w:trPr>
          <w:trHeight w:val="24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50,719</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37,250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On November 30, 2015 we purchased land and buildings from Country Coach in Junction City, OR for approximately $5.7 million. On January 6, 2016 we purchased adjacent property in Junction City, OR for approximately $4.0 million. These properties will be used for expansion of our West Coast motorhome and service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Warranty</w:t>
      </w:r>
    </w:p>
    <w:p>
      <w:pPr>
        <w:spacing w:after="0" w:line="196"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voluntarily agreed to pay certain warranty-type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2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03"/>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February 27,</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w:t>
            </w:r>
          </w:p>
        </w:tc>
        <w:tc>
          <w:tcPr>
            <w:tcW w:w="22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27,</w:t>
            </w:r>
          </w:p>
        </w:tc>
        <w:tc>
          <w:tcPr>
            <w:tcW w:w="220" w:type="dxa"/>
            <w:vAlign w:val="bottom"/>
          </w:tcPr>
          <w:p>
            <w:pPr>
              <w:spacing w:after="0"/>
              <w:rPr>
                <w:sz w:val="16"/>
                <w:szCs w:val="16"/>
                <w:color w:val="auto"/>
              </w:rPr>
            </w:pPr>
          </w:p>
        </w:tc>
        <w:tc>
          <w:tcPr>
            <w:tcW w:w="150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28,</w:t>
            </w:r>
          </w:p>
        </w:tc>
      </w:tr>
      <w:tr>
        <w:trPr>
          <w:trHeight w:val="232"/>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54"/>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11,585</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9,090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11,254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r>
      <w:tr>
        <w:trPr>
          <w:trHeight w:val="262"/>
        </w:trPr>
        <w:tc>
          <w:tcPr>
            <w:tcW w:w="432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2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3,439</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7,467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4,846</w:t>
            </w:r>
          </w:p>
        </w:tc>
      </w:tr>
      <w:tr>
        <w:trPr>
          <w:trHeight w:val="271"/>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3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(1,503)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(6,994)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(4,491)</w:t>
            </w:r>
          </w:p>
        </w:tc>
      </w:tr>
      <w:tr>
        <w:trPr>
          <w:trHeight w:val="242"/>
        </w:trPr>
        <w:tc>
          <w:tcPr>
            <w:tcW w:w="432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11,727</w:t>
            </w:r>
          </w:p>
        </w:tc>
        <w:tc>
          <w:tcPr>
            <w:tcW w:w="6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9,856</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11,727</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9,856</w:t>
            </w: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59"/>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Note 7: Employee and Retiree Benefits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3"/>
        </w:trPr>
        <w:tc>
          <w:tcPr>
            <w:tcW w:w="740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0"/>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February 27,</w:t>
            </w:r>
          </w:p>
        </w:tc>
        <w:tc>
          <w:tcPr>
            <w:tcW w:w="34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29,</w:t>
            </w:r>
          </w:p>
        </w:tc>
      </w:tr>
      <w:tr>
        <w:trPr>
          <w:trHeight w:val="232"/>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2015</w:t>
            </w:r>
          </w:p>
        </w:tc>
      </w:tr>
      <w:tr>
        <w:trPr>
          <w:trHeight w:val="254"/>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r>
      <w:tr>
        <w:trPr>
          <w:trHeight w:val="262"/>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18,711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19,508</w:t>
            </w:r>
          </w:p>
        </w:tc>
      </w:tr>
      <w:tr>
        <w:trPr>
          <w:trHeight w:val="278"/>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4,788</w:t>
            </w:r>
          </w:p>
        </w:tc>
      </w:tr>
      <w:tr>
        <w:trPr>
          <w:trHeight w:val="262"/>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2,649</w:t>
            </w:r>
          </w:p>
        </w:tc>
      </w:tr>
      <w:tr>
        <w:trPr>
          <w:trHeight w:val="278"/>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299</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242</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31,343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62,021</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portion</w:t>
            </w: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(4,771)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(4,931)</w:t>
            </w:r>
          </w:p>
        </w:tc>
      </w:tr>
      <w:tr>
        <w:trPr>
          <w:trHeight w:val="242"/>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57,090</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7"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w:t>
      </w:r>
    </w:p>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Fiscal 2005, through a plan amendment,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Each year from 2012 to 2015, the employer established dollar caps were reduced</w:t>
      </w:r>
    </w:p>
    <w:p>
      <w:pPr>
        <w:spacing w:after="0" w:line="2"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by 10% through plan amendments. On September 28, 2015, we announced a plan amendment to our postretirement health care benefits. On January 1, 2016, postretirement health care benefits were discontinued for retirees age 65 and over. We will fund up to a $700,000 health reimbursement account in calendar 2016 to assist retirees over age 65 with medical expenses. The plan amendment also includes a 10% reduction in employer paid premiums for retirees under age 65. As a result of these amendments, our liability for postretirement health care was reduced as presented in the following table.</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Liability</w:t>
            </w:r>
          </w:p>
        </w:tc>
        <w:tc>
          <w:tcPr>
            <w:tcW w:w="1400" w:type="dxa"/>
            <w:vAlign w:val="bottom"/>
          </w:tcPr>
          <w:p>
            <w:pPr>
              <w:spacing w:after="0"/>
              <w:rPr>
                <w:sz w:val="16"/>
                <w:szCs w:val="16"/>
                <w:color w:val="auto"/>
              </w:rPr>
            </w:pPr>
          </w:p>
        </w:tc>
      </w:tr>
      <w:tr>
        <w:trPr>
          <w:trHeight w:val="189"/>
        </w:trPr>
        <w:tc>
          <w:tcPr>
            <w:tcW w:w="13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left="39"/>
              <w:spacing w:after="0"/>
              <w:rPr>
                <w:sz w:val="20"/>
                <w:szCs w:val="20"/>
                <w:color w:val="auto"/>
              </w:rPr>
            </w:pPr>
            <w:r>
              <w:rPr>
                <w:rFonts w:ascii="Arial" w:cs="Arial" w:eastAsia="Arial" w:hAnsi="Arial"/>
                <w:sz w:val="16"/>
                <w:szCs w:val="16"/>
                <w:b w:val="1"/>
                <w:bCs w:val="1"/>
                <w:color w:val="auto"/>
              </w:rPr>
              <w:t>Dollar Cap</w:t>
            </w:r>
          </w:p>
        </w:tc>
        <w:tc>
          <w:tcPr>
            <w:tcW w:w="28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Reduction</w:t>
            </w: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6"/>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Event</w:t>
            </w:r>
          </w:p>
        </w:tc>
        <w:tc>
          <w:tcPr>
            <w:tcW w:w="1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9"/>
              </w:rPr>
              <w:t>Reduction</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(In thousands)</w:t>
            </w:r>
          </w:p>
        </w:tc>
        <w:tc>
          <w:tcPr>
            <w:tcW w:w="1400" w:type="dxa"/>
            <w:vAlign w:val="bottom"/>
            <w:tcBorders>
              <w:bottom w:val="single" w:sz="8" w:color="auto"/>
            </w:tcBorders>
          </w:tcPr>
          <w:p>
            <w:pPr>
              <w:jc w:val="right"/>
              <w:ind w:right="339"/>
              <w:spacing w:after="0" w:line="236"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r>
      <w:tr>
        <w:trPr>
          <w:trHeight w:val="264"/>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2005</w:t>
            </w:r>
          </w:p>
        </w:tc>
        <w:tc>
          <w:tcPr>
            <w:tcW w:w="5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Established employer dollar caps</w:t>
            </w:r>
          </w:p>
        </w:tc>
        <w:tc>
          <w:tcPr>
            <w:tcW w:w="13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40,414</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11.5 years</w:t>
            </w:r>
          </w:p>
        </w:tc>
      </w:tr>
      <w:tr>
        <w:trPr>
          <w:trHeight w:val="262"/>
        </w:trPr>
        <w:tc>
          <w:tcPr>
            <w:tcW w:w="1380" w:type="dxa"/>
            <w:vAlign w:val="bottom"/>
          </w:tcPr>
          <w:p>
            <w:pPr>
              <w:ind w:left="20"/>
              <w:spacing w:after="0"/>
              <w:rPr>
                <w:sz w:val="20"/>
                <w:szCs w:val="20"/>
                <w:color w:val="auto"/>
              </w:rPr>
            </w:pPr>
            <w:r>
              <w:rPr>
                <w:rFonts w:ascii="Arial" w:cs="Arial" w:eastAsia="Arial" w:hAnsi="Arial"/>
                <w:sz w:val="16"/>
                <w:szCs w:val="16"/>
                <w:color w:val="auto"/>
              </w:rPr>
              <w:t>January 2012</w:t>
            </w:r>
          </w:p>
        </w:tc>
        <w:tc>
          <w:tcPr>
            <w:tcW w:w="5540" w:type="dxa"/>
            <w:vAlign w:val="bottom"/>
            <w:gridSpan w:val="2"/>
          </w:tcPr>
          <w:p>
            <w:pPr>
              <w:ind w:left="220"/>
              <w:spacing w:after="0"/>
              <w:rPr>
                <w:sz w:val="20"/>
                <w:szCs w:val="20"/>
                <w:color w:val="auto"/>
              </w:rPr>
            </w:pPr>
            <w:r>
              <w:rPr>
                <w:rFonts w:ascii="Arial" w:cs="Arial" w:eastAsia="Arial" w:hAnsi="Arial"/>
                <w:sz w:val="16"/>
                <w:szCs w:val="16"/>
                <w:color w:val="auto"/>
              </w:rPr>
              <w:t>Reduced employer dollar caps</w:t>
            </w:r>
          </w:p>
        </w:tc>
        <w:tc>
          <w:tcPr>
            <w:tcW w:w="1300" w:type="dxa"/>
            <w:vAlign w:val="bottom"/>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4,598</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7.8 years</w:t>
            </w:r>
          </w:p>
        </w:tc>
      </w:tr>
      <w:tr>
        <w:trPr>
          <w:trHeight w:val="278"/>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2013</w:t>
            </w:r>
          </w:p>
        </w:tc>
        <w:tc>
          <w:tcPr>
            <w:tcW w:w="5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Reduced employer dollar caps</w:t>
            </w:r>
          </w:p>
        </w:tc>
        <w:tc>
          <w:tcPr>
            <w:tcW w:w="13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4,289</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 years</w:t>
            </w:r>
          </w:p>
        </w:tc>
      </w:tr>
      <w:tr>
        <w:trPr>
          <w:trHeight w:val="262"/>
        </w:trPr>
        <w:tc>
          <w:tcPr>
            <w:tcW w:w="1380" w:type="dxa"/>
            <w:vAlign w:val="bottom"/>
          </w:tcPr>
          <w:p>
            <w:pPr>
              <w:ind w:left="20"/>
              <w:spacing w:after="0"/>
              <w:rPr>
                <w:sz w:val="20"/>
                <w:szCs w:val="20"/>
                <w:color w:val="auto"/>
              </w:rPr>
            </w:pPr>
            <w:r>
              <w:rPr>
                <w:rFonts w:ascii="Arial" w:cs="Arial" w:eastAsia="Arial" w:hAnsi="Arial"/>
                <w:sz w:val="16"/>
                <w:szCs w:val="16"/>
                <w:color w:val="auto"/>
              </w:rPr>
              <w:t>January 2014</w:t>
            </w:r>
          </w:p>
        </w:tc>
        <w:tc>
          <w:tcPr>
            <w:tcW w:w="5540" w:type="dxa"/>
            <w:vAlign w:val="bottom"/>
            <w:gridSpan w:val="2"/>
          </w:tcPr>
          <w:p>
            <w:pPr>
              <w:ind w:left="220"/>
              <w:spacing w:after="0"/>
              <w:rPr>
                <w:sz w:val="20"/>
                <w:szCs w:val="20"/>
                <w:color w:val="auto"/>
              </w:rPr>
            </w:pPr>
            <w:r>
              <w:rPr>
                <w:rFonts w:ascii="Arial" w:cs="Arial" w:eastAsia="Arial" w:hAnsi="Arial"/>
                <w:sz w:val="16"/>
                <w:szCs w:val="16"/>
                <w:color w:val="auto"/>
              </w:rPr>
              <w:t>Reduced employer dollar caps</w:t>
            </w:r>
          </w:p>
        </w:tc>
        <w:tc>
          <w:tcPr>
            <w:tcW w:w="1300" w:type="dxa"/>
            <w:vAlign w:val="bottom"/>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3,580</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7.3 years</w:t>
            </w:r>
          </w:p>
        </w:tc>
      </w:tr>
      <w:tr>
        <w:trPr>
          <w:trHeight w:val="278"/>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2015</w:t>
            </w:r>
          </w:p>
        </w:tc>
        <w:tc>
          <w:tcPr>
            <w:tcW w:w="5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Reduced employer dollar caps</w:t>
            </w:r>
          </w:p>
        </w:tc>
        <w:tc>
          <w:tcPr>
            <w:tcW w:w="13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3,960</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7.1 years</w:t>
            </w:r>
          </w:p>
        </w:tc>
      </w:tr>
      <w:tr>
        <w:trPr>
          <w:trHeight w:val="198"/>
        </w:trPr>
        <w:tc>
          <w:tcPr>
            <w:tcW w:w="1380" w:type="dxa"/>
            <w:vAlign w:val="bottom"/>
          </w:tcPr>
          <w:p>
            <w:pPr>
              <w:ind w:left="20"/>
              <w:spacing w:after="0"/>
              <w:rPr>
                <w:sz w:val="20"/>
                <w:szCs w:val="20"/>
                <w:color w:val="auto"/>
              </w:rPr>
            </w:pPr>
            <w:r>
              <w:rPr>
                <w:rFonts w:ascii="Arial" w:cs="Arial" w:eastAsia="Arial" w:hAnsi="Arial"/>
                <w:sz w:val="16"/>
                <w:szCs w:val="16"/>
                <w:color w:val="auto"/>
              </w:rPr>
              <w:t xml:space="preserve">January 2016 </w:t>
            </w:r>
            <w:r>
              <w:rPr>
                <w:rFonts w:ascii="Arial" w:cs="Arial" w:eastAsia="Arial" w:hAnsi="Arial"/>
                <w:sz w:val="17"/>
                <w:szCs w:val="17"/>
                <w:color w:val="auto"/>
                <w:vertAlign w:val="superscript"/>
              </w:rPr>
              <w:t>(2)</w:t>
            </w:r>
          </w:p>
        </w:tc>
        <w:tc>
          <w:tcPr>
            <w:tcW w:w="5540" w:type="dxa"/>
            <w:vAlign w:val="bottom"/>
            <w:gridSpan w:val="2"/>
          </w:tcPr>
          <w:p>
            <w:pPr>
              <w:ind w:left="220"/>
              <w:spacing w:after="0"/>
              <w:rPr>
                <w:sz w:val="20"/>
                <w:szCs w:val="20"/>
                <w:color w:val="auto"/>
              </w:rPr>
            </w:pPr>
            <w:r>
              <w:rPr>
                <w:rFonts w:ascii="Arial" w:cs="Arial" w:eastAsia="Arial" w:hAnsi="Arial"/>
                <w:sz w:val="16"/>
                <w:szCs w:val="16"/>
                <w:color w:val="auto"/>
              </w:rPr>
              <w:t>Reduce employer dollar caps for retirees under age 65; discontinue</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9"/>
        </w:trPr>
        <w:tc>
          <w:tcPr>
            <w:tcW w:w="1380" w:type="dxa"/>
            <w:vAlign w:val="bottom"/>
          </w:tcPr>
          <w:p>
            <w:pPr>
              <w:spacing w:after="0"/>
              <w:rPr>
                <w:sz w:val="19"/>
                <w:szCs w:val="19"/>
                <w:color w:val="auto"/>
              </w:rPr>
            </w:pPr>
          </w:p>
        </w:tc>
        <w:tc>
          <w:tcPr>
            <w:tcW w:w="5540" w:type="dxa"/>
            <w:vAlign w:val="bottom"/>
            <w:gridSpan w:val="2"/>
          </w:tcPr>
          <w:p>
            <w:pPr>
              <w:ind w:left="220"/>
              <w:spacing w:after="0"/>
              <w:rPr>
                <w:sz w:val="20"/>
                <w:szCs w:val="20"/>
                <w:color w:val="auto"/>
              </w:rPr>
            </w:pPr>
            <w:r>
              <w:rPr>
                <w:rFonts w:ascii="Arial" w:cs="Arial" w:eastAsia="Arial" w:hAnsi="Arial"/>
                <w:sz w:val="16"/>
                <w:szCs w:val="16"/>
                <w:color w:val="auto"/>
              </w:rPr>
              <w:t>retiree benefits for retirees age 65 and over</w:t>
            </w:r>
          </w:p>
        </w:tc>
        <w:tc>
          <w:tcPr>
            <w:tcW w:w="1300" w:type="dxa"/>
            <w:vAlign w:val="bottom"/>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28,596</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6.9 years</w:t>
            </w:r>
          </w:p>
        </w:tc>
      </w:tr>
    </w:tbl>
    <w:p>
      <w:pPr>
        <w:ind w:left="140" w:hanging="132"/>
        <w:spacing w:after="0" w:line="237" w:lineRule="auto"/>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Plan amendments are amortized on a straight-line basis over the expected remaining service period of active plan participants.</w:t>
      </w:r>
    </w:p>
    <w:p>
      <w:pPr>
        <w:ind w:right="100" w:firstLine="8"/>
        <w:spacing w:after="0" w:line="227"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In accordance with ASC 715, the effects of the plan amendment are accounted for at the date the amendment is adopted and has been communicated to plan participants. The effective date for this plan amendment was September 28, 2015.</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w:t>
            </w:r>
          </w:p>
        </w:tc>
        <w:tc>
          <w:tcPr>
            <w:tcW w:w="24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27,</w:t>
            </w:r>
          </w:p>
        </w:tc>
        <w:tc>
          <w:tcPr>
            <w:tcW w:w="24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February 28,</w:t>
            </w:r>
          </w:p>
        </w:tc>
      </w:tr>
      <w:tr>
        <w:trPr>
          <w:trHeight w:val="23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r>
      <w:tr>
        <w:trPr>
          <w:trHeight w:val="254"/>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685</w:t>
            </w:r>
          </w:p>
        </w:tc>
      </w:tr>
      <w:tr>
        <w:trPr>
          <w:trHeight w:val="262"/>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2"/>
                <w:szCs w:val="22"/>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213</w:t>
            </w:r>
          </w:p>
        </w:tc>
      </w:tr>
      <w:tr>
        <w:trPr>
          <w:trHeight w:val="278"/>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(3,720)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(2,620)</w:t>
            </w:r>
          </w:p>
        </w:tc>
      </w:tr>
      <w:tr>
        <w:trPr>
          <w:trHeight w:val="264"/>
        </w:trPr>
        <w:tc>
          <w:tcPr>
            <w:tcW w:w="4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415</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782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667</w:t>
            </w:r>
          </w:p>
        </w:tc>
      </w:tr>
      <w:tr>
        <w:trPr>
          <w:trHeight w:val="242"/>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(1,512)</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6"/>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278</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7"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21"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On October 13, 2015 and October 15, 2014 the Human Resources Committee of the Board of Directors granted an aggregate of 204,200 and 99,600 shares, respectively, of restricted common stock to our key employees and non-employee directors under the Plan. The Human Resources Committee of the Board of Directors granted Michael J. Happe incentive stock options of 10,000 shares and restricted stock awards of 10,000 shares in January, 2016, fulfilling terms of his employment contract. The value of the restricted stock award is determined using the intrinsic value method which, in this case, is based on the number of shares granted and the closing price of our common stock on the date of grant.</w:t>
      </w:r>
    </w:p>
    <w:p>
      <w:pPr>
        <w:spacing w:after="0" w:line="136"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Stock-based compensation expense was $642,000 and $447,000 during the second quarters of Fiscal 2016 and 2015, respectively. Stock-based compensation expense was $1.3 million and $1.3 million during the first six months of Fiscal 2016 and 2015, respectively. Of the $1.3 million expense recognized in Fiscal 2016, $795,000 related to the October 13, 2015 grant of 204,200 shares. The remainder is related to the amortization of previously granted restricted stock awards, non-employee director stock units issued in lieu of director fees and the CEO stock grants. Compensation expense is recognized over the requisite service period of the award.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December 16, 2015, the Board of Directors declared a quarterly cash dividend of $0.10 per share of common stock, which was paid on January 27, 2016 to shareholders of record at the close of business on January 13, 2016.</w:t>
      </w:r>
    </w:p>
    <w:p>
      <w:pPr>
        <w:spacing w:after="0" w:line="14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March 16, 2016, the Board of Directors declared a quarterly cash dividend of $0.10 per share of common stock, payable on April 27, 2016 to shareholders of record at the close of business on April 13, 2016.</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2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$434.7 million and $386.0 million at February 27, 2016 and August 29, 2015, respectively.</w:t>
      </w:r>
    </w:p>
    <w:p>
      <w:pPr>
        <w:spacing w:after="0" w:line="11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$7.3 million and $7.2 million at February 27, 2016 and August 29, 2015, respectively.</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although two dealer organizations account for approximately 38% of our revenues.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$1.0 million as of February 27, 2016 and $1.3 million as of August 29,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6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0"/>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February 27,</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27,</w:t>
            </w:r>
          </w:p>
        </w:tc>
        <w:tc>
          <w:tcPr>
            <w:tcW w:w="16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r>
      <w:tr>
        <w:trPr>
          <w:trHeight w:val="236"/>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9"/>
              <w:spacing w:after="0" w:line="236" w:lineRule="exact"/>
              <w:rPr>
                <w:sz w:val="20"/>
                <w:szCs w:val="20"/>
                <w:color w:val="auto"/>
              </w:rPr>
            </w:pPr>
            <w:r>
              <w:rPr>
                <w:rFonts w:ascii="Arial" w:cs="Arial" w:eastAsia="Arial" w:hAnsi="Arial"/>
                <w:sz w:val="16"/>
                <w:szCs w:val="16"/>
                <w:b w:val="1"/>
                <w:bCs w:val="1"/>
                <w:color w:val="auto"/>
              </w:rPr>
              <w:t xml:space="preserve">2015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9"/>
              <w:spacing w:after="0" w:line="236" w:lineRule="exact"/>
              <w:rPr>
                <w:sz w:val="20"/>
                <w:szCs w:val="20"/>
                <w:color w:val="auto"/>
              </w:rPr>
            </w:pPr>
            <w:r>
              <w:rPr>
                <w:rFonts w:ascii="Arial" w:cs="Arial" w:eastAsia="Arial" w:hAnsi="Arial"/>
                <w:sz w:val="16"/>
                <w:szCs w:val="16"/>
                <w:b w:val="1"/>
                <w:bCs w:val="1"/>
                <w:color w:val="auto"/>
              </w:rPr>
              <w:t xml:space="preserve">2015 </w:t>
            </w:r>
            <w:r>
              <w:rPr>
                <w:rFonts w:ascii="Arial" w:cs="Arial" w:eastAsia="Arial" w:hAnsi="Arial"/>
                <w:sz w:val="21"/>
                <w:szCs w:val="21"/>
                <w:b w:val="1"/>
                <w:bCs w:val="1"/>
                <w:color w:val="auto"/>
                <w:vertAlign w:val="superscript"/>
              </w:rPr>
              <w:t>(1)</w:t>
            </w:r>
          </w:p>
        </w:tc>
      </w:tr>
      <w:tr>
        <w:trPr>
          <w:trHeight w:val="250"/>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7,156</w:t>
            </w:r>
          </w:p>
        </w:tc>
      </w:tr>
      <w:tr>
        <w:trPr>
          <w:trHeight w:val="255"/>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Cash collected on resold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6,102</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6,140</w:t>
            </w:r>
          </w:p>
        </w:tc>
      </w:tr>
      <w:tr>
        <w:trPr>
          <w:trHeight w:val="27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Loss (gain) realized on resold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The majority of inventory repurchased and resold in the three and six months ending February 28, 2015 were attributed to a single dealership.</w:t>
      </w:r>
    </w:p>
    <w:p>
      <w:pPr>
        <w:spacing w:after="0" w:line="216" w:lineRule="exact"/>
        <w:rPr>
          <w:rFonts w:ascii="Arial" w:cs="Arial" w:eastAsia="Arial" w:hAnsi="Arial"/>
          <w:sz w:val="16"/>
          <w:szCs w:val="16"/>
          <w:color w:val="auto"/>
          <w:vertAlign w:val="superscript"/>
        </w:rPr>
      </w:pPr>
    </w:p>
    <w:p>
      <w:pPr>
        <w:ind w:left="5660"/>
        <w:spacing w:after="0"/>
        <w:rPr>
          <w:rFonts w:ascii="Arial" w:cs="Arial" w:eastAsia="Arial" w:hAnsi="Arial"/>
          <w:sz w:val="16"/>
          <w:szCs w:val="16"/>
          <w:color w:val="auto"/>
          <w:vertAlign w:val="superscript"/>
        </w:rPr>
      </w:pPr>
      <w:r>
        <w:rPr>
          <w:rFonts w:ascii="Arial" w:cs="Arial" w:eastAsia="Arial" w:hAnsi="Arial"/>
          <w:sz w:val="16"/>
          <w:szCs w:val="16"/>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For the past several years we have been involved in litigation in Australia seeking to recover from Knott Investments for damages arising from Knott Investments using our name on RVs without our approval. On December 2, 2015 the Federal Court of Australia, New South Wales District Registry, General Division, entered judgment in our favor and against Knott Investments for damages arising out of its use of the Winnebago name. Damages awarded were 1% of the total sales of Winnebago branded recreation vehicles from October 14, 2004, through October 17, 2013, plus interest. That award is likely to exceed $5.0 million, plus attorneys’ fees. Knott Investments has filed an appeal, and therefore the likelihood and timing of any recovery is uncertain.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Income Taxes</w:t>
      </w:r>
    </w:p>
    <w:p>
      <w:pPr>
        <w:spacing w:after="0" w:line="169"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3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 by the IRS and various state taxing authorities, net operating loss carryforwards generated in those years may still be adjusted upon examination by the IRS or state taxing authorities if they either have been or will be used in a future period. As of February 27, 2016, our federal returns from Fiscal 2012 to present continue to be subject to review by the IRS. Currently, the Company's Fiscal 2014 Federal Return is being reviewed. With few exceptions, the state returns from Fiscal 2009 to present continue to be subject to review by the state taxing jurisdictions. During the second quarter of Fiscal 2016, we finalized the audit with a state taxing jurisdiction on our Fiscal 2012 and 2013 returns with no material adjustment. We were recently notified by another taxing jurisdiction regarding another audit. A number of years may elapse before an uncertain tax position is audited and finally resolved, and it is often very difficult to predict the outcome of such audits.</w:t>
      </w:r>
    </w:p>
    <w:p>
      <w:pPr>
        <w:spacing w:after="0" w:line="15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of February 27, 2016, our unrecognized tax benefits were $2.2 million including accrued interest and penalties of $804,000. If we were to prevail on all unrecognized tax benefits recorded, $1.7 million of the $2.2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Earnings Per Share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net income per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6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9,354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8,096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17,912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17,991</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26,946</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0.67</w:t>
            </w: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17,991</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26,936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26,924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26,956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26,946</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27,048</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r>
    </w:tbl>
    <w:p>
      <w:pPr>
        <w:spacing w:after="0" w:line="171"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computation of weighted average shares and potential dilutive shares outstanding excludes options to purchase 15,846 and 196,308 shares of common stock for the second quarter of Fiscal 2016 and Fiscal 2015, respectively, and options to purchase 55,924 and 261,636 shares of common stock for the six months of Fiscal 2016 and Fiscal 2015, respectively. These amounts were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w:t>
      </w:r>
      <w:r>
        <w:rPr>
          <w:rFonts w:ascii="Arial" w:cs="Arial" w:eastAsia="Arial" w:hAnsi="Arial"/>
          <w:sz w:val="16"/>
          <w:szCs w:val="16"/>
          <w:color w:val="auto"/>
        </w:rPr>
        <w:t xml:space="preserve"> </w:t>
      </w:r>
      <w:r>
        <w:rPr>
          <w:rFonts w:ascii="Arial" w:cs="Arial" w:eastAsia="Arial" w:hAnsi="Arial"/>
          <w:sz w:val="16"/>
          <w:szCs w:val="16"/>
          <w:i w:val="1"/>
          <w:iCs w:val="1"/>
          <w:color w:val="auto"/>
        </w:rPr>
        <w:t>Per Share</w:t>
      </w:r>
      <w:r>
        <w:rPr>
          <w:rFonts w:ascii="Arial" w:cs="Arial" w:eastAsia="Arial" w:hAnsi="Arial"/>
          <w:sz w:val="16"/>
          <w:szCs w:val="16"/>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Comprehensive Income (Loss)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Changes in defined benefit pension items in AOCI, net of tax,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7"/>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99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29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February 27, 2016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February 28, 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rPr>
              <w:t>February 27, 2016</w:t>
            </w: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February 28, 2015</w:t>
            </w:r>
          </w:p>
        </w:tc>
      </w:tr>
      <w:tr>
        <w:trPr>
          <w:trHeight w:val="26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06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14,598</w:t>
            </w: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(2,409)</w:t>
            </w:r>
          </w:p>
        </w:tc>
        <w:tc>
          <w:tcPr>
            <w:tcW w:w="680" w:type="dxa"/>
            <w:vAlign w:val="bottom"/>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(1,808)</w:t>
            </w:r>
          </w:p>
        </w:tc>
      </w:tr>
      <w:tr>
        <w:trPr>
          <w:trHeight w:val="270"/>
        </w:trPr>
        <w:tc>
          <w:tcPr>
            <w:tcW w:w="2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944</w:t>
            </w:r>
          </w:p>
        </w:tc>
      </w:tr>
      <w:tr>
        <w:trPr>
          <w:trHeight w:val="264"/>
        </w:trPr>
        <w:tc>
          <w:tcPr>
            <w:tcW w:w="2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(982)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(1,203)</w:t>
            </w:r>
          </w:p>
        </w:tc>
      </w:tr>
      <w:tr>
        <w:trPr>
          <w:trHeight w:val="25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(982)</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15,890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(259)</w:t>
            </w:r>
          </w:p>
        </w:tc>
      </w:tr>
      <w:tr>
        <w:trPr>
          <w:trHeight w:val="270"/>
        </w:trPr>
        <w:tc>
          <w:tcPr>
            <w:tcW w:w="2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06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13,616</w:t>
            </w: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(2,067)</w:t>
            </w:r>
          </w:p>
        </w:tc>
        <w:tc>
          <w:tcPr>
            <w:tcW w:w="680" w:type="dxa"/>
            <w:vAlign w:val="bottom"/>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13,616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(2,067)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5780" w:type="dxa"/>
            <w:vAlign w:val="bottom"/>
            <w:gridSpan w:val="8"/>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87"/>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182"/>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3"/>
          </w:tcPr>
          <w:p>
            <w:pPr>
              <w:ind w:left="40"/>
              <w:spacing w:after="0" w:line="183" w:lineRule="exact"/>
              <w:rPr>
                <w:sz w:val="20"/>
                <w:szCs w:val="20"/>
                <w:color w:val="auto"/>
              </w:rPr>
            </w:pPr>
            <w:r>
              <w:rPr>
                <w:rFonts w:ascii="Arial" w:cs="Arial" w:eastAsia="Arial" w:hAnsi="Arial"/>
                <w:sz w:val="16"/>
                <w:szCs w:val="16"/>
                <w:b w:val="1"/>
                <w:bCs w:val="1"/>
                <w:color w:val="auto"/>
              </w:rPr>
              <w:t>Location on Consolidated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ind w:left="40"/>
              <w:spacing w:after="0"/>
              <w:rPr>
                <w:sz w:val="20"/>
                <w:szCs w:val="20"/>
                <w:color w:val="auto"/>
              </w:rPr>
            </w:pPr>
            <w:r>
              <w:rPr>
                <w:rFonts w:ascii="Arial" w:cs="Arial" w:eastAsia="Arial" w:hAnsi="Arial"/>
                <w:sz w:val="16"/>
                <w:szCs w:val="16"/>
                <w:b w:val="1"/>
                <w:bCs w:val="1"/>
                <w:color w:val="auto"/>
              </w:rPr>
              <w:t>Statements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ind w:left="40"/>
              <w:spacing w:after="0"/>
              <w:rPr>
                <w:sz w:val="20"/>
                <w:szCs w:val="20"/>
                <w:color w:val="auto"/>
              </w:rPr>
            </w:pPr>
            <w:r>
              <w:rPr>
                <w:rFonts w:ascii="Arial" w:cs="Arial" w:eastAsia="Arial" w:hAnsi="Arial"/>
                <w:sz w:val="16"/>
                <w:szCs w:val="16"/>
                <w:b w:val="1"/>
                <w:bCs w:val="1"/>
                <w:color w:val="auto"/>
              </w:rPr>
              <w:t>of Income and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5"/>
          </w:tcPr>
          <w:p>
            <w:pPr>
              <w:ind w:left="220"/>
              <w:spacing w:after="0"/>
              <w:rPr>
                <w:sz w:val="20"/>
                <w:szCs w:val="20"/>
                <w:color w:val="auto"/>
              </w:rPr>
            </w:pPr>
            <w:r>
              <w:rPr>
                <w:rFonts w:ascii="Arial" w:cs="Arial" w:eastAsia="Arial" w:hAnsi="Arial"/>
                <w:sz w:val="16"/>
                <w:szCs w:val="16"/>
                <w:b w:val="1"/>
                <w:bCs w:val="1"/>
                <w:color w:val="auto"/>
              </w:rPr>
              <w:t>February 27,</w:t>
            </w:r>
          </w:p>
        </w:tc>
        <w:tc>
          <w:tcPr>
            <w:tcW w:w="15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February 27,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28,</w:t>
            </w:r>
          </w:p>
        </w:tc>
      </w:tr>
      <w:tr>
        <w:trPr>
          <w:trHeight w:val="232"/>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254"/>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760" w:type="dxa"/>
            <w:vAlign w:val="bottom"/>
            <w:gridSpan w:val="3"/>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(2,302)</w:t>
            </w:r>
          </w:p>
        </w:tc>
        <w:tc>
          <w:tcPr>
            <w:tcW w:w="14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(1,622)</w:t>
            </w:r>
          </w:p>
        </w:tc>
      </w:tr>
      <w:tr>
        <w:trPr>
          <w:trHeight w:val="264"/>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0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419</w:t>
            </w:r>
          </w:p>
        </w:tc>
      </w:tr>
      <w:tr>
        <w:trPr>
          <w:trHeight w:val="25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(1,811)</w:t>
            </w:r>
          </w:p>
        </w:tc>
        <w:tc>
          <w:tcPr>
            <w:tcW w:w="14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(1,203)</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Subsequent Event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On March 16, 2016 our Board of Directors declared a cash dividend of $0.10 per share as noted in Note 8.</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69" w:lineRule="exact"/>
        <w:rPr>
          <w:sz w:val="20"/>
          <w:szCs w:val="20"/>
          <w:color w:val="auto"/>
        </w:rPr>
      </w:pPr>
    </w:p>
    <w:p>
      <w:pPr>
        <w:jc w:val="both"/>
        <w:ind w:right="40"/>
        <w:spacing w:after="0" w:line="199"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29, 2015 and in Part II, Item 1A of this Quarterly Report on Form 10-Q.</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9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69"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currently produce all of our motorhomes in vertically integrated manufacturing facilities in Iowa and we produce all travel trailer and fifth wheel trailers in Indiana. We distribute our products primarily through independent dealers throughout the US and Canada, who then retail the products to the end consumer.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640"/>
        <w:spacing w:after="0" w:line="327"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3"/>
          </w:tcPr>
          <w:p>
            <w:pPr>
              <w:ind w:left="200"/>
              <w:spacing w:after="0"/>
              <w:rPr>
                <w:sz w:val="20"/>
                <w:szCs w:val="20"/>
                <w:color w:val="auto"/>
              </w:rPr>
            </w:pPr>
            <w:r>
              <w:rPr>
                <w:rFonts w:ascii="Arial" w:cs="Arial" w:eastAsia="Arial" w:hAnsi="Arial"/>
                <w:sz w:val="14"/>
                <w:szCs w:val="14"/>
                <w:b w:val="1"/>
                <w:bCs w:val="1"/>
                <w:color w:val="auto"/>
              </w:rPr>
              <w:t>Rolling 12 Months Through January</w:t>
            </w:r>
          </w:p>
        </w:tc>
        <w:tc>
          <w:tcPr>
            <w:tcW w:w="1400" w:type="dxa"/>
            <w:vAlign w:val="bottom"/>
          </w:tcPr>
          <w:p>
            <w:pPr>
              <w:spacing w:after="0"/>
              <w:rPr>
                <w:sz w:val="17"/>
                <w:szCs w:val="17"/>
                <w:color w:val="auto"/>
              </w:rPr>
            </w:pPr>
          </w:p>
        </w:tc>
        <w:tc>
          <w:tcPr>
            <w:tcW w:w="1600" w:type="dxa"/>
            <w:vAlign w:val="bottom"/>
          </w:tcPr>
          <w:p>
            <w:pPr>
              <w:jc w:val="right"/>
              <w:ind w:right="30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5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16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2014</w:t>
            </w:r>
          </w:p>
        </w:tc>
        <w:tc>
          <w:tcPr>
            <w:tcW w:w="12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r>
      <w:tr>
        <w:trPr>
          <w:trHeight w:val="251"/>
        </w:trPr>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56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20.2%</w:t>
            </w:r>
          </w:p>
        </w:tc>
        <w:tc>
          <w:tcPr>
            <w:tcW w:w="12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20.3%</w:t>
            </w:r>
          </w:p>
        </w:tc>
        <w:tc>
          <w:tcPr>
            <w:tcW w:w="16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20.7%</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18.6%</w:t>
            </w:r>
          </w:p>
        </w:tc>
      </w:tr>
      <w:tr>
        <w:trPr>
          <w:trHeight w:val="255"/>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w:t>
            </w:r>
          </w:p>
        </w:tc>
        <w:tc>
          <w:tcPr>
            <w:tcW w:w="1560" w:type="dxa"/>
            <w:vAlign w:val="bottom"/>
          </w:tcPr>
          <w:p>
            <w:pPr>
              <w:jc w:val="right"/>
              <w:ind w:right="343"/>
              <w:spacing w:after="0"/>
              <w:rPr>
                <w:sz w:val="20"/>
                <w:szCs w:val="20"/>
                <w:color w:val="auto"/>
              </w:rPr>
            </w:pPr>
            <w:r>
              <w:rPr>
                <w:rFonts w:ascii="Arial" w:cs="Arial" w:eastAsia="Arial" w:hAnsi="Arial"/>
                <w:sz w:val="16"/>
                <w:szCs w:val="16"/>
                <w:color w:val="auto"/>
              </w:rPr>
              <w:t>0.9%</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400" w:type="dxa"/>
            <w:vAlign w:val="bottom"/>
          </w:tcPr>
          <w:p>
            <w:pPr>
              <w:jc w:val="right"/>
              <w:ind w:right="182"/>
              <w:spacing w:after="0"/>
              <w:rPr>
                <w:sz w:val="20"/>
                <w:szCs w:val="20"/>
                <w:color w:val="auto"/>
              </w:rPr>
            </w:pPr>
            <w:r>
              <w:rPr>
                <w:rFonts w:ascii="Arial" w:cs="Arial" w:eastAsia="Arial" w:hAnsi="Arial"/>
                <w:sz w:val="16"/>
                <w:szCs w:val="16"/>
                <w:color w:val="auto"/>
              </w:rPr>
              <w:t>0.9%</w:t>
            </w:r>
          </w:p>
        </w:tc>
        <w:tc>
          <w:tcPr>
            <w:tcW w:w="1600" w:type="dxa"/>
            <w:vAlign w:val="bottom"/>
          </w:tcPr>
          <w:p>
            <w:pPr>
              <w:jc w:val="right"/>
              <w:ind w:right="363"/>
              <w:spacing w:after="0"/>
              <w:rPr>
                <w:sz w:val="20"/>
                <w:szCs w:val="20"/>
                <w:color w:val="auto"/>
              </w:rPr>
            </w:pPr>
            <w:r>
              <w:rPr>
                <w:rFonts w:ascii="Arial" w:cs="Arial" w:eastAsia="Arial" w:hAnsi="Arial"/>
                <w:sz w:val="16"/>
                <w:szCs w:val="16"/>
                <w:color w:val="auto"/>
              </w:rPr>
              <w:t>0.8%</w:t>
            </w:r>
          </w:p>
        </w:tc>
        <w:tc>
          <w:tcPr>
            <w:tcW w:w="1260" w:type="dxa"/>
            <w:vAlign w:val="bottom"/>
          </w:tcPr>
          <w:p>
            <w:pPr>
              <w:jc w:val="right"/>
              <w:ind w:right="202"/>
              <w:spacing w:after="0"/>
              <w:rPr>
                <w:sz w:val="20"/>
                <w:szCs w:val="20"/>
                <w:color w:val="auto"/>
              </w:rPr>
            </w:pPr>
            <w:r>
              <w:rPr>
                <w:rFonts w:ascii="Arial" w:cs="Arial" w:eastAsia="Arial" w:hAnsi="Arial"/>
                <w:sz w:val="16"/>
                <w:szCs w:val="16"/>
                <w:color w:val="auto"/>
              </w:rPr>
              <w:t>1.0%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gridSpan w:val="6"/>
          </w:tcPr>
          <w:p>
            <w:pPr>
              <w:jc w:val="right"/>
              <w:ind w:right="741"/>
              <w:spacing w:after="0"/>
              <w:rPr>
                <w:sz w:val="20"/>
                <w:szCs w:val="20"/>
                <w:color w:val="auto"/>
              </w:rPr>
            </w:pPr>
            <w:r>
              <w:rPr>
                <w:rFonts w:ascii="Arial" w:cs="Arial" w:eastAsia="Arial" w:hAnsi="Arial"/>
                <w:sz w:val="14"/>
                <w:szCs w:val="14"/>
                <w:b w:val="1"/>
                <w:bCs w:val="1"/>
                <w:color w:val="auto"/>
              </w:rPr>
              <w:t>US and Canada Industry Class A, B &amp; C Motorhomes</w:t>
            </w:r>
          </w:p>
        </w:tc>
        <w:tc>
          <w:tcPr>
            <w:tcW w:w="1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5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701"/>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4"/>
                <w:szCs w:val="14"/>
                <w:b w:val="1"/>
                <w:bCs w:val="1"/>
                <w:color w:val="auto"/>
              </w:rPr>
              <w:t>Calendar Year</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154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1140" w:type="dxa"/>
            <w:vAlign w:val="bottom"/>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1160" w:type="dxa"/>
            <w:vAlign w:val="bottom"/>
          </w:tcPr>
          <w:p>
            <w:pPr>
              <w:jc w:val="right"/>
              <w:ind w:right="121"/>
              <w:spacing w:after="0"/>
              <w:rPr>
                <w:sz w:val="20"/>
                <w:szCs w:val="20"/>
                <w:color w:val="auto"/>
              </w:rPr>
            </w:pPr>
            <w:r>
              <w:rPr>
                <w:rFonts w:ascii="Arial" w:cs="Arial" w:eastAsia="Arial" w:hAnsi="Arial"/>
                <w:sz w:val="14"/>
                <w:szCs w:val="14"/>
                <w:b w:val="1"/>
                <w:bCs w:val="1"/>
                <w:color w:val="auto"/>
              </w:rPr>
              <w:t>Unit Change</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21"/>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4"/>
                <w:szCs w:val="14"/>
                <w:b w:val="1"/>
                <w:bCs w:val="1"/>
                <w:color w:val="auto"/>
              </w:rPr>
              <w:t>2014</w:t>
            </w:r>
          </w:p>
        </w:tc>
        <w:tc>
          <w:tcPr>
            <w:tcW w:w="1180" w:type="dxa"/>
            <w:vAlign w:val="bottom"/>
          </w:tcPr>
          <w:p>
            <w:pPr>
              <w:jc w:val="right"/>
              <w:ind w:right="121"/>
              <w:spacing w:after="0"/>
              <w:rPr>
                <w:sz w:val="20"/>
                <w:szCs w:val="20"/>
                <w:color w:val="auto"/>
              </w:rPr>
            </w:pPr>
            <w:r>
              <w:rPr>
                <w:rFonts w:ascii="Arial" w:cs="Arial" w:eastAsia="Arial" w:hAnsi="Arial"/>
                <w:sz w:val="14"/>
                <w:szCs w:val="14"/>
                <w:b w:val="1"/>
                <w:bCs w:val="1"/>
                <w:color w:val="auto"/>
              </w:rPr>
              <w:t>Unit Change</w:t>
            </w:r>
          </w:p>
        </w:tc>
        <w:tc>
          <w:tcPr>
            <w:tcW w:w="1100" w:type="dxa"/>
            <w:vAlign w:val="bottom"/>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265"/>
        </w:trPr>
        <w:tc>
          <w:tcPr>
            <w:tcW w:w="1540" w:type="dxa"/>
            <w:vAlign w:val="bottom"/>
            <w:tcBorders>
              <w:top w:val="single" w:sz="8" w:color="auto"/>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11,963</w:t>
            </w:r>
          </w:p>
        </w:tc>
        <w:tc>
          <w:tcPr>
            <w:tcW w:w="4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11,125</w:t>
            </w:r>
          </w:p>
        </w:tc>
        <w:tc>
          <w:tcPr>
            <w:tcW w:w="11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838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9,184</w:t>
            </w:r>
          </w:p>
        </w:tc>
        <w:tc>
          <w:tcPr>
            <w:tcW w:w="4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8,074</w:t>
            </w:r>
          </w:p>
        </w:tc>
        <w:tc>
          <w:tcPr>
            <w:tcW w:w="11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1,110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23"/>
                <w:szCs w:val="23"/>
                <w:color w:val="auto"/>
              </w:rPr>
            </w:pPr>
          </w:p>
        </w:tc>
      </w:tr>
      <w:tr>
        <w:trPr>
          <w:trHeight w:val="262"/>
        </w:trPr>
        <w:tc>
          <w:tcPr>
            <w:tcW w:w="1540" w:type="dxa"/>
            <w:vAlign w:val="bottom"/>
          </w:tcPr>
          <w:p>
            <w:pPr>
              <w:ind w:left="40"/>
              <w:spacing w:after="0"/>
              <w:rPr>
                <w:sz w:val="20"/>
                <w:szCs w:val="20"/>
                <w:color w:val="auto"/>
              </w:rPr>
            </w:pPr>
            <w:r>
              <w:rPr>
                <w:rFonts w:ascii="Arial" w:cs="Arial" w:eastAsia="Arial" w:hAnsi="Arial"/>
                <w:sz w:val="16"/>
                <w:szCs w:val="16"/>
                <w:color w:val="auto"/>
              </w:rPr>
              <w:t>Q2</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12,751</w:t>
            </w:r>
          </w:p>
        </w:tc>
        <w:tc>
          <w:tcPr>
            <w:tcW w:w="40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12,203</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548</w:t>
            </w:r>
          </w:p>
        </w:tc>
        <w:tc>
          <w:tcPr>
            <w:tcW w:w="116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14,577</w:t>
            </w:r>
          </w:p>
        </w:tc>
        <w:tc>
          <w:tcPr>
            <w:tcW w:w="4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12,660</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1,917</w:t>
            </w:r>
          </w:p>
        </w:tc>
        <w:tc>
          <w:tcPr>
            <w:tcW w:w="1100" w:type="dxa"/>
            <w:vAlign w:val="bottom"/>
          </w:tcPr>
          <w:p>
            <w:pPr>
              <w:jc w:val="right"/>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22"/>
                <w:szCs w:val="22"/>
                <w:color w:val="auto"/>
              </w:rPr>
            </w:pPr>
          </w:p>
        </w:tc>
      </w:tr>
      <w:tr>
        <w:trPr>
          <w:trHeight w:val="278"/>
        </w:trPr>
        <w:tc>
          <w:tcPr>
            <w:tcW w:w="15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11,199</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10,704</w:t>
            </w:r>
          </w:p>
        </w:tc>
        <w:tc>
          <w:tcPr>
            <w:tcW w:w="11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495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12,348</w:t>
            </w: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10,869</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1,479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tcPr>
          <w:p>
            <w:pPr>
              <w:spacing w:after="0"/>
              <w:rPr>
                <w:sz w:val="24"/>
                <w:szCs w:val="24"/>
                <w:color w:val="auto"/>
              </w:rPr>
            </w:pPr>
          </w:p>
        </w:tc>
      </w:tr>
      <w:tr>
        <w:trPr>
          <w:trHeight w:val="264"/>
        </w:trPr>
        <w:tc>
          <w:tcPr>
            <w:tcW w:w="1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11,397</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9,919</w:t>
            </w: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1,478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14.9 %</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8,958</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7,713</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1,245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20" w:type="dxa"/>
            <w:vAlign w:val="bottom"/>
          </w:tcPr>
          <w:p>
            <w:pPr>
              <w:spacing w:after="0"/>
              <w:rPr>
                <w:sz w:val="22"/>
                <w:szCs w:val="22"/>
                <w:color w:val="auto"/>
              </w:rPr>
            </w:pPr>
          </w:p>
        </w:tc>
      </w:tr>
      <w:tr>
        <w:trPr>
          <w:trHeight w:val="269"/>
        </w:trPr>
        <w:tc>
          <w:tcPr>
            <w:tcW w:w="154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47,310</w:t>
            </w:r>
          </w:p>
        </w:tc>
        <w:tc>
          <w:tcPr>
            <w:tcW w:w="4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43,951</w:t>
            </w:r>
          </w:p>
        </w:tc>
        <w:tc>
          <w:tcPr>
            <w:tcW w:w="11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3,359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45,067</w:t>
            </w: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39,316</w:t>
            </w:r>
          </w:p>
        </w:tc>
        <w:tc>
          <w:tcPr>
            <w:tcW w:w="11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5,751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 w:type="dxa"/>
            <w:vAlign w:val="bottom"/>
          </w:tcPr>
          <w:p>
            <w:pPr>
              <w:spacing w:after="0"/>
              <w:rPr>
                <w:sz w:val="23"/>
                <w:szCs w:val="23"/>
                <w:color w:val="auto"/>
              </w:rPr>
            </w:pPr>
          </w:p>
        </w:tc>
      </w:tr>
      <w:tr>
        <w:trPr>
          <w:trHeight w:val="20"/>
        </w:trPr>
        <w:tc>
          <w:tcPr>
            <w:tcW w:w="1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2015</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Unit Change</w:t>
            </w: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2015</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Unit Change</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20" w:type="dxa"/>
            <w:vAlign w:val="bottom"/>
            <w:tcBorders>
              <w:bottom w:val="single" w:sz="8" w:color="auto"/>
            </w:tcBorders>
          </w:tcPr>
          <w:p>
            <w:pPr>
              <w:spacing w:after="0"/>
              <w:rPr>
                <w:sz w:val="21"/>
                <w:szCs w:val="21"/>
                <w:color w:val="auto"/>
              </w:rPr>
            </w:pPr>
          </w:p>
        </w:tc>
      </w:tr>
      <w:tr>
        <w:trPr>
          <w:trHeight w:val="265"/>
        </w:trPr>
        <w:tc>
          <w:tcPr>
            <w:tcW w:w="1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January</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4,278</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3,732</w:t>
            </w:r>
          </w:p>
        </w:tc>
        <w:tc>
          <w:tcPr>
            <w:tcW w:w="11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546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2,423</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2,304</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119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shd w:val="clear" w:color="auto" w:fill="000000"/>
          </w:tcPr>
          <w:p>
            <w:pPr>
              <w:spacing w:after="0"/>
              <w:rPr>
                <w:sz w:val="23"/>
                <w:szCs w:val="23"/>
                <w:color w:val="auto"/>
              </w:rPr>
            </w:pPr>
          </w:p>
        </w:tc>
      </w:tr>
      <w:tr>
        <w:trPr>
          <w:trHeight w:val="262"/>
        </w:trPr>
        <w:tc>
          <w:tcPr>
            <w:tcW w:w="15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February</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3,935</w:t>
            </w:r>
          </w:p>
        </w:tc>
        <w:tc>
          <w:tcPr>
            <w:tcW w:w="4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4,087</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(152)</w:t>
            </w: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2,761</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71"/>
        </w:trPr>
        <w:tc>
          <w:tcPr>
            <w:tcW w:w="1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March</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4,929</w:t>
            </w:r>
          </w:p>
        </w:tc>
        <w:tc>
          <w:tcPr>
            <w:tcW w:w="4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4,144</w:t>
            </w:r>
          </w:p>
        </w:tc>
        <w:tc>
          <w:tcPr>
            <w:tcW w:w="11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785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4,119</w:t>
            </w:r>
          </w:p>
        </w:tc>
        <w:tc>
          <w:tcPr>
            <w:tcW w:w="1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62"/>
        </w:trPr>
        <w:tc>
          <w:tcPr>
            <w:tcW w:w="1540" w:type="dxa"/>
            <w:vAlign w:val="bottom"/>
          </w:tcPr>
          <w:p>
            <w:pPr>
              <w:ind w:left="40"/>
              <w:spacing w:after="0"/>
              <w:rPr>
                <w:sz w:val="20"/>
                <w:szCs w:val="20"/>
                <w:color w:val="auto"/>
              </w:rPr>
            </w:pPr>
            <w:r>
              <w:rPr>
                <w:rFonts w:ascii="Arial" w:cs="Arial" w:eastAsia="Arial" w:hAnsi="Arial"/>
                <w:sz w:val="16"/>
                <w:szCs w:val="16"/>
                <w:color w:val="auto"/>
              </w:rPr>
              <w:t>Q1</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13,142</w:t>
            </w:r>
          </w:p>
        </w:tc>
        <w:tc>
          <w:tcPr>
            <w:tcW w:w="4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11,963</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1,179</w:t>
            </w:r>
          </w:p>
        </w:tc>
        <w:tc>
          <w:tcPr>
            <w:tcW w:w="1160" w:type="dxa"/>
            <w:vAlign w:val="bottom"/>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9,184</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15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14,100</w:t>
            </w:r>
          </w:p>
        </w:tc>
        <w:tc>
          <w:tcPr>
            <w:tcW w:w="4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12,751</w:t>
            </w:r>
          </w:p>
        </w:tc>
        <w:tc>
          <w:tcPr>
            <w:tcW w:w="11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1,349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14,577</w:t>
            </w: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1540" w:type="dxa"/>
            <w:vAlign w:val="bottom"/>
          </w:tcPr>
          <w:p>
            <w:pPr>
              <w:ind w:left="40"/>
              <w:spacing w:after="0"/>
              <w:rPr>
                <w:sz w:val="20"/>
                <w:szCs w:val="20"/>
                <w:color w:val="auto"/>
              </w:rPr>
            </w:pPr>
            <w:r>
              <w:rPr>
                <w:rFonts w:ascii="Arial" w:cs="Arial" w:eastAsia="Arial" w:hAnsi="Arial"/>
                <w:sz w:val="16"/>
                <w:szCs w:val="16"/>
                <w:color w:val="auto"/>
              </w:rPr>
              <w:t>Q3</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11,700</w:t>
            </w:r>
          </w:p>
        </w:tc>
        <w:tc>
          <w:tcPr>
            <w:tcW w:w="4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11,199</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501</w:t>
            </w:r>
          </w:p>
        </w:tc>
        <w:tc>
          <w:tcPr>
            <w:tcW w:w="116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12,348</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1"/>
        </w:trPr>
        <w:tc>
          <w:tcPr>
            <w:tcW w:w="15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10,800</w:t>
            </w:r>
          </w:p>
        </w:tc>
        <w:tc>
          <w:tcPr>
            <w:tcW w:w="4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11,397</w:t>
            </w:r>
          </w:p>
        </w:tc>
        <w:tc>
          <w:tcPr>
            <w:tcW w:w="11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(597)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8,958</w:t>
            </w:r>
          </w:p>
        </w:tc>
        <w:tc>
          <w:tcPr>
            <w:tcW w:w="1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2"/>
        </w:trPr>
        <w:tc>
          <w:tcPr>
            <w:tcW w:w="1540" w:type="dxa"/>
            <w:vAlign w:val="bottom"/>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49,742</w:t>
            </w: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47,310</w:t>
            </w: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2,432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5.1 %</w:t>
            </w:r>
          </w:p>
        </w:tc>
        <w:tc>
          <w:tcPr>
            <w:tcW w:w="1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45,067</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jc w:val="both"/>
        <w:ind w:left="340" w:right="300" w:hanging="332"/>
        <w:spacing w:after="0" w:line="211"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Monthly and quarterly Class A, B and C wholesale shipments are based upon the forecast prepared by Dr. Richard Curtin of the University of Michigan Consumer Survey Research Center for RVIA and reported in the Roadsigns RV Spring 2016 Industry Forecast Issue. The revised RVIA annual 2016 wholesale shipment forecast is 49,000.</w:t>
      </w:r>
    </w:p>
    <w:p>
      <w:pPr>
        <w:ind w:left="340" w:hanging="332"/>
        <w:spacing w:after="0" w:line="204"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retail demand for this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gridSpan w:val="6"/>
          </w:tcPr>
          <w:p>
            <w:pPr>
              <w:jc w:val="right"/>
              <w:ind w:right="621"/>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1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701"/>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right"/>
              <w:ind w:right="701"/>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8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1080" w:type="dxa"/>
            <w:vAlign w:val="bottom"/>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22"/>
                <w:szCs w:val="22"/>
                <w:color w:val="auto"/>
              </w:rPr>
            </w:pPr>
          </w:p>
        </w:tc>
        <w:tc>
          <w:tcPr>
            <w:tcW w:w="1040" w:type="dxa"/>
            <w:vAlign w:val="bottom"/>
          </w:tcPr>
          <w:p>
            <w:pPr>
              <w:jc w:val="right"/>
              <w:ind w:right="61"/>
              <w:spacing w:after="0"/>
              <w:rPr>
                <w:sz w:val="20"/>
                <w:szCs w:val="20"/>
                <w:color w:val="auto"/>
              </w:rPr>
            </w:pPr>
            <w:r>
              <w:rPr>
                <w:rFonts w:ascii="Arial" w:cs="Arial" w:eastAsia="Arial" w:hAnsi="Arial"/>
                <w:sz w:val="14"/>
                <w:szCs w:val="14"/>
                <w:b w:val="1"/>
                <w:bCs w:val="1"/>
                <w:color w:val="auto"/>
              </w:rPr>
              <w:t>2014</w:t>
            </w: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rPr>
              <w:t>Unit Change</w:t>
            </w: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21"/>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b w:val="1"/>
                <w:bCs w:val="1"/>
                <w:color w:val="auto"/>
              </w:rPr>
              <w:t>2014</w:t>
            </w:r>
          </w:p>
        </w:tc>
        <w:tc>
          <w:tcPr>
            <w:tcW w:w="1280" w:type="dxa"/>
            <w:vAlign w:val="bottom"/>
          </w:tcPr>
          <w:p>
            <w:pPr>
              <w:jc w:val="right"/>
              <w:ind w:right="181"/>
              <w:spacing w:after="0"/>
              <w:rPr>
                <w:sz w:val="20"/>
                <w:szCs w:val="20"/>
                <w:color w:val="auto"/>
              </w:rPr>
            </w:pPr>
            <w:r>
              <w:rPr>
                <w:rFonts w:ascii="Arial" w:cs="Arial" w:eastAsia="Arial" w:hAnsi="Arial"/>
                <w:sz w:val="14"/>
                <w:szCs w:val="14"/>
                <w:b w:val="1"/>
                <w:bCs w:val="1"/>
                <w:color w:val="auto"/>
              </w:rPr>
              <w:t>Unit Change</w:t>
            </w:r>
          </w:p>
        </w:tc>
        <w:tc>
          <w:tcPr>
            <w:tcW w:w="1260" w:type="dxa"/>
            <w:vAlign w:val="bottom"/>
          </w:tcPr>
          <w:p>
            <w:pPr>
              <w:jc w:val="right"/>
              <w:ind w:right="241"/>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80" w:type="dxa"/>
            <w:vAlign w:val="bottom"/>
            <w:tcBorders>
              <w:top w:val="single" w:sz="8" w:color="auto"/>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81,759</w:t>
            </w:r>
          </w:p>
        </w:tc>
        <w:tc>
          <w:tcPr>
            <w:tcW w:w="4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75,458</w:t>
            </w:r>
          </w:p>
        </w:tc>
        <w:tc>
          <w:tcPr>
            <w:tcW w:w="12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6,301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55,055</w:t>
            </w:r>
          </w:p>
        </w:tc>
        <w:tc>
          <w:tcPr>
            <w:tcW w:w="4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46,181</w:t>
            </w:r>
          </w:p>
        </w:tc>
        <w:tc>
          <w:tcPr>
            <w:tcW w:w="128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8,874</w:t>
            </w:r>
          </w:p>
        </w:tc>
        <w:tc>
          <w:tcPr>
            <w:tcW w:w="1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19.2 %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380" w:type="dxa"/>
            <w:vAlign w:val="bottom"/>
          </w:tcPr>
          <w:p>
            <w:pPr>
              <w:ind w:left="40"/>
              <w:spacing w:after="0"/>
              <w:rPr>
                <w:sz w:val="20"/>
                <w:szCs w:val="20"/>
                <w:color w:val="auto"/>
              </w:rPr>
            </w:pPr>
            <w:r>
              <w:rPr>
                <w:rFonts w:ascii="Arial" w:cs="Arial" w:eastAsia="Arial" w:hAnsi="Arial"/>
                <w:sz w:val="16"/>
                <w:szCs w:val="16"/>
                <w:color w:val="auto"/>
              </w:rPr>
              <w:t>Q2</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88,988</w:t>
            </w:r>
          </w:p>
        </w:tc>
        <w:tc>
          <w:tcPr>
            <w:tcW w:w="400" w:type="dxa"/>
            <w:vAlign w:val="bottom"/>
          </w:tcPr>
          <w:p>
            <w:pPr>
              <w:spacing w:after="0"/>
              <w:rPr>
                <w:sz w:val="22"/>
                <w:szCs w:val="22"/>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85,648</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3,340</w:t>
            </w:r>
          </w:p>
        </w:tc>
        <w:tc>
          <w:tcPr>
            <w:tcW w:w="116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112,478</w:t>
            </w:r>
          </w:p>
        </w:tc>
        <w:tc>
          <w:tcPr>
            <w:tcW w:w="48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101,305</w:t>
            </w:r>
          </w:p>
        </w:tc>
        <w:tc>
          <w:tcPr>
            <w:tcW w:w="1280" w:type="dxa"/>
            <w:vAlign w:val="bottom"/>
          </w:tcPr>
          <w:p>
            <w:pPr>
              <w:jc w:val="right"/>
              <w:ind w:right="221"/>
              <w:spacing w:after="0"/>
              <w:rPr>
                <w:sz w:val="20"/>
                <w:szCs w:val="20"/>
                <w:color w:val="auto"/>
              </w:rPr>
            </w:pPr>
            <w:r>
              <w:rPr>
                <w:rFonts w:ascii="Arial" w:cs="Arial" w:eastAsia="Arial" w:hAnsi="Arial"/>
                <w:sz w:val="16"/>
                <w:szCs w:val="16"/>
                <w:color w:val="auto"/>
              </w:rPr>
              <w:t>11,173</w:t>
            </w: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11.0 %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3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68,686</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65,543</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3,143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99,210</w:t>
            </w: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89,117</w:t>
            </w:r>
          </w:p>
        </w:tc>
        <w:tc>
          <w:tcPr>
            <w:tcW w:w="12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10,093</w:t>
            </w: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11.3 %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74,970</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72,289</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2,681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49,715</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43,663</w:t>
            </w: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6,052</w:t>
            </w: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13.9 %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3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314,403</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298,938</w:t>
            </w:r>
          </w:p>
        </w:tc>
        <w:tc>
          <w:tcPr>
            <w:tcW w:w="12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15,465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316,458</w:t>
            </w:r>
          </w:p>
        </w:tc>
        <w:tc>
          <w:tcPr>
            <w:tcW w:w="4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280,266</w:t>
            </w:r>
          </w:p>
        </w:tc>
        <w:tc>
          <w:tcPr>
            <w:tcW w:w="128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36,192</w:t>
            </w: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12.9 %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Unit Change</w:t>
            </w: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Unit Change</w:t>
            </w: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3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January</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26,204</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23,799</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2,405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12,142</w:t>
            </w: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12,446</w:t>
            </w:r>
          </w:p>
        </w:tc>
        <w:tc>
          <w:tcPr>
            <w:tcW w:w="12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(304)</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(2.4)%</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February</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26,791</w:t>
            </w:r>
          </w:p>
        </w:tc>
        <w:tc>
          <w:tcPr>
            <w:tcW w:w="40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26,979</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(188)</w:t>
            </w:r>
          </w:p>
        </w:tc>
        <w:tc>
          <w:tcPr>
            <w:tcW w:w="11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jc w:val="right"/>
              <w:ind w:right="186"/>
              <w:spacing w:after="0"/>
              <w:rPr>
                <w:sz w:val="20"/>
                <w:szCs w:val="20"/>
                <w:color w:val="auto"/>
              </w:rPr>
            </w:pPr>
            <w:r>
              <w:rPr>
                <w:rFonts w:ascii="Arial" w:cs="Arial" w:eastAsia="Arial" w:hAnsi="Arial"/>
                <w:sz w:val="11"/>
                <w:szCs w:val="11"/>
                <w:color w:val="auto"/>
              </w:rPr>
              <w:t>(4)</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15,918</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3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March</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29,718</w:t>
            </w:r>
          </w:p>
        </w:tc>
        <w:tc>
          <w:tcPr>
            <w:tcW w:w="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30,981</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(1,263)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(4)</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26,691</w:t>
            </w:r>
          </w:p>
        </w:tc>
        <w:tc>
          <w:tcPr>
            <w:tcW w:w="1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380" w:type="dxa"/>
            <w:vAlign w:val="bottom"/>
          </w:tcPr>
          <w:p>
            <w:pPr>
              <w:ind w:left="40"/>
              <w:spacing w:after="0"/>
              <w:rPr>
                <w:sz w:val="20"/>
                <w:szCs w:val="20"/>
                <w:color w:val="auto"/>
              </w:rPr>
            </w:pPr>
            <w:r>
              <w:rPr>
                <w:rFonts w:ascii="Arial" w:cs="Arial" w:eastAsia="Arial" w:hAnsi="Arial"/>
                <w:sz w:val="16"/>
                <w:szCs w:val="16"/>
                <w:color w:val="auto"/>
              </w:rPr>
              <w:t>Q1</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82,713</w:t>
            </w:r>
          </w:p>
        </w:tc>
        <w:tc>
          <w:tcPr>
            <w:tcW w:w="40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81,759</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954</w:t>
            </w:r>
          </w:p>
        </w:tc>
        <w:tc>
          <w:tcPr>
            <w:tcW w:w="116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jc w:val="right"/>
              <w:ind w:right="186"/>
              <w:spacing w:after="0"/>
              <w:rPr>
                <w:sz w:val="20"/>
                <w:szCs w:val="20"/>
                <w:color w:val="auto"/>
              </w:rPr>
            </w:pPr>
            <w:r>
              <w:rPr>
                <w:rFonts w:ascii="Arial" w:cs="Arial" w:eastAsia="Arial" w:hAnsi="Arial"/>
                <w:sz w:val="11"/>
                <w:szCs w:val="11"/>
                <w:color w:val="auto"/>
              </w:rPr>
              <w:t>(4)</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55,055</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3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93,300</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88,988</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4,312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112,478</w:t>
            </w: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380" w:type="dxa"/>
            <w:vAlign w:val="bottom"/>
          </w:tcPr>
          <w:p>
            <w:pPr>
              <w:ind w:left="40"/>
              <w:spacing w:after="0"/>
              <w:rPr>
                <w:sz w:val="20"/>
                <w:szCs w:val="20"/>
                <w:color w:val="auto"/>
              </w:rPr>
            </w:pPr>
            <w:r>
              <w:rPr>
                <w:rFonts w:ascii="Arial" w:cs="Arial" w:eastAsia="Arial" w:hAnsi="Arial"/>
                <w:sz w:val="16"/>
                <w:szCs w:val="16"/>
                <w:color w:val="auto"/>
              </w:rPr>
              <w:t>Q3</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74,500</w:t>
            </w:r>
          </w:p>
        </w:tc>
        <w:tc>
          <w:tcPr>
            <w:tcW w:w="40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68,686</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5,814</w:t>
            </w:r>
          </w:p>
        </w:tc>
        <w:tc>
          <w:tcPr>
            <w:tcW w:w="116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jc w:val="right"/>
              <w:ind w:right="186"/>
              <w:spacing w:after="0"/>
              <w:rPr>
                <w:sz w:val="20"/>
                <w:szCs w:val="20"/>
                <w:color w:val="auto"/>
              </w:rPr>
            </w:pPr>
            <w:r>
              <w:rPr>
                <w:rFonts w:ascii="Arial" w:cs="Arial" w:eastAsia="Arial" w:hAnsi="Arial"/>
                <w:sz w:val="11"/>
                <w:szCs w:val="11"/>
                <w:color w:val="auto"/>
              </w:rPr>
              <w:t>(4)</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99,210</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3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72,800</w:t>
            </w:r>
          </w:p>
        </w:tc>
        <w:tc>
          <w:tcPr>
            <w:tcW w:w="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74,970</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(2,170)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(4)</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49,715</w:t>
            </w:r>
          </w:p>
        </w:tc>
        <w:tc>
          <w:tcPr>
            <w:tcW w:w="1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138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vMerge w:val="restart"/>
          </w:tcPr>
          <w:p>
            <w:pPr>
              <w:jc w:val="right"/>
              <w:ind w:right="20"/>
              <w:spacing w:after="0"/>
              <w:rPr>
                <w:sz w:val="20"/>
                <w:szCs w:val="20"/>
                <w:color w:val="auto"/>
              </w:rPr>
            </w:pPr>
            <w:r>
              <w:rPr>
                <w:rFonts w:ascii="Arial" w:cs="Arial" w:eastAsia="Arial" w:hAnsi="Arial"/>
                <w:sz w:val="16"/>
                <w:szCs w:val="16"/>
                <w:color w:val="auto"/>
              </w:rPr>
              <w:t>323,313</w:t>
            </w:r>
          </w:p>
        </w:tc>
        <w:tc>
          <w:tcPr>
            <w:tcW w:w="40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40" w:type="dxa"/>
            <w:vAlign w:val="bottom"/>
            <w:vMerge w:val="restart"/>
          </w:tcPr>
          <w:p>
            <w:pPr>
              <w:jc w:val="right"/>
              <w:ind w:right="61"/>
              <w:spacing w:after="0"/>
              <w:rPr>
                <w:sz w:val="20"/>
                <w:szCs w:val="20"/>
                <w:color w:val="auto"/>
              </w:rPr>
            </w:pPr>
            <w:r>
              <w:rPr>
                <w:rFonts w:ascii="Arial" w:cs="Arial" w:eastAsia="Arial" w:hAnsi="Arial"/>
                <w:sz w:val="16"/>
                <w:szCs w:val="16"/>
                <w:color w:val="auto"/>
              </w:rPr>
              <w:t>314,403</w:t>
            </w:r>
          </w:p>
        </w:tc>
        <w:tc>
          <w:tcPr>
            <w:tcW w:w="1200" w:type="dxa"/>
            <w:vAlign w:val="bottom"/>
            <w:vMerge w:val="restart"/>
          </w:tcPr>
          <w:p>
            <w:pPr>
              <w:jc w:val="right"/>
              <w:ind w:right="181"/>
              <w:spacing w:after="0"/>
              <w:rPr>
                <w:sz w:val="20"/>
                <w:szCs w:val="20"/>
                <w:color w:val="auto"/>
              </w:rPr>
            </w:pPr>
            <w:r>
              <w:rPr>
                <w:rFonts w:ascii="Arial" w:cs="Arial" w:eastAsia="Arial" w:hAnsi="Arial"/>
                <w:sz w:val="16"/>
                <w:szCs w:val="16"/>
                <w:color w:val="auto"/>
              </w:rPr>
              <w:t>8,910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vMerge w:val="restart"/>
          </w:tcPr>
          <w:p>
            <w:pPr>
              <w:jc w:val="right"/>
              <w:ind w:right="186"/>
              <w:spacing w:after="0"/>
              <w:rPr>
                <w:sz w:val="20"/>
                <w:szCs w:val="20"/>
                <w:color w:val="auto"/>
              </w:rPr>
            </w:pPr>
            <w:r>
              <w:rPr>
                <w:rFonts w:ascii="Arial" w:cs="Arial" w:eastAsia="Arial" w:hAnsi="Arial"/>
                <w:sz w:val="11"/>
                <w:szCs w:val="11"/>
                <w:color w:val="auto"/>
              </w:rPr>
              <w:t>(4)</w:t>
            </w:r>
          </w:p>
        </w:tc>
        <w:tc>
          <w:tcPr>
            <w:tcW w:w="940" w:type="dxa"/>
            <w:vAlign w:val="bottom"/>
            <w:vMerge w:val="restart"/>
          </w:tcPr>
          <w:p>
            <w:pPr>
              <w:jc w:val="right"/>
              <w:ind w:right="21"/>
              <w:spacing w:after="0"/>
              <w:rPr>
                <w:sz w:val="20"/>
                <w:szCs w:val="20"/>
                <w:color w:val="auto"/>
              </w:rPr>
            </w:pPr>
            <w:r>
              <w:rPr>
                <w:rFonts w:ascii="Arial" w:cs="Arial" w:eastAsia="Arial" w:hAnsi="Arial"/>
                <w:sz w:val="16"/>
                <w:szCs w:val="16"/>
                <w:color w:val="auto"/>
              </w:rPr>
              <w:t>316,458</w:t>
            </w: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380" w:type="dxa"/>
            <w:vAlign w:val="bottom"/>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300" w:hanging="332"/>
        <w:spacing w:after="0" w:line="211"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Monthly and quarterly towable wholesale shipments are based upon the forecast prepared by Dr. Richard Curtin of the University of Michigan Consumer Survey Research Center for RVIA and reported in the Roadsigns RV Spring 2016 Industry Forecast Issue. The revised RVIA annual 2016 wholesale shipment forecast is 320,600.</w:t>
      </w:r>
    </w:p>
    <w:p>
      <w:pPr>
        <w:ind w:left="340" w:hanging="332"/>
        <w:spacing w:after="0" w:line="204"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retail demand for this period.</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250"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the second quarter we achieved strong results in our towables division, where our shipments grew much faster than the industry as a result of greater penetration of our new products and further expansion of our distribution base. We believe we can continue to achieve growth in excess of the overall towables market projections for the remainder of Fiscal 2016.</w:t>
      </w:r>
    </w:p>
    <w:p>
      <w:pPr>
        <w:spacing w:after="0" w:line="1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motorhome business, however, we did not achieve unit growth commensurate with the industry. While we had strong order bookings in the quarter, which resulted in a robust increase to the motorized backlog, we are still facing manufacturing challenges.</w:t>
      </w:r>
    </w:p>
    <w:p>
      <w:pPr>
        <w:spacing w:after="0" w:line="13" w:lineRule="exact"/>
        <w:rPr>
          <w:sz w:val="20"/>
          <w:szCs w:val="20"/>
          <w:color w:val="auto"/>
        </w:rPr>
      </w:pPr>
    </w:p>
    <w:p>
      <w:pPr>
        <w:ind w:right="620"/>
        <w:spacing w:after="0" w:line="291" w:lineRule="auto"/>
        <w:rPr>
          <w:sz w:val="20"/>
          <w:szCs w:val="20"/>
          <w:color w:val="auto"/>
        </w:rPr>
      </w:pPr>
      <w:r>
        <w:rPr>
          <w:rFonts w:ascii="Arial" w:cs="Arial" w:eastAsia="Arial" w:hAnsi="Arial"/>
          <w:sz w:val="16"/>
          <w:szCs w:val="16"/>
          <w:color w:val="auto"/>
        </w:rPr>
        <w:t>To fully maximize the demand for our motorized product we have embarked on several significant initiatives that we believe will continue to address our manufacturing challenges.</w:t>
      </w:r>
    </w:p>
    <w:p>
      <w:pPr>
        <w:spacing w:after="0" w:line="121" w:lineRule="exact"/>
        <w:rPr>
          <w:sz w:val="20"/>
          <w:szCs w:val="20"/>
          <w:color w:val="auto"/>
        </w:rPr>
      </w:pPr>
    </w:p>
    <w:p>
      <w:pPr>
        <w:ind w:left="340" w:right="140" w:hanging="332"/>
        <w:spacing w:after="0" w:line="25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third quarter of Fiscal 2015, we purchased a facility in Waverly, IA to move our wire harness fabrication process out of the Forest City, IA campus to free up labor resources for motorized operations. The facility was operational in October 2015 and since that point we have continued to transition the work to Waverly and train new employees. We anticipate that this transition will be completed in the fourth quarter of Fiscal 2016.</w:t>
      </w:r>
    </w:p>
    <w:p>
      <w:pPr>
        <w:ind w:left="340" w:right="8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first six months of Fiscal 2016, we sold our transit bus assets and have since substantially finalized contracts for our outside aluminum extrusion customers and are phasing out extrusions of internally sourced parts to outside parties. Both of these operations provided very low margins while consuming production labor. In the second quarter of Fiscal 2016, we began redeploying these labor resources to the higher-margin motorized operations. We anticipate that the transition of the internally sourced parts will be completed in the fourth quarter of Fiscal 2016.</w:t>
      </w:r>
    </w:p>
    <w:p>
      <w:pPr>
        <w:spacing w:after="0" w:line="1"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second quarter of Fiscal 2016, we purchased production facilities in Junction City, OR for approximately $10 million with the intent to produce select Class A diesel product currently manufactured in Iowa. We anticipate that we will incur incremental investment costs of $4 - $7 million in the remainder of Fiscal 2016, which includes equipment, building modifications and associated plant start-up costs. Over the next year, we will be transitioning select Class A diesel product to the Oregon facility, which will free up labor resources to build additional product in Forest City, IA.</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121" w:right="2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Backlog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As Of</w:t>
            </w:r>
          </w:p>
        </w:tc>
        <w:tc>
          <w:tcPr>
            <w:tcW w:w="1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462"/>
              <w:spacing w:after="0"/>
              <w:rPr>
                <w:sz w:val="20"/>
                <w:szCs w:val="20"/>
                <w:color w:val="auto"/>
              </w:rPr>
            </w:pPr>
            <w:r>
              <w:rPr>
                <w:rFonts w:ascii="Arial" w:cs="Arial" w:eastAsia="Arial" w:hAnsi="Arial"/>
                <w:sz w:val="14"/>
                <w:szCs w:val="14"/>
                <w:b w:val="1"/>
                <w:bCs w:val="1"/>
                <w:color w:val="auto"/>
              </w:rPr>
              <w:t>Increase</w:t>
            </w:r>
          </w:p>
        </w:tc>
        <w:tc>
          <w:tcPr>
            <w:tcW w:w="1320" w:type="dxa"/>
            <w:vAlign w:val="bottom"/>
          </w:tcPr>
          <w:p>
            <w:pPr>
              <w:jc w:val="right"/>
              <w:ind w:right="602"/>
              <w:spacing w:after="0"/>
              <w:rPr>
                <w:sz w:val="20"/>
                <w:szCs w:val="20"/>
                <w:color w:val="auto"/>
              </w:rPr>
            </w:pPr>
            <w:r>
              <w:rPr>
                <w:rFonts w:ascii="Arial" w:cs="Arial" w:eastAsia="Arial" w:hAnsi="Arial"/>
                <w:sz w:val="14"/>
                <w:szCs w:val="14"/>
                <w:b w:val="1"/>
                <w:bCs w:val="1"/>
                <w:color w:val="auto"/>
              </w:rPr>
              <w:t>%</w:t>
            </w:r>
          </w:p>
        </w:tc>
      </w:tr>
      <w:tr>
        <w:trPr>
          <w:trHeight w:val="203"/>
        </w:trPr>
        <w:tc>
          <w:tcPr>
            <w:tcW w:w="5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February 27, 2016</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February 28, 2015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(Decrease)</w:t>
            </w:r>
          </w:p>
        </w:tc>
        <w:tc>
          <w:tcPr>
            <w:tcW w:w="13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Change</w:t>
            </w:r>
          </w:p>
        </w:tc>
      </w:tr>
      <w:tr>
        <w:trPr>
          <w:trHeight w:val="251"/>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 (in units)</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517</w:t>
            </w:r>
          </w:p>
        </w:tc>
        <w:tc>
          <w:tcPr>
            <w:tcW w:w="13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22.7 %</w:t>
            </w:r>
          </w:p>
        </w:tc>
      </w:tr>
      <w:tr>
        <w:trPr>
          <w:trHeight w:val="262"/>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Motorhomes (approximate revenues in thousands)</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253,492</w:t>
            </w:r>
          </w:p>
        </w:tc>
        <w:tc>
          <w:tcPr>
            <w:tcW w:w="4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216,228</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37,264</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17.2 %</w:t>
            </w:r>
          </w:p>
        </w:tc>
      </w:tr>
      <w:tr>
        <w:trPr>
          <w:trHeight w:val="278"/>
        </w:trPr>
        <w:tc>
          <w:tcPr>
            <w:tcW w:w="5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2"/>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Towables (in units)</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38</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29.2 %</w:t>
            </w:r>
          </w:p>
        </w:tc>
      </w:tr>
      <w:tr>
        <w:trPr>
          <w:trHeight w:val="278"/>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(approximate revenues in thousands)</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4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4,121</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(785)</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(19.0)%</w:t>
            </w:r>
          </w:p>
        </w:tc>
      </w:tr>
    </w:tbl>
    <w:p>
      <w:pPr>
        <w:spacing w:after="0" w:line="171" w:lineRule="exact"/>
        <w:rPr>
          <w:sz w:val="20"/>
          <w:szCs w:val="20"/>
          <w:color w:val="auto"/>
        </w:rPr>
      </w:pPr>
    </w:p>
    <w:p>
      <w:pPr>
        <w:jc w:val="both"/>
        <w:ind w:right="720"/>
        <w:spacing w:after="0" w:line="291" w:lineRule="auto"/>
        <w:rPr>
          <w:sz w:val="20"/>
          <w:szCs w:val="20"/>
          <w:color w:val="auto"/>
        </w:rPr>
      </w:pPr>
      <w:r>
        <w:rPr>
          <w:rFonts w:ascii="Arial" w:cs="Arial" w:eastAsia="Arial" w:hAnsi="Arial"/>
          <w:sz w:val="16"/>
          <w:szCs w:val="16"/>
          <w:color w:val="auto"/>
        </w:rPr>
        <w:t>We include in our backlog all accepted purchase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Unit Dealer Inventory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208"/>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7"/>
                <w:szCs w:val="17"/>
                <w:color w:val="auto"/>
              </w:rPr>
            </w:pPr>
          </w:p>
        </w:tc>
      </w:tr>
      <w:tr>
        <w:trPr>
          <w:trHeight w:val="168"/>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223"/>
              <w:spacing w:after="0"/>
              <w:rPr>
                <w:sz w:val="20"/>
                <w:szCs w:val="20"/>
                <w:color w:val="auto"/>
              </w:rPr>
            </w:pPr>
            <w:r>
              <w:rPr>
                <w:rFonts w:ascii="Arial" w:cs="Arial" w:eastAsia="Arial" w:hAnsi="Arial"/>
                <w:sz w:val="14"/>
                <w:szCs w:val="14"/>
                <w:b w:val="1"/>
                <w:bCs w:val="1"/>
                <w:color w:val="auto"/>
              </w:rPr>
              <w:t>February 27,</w:t>
            </w:r>
          </w:p>
        </w:tc>
        <w:tc>
          <w:tcPr>
            <w:tcW w:w="1220" w:type="dxa"/>
            <w:vAlign w:val="bottom"/>
          </w:tcPr>
          <w:p>
            <w:pPr>
              <w:jc w:val="right"/>
              <w:ind w:right="123"/>
              <w:spacing w:after="0"/>
              <w:rPr>
                <w:sz w:val="20"/>
                <w:szCs w:val="20"/>
                <w:color w:val="auto"/>
              </w:rPr>
            </w:pPr>
            <w:r>
              <w:rPr>
                <w:rFonts w:ascii="Arial" w:cs="Arial" w:eastAsia="Arial" w:hAnsi="Arial"/>
                <w:sz w:val="14"/>
                <w:szCs w:val="14"/>
                <w:b w:val="1"/>
                <w:bCs w:val="1"/>
                <w:color w:val="auto"/>
              </w:rPr>
              <w:t>February 28,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(Decrease)</w:t>
            </w:r>
          </w:p>
        </w:tc>
        <w:tc>
          <w:tcPr>
            <w:tcW w:w="13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203"/>
        </w:trPr>
        <w:tc>
          <w:tcPr>
            <w:tcW w:w="5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Increase</w:t>
            </w:r>
          </w:p>
        </w:tc>
        <w:tc>
          <w:tcPr>
            <w:tcW w:w="13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1"/>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4,737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720" w:type="dxa"/>
            <w:vAlign w:val="bottom"/>
            <w:gridSpan w:val="3"/>
            <w:shd w:val="clear" w:color="auto" w:fill="CCEEFF"/>
          </w:tcPr>
          <w:p>
            <w:pPr>
              <w:jc w:val="right"/>
              <w:ind w:right="288"/>
              <w:spacing w:after="0"/>
              <w:rPr>
                <w:sz w:val="20"/>
                <w:szCs w:val="20"/>
                <w:color w:val="auto"/>
              </w:rPr>
            </w:pPr>
            <w:r>
              <w:rPr>
                <w:rFonts w:ascii="Arial" w:cs="Arial" w:eastAsia="Arial" w:hAnsi="Arial"/>
                <w:sz w:val="16"/>
                <w:szCs w:val="16"/>
                <w:color w:val="auto"/>
              </w:rPr>
              <w:t>(41)</w:t>
            </w: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(0.9)%</w:t>
            </w:r>
          </w:p>
        </w:tc>
      </w:tr>
      <w:tr>
        <w:trPr>
          <w:trHeight w:val="255"/>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2,306</w:t>
            </w:r>
          </w:p>
        </w:tc>
        <w:tc>
          <w:tcPr>
            <w:tcW w:w="1220" w:type="dxa"/>
            <w:vAlign w:val="bottom"/>
          </w:tcPr>
          <w:p>
            <w:pPr>
              <w:jc w:val="right"/>
              <w:spacing w:after="0"/>
              <w:rPr>
                <w:sz w:val="20"/>
                <w:szCs w:val="20"/>
                <w:color w:val="auto"/>
              </w:rPr>
            </w:pPr>
            <w:r>
              <w:rPr>
                <w:rFonts w:ascii="Arial" w:cs="Arial" w:eastAsia="Arial" w:hAnsi="Arial"/>
                <w:sz w:val="16"/>
                <w:szCs w:val="16"/>
                <w:color w:val="auto"/>
              </w:rPr>
              <w:t>1,877</w:t>
            </w:r>
          </w:p>
        </w:tc>
        <w:tc>
          <w:tcPr>
            <w:tcW w:w="1720" w:type="dxa"/>
            <w:vAlign w:val="bottom"/>
            <w:gridSpan w:val="3"/>
          </w:tcPr>
          <w:p>
            <w:pPr>
              <w:jc w:val="right"/>
              <w:ind w:right="348"/>
              <w:spacing w:after="0"/>
              <w:rPr>
                <w:sz w:val="20"/>
                <w:szCs w:val="20"/>
                <w:color w:val="auto"/>
              </w:rPr>
            </w:pPr>
            <w:r>
              <w:rPr>
                <w:rFonts w:ascii="Arial" w:cs="Arial" w:eastAsia="Arial" w:hAnsi="Arial"/>
                <w:sz w:val="16"/>
                <w:szCs w:val="16"/>
                <w:color w:val="auto"/>
              </w:rPr>
              <w:t>429</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22.9 %</w:t>
            </w:r>
          </w:p>
        </w:tc>
      </w:tr>
    </w:tbl>
    <w:p>
      <w:pPr>
        <w:spacing w:after="0" w:line="18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 key metric used to evaluate dealer inventory levels is the retail turn rate (12 month retail volume/current dealer inventory). At the end of the second quarter of Fiscal 2016 the retail turn rate was over 1.9 turns. This is slightly lower than the turn rate at the end of our first quarter of Fiscal 2016. The slight slowing of this rate is a seasonal dynamic as dealers increase their stocking levels for the spring selling period. We feel current dealer inventory levels are in alignment with retail demand.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ERP</w:t>
      </w:r>
    </w:p>
    <w:p>
      <w:pPr>
        <w:spacing w:after="0" w:line="2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During the first six months of Fiscal 2016, the system has gone “live” for Finance, the Towables operation and the human resources/payroll areas. The next phase of implementation will involve enabling ERP functionality across the manufacturing and operations of the motorhome business. As we gain more experience and expertise with the new ERP toolset and access to data that the new ERP platform affords, we will continue to identify, and in some cases quantify, optimization opportunities in our supply chain, engineering, manufacturing and other business areas. There have been no material changes to the cost of implementation or timing from the disclosures made in the first quarter of Fiscal 2016. We still plan that this project will be completed in Fiscal 2017. The following table illustrates the project costs to date and total anticipated spending: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Fiscal</w:t>
            </w: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Fiscal 2016</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6"/>
              <w:spacing w:after="0"/>
              <w:rPr>
                <w:sz w:val="20"/>
                <w:szCs w:val="20"/>
                <w:color w:val="auto"/>
              </w:rPr>
            </w:pPr>
            <w:r>
              <w:rPr>
                <w:rFonts w:ascii="Arial" w:cs="Arial" w:eastAsia="Arial" w:hAnsi="Arial"/>
                <w:sz w:val="16"/>
                <w:szCs w:val="16"/>
                <w:b w:val="1"/>
                <w:bCs w:val="1"/>
                <w:color w:val="auto"/>
              </w:rPr>
              <w:t>Cumulative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 Planned</w:t>
            </w:r>
          </w:p>
        </w:tc>
      </w:tr>
      <w:tr>
        <w:trPr>
          <w:trHeight w:val="250"/>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Q1</w:t>
            </w:r>
          </w:p>
        </w:tc>
        <w:tc>
          <w:tcPr>
            <w:tcW w:w="5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Q2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Investment to Date</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Investment</w:t>
            </w:r>
          </w:p>
        </w:tc>
      </w:tr>
      <w:tr>
        <w:trPr>
          <w:trHeight w:val="25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6,501</w:t>
            </w:r>
          </w:p>
        </w:tc>
        <w:tc>
          <w:tcPr>
            <w:tcW w:w="60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Expensed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w:t>
            </w: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5,323</w:t>
            </w: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10,000</w:t>
            </w:r>
          </w:p>
        </w:tc>
      </w:tr>
      <w:tr>
        <w:trPr>
          <w:trHeight w:val="255"/>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5,819</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2,775</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3,230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11,824</w:t>
            </w: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right="40" w:firstLine="8"/>
        <w:spacing w:after="0"/>
        <w:tabs>
          <w:tab w:leader="none" w:pos="150" w:val="left"/>
        </w:tabs>
        <w:numPr>
          <w:ilvl w:val="0"/>
          <w:numId w:val="8"/>
        </w:numPr>
        <w:rPr>
          <w:rFonts w:ascii="Arial" w:cs="Arial" w:eastAsia="Arial" w:hAnsi="Arial"/>
          <w:sz w:val="17"/>
          <w:szCs w:val="17"/>
          <w:color w:val="auto"/>
          <w:vertAlign w:val="superscript"/>
        </w:rPr>
      </w:pPr>
      <w:r>
        <w:rPr>
          <w:rFonts w:ascii="Arial" w:cs="Arial" w:eastAsia="Arial" w:hAnsi="Arial"/>
          <w:sz w:val="14"/>
          <w:szCs w:val="14"/>
          <w:color w:val="auto"/>
        </w:rPr>
        <w:t>During the first six months of Fiscal 2016, we placed in service $4.6 million of our cumulative capitalized investment. These capitalized investments are amortized over a 10-year life.</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6"/>
        </w:trPr>
        <w:tc>
          <w:tcPr>
            <w:tcW w:w="28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80" w:type="dxa"/>
            <w:vAlign w:val="bottom"/>
          </w:tcPr>
          <w:p>
            <w:pPr>
              <w:spacing w:after="0"/>
              <w:rPr>
                <w:sz w:val="17"/>
                <w:szCs w:val="17"/>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27,</w:t>
            </w:r>
          </w:p>
        </w:tc>
        <w:tc>
          <w:tcPr>
            <w:tcW w:w="148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380" w:type="dxa"/>
            <w:vAlign w:val="bottom"/>
            <w:tcBorders>
              <w:bottom w:val="single" w:sz="8" w:color="auto"/>
            </w:tcBorders>
          </w:tcPr>
          <w:p>
            <w:pPr>
              <w:jc w:val="right"/>
              <w:ind w:right="19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320" w:type="dxa"/>
            <w:vAlign w:val="bottom"/>
            <w:tcBorders>
              <w:bottom w:val="single" w:sz="8" w:color="auto"/>
            </w:tcBorders>
          </w:tcPr>
          <w:p>
            <w:pPr>
              <w:jc w:val="right"/>
              <w:ind w:right="15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225,672</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234,543</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(8,871)</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200,396</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88.8 %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210,285</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(9,889)</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r>
      <w:tr>
        <w:trPr>
          <w:trHeight w:val="25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25,276</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11.2 %</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24,258</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1,018</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4.2 %</w:t>
            </w:r>
          </w:p>
        </w:tc>
      </w:tr>
      <w:tr>
        <w:trPr>
          <w:trHeight w:val="28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4,929</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4,846</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83</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1.7 %</w:t>
            </w: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6,844</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7,464</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(620)</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w:t>
            </w:r>
          </w:p>
        </w:tc>
      </w:tr>
      <w:tr>
        <w:trPr>
          <w:trHeight w:val="25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11,773</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12,310</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(537)</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r>
      <w:tr>
        <w:trPr>
          <w:trHeight w:val="28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13,503</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11,948</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1,555</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13.0 %</w:t>
            </w:r>
          </w:p>
        </w:tc>
      </w:tr>
      <w:tr>
        <w:trPr>
          <w:trHeight w:val="264"/>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Non-operating (expense) income</w:t>
            </w:r>
          </w:p>
        </w:tc>
        <w:tc>
          <w:tcPr>
            <w:tcW w:w="18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(46)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(164.3)%</w:t>
            </w:r>
          </w:p>
        </w:tc>
      </w:tr>
      <w:tr>
        <w:trPr>
          <w:trHeight w:val="257"/>
        </w:trPr>
        <w:tc>
          <w:tcPr>
            <w:tcW w:w="28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13,485</w:t>
            </w:r>
          </w:p>
        </w:tc>
        <w:tc>
          <w:tcPr>
            <w:tcW w:w="13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6.0 %</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11,976</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1,509</w:t>
            </w:r>
          </w:p>
        </w:tc>
        <w:tc>
          <w:tcPr>
            <w:tcW w:w="12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12.6 %</w:t>
            </w: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4,131</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3,880</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251</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6.5 %</w:t>
            </w:r>
          </w:p>
        </w:tc>
      </w:tr>
      <w:tr>
        <w:trPr>
          <w:trHeight w:val="242"/>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9,354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8,096</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1,258</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15.5 %</w:t>
            </w: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5"/>
        </w:trPr>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0.35</w:t>
            </w: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0.30</w:t>
            </w: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0.05</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16.7 %</w:t>
            </w:r>
          </w:p>
        </w:tc>
      </w:tr>
      <w:tr>
        <w:trPr>
          <w:trHeight w:val="255"/>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180" w:type="dxa"/>
            <w:vAlign w:val="bottom"/>
          </w:tcPr>
          <w:p>
            <w:pPr>
              <w:spacing w:after="0"/>
              <w:rPr>
                <w:sz w:val="22"/>
                <w:szCs w:val="22"/>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27,015</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27,018</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 %</w:t>
            </w:r>
          </w:p>
        </w:tc>
      </w:tr>
    </w:tbl>
    <w:p>
      <w:pPr>
        <w:spacing w:after="0" w:line="44" w:lineRule="exact"/>
        <w:rPr>
          <w:sz w:val="20"/>
          <w:szCs w:val="20"/>
          <w:color w:val="auto"/>
        </w:rPr>
      </w:pPr>
    </w:p>
    <w:p>
      <w:pPr>
        <w:sectPr>
          <w:pgSz w:w="11900" w:h="16838" w:orient="portrait"/>
          <w:cols w:equalWidth="0" w:num="1">
            <w:col w:w="11420"/>
          </w:cols>
          <w:pgMar w:left="240" w:top="121" w:right="239" w:bottom="0" w:gutter="0" w:footer="0" w:header="0"/>
        </w:sect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ectPr>
          <w:pgSz w:w="11900" w:h="16838" w:orient="portrait"/>
          <w:cols w:equalWidth="0" w:num="1">
            <w:col w:w="11420"/>
          </w:cols>
          <w:pgMar w:left="240" w:top="121" w:right="239" w:bottom="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Motorhome unit deliveries and ASP, net of discounts,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3"/>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27,</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6"/>
                <w:szCs w:val="16"/>
                <w:color w:val="auto"/>
              </w:rPr>
            </w:pP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28,</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6"/>
                <w:szCs w:val="16"/>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6"/>
        </w:trPr>
        <w:tc>
          <w:tcPr>
            <w:tcW w:w="2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80" w:type="dxa"/>
            <w:vAlign w:val="bottom"/>
            <w:tcBorders>
              <w:bottom w:val="single" w:sz="8" w:color="auto"/>
            </w:tcBorders>
          </w:tcPr>
          <w:p>
            <w:pPr>
              <w:jc w:val="right"/>
              <w:ind w:right="319"/>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bottom w:val="single" w:sz="8" w:color="auto"/>
            </w:tcBorders>
          </w:tcPr>
          <w:p>
            <w:pPr>
              <w:ind w:left="26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836</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810</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3.2 %</w:t>
            </w:r>
          </w:p>
        </w:tc>
      </w:tr>
      <w:tr>
        <w:trPr>
          <w:trHeight w:val="262"/>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258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277</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(19)</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(6.9)%</w:t>
            </w:r>
          </w:p>
        </w:tc>
      </w:tr>
      <w:tr>
        <w:trPr>
          <w:trHeight w:val="271"/>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939</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1,017</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(78)</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r>
      <w:tr>
        <w:trPr>
          <w:trHeight w:val="282"/>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motorhome deliveries</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2,033</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2,104</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(71)</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w:t>
            </w:r>
          </w:p>
        </w:tc>
      </w:tr>
      <w:tr>
        <w:trPr>
          <w:trHeight w:val="265"/>
        </w:trPr>
        <w:tc>
          <w:tcPr>
            <w:tcW w:w="2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5"/>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Motorhome ASP</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99,561</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100,213</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(652)</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1270</wp:posOffset>
            </wp:positionV>
            <wp:extent cx="1706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18415</wp:posOffset>
            </wp:positionV>
            <wp:extent cx="1706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1270</wp:posOffset>
            </wp:positionV>
            <wp:extent cx="892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18415</wp:posOffset>
            </wp:positionV>
            <wp:extent cx="892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1270</wp:posOffset>
            </wp:positionV>
            <wp:extent cx="892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18415</wp:posOffset>
            </wp:positionV>
            <wp:extent cx="892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292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1"/>
        </w:trPr>
        <w:tc>
          <w:tcPr>
            <w:tcW w:w="5900" w:type="dxa"/>
            <w:vAlign w:val="bottom"/>
            <w:gridSpan w:val="7"/>
          </w:tcPr>
          <w:p>
            <w:pPr>
              <w:spacing w:after="0"/>
              <w:rPr>
                <w:sz w:val="20"/>
                <w:szCs w:val="20"/>
                <w:color w:val="auto"/>
              </w:rPr>
            </w:pPr>
            <w:r>
              <w:rPr>
                <w:rFonts w:ascii="Arial" w:cs="Arial" w:eastAsia="Arial" w:hAnsi="Arial"/>
                <w:sz w:val="16"/>
                <w:szCs w:val="16"/>
                <w:color w:val="auto"/>
              </w:rPr>
              <w:t>Towables unit deliveries and ASP, net of discounts, consisted of the following: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0"/>
        </w:trPr>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27,</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6"/>
                <w:szCs w:val="16"/>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28,</w:t>
            </w: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6"/>
                <w:szCs w:val="16"/>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1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460" w:type="dxa"/>
            <w:vAlign w:val="bottom"/>
            <w:tcBorders>
              <w:bottom w:val="single" w:sz="8" w:color="auto"/>
            </w:tcBorders>
          </w:tcPr>
          <w:p>
            <w:pPr>
              <w:jc w:val="right"/>
              <w:ind w:right="319"/>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360" w:type="dxa"/>
            <w:vAlign w:val="bottom"/>
            <w:tcBorders>
              <w:bottom w:val="single" w:sz="8" w:color="auto"/>
            </w:tcBorders>
          </w:tcPr>
          <w:p>
            <w:pPr>
              <w:ind w:left="38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288</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56.7 %</w:t>
            </w:r>
          </w:p>
        </w:tc>
      </w:tr>
      <w:tr>
        <w:trPr>
          <w:trHeight w:val="264"/>
        </w:trPr>
        <w:tc>
          <w:tcPr>
            <w:tcW w:w="29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61</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62.9 %</w:t>
            </w:r>
          </w:p>
        </w:tc>
      </w:tr>
      <w:tr>
        <w:trPr>
          <w:trHeight w:val="242"/>
        </w:trPr>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Towables deliveries</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349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57.7 %</w:t>
            </w:r>
          </w:p>
        </w:tc>
      </w:tr>
      <w:tr>
        <w:trPr>
          <w:trHeight w:val="20"/>
        </w:trPr>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5"/>
        </w:trPr>
        <w:tc>
          <w:tcPr>
            <w:tcW w:w="1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6"/>
        </w:trPr>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21,586</w:t>
            </w: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25,748</w:t>
            </w: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(4,162)</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8890</wp:posOffset>
            </wp:positionV>
            <wp:extent cx="1672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8890</wp:posOffset>
            </wp:positionV>
            <wp:extent cx="9004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8890</wp:posOffset>
            </wp:positionV>
            <wp:extent cx="9004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4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90"/>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3"/>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February 27,</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February 28,</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4"/>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202,704</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212,329</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(9,625)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500" w:type="dxa"/>
            <w:vAlign w:val="bottom"/>
          </w:tcPr>
          <w:p>
            <w:pPr>
              <w:jc w:val="right"/>
              <w:ind w:right="599"/>
              <w:spacing w:after="0"/>
              <w:rPr>
                <w:sz w:val="20"/>
                <w:szCs w:val="20"/>
                <w:color w:val="auto"/>
              </w:rPr>
            </w:pPr>
            <w:r>
              <w:rPr>
                <w:rFonts w:ascii="Arial" w:cs="Arial" w:eastAsia="Arial" w:hAnsi="Arial"/>
                <w:sz w:val="16"/>
                <w:szCs w:val="16"/>
                <w:color w:val="auto"/>
              </w:rPr>
              <w:t>20,534</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60" w:type="dxa"/>
            <w:vAlign w:val="bottom"/>
          </w:tcPr>
          <w:p>
            <w:pPr>
              <w:jc w:val="right"/>
              <w:ind w:right="579"/>
              <w:spacing w:after="0"/>
              <w:rPr>
                <w:sz w:val="20"/>
                <w:szCs w:val="20"/>
                <w:color w:val="auto"/>
              </w:rPr>
            </w:pPr>
            <w:r>
              <w:rPr>
                <w:rFonts w:ascii="Arial" w:cs="Arial" w:eastAsia="Arial" w:hAnsi="Arial"/>
                <w:sz w:val="16"/>
                <w:szCs w:val="16"/>
                <w:color w:val="auto"/>
              </w:rPr>
              <w:t>15,351</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5,183</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33.8 %</w:t>
            </w:r>
          </w:p>
        </w:tc>
      </w:tr>
      <w:tr>
        <w:trPr>
          <w:trHeight w:val="264"/>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2,434</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6,863</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(4,429)</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(64.5)%</w:t>
            </w:r>
          </w:p>
        </w:tc>
      </w:tr>
      <w:tr>
        <w:trPr>
          <w:trHeight w:val="241"/>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9"/>
              <w:spacing w:after="0"/>
              <w:rPr>
                <w:sz w:val="20"/>
                <w:szCs w:val="20"/>
                <w:color w:val="auto"/>
              </w:rPr>
            </w:pPr>
            <w:r>
              <w:rPr>
                <w:rFonts w:ascii="Arial" w:cs="Arial" w:eastAsia="Arial" w:hAnsi="Arial"/>
                <w:sz w:val="16"/>
                <w:szCs w:val="16"/>
                <w:color w:val="auto"/>
              </w:rPr>
              <w:t>225,672</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79"/>
              <w:spacing w:after="0"/>
              <w:rPr>
                <w:sz w:val="20"/>
                <w:szCs w:val="20"/>
                <w:color w:val="auto"/>
              </w:rPr>
            </w:pPr>
            <w:r>
              <w:rPr>
                <w:rFonts w:ascii="Arial" w:cs="Arial" w:eastAsia="Arial" w:hAnsi="Arial"/>
                <w:sz w:val="16"/>
                <w:szCs w:val="16"/>
                <w:color w:val="auto"/>
              </w:rPr>
              <w:t>234,543</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(8,871)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1270</wp:posOffset>
            </wp:positionV>
            <wp:extent cx="532574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ind w:left="260" w:hanging="238"/>
        <w:spacing w:after="0"/>
        <w:tabs>
          <w:tab w:leader="none" w:pos="2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 and net motorhome lease revenue.</w:t>
      </w:r>
    </w:p>
    <w:p>
      <w:pPr>
        <w:ind w:left="260" w:hanging="238"/>
        <w:spacing w:after="0" w:line="204" w:lineRule="auto"/>
        <w:tabs>
          <w:tab w:leader="none" w:pos="2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52"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Motorhome net revenues decreased $9.6 million or 4.5% in the second quarter of Fiscal 2016, attributed primarily to a 3.4% decrease in unit deliveries, most notably in our high-end Class A diesel products. Additionally, the lower unit volume is due in part to renewed focus on line completion rates and improved production quality.</w:t>
      </w:r>
    </w:p>
    <w:p>
      <w:pPr>
        <w:spacing w:after="0" w:line="1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increase in Towables revenues of $5.2 million or 33.8% was attributed to a 57.7% increase in unit deliveries partially offset by a decrease in ASP of 16.2% as compared to the second quarter of Fiscal 2015. The decrease in ASP was primarily a result of a shift to lower priced towable products.</w:t>
      </w:r>
    </w:p>
    <w:p>
      <w:pPr>
        <w:spacing w:after="0" w:line="121" w:lineRule="exact"/>
        <w:rPr>
          <w:sz w:val="20"/>
          <w:szCs w:val="20"/>
          <w:color w:val="auto"/>
        </w:rPr>
      </w:pPr>
    </w:p>
    <w:p>
      <w:pPr>
        <w:ind w:right="720"/>
        <w:spacing w:after="0" w:line="291" w:lineRule="auto"/>
        <w:rPr>
          <w:sz w:val="20"/>
          <w:szCs w:val="20"/>
          <w:color w:val="auto"/>
        </w:rPr>
      </w:pPr>
      <w:r>
        <w:rPr>
          <w:rFonts w:ascii="Arial" w:cs="Arial" w:eastAsia="Arial" w:hAnsi="Arial"/>
          <w:sz w:val="16"/>
          <w:szCs w:val="16"/>
          <w:color w:val="auto"/>
        </w:rPr>
        <w:t>Revenues from other manufactured products decreased by $4.4 million as we have nearly completed all final sales contracts to our outside aluminum customers.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Cost of goods sold was $200.4 million, or 88.8% of net revenues for the second quarter of Fiscal 2016 compared to $210.3 million, or 89.7% of net revenues for the same period a year ago due to the following:</w:t>
      </w:r>
    </w:p>
    <w:p>
      <w:pPr>
        <w:spacing w:after="0" w:line="1" w:lineRule="exact"/>
        <w:rPr>
          <w:sz w:val="20"/>
          <w:szCs w:val="20"/>
          <w:color w:val="auto"/>
        </w:rPr>
      </w:pPr>
    </w:p>
    <w:p>
      <w:pPr>
        <w:ind w:left="340" w:right="30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from 84.4% to 83.0%, primarily due to improved product mix.</w:t>
      </w:r>
    </w:p>
    <w:p>
      <w:pPr>
        <w:ind w:left="340" w:right="4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increased from 5.2% to 5.8% of net revenues due to less absorption of fixed costs.</w:t>
      </w:r>
    </w:p>
    <w:p>
      <w:pPr>
        <w:ind w:left="340" w:right="20" w:hanging="332"/>
        <w:spacing w:after="0" w:line="25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10.3% to 11.2% of net revenues. Margins improved as a result of the following key items: improved product mix and cost savings from our strategic sourcing project. Partially offsetting these reductions were cost pressures from labor-related manufacturing and warranty expenses.</w:t>
      </w:r>
    </w:p>
    <w:p>
      <w:pPr>
        <w:spacing w:after="0" w:line="121" w:lineRule="exact"/>
        <w:rPr>
          <w:sz w:val="20"/>
          <w:szCs w:val="20"/>
          <w:color w:val="auto"/>
        </w:rPr>
      </w:pPr>
    </w:p>
    <w:p>
      <w:pPr>
        <w:ind w:right="420"/>
        <w:spacing w:after="0" w:line="269" w:lineRule="auto"/>
        <w:rPr>
          <w:sz w:val="20"/>
          <w:szCs w:val="20"/>
          <w:color w:val="auto"/>
        </w:rPr>
      </w:pPr>
      <w:r>
        <w:rPr>
          <w:rFonts w:ascii="Arial" w:cs="Arial" w:eastAsia="Arial" w:hAnsi="Arial"/>
          <w:sz w:val="16"/>
          <w:szCs w:val="16"/>
          <w:color w:val="auto"/>
        </w:rPr>
        <w:t>Selling expenses were $4.9 million and $4.8 million, or 2.2% and 2.1% of net revenues in the second quarter of Fiscal 2016 and Fiscal 2015, respectively. Increases in the second quarter of Fiscal 2016 included additional wage-related expenses partially offset by reduced advertising and product promotion expenses as compared to the prior year.</w:t>
      </w:r>
    </w:p>
    <w:p>
      <w:pPr>
        <w:spacing w:after="0" w:line="111"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General and administrative expenses were $6.8 million and $7.5 million, or 3.0% and 3.2% of net revenues in the second quarter of Fiscal 2016 and Fiscal 2015, respectively. Decreases in the second quarter of Fiscal 2016 were primarily related to increased amortization of postretirement healthcare prior service benefit due to the plan amendment. See further discussion in Note 7.</w:t>
      </w:r>
    </w:p>
    <w:p>
      <w:pPr>
        <w:spacing w:after="0" w:line="192"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The overall effective income tax rate for the second quarter of Fiscal 2016 was 30.6% compared to the effective tax rate of 32.4% for the same period in Fiscal 2015. The decrease in tax rate for the second quarter of Fiscal 2016 is primarily a result of the passage of the Protecting Americans from Tax Hikes (PATH) Act of 2015 which extends or makes permanent various tax credits that had previously expired.</w:t>
      </w:r>
    </w:p>
    <w:p>
      <w:pPr>
        <w:spacing w:after="0" w:line="11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Net income and diluted income per share were $9.4 million and $0.35 per share, respectively, for the second quarter of Fiscal 2016. In the second quarter of Fiscal 2015, net income was $8.1 million and diluted income was $0.30 per share.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of Fiscal 2016 Compared to the Comparable Six Months of Fiscal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6"/>
        </w:trPr>
        <w:tc>
          <w:tcPr>
            <w:tcW w:w="29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2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27,</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2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340" w:type="dxa"/>
            <w:vAlign w:val="bottom"/>
            <w:tcBorders>
              <w:bottom w:val="single" w:sz="8" w:color="auto"/>
            </w:tcBorders>
          </w:tcPr>
          <w:p>
            <w:pPr>
              <w:jc w:val="right"/>
              <w:ind w:right="17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17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439,895</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458,946</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(19,051)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r>
      <w:tr>
        <w:trPr>
          <w:trHeight w:val="264"/>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389,370</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410,302</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(20,932)</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w:t>
            </w:r>
          </w:p>
        </w:tc>
      </w:tr>
      <w:tr>
        <w:trPr>
          <w:trHeight w:val="25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50,525</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48,644</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1,881</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3.9 %</w:t>
            </w:r>
          </w:p>
        </w:tc>
      </w:tr>
      <w:tr>
        <w:trPr>
          <w:trHeight w:val="284"/>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9,944</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9,553</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391</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4.1 %</w:t>
            </w:r>
          </w:p>
        </w:tc>
      </w:tr>
      <w:tr>
        <w:trPr>
          <w:trHeight w:val="264"/>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14,319</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12,701</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1,618</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12.7 %</w:t>
            </w:r>
          </w:p>
        </w:tc>
      </w:tr>
      <w:tr>
        <w:trPr>
          <w:trHeight w:val="25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24,263</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22,254</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2,009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9.0 %</w:t>
            </w:r>
          </w:p>
        </w:tc>
      </w:tr>
      <w:tr>
        <w:trPr>
          <w:trHeight w:val="284"/>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26,262</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26,390</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(128)</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12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117</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82</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234.3 %</w:t>
            </w:r>
          </w:p>
        </w:tc>
      </w:tr>
      <w:tr>
        <w:trPr>
          <w:trHeight w:val="257"/>
        </w:trPr>
        <w:tc>
          <w:tcPr>
            <w:tcW w:w="29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26,379</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26,425</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64"/>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8,467</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8,434</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33</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0.4 %</w:t>
            </w:r>
          </w:p>
        </w:tc>
      </w:tr>
      <w:tr>
        <w:trPr>
          <w:trHeight w:val="242"/>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17,912</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17,991</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(79)</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5"/>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0.66</w:t>
            </w: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0.67</w:t>
            </w: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(0.01)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55"/>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12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27,042</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27,048</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 %</w:t>
            </w:r>
          </w:p>
        </w:tc>
      </w:tr>
    </w:tbl>
    <w:p>
      <w:pPr>
        <w:spacing w:after="0" w:line="4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3"/>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27,</w:t>
            </w: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28,</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6"/>
                <w:szCs w:val="16"/>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6"/>
        </w:trPr>
        <w:tc>
          <w:tcPr>
            <w:tcW w:w="27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300" w:type="dxa"/>
            <w:vAlign w:val="bottom"/>
            <w:tcBorders>
              <w:bottom w:val="single" w:sz="8" w:color="auto"/>
            </w:tcBorders>
          </w:tcPr>
          <w:p>
            <w:pPr>
              <w:jc w:val="right"/>
              <w:ind w:right="319"/>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300" w:type="dxa"/>
            <w:vAlign w:val="bottom"/>
            <w:tcBorders>
              <w:bottom w:val="single" w:sz="8" w:color="auto"/>
            </w:tcBorders>
          </w:tcPr>
          <w:p>
            <w:pPr>
              <w:ind w:left="26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1,587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1,737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(150)</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r>
      <w:tr>
        <w:trPr>
          <w:trHeight w:val="262"/>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497</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465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32</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6.9 %</w:t>
            </w:r>
          </w:p>
        </w:tc>
      </w:tr>
      <w:tr>
        <w:trPr>
          <w:trHeight w:val="271"/>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1,870</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1,933</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(63)</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r>
      <w:tr>
        <w:trPr>
          <w:trHeight w:val="282"/>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motorhome deliveries</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3,954</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4,135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(181)</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w:t>
            </w:r>
          </w:p>
        </w:tc>
      </w:tr>
      <w:tr>
        <w:trPr>
          <w:trHeight w:val="265"/>
        </w:trPr>
        <w:tc>
          <w:tcPr>
            <w:tcW w:w="2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55"/>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Motorhome ASP</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98,748</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99,274</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(526)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1270</wp:posOffset>
            </wp:positionV>
            <wp:extent cx="17151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18415</wp:posOffset>
            </wp:positionV>
            <wp:extent cx="1715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1270</wp:posOffset>
            </wp:positionV>
            <wp:extent cx="900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18415</wp:posOffset>
            </wp:positionV>
            <wp:extent cx="900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1270</wp:posOffset>
            </wp:positionV>
            <wp:extent cx="840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18415</wp:posOffset>
            </wp:positionV>
            <wp:extent cx="840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Towables unit deliveries and ASP, net of discounts,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3"/>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27,</w:t>
            </w:r>
          </w:p>
        </w:tc>
        <w:tc>
          <w:tcPr>
            <w:tcW w:w="154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28,</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6"/>
                <w:szCs w:val="16"/>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27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440" w:type="dxa"/>
            <w:vAlign w:val="bottom"/>
            <w:tcBorders>
              <w:bottom w:val="single" w:sz="8" w:color="auto"/>
            </w:tcBorders>
          </w:tcPr>
          <w:p>
            <w:pPr>
              <w:jc w:val="right"/>
              <w:ind w:right="319"/>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tcPr>
          <w:p>
            <w:pPr>
              <w:ind w:left="42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1,520</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551</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56.9 %</w:t>
            </w:r>
          </w:p>
        </w:tc>
      </w:tr>
      <w:tr>
        <w:trPr>
          <w:trHeight w:val="264"/>
        </w:trPr>
        <w:tc>
          <w:tcPr>
            <w:tcW w:w="2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68</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37.4 %</w:t>
            </w:r>
          </w:p>
        </w:tc>
      </w:tr>
      <w:tr>
        <w:trPr>
          <w:trHeight w:val="242"/>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Towables deliveries</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1,770</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1,151</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619</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53.8 %</w:t>
            </w: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5"/>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6"/>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21,171</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25,425</w:t>
            </w: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(4,254)</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8890</wp:posOffset>
            </wp:positionV>
            <wp:extent cx="900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8890</wp:posOffset>
            </wp:positionV>
            <wp:extent cx="900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revenues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93"/>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February 27,</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February 28,</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394,199</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415,371</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(21,172)</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r>
      <w:tr>
        <w:trPr>
          <w:trHeight w:val="270"/>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80" w:type="dxa"/>
            <w:vAlign w:val="bottom"/>
          </w:tcPr>
          <w:p>
            <w:pPr>
              <w:jc w:val="right"/>
              <w:ind w:right="579"/>
              <w:spacing w:after="0"/>
              <w:rPr>
                <w:sz w:val="20"/>
                <w:szCs w:val="20"/>
                <w:color w:val="auto"/>
              </w:rPr>
            </w:pPr>
            <w:r>
              <w:rPr>
                <w:rFonts w:ascii="Arial" w:cs="Arial" w:eastAsia="Arial" w:hAnsi="Arial"/>
                <w:sz w:val="16"/>
                <w:szCs w:val="16"/>
                <w:color w:val="auto"/>
              </w:rPr>
              <w:t>37,417</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jc w:val="right"/>
              <w:ind w:right="559"/>
              <w:spacing w:after="0"/>
              <w:rPr>
                <w:sz w:val="20"/>
                <w:szCs w:val="20"/>
                <w:color w:val="auto"/>
              </w:rPr>
            </w:pPr>
            <w:r>
              <w:rPr>
                <w:rFonts w:ascii="Arial" w:cs="Arial" w:eastAsia="Arial" w:hAnsi="Arial"/>
                <w:sz w:val="16"/>
                <w:szCs w:val="16"/>
                <w:color w:val="auto"/>
              </w:rPr>
              <w:t>28,957</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8,460</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29.2 %</w:t>
            </w:r>
          </w:p>
        </w:tc>
      </w:tr>
      <w:tr>
        <w:trPr>
          <w:trHeight w:val="26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8,279</w:t>
            </w: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14,618</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(6,339)</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(43.4)%</w:t>
            </w:r>
          </w:p>
        </w:tc>
      </w:tr>
      <w:tr>
        <w:trPr>
          <w:trHeight w:val="241"/>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79"/>
              <w:spacing w:after="0"/>
              <w:rPr>
                <w:sz w:val="20"/>
                <w:szCs w:val="20"/>
                <w:color w:val="auto"/>
              </w:rPr>
            </w:pPr>
            <w:r>
              <w:rPr>
                <w:rFonts w:ascii="Arial" w:cs="Arial" w:eastAsia="Arial" w:hAnsi="Arial"/>
                <w:sz w:val="16"/>
                <w:szCs w:val="16"/>
                <w:color w:val="auto"/>
              </w:rPr>
              <w:t>439,895</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59"/>
              <w:spacing w:after="0"/>
              <w:rPr>
                <w:sz w:val="20"/>
                <w:szCs w:val="20"/>
                <w:color w:val="auto"/>
              </w:rPr>
            </w:pPr>
            <w:r>
              <w:rPr>
                <w:rFonts w:ascii="Arial" w:cs="Arial" w:eastAsia="Arial" w:hAnsi="Arial"/>
                <w:sz w:val="16"/>
                <w:szCs w:val="16"/>
                <w:color w:val="auto"/>
              </w:rPr>
              <w:t>458,946</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(19,051)</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1270</wp:posOffset>
            </wp:positionV>
            <wp:extent cx="531685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6855" cy="26035"/>
                    </a:xfrm>
                    <a:prstGeom prst="rect">
                      <a:avLst/>
                    </a:prstGeom>
                    <a:noFill/>
                  </pic:spPr>
                </pic:pic>
              </a:graphicData>
            </a:graphic>
          </wp:anchor>
        </w:drawing>
      </w:r>
    </w:p>
    <w:p>
      <w:pPr>
        <w:ind w:left="260" w:hanging="238"/>
        <w:spacing w:after="0"/>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204" w:lineRule="auto"/>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decrease in motorhome net revenues of $21.2 million or 5.1% was attributed primarily to a 4.4% decrease in unit deliveries in the first six months of Fiscal 2016 as compared to the first six months of Fiscal 2015.</w:t>
      </w:r>
    </w:p>
    <w:p>
      <w:pPr>
        <w:spacing w:after="0" w:line="12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Towables revenues increased 29.2%, and were $37.4 million in the first six months of Fiscal 2016, compared to $29.0 million in the first six months of Fiscal 2015. The increase in revenues was a result of a 53.8% increase in unit deliveries, partially offset by a 16.7% decrease in ASP.</w:t>
      </w:r>
    </w:p>
    <w:p>
      <w:pPr>
        <w:spacing w:after="0" w:line="121"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color w:val="auto"/>
        </w:rPr>
        <w:t>Revenues from other manufactured products decreased by $6.3 million as we have nearly completed all final sales contracts to our outside aluminum customers.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Cost of goods sold was $389.4 million, or 88.5% of net revenues for the first six months of Fiscal 2016 compared to $410.3 million, or 89.4% of net revenues for the first six months of Fiscal 2015 due to the following:</w:t>
      </w:r>
    </w:p>
    <w:p>
      <w:pPr>
        <w:spacing w:after="0" w:line="1" w:lineRule="exact"/>
        <w:rPr>
          <w:sz w:val="20"/>
          <w:szCs w:val="20"/>
          <w:color w:val="auto"/>
        </w:rPr>
      </w:pPr>
    </w:p>
    <w:p>
      <w:pPr>
        <w:ind w:left="340" w:hanging="332"/>
        <w:spacing w:after="0" w:line="264" w:lineRule="auto"/>
        <w:tabs>
          <w:tab w:leader="none" w:pos="3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6"/>
          <w:szCs w:val="16"/>
          <w:color w:val="auto"/>
        </w:rPr>
        <w:t xml:space="preserve">Total variable costs (materials, direct labor, variable overhead, delivery expense and warranty), as a percent of net revenues, decreased to 83.3% </w:t>
      </w:r>
      <w:r>
        <w:rPr>
          <w:rFonts w:ascii="Arial" w:cs="Arial" w:eastAsia="Arial" w:hAnsi="Arial"/>
          <w:sz w:val="18"/>
          <w:szCs w:val="18"/>
          <w:color w:val="auto"/>
        </w:rPr>
        <w:t>in</w:t>
      </w:r>
      <w:r>
        <w:rPr>
          <w:rFonts w:ascii="Arial" w:cs="Arial" w:eastAsia="Arial" w:hAnsi="Arial"/>
          <w:sz w:val="16"/>
          <w:szCs w:val="16"/>
          <w:color w:val="auto"/>
        </w:rPr>
        <w:t xml:space="preserve"> Fiscal 2016 compared to 84.2% in Fiscal 2015 primarily due to improved product mix.</w:t>
      </w:r>
    </w:p>
    <w:p>
      <w:pPr>
        <w:ind w:left="340" w:right="260" w:hanging="332"/>
        <w:spacing w:after="0" w:line="264" w:lineRule="auto"/>
        <w:tabs>
          <w:tab w:leader="none" w:pos="3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6"/>
          <w:szCs w:val="16"/>
          <w:color w:val="auto"/>
        </w:rPr>
        <w:t xml:space="preserve">Fixed overhead (manufacturing support labor, depreciation and facility costs) and research and development-related costs increased slightly to 5.3% </w:t>
      </w:r>
      <w:r>
        <w:rPr>
          <w:rFonts w:ascii="Arial" w:cs="Arial" w:eastAsia="Arial" w:hAnsi="Arial"/>
          <w:sz w:val="18"/>
          <w:szCs w:val="18"/>
          <w:color w:val="auto"/>
        </w:rPr>
        <w:t>in</w:t>
      </w:r>
      <w:r>
        <w:rPr>
          <w:rFonts w:ascii="Arial" w:cs="Arial" w:eastAsia="Arial" w:hAnsi="Arial"/>
          <w:sz w:val="16"/>
          <w:szCs w:val="16"/>
          <w:color w:val="auto"/>
        </w:rPr>
        <w:t xml:space="preserve"> Fiscal 2016 compared to 5.2% in Fiscal 2015.</w:t>
      </w:r>
    </w:p>
    <w:p>
      <w:pPr>
        <w:spacing w:after="0" w:line="1"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6"/>
          <w:szCs w:val="16"/>
          <w:color w:val="auto"/>
        </w:rPr>
        <w:t>All factors considered, gross profit increased to 11.5% from 10.6% of net revenues. Margins improved as a result of the following key items: improved product mix and cost savings from our strategic sourcing project. Partially offsetting these reductions were cost pressures from labor-related manufacturing and warranty expenses.</w:t>
      </w:r>
    </w:p>
    <w:p>
      <w:pPr>
        <w:spacing w:after="0" w:line="109" w:lineRule="exact"/>
        <w:rPr>
          <w:sz w:val="20"/>
          <w:szCs w:val="20"/>
          <w:color w:val="auto"/>
        </w:rPr>
      </w:pPr>
    </w:p>
    <w:p>
      <w:pPr>
        <w:ind w:right="740"/>
        <w:spacing w:after="0" w:line="320" w:lineRule="auto"/>
        <w:rPr>
          <w:sz w:val="20"/>
          <w:szCs w:val="20"/>
          <w:color w:val="auto"/>
        </w:rPr>
      </w:pPr>
      <w:r>
        <w:rPr>
          <w:rFonts w:ascii="Arial" w:cs="Arial" w:eastAsia="Arial" w:hAnsi="Arial"/>
          <w:sz w:val="16"/>
          <w:szCs w:val="16"/>
          <w:color w:val="auto"/>
        </w:rPr>
        <w:t xml:space="preserve">Selling expenses were $9.9 million and $9.6 million in the first six months of Fiscal 2016 and Fiscal 2015, respectively, and were 2.3% </w:t>
      </w:r>
      <w:r>
        <w:rPr>
          <w:rFonts w:ascii="Arial" w:cs="Arial" w:eastAsia="Arial" w:hAnsi="Arial"/>
          <w:sz w:val="18"/>
          <w:szCs w:val="18"/>
          <w:color w:val="auto"/>
        </w:rPr>
        <w:t>in</w:t>
      </w:r>
      <w:r>
        <w:rPr>
          <w:rFonts w:ascii="Arial" w:cs="Arial" w:eastAsia="Arial" w:hAnsi="Arial"/>
          <w:sz w:val="16"/>
          <w:szCs w:val="16"/>
          <w:color w:val="auto"/>
        </w:rPr>
        <w:t xml:space="preserve"> Fiscal 2016 compared to 2.1% in Fiscal 2015. The increase was primarily related to wage-related expenses.</w:t>
      </w:r>
    </w:p>
    <w:p>
      <w:pPr>
        <w:spacing w:after="0" w:line="7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General and administrative expenses were 3.3% and 2.8% of net revenues in the first six months of Fiscal 2016 and Fiscal 2015, respectively. General and administrative expenses increased $1.6 million, or 12.7% in the first six months of Fiscal 2016 compared to the same period in Fiscal 2015. The increase is primarily related to an increase of $2.1 million in ERP implementation costs, partially offset by increased amortization of postretirement healthcare prior service benefit due to the plan amendment.</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Non-operating income of $117,000 in the first six months of Fiscal 2016 was primarily due to proceeds from our COLI policies. There were no COLI proceeds in the same period in Fiscal 2015.</w:t>
      </w:r>
    </w:p>
    <w:p>
      <w:pPr>
        <w:spacing w:after="0" w:line="175"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color w:val="auto"/>
        </w:rPr>
        <w:t>The overall effective income tax rate for the first six months of Fiscal 2016 was 32.1% compared to the effective income tax rate of 31.9% for the first six months of Fiscal 2015. Although the components making up the rate in Fiscal 2016 are slightly different from the components comprising the rate in Fiscal 2015, the differences between the two years are not significant.</w:t>
      </w:r>
    </w:p>
    <w:p>
      <w:pPr>
        <w:spacing w:after="0" w:line="11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Net income and diluted income per share were $17.9 million and $0.66 per share, respectively, for the first six months of Fiscal 2016. In the first six months of Fiscal 2015, net income was $18.0 million and diluted net income was $0.67 per share.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Balance Sheet Changes</w:t>
      </w:r>
    </w:p>
    <w:p>
      <w:pPr>
        <w:spacing w:after="0" w:line="196"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In the first quarter of Fiscal 2016 we reduced our postretirement health care liability with a plan amendment. This resulted in a $28.6 million reduction in the postretirement health care liability, a $10.9 million decrease in our deferred tax assets and a $17.7 million increase in AOCI.</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9"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Cash and cash equivalents decreased $33.4 million during the first six months of Fiscal 2016 and totaled $36.9 million as of February 27, 2016. Significant liquidity events that occurred during the first six months of Fiscal 2016 were:</w:t>
      </w:r>
    </w:p>
    <w:p>
      <w:pPr>
        <w:spacing w:after="0" w:line="9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Generation of net income of $17.9 million</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Purchases of property and equipment of $16.4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 in inventory of $22.6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Dividend payments of $5.5 million</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1" w:right="25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We have the ability to borrow $35.0 million through our Amended Credit Agreement with GECC, a revolving credit facility based on our eligible inventory and certain receivables. In addition, the Amended Credit Agreement also includes a framework to expand the size of the facility up to $50.0 million, based on mutually agreeable terms at the time of the expansion. We are in compliance with all material terms in the Amended Credit Agreement and have no outstanding borrowings at February 27, 2016.</w:t>
      </w:r>
    </w:p>
    <w:p>
      <w:pPr>
        <w:spacing w:after="0" w:line="199"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 We intend to renew the Registration Statement on Form S-3 in April of 2016.</w:t>
      </w:r>
    </w:p>
    <w:p>
      <w:pPr>
        <w:spacing w:after="0" w:line="203"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Working capital at February 27, 2016 and August 29, 2015 was $170.3 million and $184.6 million, respectively, a decrease of $14.4 million. We currently expect cash on hand, cash collected on receivables, funds generated from operations and the availability under a credit facility to be sufficient to cover both short-term and long-term operating requirements for Fiscal 2016. We anticipate capital expenditures in Fiscal 2016 to be approximately $20 - $30 million. In addition to the normal $8 - $10 million of maintenance spend for our current facilities, we will continue to invest in our ERP system and West Coast capacity expansion investments.</w:t>
      </w:r>
    </w:p>
    <w:p>
      <w:pPr>
        <w:spacing w:after="0" w:line="203"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We made share repurchases of $3.1 million in the first six months of Fiscal 2016. If we believe the common stock is trading at attractive levels and reflects a prudent use of our capital, subject to compliance with our agreement with GECC, we may purchase additional shares in the remainder of Fiscal 2016. At February 27, 2016 we have $4.0 million remaining on our board repurchase authorization. See Part II, Item 2 of this Form 10-Q.</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Cash used in operating activities was $8.8 million for the six months ended February 27, 2016 compared to $34.1 million for the six months ended February 28, 2015. In Fiscal 2016 the combination of net income of $17.9 million and changes in non-cash charges (e.g., depreciation, LIFO, stock-based compensation, deferred income taxes) provided $20.9 million of operating cash. Changes in assets and liabilities (primarily an increase in inventories) used $29.7 million of operating cash. In the first six months of Fiscal 2015, the combination of net income of $18.0 million and changes in non-cash charges (e.g., depreciation, LIFO, stock-based compensation, deferred income taxes) provided $28.4 million of operating cash. Changes in assets and liabilities (primarily increases in inventories) used $62.4 million of operating cash.</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4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Cash used in investing activities of $16.1 million for the six months ended February 27, 2016 was due primarily to capital expenditures of $16.4 million. Approximately $9.7 million was invested in property in Oregon which is being made ready for motorhome manufacturing. In the six months ended February 28, 2015, cash used in investing activities of $4.8 million was due primarily to capital expenditures of $5.2 million.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65"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Cash used in financing activities of $8.5 million for the six months ended February 27, 2016 was primarily due to $5.5 million for the payment of dividends and $3.1 million in repurchases of our stock. Cash used in financing activities of $11.0 million for the six months ended February 28, 2015 was primarily due to $6.1 million for repurchases of our stock and $4.9 million for payments of dividends.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6"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29, 2015.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29, 2015.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3" w:lineRule="exact"/>
        <w:rPr>
          <w:sz w:val="20"/>
          <w:szCs w:val="20"/>
          <w:color w:val="auto"/>
        </w:rPr>
      </w:pPr>
    </w:p>
    <w:p>
      <w:pPr>
        <w:jc w:val="both"/>
        <w:ind w:right="20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and believes such controls and procedures are effective at the reasonable assurance level.</w:t>
      </w:r>
    </w:p>
    <w:p>
      <w:pPr>
        <w:spacing w:after="0" w:line="14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reported in the November 28, 2015 Form 10-Q, we had a change in our internal control over financial reporting that occurred as a result of our implementation of a new ERP system that has materially affected, or is reasonably likely to materially affect, our internal control over financial reporting. During the first six months of Fiscal 2016, our new ERP system replaced our legacy system for our Finance area, the Towables operation and the human resources/payroll areas. Our new ERP system is intended to provide us with enhanced transactional processing and management tools compared to our legacy system. The new system was subject to extensive testing and data reconciliation during implementation.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69" w:lineRule="exact"/>
        <w:rPr>
          <w:sz w:val="20"/>
          <w:szCs w:val="20"/>
          <w:color w:val="auto"/>
        </w:rPr>
      </w:pPr>
    </w:p>
    <w:p>
      <w:pPr>
        <w:jc w:val="both"/>
        <w:ind w:right="720"/>
        <w:spacing w:after="0" w:line="269"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For the past several years we have been involved in litigation in Australia seeking to recover from Knott Investments for damages arising from Knott Investments using our name on RVs without our approval. On December 2, 2015 the Federal Court of Australia, New South Wales District Registry, General Division, entered judgment in our favor and against Knott Investments for damages arising out of its use of the Winnebago name. Damages awarded were 1% of the total sales of Winnebago branded recreation vehicles from October 14, 2004, through October 17, 2013, plus interest. That award is likely to exceed $5.0 million, plus attorneys’ fees. Knott Investments has filed an appeal, and therefore the likelihood and timing of any recovery is uncertain.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74" w:lineRule="exact"/>
        <w:rPr>
          <w:sz w:val="20"/>
          <w:szCs w:val="20"/>
          <w:color w:val="auto"/>
        </w:rPr>
      </w:pPr>
    </w:p>
    <w:p>
      <w:pPr>
        <w:ind w:right="80"/>
        <w:spacing w:after="0" w:line="215"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29, 2015.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second quarter of Fiscal 2016, 127,063 shares were repurchased under the authorization, at an aggregate cost of $2.3 million. Of these shares, 339 were repurchased from employees who vested in Winnebago Industries shares during the second quarter of Fiscal 2016 and elected to pay their payroll tax via shares as opposed to cash. As of February 27, 2016, there was approximately $4.0 million remaining under this authorization.</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121"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31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51"/>
        </w:trPr>
        <w:tc>
          <w:tcPr>
            <w:tcW w:w="8900" w:type="dxa"/>
            <w:vAlign w:val="bottom"/>
            <w:gridSpan w:val="6"/>
          </w:tcPr>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2016 were:</w:t>
            </w: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0"/>
        </w:trPr>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32"/>
        </w:trPr>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6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11/29/15 - 01/02/16</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36,724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18.77</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36,724</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5,669,000</w:t>
            </w:r>
          </w:p>
        </w:tc>
      </w:tr>
      <w:tr>
        <w:trPr>
          <w:trHeight w:val="262"/>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01/03/16 - 01/30/16</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90,339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18.37</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90,339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4,009,000</w:t>
            </w:r>
          </w:p>
        </w:tc>
      </w:tr>
      <w:tr>
        <w:trPr>
          <w:trHeight w:val="271"/>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01/31/16 - 02/27/16</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4,009,000</w:t>
            </w:r>
          </w:p>
        </w:tc>
      </w:tr>
      <w:tr>
        <w:trPr>
          <w:trHeight w:val="269"/>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127,063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18.49</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127,063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4,009,000</w:t>
            </w:r>
          </w:p>
        </w:tc>
      </w:tr>
      <w:tr>
        <w:trPr>
          <w:trHeight w:val="20"/>
        </w:trPr>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Amended Credit Agreement contains covenants that limit our ability to pay certain cash dividends or repurchase our stock without impacting financial ratio covenants.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March 24, 2016.</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March 24, 2016.</w:t>
      </w:r>
    </w:p>
    <w:p>
      <w:pPr>
        <w:spacing w:after="0" w:line="167" w:lineRule="exact"/>
        <w:rPr>
          <w:sz w:val="20"/>
          <w:szCs w:val="20"/>
          <w:color w:val="auto"/>
        </w:rPr>
      </w:pPr>
    </w:p>
    <w:p>
      <w:pPr>
        <w:ind w:left="980" w:right="380" w:hanging="971"/>
        <w:spacing w:after="0" w:line="291"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March 24, 2016.</w:t>
      </w:r>
    </w:p>
    <w:p>
      <w:pPr>
        <w:spacing w:after="0" w:line="94" w:lineRule="exact"/>
        <w:rPr>
          <w:sz w:val="20"/>
          <w:szCs w:val="20"/>
          <w:color w:val="auto"/>
        </w:rPr>
      </w:pPr>
    </w:p>
    <w:p>
      <w:pPr>
        <w:ind w:left="980" w:right="440" w:hanging="971"/>
        <w:spacing w:after="0" w:line="291"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March 24, 2016.</w:t>
      </w:r>
    </w:p>
    <w:p>
      <w:pPr>
        <w:sectPr>
          <w:pgSz w:w="11900" w:h="16838" w:orient="portrait"/>
          <w:cols w:equalWidth="0" w:num="1">
            <w:col w:w="11420"/>
          </w:cols>
          <w:pgMar w:left="240" w:top="118"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4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4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4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4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4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40"/>
          </w:cols>
          <w:pgMar w:left="240" w:top="118" w:right="239" w:bottom="1440" w:gutter="0" w:footer="0" w:header="0"/>
          <w:type w:val="continuous"/>
        </w:sectPr>
      </w:pPr>
    </w:p>
    <w:p>
      <w:pPr>
        <w:ind w:right="60"/>
        <w:spacing w:after="0" w:line="26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February 27, 2016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6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56"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56"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certify that:</w:t>
      </w:r>
    </w:p>
    <w:p>
      <w:pPr>
        <w:spacing w:after="0" w:line="8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91"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660" w:right="920" w:hanging="328"/>
        <w:spacing w:after="0" w:line="291"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120" w:hanging="328"/>
        <w:spacing w:after="0" w:line="269"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628"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certify that:</w:t>
      </w:r>
    </w:p>
    <w:p>
      <w:pPr>
        <w:spacing w:after="0" w:line="8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9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660" w:right="920" w:hanging="328"/>
        <w:spacing w:after="0" w:line="291"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120" w:hanging="328"/>
        <w:spacing w:after="0" w:line="269"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4"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February 27, 2016, I, Michael J. Happe, Chief Executive Officer and President of Winnebago Industries, Inc., certify that pursuant to 18 U.S.C. §1350 as adopted pursuant to §906 of the Sarbanes-Oxley Act of 2002, that:</w:t>
      </w:r>
    </w:p>
    <w:p>
      <w:pPr>
        <w:spacing w:after="0" w:line="138" w:lineRule="exact"/>
        <w:rPr>
          <w:sz w:val="20"/>
          <w:szCs w:val="20"/>
          <w:color w:val="auto"/>
        </w:rPr>
      </w:pPr>
    </w:p>
    <w:p>
      <w:pPr>
        <w:ind w:left="660" w:right="140" w:hanging="328"/>
        <w:spacing w:after="0" w:line="269"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February 27, 2016 as filed with the Securities and Exchange Commission on the date of this certificate, which this statement accompanies, fully complies with the requirements of Section 13(a) or 15(d) of the Securities Exchange Act of 1934, and</w:t>
      </w:r>
    </w:p>
    <w:p>
      <w:pPr>
        <w:spacing w:after="0" w:line="137"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00"/>
          </w:cols>
          <w:pgMar w:left="240" w:top="628"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18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February 27, 2016, I, Sarah N. Nielsen, Vice President, Chief Financial Officer of Winnebago Industries, Inc., certify that pursuant to 18 U.S.C. §1350 as adopted pursuant to §906 of the Sarbanes-Oxley Act of 2002, that:</w:t>
      </w:r>
    </w:p>
    <w:p>
      <w:pPr>
        <w:spacing w:after="0" w:line="138" w:lineRule="exact"/>
        <w:rPr>
          <w:sz w:val="20"/>
          <w:szCs w:val="20"/>
          <w:color w:val="auto"/>
        </w:rPr>
      </w:pPr>
    </w:p>
    <w:p>
      <w:pPr>
        <w:ind w:left="660" w:right="100" w:hanging="328"/>
        <w:spacing w:after="0" w:line="269"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February 27, 2016 as filed with the Securities and Exchange Commission on the date of this certificate, which this statement accompanies, fully complies with the requirements of Section 13(a) or 15(d) of the Securities Exchange Act of 1934, and</w:t>
      </w:r>
    </w:p>
    <w:p>
      <w:pPr>
        <w:spacing w:after="0" w:line="137"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2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2019-12-29T11:33:20Z</dcterms:created>
  <dcterms:modified xsi:type="dcterms:W3CDTF">2019-12-29T11:33:20Z</dcterms:modified>
</cp:coreProperties>
</file>