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Bhattacharya Ashis Nayan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180"/>
              <w:spacing w:after="0" w:line="187" w:lineRule="exact"/>
              <w:rPr>
                <w:sz w:val="20"/>
                <w:szCs w:val="20"/>
                <w:color w:val="auto"/>
              </w:rPr>
            </w:pPr>
            <w:r>
              <w:rPr>
                <w:rFonts w:ascii="Times New Roman" w:cs="Times New Roman" w:eastAsia="Times New Roman" w:hAnsi="Times New Roman"/>
                <w:sz w:val="17"/>
                <w:szCs w:val="17"/>
                <w:color w:val="0000FF"/>
              </w:rPr>
              <w:t>SVP-Business Development</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10/15/2020</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55.85</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22,538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55.85</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22,407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2020-10-19T11:07:47Z</dcterms:created>
  <dcterms:modified xsi:type="dcterms:W3CDTF">2020-10-19T11:07:47Z</dcterms:modified>
</cp:coreProperties>
</file>