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#974637100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4,611,860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4,611,860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15.605%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4,611,860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4,611,860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15.605%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4"/>
          <w:szCs w:val="24"/>
          <w:color w:val="auto"/>
        </w:rPr>
      </w:pPr>
    </w:p>
    <w:p>
      <w:pPr>
        <w:jc w:val="both"/>
        <w:ind w:right="4519"/>
        <w:spacing w:after="0" w:line="236" w:lineRule="auto"/>
        <w:rPr>
          <w:sz w:val="20"/>
          <w:szCs w:val="20"/>
          <w:color w:val="auto"/>
        </w:rPr>
      </w:pPr>
      <w:r>
        <w:rPr>
          <w:rFonts w:ascii="Courier New" w:cs="Courier New" w:eastAsia="Courier New" w:hAnsi="Courier New"/>
          <w:sz w:val="18"/>
          <w:szCs w:val="18"/>
          <w:color w:val="auto"/>
        </w:rPr>
        <w:t>This Amendment to Schedule 13G filed by FMR LLC amends the statement on Schedule 13G previously filed by FMR Corp., the predecessor of FMR LLC.</w:t>
      </w:r>
    </w:p>
    <w:p>
      <w:pPr>
        <w:spacing w:after="0" w:line="200" w:lineRule="exact"/>
        <w:rPr>
          <w:sz w:val="24"/>
          <w:szCs w:val="24"/>
          <w:color w:val="auto"/>
        </w:rPr>
      </w:pPr>
    </w:p>
    <w:p>
      <w:pPr>
        <w:spacing w:after="0" w:line="206"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152</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Forest City, Iowa</w:t>
      </w:r>
      <w:r>
        <w:rPr>
          <w:sz w:val="20"/>
          <w:szCs w:val="20"/>
          <w:color w:val="auto"/>
        </w:rPr>
        <w:tab/>
      </w:r>
      <w:r>
        <w:rPr>
          <w:rFonts w:ascii="Courier New" w:cs="Courier New" w:eastAsia="Courier New" w:hAnsi="Courier New"/>
          <w:sz w:val="16"/>
          <w:szCs w:val="16"/>
          <w:color w:val="auto"/>
        </w:rPr>
        <w:t>50436</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974637100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4,611,860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15.605%</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4,611,860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Winnebago Industries, Inc..</w:t>
      </w:r>
    </w:p>
    <w:p>
      <w:pPr>
        <w:spacing w:after="0" w:line="6"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interest of one person, Fidelity Value Fund, an investment company registered under the Investment Company Act of</w:t>
      </w:r>
    </w:p>
    <w:p>
      <w:pPr>
        <w:ind w:right="4319"/>
        <w:spacing w:after="0" w:line="236" w:lineRule="auto"/>
        <w:rPr>
          <w:sz w:val="20"/>
          <w:szCs w:val="20"/>
          <w:color w:val="auto"/>
        </w:rPr>
      </w:pPr>
      <w:r>
        <w:rPr>
          <w:rFonts w:ascii="Courier New" w:cs="Courier New" w:eastAsia="Courier New" w:hAnsi="Courier New"/>
          <w:sz w:val="18"/>
          <w:szCs w:val="18"/>
          <w:color w:val="auto"/>
        </w:rPr>
        <w:t>1940, in the Common Stock of Winnebago Industries, Inc., amounted to 2,370,291 shares or 8.020% of the total outstanding Common Stock at December 31, 2007.</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2008</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8"/>
          <w:szCs w:val="18"/>
          <w:color w:val="auto"/>
        </w:rPr>
        <w:t>dated December 30, 1997 by and on behalf of FMR Corp. (now known as FMR LLC) and its direct and indirect subsidiaries</w:t>
      </w:r>
    </w:p>
    <w:p>
      <w:pPr>
        <w:sectPr>
          <w:pgSz w:w="11900" w:h="16838" w:orient="portrait"/>
          <w:cols w:equalWidth="0" w:num="1">
            <w:col w:w="10219"/>
          </w:cols>
          <w:pgMar w:left="240" w:top="339" w:right="1440" w:bottom="0"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of 1940, is the beneficial owner of 4,611,860 shares or 15.605% of the Common Stock outstanding of Winnebago Industries, Inc.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09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Value Fund, amounted to 2,370,291 shares or 8.020% of the Common Stock outstanding. Fidelity Value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4,611,860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2008, agree and consent to the joint filing on their behalf of this Schedule 13G in connection with their beneficial ownership of the Common Stock of Winnebago Industries, Inc. at December 31, 2007.</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099" w:firstLine="843"/>
        <w:spacing w:after="0" w:line="279" w:lineRule="auto"/>
        <w:rPr>
          <w:sz w:val="20"/>
          <w:szCs w:val="20"/>
          <w:color w:val="auto"/>
        </w:rPr>
      </w:pPr>
      <w:r>
        <w:rPr>
          <w:rFonts w:ascii="Courier New" w:cs="Courier New" w:eastAsia="Courier New" w:hAnsi="Courier New"/>
          <w:sz w:val="16"/>
          <w:szCs w:val="16"/>
          <w:color w:val="auto"/>
        </w:rPr>
        <w:t>Duly authorized under Power of Attorney dated December 30, 1997, by and on behalf of FMR Corp. (now known as FMR LLC) and its direct and indirect subsidiaries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ectPr>
          <w:pgSz w:w="11900" w:h="16838" w:orient="portrait"/>
          <w:cols w:equalWidth="0" w:num="1">
            <w:col w:w="10219"/>
          </w:cols>
          <w:pgMar w:left="240" w:top="541"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V.P. and General Counsel</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Value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2019-12-13T08:13:30Z</dcterms:created>
  <dcterms:modified xsi:type="dcterms:W3CDTF">2019-12-13T08:13:30Z</dcterms:modified>
</cp:coreProperties>
</file>