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VP-Sales &amp; Product Management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jc w:val="center"/>
              <w:ind w:left="466"/>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62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8"/>
                <w:szCs w:val="18"/>
                <w:color w:val="0000FF"/>
                <w:w w:val="88"/>
              </w:rPr>
              <w:t>10/12/2015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17,507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62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8"/>
                <w:szCs w:val="18"/>
                <w:color w:val="0000FF"/>
                <w:w w:val="88"/>
              </w:rPr>
              <w:t>10/13/2015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4"/>
              </w:rPr>
              <w:t>15,000</w:t>
            </w:r>
            <w:r>
              <w:rPr>
                <w:rFonts w:ascii="Arial" w:cs="Arial" w:eastAsia="Arial" w:hAnsi="Arial"/>
                <w:sz w:val="22"/>
                <w:szCs w:val="22"/>
                <w:color w:val="008000"/>
                <w:w w:val="84"/>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32,507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8"/>
                <w:szCs w:val="18"/>
                <w:color w:val="0000FF"/>
                <w:w w:val="88"/>
              </w:rPr>
              <w:t>10/13/2015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8"/>
              </w:rPr>
              <w:t>4,347</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19.85</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36,854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620" w:type="dxa"/>
            <w:vAlign w:val="bottom"/>
            <w:gridSpan w:val="2"/>
          </w:tcPr>
          <w:p>
            <w:pPr>
              <w:jc w:val="center"/>
              <w:ind w:left="466"/>
              <w:spacing w:after="0"/>
              <w:rPr>
                <w:sz w:val="20"/>
                <w:szCs w:val="20"/>
                <w:color w:val="auto"/>
              </w:rPr>
            </w:pPr>
            <w:r>
              <w:rPr>
                <w:rFonts w:ascii="Arial" w:cs="Arial" w:eastAsia="Arial" w:hAnsi="Arial"/>
                <w:sz w:val="18"/>
                <w:szCs w:val="18"/>
                <w:color w:val="0000FF"/>
                <w:w w:val="88"/>
              </w:rPr>
              <w:t>10/13/2015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center"/>
              <w:ind w:left="24"/>
              <w:spacing w:after="0"/>
              <w:rPr>
                <w:sz w:val="20"/>
                <w:szCs w:val="20"/>
                <w:color w:val="auto"/>
              </w:rPr>
            </w:pPr>
            <w:r>
              <w:rPr>
                <w:rFonts w:ascii="Arial" w:cs="Arial" w:eastAsia="Arial" w:hAnsi="Arial"/>
                <w:sz w:val="18"/>
                <w:szCs w:val="18"/>
                <w:color w:val="0000FF"/>
                <w:w w:val="88"/>
              </w:rPr>
              <w:t>2,215</w:t>
            </w:r>
          </w:p>
        </w:tc>
        <w:tc>
          <w:tcPr>
            <w:tcW w:w="660" w:type="dxa"/>
            <w:vAlign w:val="bottom"/>
          </w:tcPr>
          <w:p>
            <w:pPr>
              <w:ind w:left="28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34,639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62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8"/>
                <w:szCs w:val="18"/>
                <w:color w:val="0000FF"/>
                <w:w w:val="88"/>
              </w:rPr>
              <w:t>10/13/2015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2"/>
              </w:rPr>
              <w:t>1,531</w:t>
            </w:r>
            <w:r>
              <w:rPr>
                <w:rFonts w:ascii="Arial" w:cs="Arial" w:eastAsia="Arial" w:hAnsi="Arial"/>
                <w:sz w:val="22"/>
                <w:szCs w:val="22"/>
                <w:color w:val="008000"/>
                <w:w w:val="82"/>
                <w:vertAlign w:val="superscript"/>
              </w:rPr>
              <w:t>(4)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36,170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620" w:type="dxa"/>
            <w:vAlign w:val="bottom"/>
            <w:gridSpan w:val="2"/>
          </w:tcPr>
          <w:p>
            <w:pPr>
              <w:jc w:val="center"/>
              <w:ind w:left="466"/>
              <w:spacing w:after="0"/>
              <w:rPr>
                <w:sz w:val="20"/>
                <w:szCs w:val="20"/>
                <w:color w:val="auto"/>
              </w:rPr>
            </w:pPr>
            <w:r>
              <w:rPr>
                <w:rFonts w:ascii="Arial" w:cs="Arial" w:eastAsia="Arial" w:hAnsi="Arial"/>
                <w:sz w:val="18"/>
                <w:szCs w:val="18"/>
                <w:color w:val="0000FF"/>
                <w:w w:val="88"/>
              </w:rPr>
              <w:t>10/13/2015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center"/>
              <w:ind w:left="4"/>
              <w:spacing w:after="0"/>
              <w:rPr>
                <w:sz w:val="20"/>
                <w:szCs w:val="20"/>
                <w:color w:val="auto"/>
              </w:rPr>
            </w:pPr>
            <w:r>
              <w:rPr>
                <w:rFonts w:ascii="Arial" w:cs="Arial" w:eastAsia="Arial" w:hAnsi="Arial"/>
                <w:sz w:val="18"/>
                <w:szCs w:val="18"/>
                <w:color w:val="0000FF"/>
                <w:w w:val="86"/>
              </w:rPr>
              <w:t>781</w:t>
            </w:r>
          </w:p>
        </w:tc>
        <w:tc>
          <w:tcPr>
            <w:tcW w:w="660" w:type="dxa"/>
            <w:vAlign w:val="bottom"/>
          </w:tcPr>
          <w:p>
            <w:pPr>
              <w:ind w:left="28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35,389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jc w:val="center"/>
              <w:ind w:left="1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under the Winnebago Industries, Inc. 2014 Omnibus Equity, Performance Awards, and Incentive Compensation Plan. Restricted shares vest in annual increments of one-third beginning 10/13/2016.</w:t>
      </w:r>
    </w:p>
    <w:p>
      <w:pPr>
        <w:spacing w:after="0" w:line="64"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2013, 2014, and 2015.</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2019-12-05T17:11:23Z</dcterms:created>
  <dcterms:modified xsi:type="dcterms:W3CDTF">2019-12-05T17:11:23Z</dcterms:modified>
</cp:coreProperties>
</file>