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#974637100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270,040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4,366,178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4,366,178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14.996%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4,366,178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4,366,178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14.996%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P.O. Box 152</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Forest City, Iowa</w:t>
      </w:r>
      <w:r>
        <w:rPr>
          <w:sz w:val="20"/>
          <w:szCs w:val="20"/>
          <w:color w:val="auto"/>
        </w:rPr>
        <w:tab/>
      </w:r>
      <w:r>
        <w:rPr>
          <w:rFonts w:ascii="Courier New" w:cs="Courier New" w:eastAsia="Courier New" w:hAnsi="Courier New"/>
          <w:sz w:val="16"/>
          <w:szCs w:val="16"/>
          <w:color w:val="auto"/>
        </w:rPr>
        <w:t>50436</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974637100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4,366,178</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14.996%</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270,040</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4,366,178</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Winnebago Industries, Inc..</w:t>
      </w:r>
    </w:p>
    <w:p>
      <w:pPr>
        <w:spacing w:after="0" w:line="6"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The interest of one person, Fidelity Dividend Growth Fund, an investment company registered under the Investment</w:t>
      </w:r>
    </w:p>
    <w:p>
      <w:pPr>
        <w:spacing w:after="0" w:line="6" w:lineRule="exact"/>
        <w:rPr>
          <w:sz w:val="20"/>
          <w:szCs w:val="20"/>
          <w:color w:val="auto"/>
        </w:rPr>
      </w:pPr>
    </w:p>
    <w:p>
      <w:pPr>
        <w:ind w:right="3999"/>
        <w:spacing w:after="0" w:line="279" w:lineRule="auto"/>
        <w:rPr>
          <w:sz w:val="20"/>
          <w:szCs w:val="20"/>
          <w:color w:val="auto"/>
        </w:rPr>
      </w:pPr>
      <w:r>
        <w:rPr>
          <w:rFonts w:ascii="Courier New" w:cs="Courier New" w:eastAsia="Courier New" w:hAnsi="Courier New"/>
          <w:sz w:val="16"/>
          <w:szCs w:val="16"/>
          <w:color w:val="auto"/>
        </w:rPr>
        <w:t>Company Act of 1940, in the Common Stock of Winnebago Industries, Inc., amounted to 1,556,036 shares or 5.344% of the total outstanding Common Stock at December 31, 2010.</w:t>
      </w:r>
    </w:p>
    <w:p>
      <w:pPr>
        <w:spacing w:after="0" w:line="17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11, 2011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of 1940, is the beneficial owner of 4,096,138 shares or 14.069% of the Common Stock outstanding of Winnebago Industries, Inc.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199" w:firstLine="843"/>
        <w:spacing w:after="0" w:line="268" w:lineRule="auto"/>
        <w:rPr>
          <w:sz w:val="20"/>
          <w:szCs w:val="20"/>
          <w:color w:val="auto"/>
        </w:rPr>
      </w:pPr>
      <w:r>
        <w:rPr>
          <w:rFonts w:ascii="Courier New" w:cs="Courier New" w:eastAsia="Courier New" w:hAnsi="Courier New"/>
          <w:sz w:val="16"/>
          <w:szCs w:val="16"/>
          <w:color w:val="auto"/>
        </w:rPr>
        <w:t>The ownership of one investment company, Fidelity Dividend Growth Fund, amounted to 1,556,036 shares or</w:t>
      </w:r>
    </w:p>
    <w:p>
      <w:pPr>
        <w:ind w:right="4199"/>
        <w:spacing w:after="0" w:line="236" w:lineRule="auto"/>
        <w:rPr>
          <w:sz w:val="20"/>
          <w:szCs w:val="20"/>
          <w:color w:val="auto"/>
        </w:rPr>
      </w:pPr>
      <w:r>
        <w:rPr>
          <w:rFonts w:ascii="Courier New" w:cs="Courier New" w:eastAsia="Courier New" w:hAnsi="Courier New"/>
          <w:sz w:val="18"/>
          <w:szCs w:val="18"/>
          <w:color w:val="auto"/>
        </w:rPr>
        <w:t>5.344% of the Common Stock outstanding. Fidelity Dividend Growth Fund has its principal business office at 82 Devonshire Street, Boston, Massachusetts 02109.</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4,096,138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779" w:firstLine="843"/>
        <w:spacing w:after="0" w:line="271" w:lineRule="auto"/>
        <w:rPr>
          <w:sz w:val="20"/>
          <w:szCs w:val="20"/>
          <w:color w:val="auto"/>
        </w:rPr>
      </w:pPr>
      <w:r>
        <w:rPr>
          <w:rFonts w:ascii="Courier New" w:cs="Courier New" w:eastAsia="Courier New" w:hAnsi="Courier New"/>
          <w:sz w:val="16"/>
          <w:szCs w:val="16"/>
          <w:color w:val="auto"/>
        </w:rPr>
        <w:t>Pyramis Global Advisors, LLC ("PGALLC"), 900 Salem Street, Smithfield, Rhode Island, 02917, an indirect wholly-owned subsidiary of FMR LLC and an investment adviser registered under Section 203 of the Investment Advisers Act of 1940, is the beneficial owner of 270,040 shares or 0.927% of the outstanding Common Stock of Winnebago Industries, Inc. as a result of its serving as investment adviser to institutional accounts, non-U.S. mutual funds, or investment companies registered under Section 8 of the Investment Company Act of 1940 owning such shares.</w:t>
      </w:r>
    </w:p>
    <w:p>
      <w:pPr>
        <w:spacing w:after="0" w:line="386"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270,040 shares and sole power to vote or to direct the voting of 270,040 shares of Common Stock owned by the institutional accounts or funds advised by PGALLC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11, 2011, agree and consent to the joint filing on their behalf of this Schedule 13G in connection with their beneficial ownership of the Common Stock of Winnebago Industries, Inc. at December 31, 2010.</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Duly authorized under Power of Attorney effective as</w:t>
      </w:r>
    </w:p>
    <w:p>
      <w:pPr>
        <w:sectPr>
          <w:pgSz w:w="11900" w:h="16838" w:orient="portrait"/>
          <w:cols w:equalWidth="0" w:num="1">
            <w:col w:w="10219"/>
          </w:cols>
          <w:pgMar w:left="240" w:top="750" w:right="1440" w:bottom="0" w:gutter="0" w:footer="0" w:header="0"/>
        </w:sectPr>
      </w:pPr>
    </w:p>
    <w:bookmarkStart w:id="3" w:name="page4"/>
    <w:bookmarkEnd w:id="3"/>
    <w:p>
      <w:pPr>
        <w:ind w:right="3999"/>
        <w:spacing w:after="0" w:line="235" w:lineRule="auto"/>
        <w:rPr>
          <w:sz w:val="20"/>
          <w:szCs w:val="20"/>
          <w:color w:val="auto"/>
        </w:rPr>
      </w:pPr>
      <w:r>
        <w:rPr>
          <w:rFonts w:ascii="Courier New" w:cs="Courier New" w:eastAsia="Courier New" w:hAnsi="Courier New"/>
          <w:sz w:val="18"/>
          <w:szCs w:val="18"/>
          <w:color w:val="auto"/>
        </w:rPr>
        <w:t>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Dividend Growth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2019-12-10T04:18:14Z</dcterms:created>
  <dcterms:modified xsi:type="dcterms:W3CDTF">2019-12-10T04:18:14Z</dcterms:modified>
</cp:coreProperties>
</file>