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06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30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8"/>
                <w:szCs w:val="18"/>
                <w:color w:val="0000FF"/>
              </w:rPr>
              <w:t>VP/General Manager - Towables</w:t>
            </w:r>
          </w:p>
        </w:tc>
        <w:tc>
          <w:tcPr>
            <w:tcW w:w="0" w:type="dxa"/>
            <w:vAlign w:val="bottom"/>
          </w:tcPr>
          <w:p>
            <w:pPr>
              <w:spacing w:after="0"/>
              <w:rPr>
                <w:sz w:val="1"/>
                <w:szCs w:val="1"/>
                <w:color w:val="auto"/>
              </w:rPr>
            </w:pPr>
          </w:p>
        </w:tc>
      </w:tr>
      <w:tr>
        <w:trPr>
          <w:trHeight w:val="222"/>
        </w:trPr>
        <w:tc>
          <w:tcPr>
            <w:tcW w:w="3140" w:type="dxa"/>
            <w:vAlign w:val="bottom"/>
            <w:gridSpan w:val="2"/>
          </w:tcPr>
          <w:p>
            <w:pPr>
              <w:ind w:left="80"/>
              <w:spacing w:after="0"/>
              <w:rPr>
                <w:sz w:val="20"/>
                <w:szCs w:val="20"/>
                <w:color w:val="auto"/>
              </w:rPr>
            </w:pPr>
            <w:r>
              <w:rPr>
                <w:rFonts w:ascii="Arial" w:cs="Arial" w:eastAsia="Arial" w:hAnsi="Arial"/>
                <w:sz w:val="18"/>
                <w:szCs w:val="18"/>
                <w:color w:val="0000FF"/>
              </w:rPr>
              <w:t>10/16/2017</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14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10/19/2017</w:t>
            </w:r>
          </w:p>
        </w:tc>
        <w:tc>
          <w:tcPr>
            <w:tcW w:w="84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Line)</w:t>
            </w: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79"/>
              </w:rPr>
              <w:t>830</w:t>
            </w:r>
            <w:r>
              <w:rPr>
                <w:rFonts w:ascii="Arial" w:cs="Arial" w:eastAsia="Arial" w:hAnsi="Arial"/>
                <w:sz w:val="22"/>
                <w:szCs w:val="22"/>
                <w:color w:val="008000"/>
                <w:w w:val="79"/>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44.15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35,549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10/18/2017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79"/>
              </w:rPr>
              <w:t>525</w:t>
            </w:r>
            <w:r>
              <w:rPr>
                <w:rFonts w:ascii="Arial" w:cs="Arial" w:eastAsia="Arial" w:hAnsi="Arial"/>
                <w:sz w:val="22"/>
                <w:szCs w:val="22"/>
                <w:color w:val="008000"/>
                <w:w w:val="79"/>
                <w:vertAlign w:val="superscript"/>
              </w:rPr>
              <w:t>(3)</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44.4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36,074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10/18/2017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(4)</w:t>
            </w: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5"/>
              </w:rPr>
              <w:t>2,137</w:t>
            </w:r>
            <w:r>
              <w:rPr>
                <w:rFonts w:ascii="Arial" w:cs="Arial" w:eastAsia="Arial" w:hAnsi="Arial"/>
                <w:sz w:val="22"/>
                <w:szCs w:val="22"/>
                <w:color w:val="008000"/>
                <w:w w:val="85"/>
                <w:vertAlign w:val="superscript"/>
              </w:rPr>
              <w:t>(5)</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44.4</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38,211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Long-Term Incentive Plan for Fiscal Three-Year Period 2015, 2016, and 2017.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Granted 10/18/17 under the Winnebago Industries, Inc. 2014 Omnibus Equity, Performance Awards, and Incentive Plan. Restricted shares vest in annual increments of one-third beginning on 10/18/2018.</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amount of Winnebago Stock Units acquired by reporting person on the transaction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10/20/2017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2019-12-03T23:27:41Z</dcterms:created>
  <dcterms:modified xsi:type="dcterms:W3CDTF">2019-12-03T23:27:41Z</dcterms:modified>
</cp:coreProperties>
</file>