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1"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10-Q</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1620" w:right="3599" w:hanging="809"/>
        <w:spacing w:after="0" w:line="368" w:lineRule="auto"/>
        <w:tabs>
          <w:tab w:leader="none" w:pos="1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3"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February 28, 1998</w:t>
      </w:r>
    </w:p>
    <w:p>
      <w:pPr>
        <w:spacing w:after="0" w:line="180"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19"/>
          </w:cols>
          <w:pgMar w:left="240" w:top="556" w:right="1440" w:bottom="1440" w:gutter="0" w:footer="0" w:header="0"/>
        </w:sectPr>
      </w:pPr>
    </w:p>
    <w:p>
      <w:pPr>
        <w:spacing w:after="0" w:line="180"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___</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3" w:lineRule="exact"/>
        <w:rPr>
          <w:sz w:val="24"/>
          <w:szCs w:val="24"/>
          <w:color w:val="auto"/>
        </w:rPr>
      </w:pPr>
    </w:p>
    <w:p>
      <w:pPr>
        <w:sectPr>
          <w:pgSz w:w="11900" w:h="16838" w:orient="portrait"/>
          <w:cols w:equalWidth="0" w:num="2">
            <w:col w:w="1000" w:space="620"/>
            <w:col w:w="8599"/>
          </w:cols>
          <w:pgMar w:left="240" w:top="55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For the transition period from _____________________ to _______________________</w:t>
      </w:r>
    </w:p>
    <w:p>
      <w:pPr>
        <w:spacing w:after="0" w:line="180"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1-6403</w:t>
      </w:r>
    </w:p>
    <w:p>
      <w:pPr>
        <w:spacing w:after="0" w:line="354"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WINNEBAGO INDUSTRIES, INC.</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ind w:left="1080"/>
              <w:spacing w:after="0"/>
              <w:rPr>
                <w:sz w:val="20"/>
                <w:szCs w:val="20"/>
                <w:color w:val="auto"/>
              </w:rPr>
            </w:pPr>
            <w:r>
              <w:rPr>
                <w:rFonts w:ascii="Courier New" w:cs="Courier New" w:eastAsia="Courier New" w:hAnsi="Courier New"/>
                <w:sz w:val="15"/>
                <w:szCs w:val="15"/>
                <w:color w:val="auto"/>
              </w:rPr>
              <w:t>IOWA</w:t>
            </w:r>
          </w:p>
        </w:tc>
        <w:tc>
          <w:tcPr>
            <w:tcW w:w="254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99"/>
              </w:rPr>
              <w:t>42-0803978</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54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(I.R.S. Employer</w:t>
            </w:r>
          </w:p>
        </w:tc>
      </w:tr>
      <w:tr>
        <w:trPr>
          <w:trHeight w:val="256"/>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P. O. Box 152, Forest City, Iowa</w:t>
            </w:r>
          </w:p>
        </w:tc>
        <w:tc>
          <w:tcPr>
            <w:tcW w:w="2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50436</w:t>
            </w:r>
          </w:p>
        </w:tc>
      </w:tr>
      <w:tr>
        <w:trPr>
          <w:trHeight w:val="256"/>
        </w:trPr>
        <w:tc>
          <w:tcPr>
            <w:tcW w:w="472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54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99"/>
              </w:rPr>
              <w:t>(Zip Code)</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25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(515) 582-3535</w:t>
            </w:r>
          </w:p>
        </w:tc>
      </w:tr>
    </w:tbl>
    <w:p>
      <w:pPr>
        <w:spacing w:after="0" w:line="93" w:lineRule="exact"/>
        <w:rPr>
          <w:sz w:val="24"/>
          <w:szCs w:val="24"/>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w:t>
      </w:r>
    </w:p>
    <w:p>
      <w:pPr>
        <w:spacing w:after="0" w:line="68" w:lineRule="exact"/>
        <w:rPr>
          <w:sz w:val="24"/>
          <w:szCs w:val="24"/>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There were 23,608,958 shares of $.50 par value common stock outstanding on April 9,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172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820" w:type="dxa"/>
            <w:vAlign w:val="bottom"/>
          </w:tcPr>
          <w:p>
            <w:pPr>
              <w:spacing w:after="0"/>
              <w:rPr>
                <w:sz w:val="22"/>
                <w:szCs w:val="22"/>
                <w:color w:val="auto"/>
              </w:rPr>
            </w:pPr>
          </w:p>
        </w:tc>
        <w:tc>
          <w:tcPr>
            <w:tcW w:w="5800" w:type="dxa"/>
            <w:vAlign w:val="bottom"/>
          </w:tcPr>
          <w:p>
            <w:pPr>
              <w:ind w:left="1540"/>
              <w:spacing w:after="0"/>
              <w:rPr>
                <w:sz w:val="20"/>
                <w:szCs w:val="20"/>
                <w:color w:val="auto"/>
              </w:rPr>
            </w:pPr>
            <w:r>
              <w:rPr>
                <w:rFonts w:ascii="Courier New" w:cs="Courier New" w:eastAsia="Courier New" w:hAnsi="Courier New"/>
                <w:sz w:val="15"/>
                <w:szCs w:val="15"/>
                <w:color w:val="auto"/>
              </w:rPr>
              <w:t>INDEX TO REPORT ON FORM 10-Q</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820" w:type="dxa"/>
            <w:vAlign w:val="bottom"/>
            <w:vMerge w:val="restart"/>
          </w:tcPr>
          <w:p>
            <w:pPr>
              <w:spacing w:after="0"/>
              <w:rPr>
                <w:sz w:val="20"/>
                <w:szCs w:val="20"/>
                <w:color w:val="auto"/>
              </w:rPr>
            </w:pPr>
            <w:r>
              <w:rPr>
                <w:rFonts w:ascii="Courier New" w:cs="Courier New" w:eastAsia="Courier New" w:hAnsi="Courier New"/>
                <w:sz w:val="15"/>
                <w:szCs w:val="15"/>
                <w:color w:val="auto"/>
              </w:rPr>
              <w:t>PART I.</w:t>
            </w:r>
          </w:p>
        </w:tc>
        <w:tc>
          <w:tcPr>
            <w:tcW w:w="5800" w:type="dxa"/>
            <w:vAlign w:val="bottom"/>
          </w:tcPr>
          <w:p>
            <w:pPr>
              <w:ind w:left="5440"/>
              <w:spacing w:after="0"/>
              <w:rPr>
                <w:sz w:val="20"/>
                <w:szCs w:val="20"/>
                <w:color w:val="auto"/>
              </w:rPr>
            </w:pPr>
            <w:r>
              <w:rPr>
                <w:rFonts w:ascii="Courier New" w:cs="Courier New" w:eastAsia="Courier New" w:hAnsi="Courier New"/>
                <w:sz w:val="15"/>
                <w:szCs w:val="15"/>
                <w:color w:val="auto"/>
                <w:w w:val="94"/>
              </w:rPr>
              <w:t>Page</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Number</w:t>
            </w:r>
          </w:p>
        </w:tc>
        <w:tc>
          <w:tcPr>
            <w:tcW w:w="0" w:type="dxa"/>
            <w:vAlign w:val="bottom"/>
          </w:tcPr>
          <w:p>
            <w:pPr>
              <w:spacing w:after="0"/>
              <w:rPr>
                <w:sz w:val="1"/>
                <w:szCs w:val="1"/>
                <w:color w:val="auto"/>
              </w:rPr>
            </w:pPr>
          </w:p>
        </w:tc>
      </w:tr>
      <w:tr>
        <w:trPr>
          <w:trHeight w:val="256"/>
        </w:trPr>
        <w:tc>
          <w:tcPr>
            <w:tcW w:w="820" w:type="dxa"/>
            <w:vAlign w:val="bottom"/>
            <w:vMerge w:val="continue"/>
          </w:tcPr>
          <w:p>
            <w:pPr>
              <w:spacing w:after="0"/>
              <w:rPr>
                <w:sz w:val="22"/>
                <w:szCs w:val="22"/>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  (Interim period information unaudited)</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&amp; 2</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Unaudited Consolidated Statements of Operations</w:t>
            </w:r>
          </w:p>
        </w:tc>
        <w:tc>
          <w:tcPr>
            <w:tcW w:w="2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Unaudited Consolidated Condensed Statements of Cash Flows</w:t>
            </w:r>
          </w:p>
        </w:tc>
        <w:tc>
          <w:tcPr>
            <w:tcW w:w="2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&amp; 6</w:t>
            </w: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- 9</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5800" w:type="dxa"/>
            <w:vAlign w:val="bottom"/>
          </w:tcPr>
          <w:p>
            <w:pPr>
              <w:ind w:left="360"/>
              <w:spacing w:after="0"/>
              <w:rPr>
                <w:sz w:val="20"/>
                <w:szCs w:val="20"/>
                <w:color w:val="auto"/>
              </w:rPr>
            </w:pPr>
            <w:r>
              <w:rPr>
                <w:rFonts w:ascii="Courier New" w:cs="Courier New" w:eastAsia="Courier New" w:hAnsi="Courier New"/>
                <w:sz w:val="15"/>
                <w:szCs w:val="15"/>
                <w:color w:val="auto"/>
              </w:rPr>
              <w:t>and Results of Operations</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80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&amp; 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55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3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CONSOLIDATED BALANCE SHEETS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600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ASSETS</w:t>
            </w:r>
          </w:p>
        </w:tc>
        <w:tc>
          <w:tcPr>
            <w:tcW w:w="18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FEBRUARY 28,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AUGUST 30,</w:t>
            </w:r>
          </w:p>
        </w:tc>
        <w:tc>
          <w:tcPr>
            <w:tcW w:w="0" w:type="dxa"/>
            <w:vAlign w:val="bottom"/>
          </w:tcPr>
          <w:p>
            <w:pPr>
              <w:spacing w:after="0"/>
              <w:rPr>
                <w:sz w:val="1"/>
                <w:szCs w:val="1"/>
                <w:color w:val="auto"/>
              </w:rPr>
            </w:pPr>
          </w:p>
        </w:tc>
      </w:tr>
      <w:tr>
        <w:trPr>
          <w:trHeight w:val="175"/>
        </w:trPr>
        <w:tc>
          <w:tcPr>
            <w:tcW w:w="60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1998</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(Unaudited)</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vMerge w:val="restart"/>
          </w:tcPr>
          <w:p>
            <w:pPr>
              <w:ind w:left="7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43,369</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$ 32,130</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w:t>
            </w:r>
          </w:p>
        </w:tc>
        <w:tc>
          <w:tcPr>
            <w:tcW w:w="800" w:type="dxa"/>
            <w:vAlign w:val="bottom"/>
          </w:tcPr>
          <w:p>
            <w:pPr>
              <w:spacing w:after="0"/>
              <w:rPr>
                <w:sz w:val="15"/>
                <w:szCs w:val="15"/>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26,604</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31,322</w:t>
            </w:r>
          </w:p>
        </w:tc>
        <w:tc>
          <w:tcPr>
            <w:tcW w:w="0" w:type="dxa"/>
            <w:vAlign w:val="bottom"/>
          </w:tcPr>
          <w:p>
            <w:pPr>
              <w:spacing w:after="0"/>
              <w:rPr>
                <w:sz w:val="1"/>
                <w:szCs w:val="1"/>
                <w:color w:val="auto"/>
              </w:rPr>
            </w:pPr>
          </w:p>
        </w:tc>
      </w:tr>
      <w:tr>
        <w:trPr>
          <w:trHeight w:val="175"/>
        </w:trPr>
        <w:tc>
          <w:tcPr>
            <w:tcW w:w="6000" w:type="dxa"/>
            <w:vAlign w:val="bottom"/>
          </w:tcPr>
          <w:p>
            <w:pPr>
              <w:ind w:left="260"/>
              <w:spacing w:after="0"/>
              <w:rPr>
                <w:sz w:val="20"/>
                <w:szCs w:val="20"/>
                <w:color w:val="auto"/>
              </w:rPr>
            </w:pPr>
            <w:r>
              <w:rPr>
                <w:rFonts w:ascii="Courier New" w:cs="Courier New" w:eastAsia="Courier New" w:hAnsi="Courier New"/>
                <w:sz w:val="15"/>
                <w:szCs w:val="15"/>
                <w:color w:val="auto"/>
              </w:rPr>
              <w:t>accounts ($1,305 and $1,429, respectively)</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w:t>
            </w:r>
          </w:p>
        </w:tc>
        <w:tc>
          <w:tcPr>
            <w:tcW w:w="800" w:type="dxa"/>
            <w:vAlign w:val="bottom"/>
          </w:tcPr>
          <w:p>
            <w:pPr>
              <w:spacing w:after="0"/>
              <w:rPr>
                <w:sz w:val="15"/>
                <w:szCs w:val="15"/>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16,831</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13,336</w:t>
            </w:r>
          </w:p>
        </w:tc>
        <w:tc>
          <w:tcPr>
            <w:tcW w:w="0" w:type="dxa"/>
            <w:vAlign w:val="bottom"/>
          </w:tcPr>
          <w:p>
            <w:pPr>
              <w:spacing w:after="0"/>
              <w:rPr>
                <w:sz w:val="1"/>
                <w:szCs w:val="1"/>
                <w:color w:val="auto"/>
              </w:rPr>
            </w:pPr>
          </w:p>
        </w:tc>
      </w:tr>
      <w:tr>
        <w:trPr>
          <w:trHeight w:val="175"/>
        </w:trPr>
        <w:tc>
          <w:tcPr>
            <w:tcW w:w="6000" w:type="dxa"/>
            <w:vAlign w:val="bottom"/>
          </w:tcPr>
          <w:p>
            <w:pPr>
              <w:ind w:left="260"/>
              <w:spacing w:after="0"/>
              <w:rPr>
                <w:sz w:val="20"/>
                <w:szCs w:val="20"/>
                <w:color w:val="auto"/>
              </w:rPr>
            </w:pPr>
            <w:r>
              <w:rPr>
                <w:rFonts w:ascii="Courier New" w:cs="Courier New" w:eastAsia="Courier New" w:hAnsi="Courier New"/>
                <w:sz w:val="15"/>
                <w:szCs w:val="15"/>
                <w:color w:val="auto"/>
              </w:rPr>
              <w:t>for doubtful accounts ($179 and $155, respectively)</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53,531</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53,584</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8,675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5,872</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4,917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4,917</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800" w:type="dxa"/>
            <w:vAlign w:val="bottom"/>
          </w:tcPr>
          <w:p>
            <w:pPr>
              <w:spacing w:after="0"/>
              <w:rPr>
                <w:sz w:val="23"/>
                <w:szCs w:val="23"/>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153,927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141,161</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800" w:type="dxa"/>
            <w:vAlign w:val="bottom"/>
          </w:tcPr>
          <w:p>
            <w:pPr>
              <w:spacing w:after="0"/>
              <w:rPr>
                <w:sz w:val="23"/>
                <w:szCs w:val="23"/>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1,163</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1,167</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38,568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42,455</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67,041</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66,142</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5,099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5,004</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800" w:type="dxa"/>
            <w:vAlign w:val="bottom"/>
          </w:tcPr>
          <w:p>
            <w:pPr>
              <w:ind w:left="72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8"/>
              </w:rPr>
              <w:t>111,871</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0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114,768</w:t>
            </w:r>
          </w:p>
        </w:tc>
        <w:tc>
          <w:tcPr>
            <w:tcW w:w="0" w:type="dxa"/>
            <w:vAlign w:val="bottom"/>
          </w:tcPr>
          <w:p>
            <w:pPr>
              <w:spacing w:after="0"/>
              <w:rPr>
                <w:sz w:val="1"/>
                <w:szCs w:val="1"/>
                <w:color w:val="auto"/>
              </w:rPr>
            </w:pPr>
          </w:p>
        </w:tc>
      </w:tr>
      <w:tr>
        <w:trPr>
          <w:trHeight w:val="175"/>
        </w:trPr>
        <w:tc>
          <w:tcPr>
            <w:tcW w:w="60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79,522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81,175</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800" w:type="dxa"/>
            <w:vAlign w:val="bottom"/>
          </w:tcPr>
          <w:p>
            <w:pPr>
              <w:spacing w:after="0"/>
              <w:rPr>
                <w:sz w:val="23"/>
                <w:szCs w:val="23"/>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32,349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33,593</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800" w:type="dxa"/>
            <w:vAlign w:val="bottom"/>
          </w:tcPr>
          <w:p>
            <w:pPr>
              <w:spacing w:after="0"/>
              <w:rPr>
                <w:sz w:val="23"/>
                <w:szCs w:val="23"/>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5,842</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5,692</w:t>
            </w:r>
          </w:p>
        </w:tc>
        <w:tc>
          <w:tcPr>
            <w:tcW w:w="0" w:type="dxa"/>
            <w:vAlign w:val="bottom"/>
          </w:tcPr>
          <w:p>
            <w:pPr>
              <w:spacing w:after="0"/>
              <w:rPr>
                <w:sz w:val="1"/>
                <w:szCs w:val="1"/>
                <w:color w:val="auto"/>
              </w:rPr>
            </w:pPr>
          </w:p>
        </w:tc>
      </w:tr>
      <w:tr>
        <w:trPr>
          <w:trHeight w:val="175"/>
        </w:trPr>
        <w:tc>
          <w:tcPr>
            <w:tcW w:w="6000" w:type="dxa"/>
            <w:vAlign w:val="bottom"/>
          </w:tcPr>
          <w:p>
            <w:pPr>
              <w:ind w:left="360"/>
              <w:spacing w:after="0"/>
              <w:rPr>
                <w:sz w:val="20"/>
                <w:szCs w:val="20"/>
                <w:color w:val="auto"/>
              </w:rPr>
            </w:pPr>
            <w:r>
              <w:rPr>
                <w:rFonts w:ascii="Courier New" w:cs="Courier New" w:eastAsia="Courier New" w:hAnsi="Courier New"/>
                <w:sz w:val="15"/>
                <w:szCs w:val="15"/>
                <w:color w:val="auto"/>
              </w:rPr>
              <w:t>($1,485 and $1,465, respectively)</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INVESTMENT IN LIFE INSURANCE AND</w:t>
            </w:r>
          </w:p>
        </w:tc>
        <w:tc>
          <w:tcPr>
            <w:tcW w:w="800" w:type="dxa"/>
            <w:vAlign w:val="bottom"/>
          </w:tcPr>
          <w:p>
            <w:pPr>
              <w:spacing w:after="0"/>
              <w:rPr>
                <w:sz w:val="23"/>
                <w:szCs w:val="23"/>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20,432</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17,641</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LONG-TERM INVESTMENTS</w:t>
            </w:r>
          </w:p>
        </w:tc>
        <w:tc>
          <w:tcPr>
            <w:tcW w:w="8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800" w:type="dxa"/>
            <w:vAlign w:val="bottom"/>
          </w:tcPr>
          <w:p>
            <w:pPr>
              <w:spacing w:after="0"/>
              <w:rPr>
                <w:sz w:val="23"/>
                <w:szCs w:val="23"/>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14,900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14,900</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23"/>
                <w:szCs w:val="23"/>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227,937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$213,475</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0219"/>
          </w:cols>
          <w:pgMar w:left="240" w:top="789" w:right="1440" w:bottom="1440" w:gutter="0" w:footer="0" w:header="0"/>
        </w:sectPr>
      </w:pPr>
    </w:p>
    <w:bookmarkStart w:id="2" w:name="page3"/>
    <w:bookmarkEnd w:id="2"/>
    <w:p>
      <w:pPr>
        <w:jc w:val="center"/>
        <w:ind w:right="2859"/>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3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CONSOLIDATED BALANCE SHEETS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AUGUST 30,</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CURRENT LIABILITIES</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4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23,997</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20,471</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payable</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16,343</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3,178</w:t>
            </w:r>
          </w:p>
        </w:tc>
        <w:tc>
          <w:tcPr>
            <w:tcW w:w="36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2,687</w:t>
            </w:r>
          </w:p>
        </w:tc>
        <w:tc>
          <w:tcPr>
            <w:tcW w:w="0" w:type="dxa"/>
            <w:vAlign w:val="bottom"/>
          </w:tcPr>
          <w:p>
            <w:pPr>
              <w:spacing w:after="0"/>
              <w:rPr>
                <w:sz w:val="1"/>
                <w:szCs w:val="1"/>
                <w:color w:val="auto"/>
              </w:rPr>
            </w:pPr>
          </w:p>
        </w:tc>
      </w:tr>
      <w:tr>
        <w:trPr>
          <w:trHeight w:val="175"/>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4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Product warranties</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4,135</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3,329</w:t>
            </w:r>
          </w:p>
        </w:tc>
        <w:tc>
          <w:tcPr>
            <w:tcW w:w="0" w:type="dxa"/>
            <w:vAlign w:val="bottom"/>
          </w:tcPr>
          <w:p>
            <w:pPr>
              <w:spacing w:after="0"/>
              <w:rPr>
                <w:sz w:val="1"/>
                <w:szCs w:val="1"/>
                <w:color w:val="auto"/>
              </w:rPr>
            </w:pPr>
          </w:p>
        </w:tc>
      </w:tr>
      <w:tr>
        <w:trPr>
          <w:trHeight w:val="175"/>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Vacation liability</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3,271</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3,012</w:t>
            </w:r>
          </w:p>
        </w:tc>
        <w:tc>
          <w:tcPr>
            <w:tcW w:w="0" w:type="dxa"/>
            <w:vAlign w:val="bottom"/>
          </w:tcPr>
          <w:p>
            <w:pPr>
              <w:spacing w:after="0"/>
              <w:rPr>
                <w:sz w:val="1"/>
                <w:szCs w:val="1"/>
                <w:color w:val="auto"/>
              </w:rPr>
            </w:pPr>
          </w:p>
        </w:tc>
      </w:tr>
      <w:tr>
        <w:trPr>
          <w:trHeight w:val="175"/>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Promotional</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3,882</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2,508</w:t>
            </w:r>
          </w:p>
        </w:tc>
        <w:tc>
          <w:tcPr>
            <w:tcW w:w="0" w:type="dxa"/>
            <w:vAlign w:val="bottom"/>
          </w:tcPr>
          <w:p>
            <w:pPr>
              <w:spacing w:after="0"/>
              <w:rPr>
                <w:sz w:val="1"/>
                <w:szCs w:val="1"/>
                <w:color w:val="auto"/>
              </w:rPr>
            </w:pPr>
          </w:p>
        </w:tc>
      </w:tr>
      <w:tr>
        <w:trPr>
          <w:trHeight w:val="175"/>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9,508</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8,524</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ind w:left="720"/>
              <w:spacing w:after="0"/>
              <w:rPr>
                <w:sz w:val="20"/>
                <w:szCs w:val="20"/>
                <w:color w:val="auto"/>
              </w:rPr>
            </w:pPr>
            <w:r>
              <w:rPr>
                <w:rFonts w:ascii="Courier New" w:cs="Courier New" w:eastAsia="Courier New" w:hAnsi="Courier New"/>
                <w:sz w:val="15"/>
                <w:szCs w:val="15"/>
                <w:color w:val="auto"/>
              </w:rPr>
              <w:t>Total current liabilities</w:t>
            </w:r>
          </w:p>
        </w:tc>
        <w:tc>
          <w:tcPr>
            <w:tcW w:w="460" w:type="dxa"/>
            <w:vAlign w:val="bottom"/>
          </w:tcPr>
          <w:p>
            <w:pPr>
              <w:spacing w:after="0"/>
              <w:rPr>
                <w:sz w:val="23"/>
                <w:szCs w:val="23"/>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64,314</w:t>
            </w:r>
          </w:p>
        </w:tc>
        <w:tc>
          <w:tcPr>
            <w:tcW w:w="360" w:type="dxa"/>
            <w:vAlign w:val="bottom"/>
          </w:tcPr>
          <w:p>
            <w:pPr>
              <w:spacing w:after="0"/>
              <w:rPr>
                <w:sz w:val="23"/>
                <w:szCs w:val="23"/>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41,226</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460" w:type="dxa"/>
            <w:vAlign w:val="bottom"/>
          </w:tcPr>
          <w:p>
            <w:pPr>
              <w:spacing w:after="0"/>
              <w:rPr>
                <w:sz w:val="23"/>
                <w:szCs w:val="23"/>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49,981</w:t>
            </w:r>
          </w:p>
        </w:tc>
        <w:tc>
          <w:tcPr>
            <w:tcW w:w="360" w:type="dxa"/>
            <w:vAlign w:val="bottom"/>
          </w:tcPr>
          <w:p>
            <w:pPr>
              <w:spacing w:after="0"/>
              <w:rPr>
                <w:sz w:val="23"/>
                <w:szCs w:val="23"/>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48,367</w:t>
            </w:r>
          </w:p>
        </w:tc>
        <w:tc>
          <w:tcPr>
            <w:tcW w:w="0" w:type="dxa"/>
            <w:vAlign w:val="bottom"/>
          </w:tcPr>
          <w:p>
            <w:pPr>
              <w:spacing w:after="0"/>
              <w:rPr>
                <w:sz w:val="1"/>
                <w:szCs w:val="1"/>
                <w:color w:val="auto"/>
              </w:rPr>
            </w:pP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COMPENSATION BENEFITS</w:t>
            </w:r>
          </w:p>
        </w:tc>
        <w:tc>
          <w:tcPr>
            <w:tcW w:w="4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46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12,930</w:t>
            </w:r>
          </w:p>
        </w:tc>
        <w:tc>
          <w:tcPr>
            <w:tcW w:w="36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12,927</w:t>
            </w:r>
          </w:p>
        </w:tc>
        <w:tc>
          <w:tcPr>
            <w:tcW w:w="0" w:type="dxa"/>
            <w:vAlign w:val="bottom"/>
          </w:tcPr>
          <w:p>
            <w:pPr>
              <w:spacing w:after="0"/>
              <w:rPr>
                <w:sz w:val="1"/>
                <w:szCs w:val="1"/>
                <w:color w:val="auto"/>
              </w:rPr>
            </w:pP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4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23,034</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23,109</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99,319</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92,179</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Less treasury stock, at cost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135,283</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128,215</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21,641</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4,333</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spacing w:after="0"/>
              <w:rPr>
                <w:sz w:val="23"/>
                <w:szCs w:val="23"/>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113,642</w:t>
            </w:r>
          </w:p>
        </w:tc>
        <w:tc>
          <w:tcPr>
            <w:tcW w:w="360" w:type="dxa"/>
            <w:vAlign w:val="bottom"/>
          </w:tcPr>
          <w:p>
            <w:pPr>
              <w:spacing w:after="0"/>
              <w:rPr>
                <w:sz w:val="23"/>
                <w:szCs w:val="23"/>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123,882</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$227,937</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$213,475</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0219"/>
          </w:cols>
          <w:pgMar w:left="240" w:top="789" w:right="1440" w:bottom="1440" w:gutter="0" w:footer="0" w:header="0"/>
        </w:sectPr>
      </w:pPr>
    </w:p>
    <w:bookmarkStart w:id="3" w:name="page4"/>
    <w:bookmarkEnd w:id="3"/>
    <w:p>
      <w:pPr>
        <w:jc w:val="center"/>
        <w:ind w:right="416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33"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UNAUDITED CONSOLIDATED STATEMENTS OF OPERATIONS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THIRTEEN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TWENTY-SIX</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WEEKS ENDED</w:t>
            </w: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WEEKS ENDED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3180" w:type="dxa"/>
            <w:vAlign w:val="bottom"/>
            <w:gridSpan w:val="4"/>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9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February 28,</w:t>
            </w:r>
          </w:p>
        </w:tc>
        <w:tc>
          <w:tcPr>
            <w:tcW w:w="1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March 1,</w:t>
            </w:r>
          </w:p>
        </w:tc>
        <w:tc>
          <w:tcPr>
            <w:tcW w:w="19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February 28,</w:t>
            </w:r>
          </w:p>
        </w:tc>
        <w:tc>
          <w:tcPr>
            <w:tcW w:w="1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March 1,</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136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$ 118,709</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$ 105,702</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$ 244,605</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$ 219,594</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104,354</w:t>
            </w:r>
          </w:p>
        </w:tc>
        <w:tc>
          <w:tcPr>
            <w:tcW w:w="1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95,503</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211,827</w:t>
            </w:r>
          </w:p>
        </w:tc>
        <w:tc>
          <w:tcPr>
            <w:tcW w:w="1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194,316</w:t>
            </w:r>
          </w:p>
        </w:tc>
        <w:tc>
          <w:tcPr>
            <w:tcW w:w="0" w:type="dxa"/>
            <w:vAlign w:val="bottom"/>
          </w:tcPr>
          <w:p>
            <w:pPr>
              <w:spacing w:after="0"/>
              <w:rPr>
                <w:sz w:val="1"/>
                <w:szCs w:val="1"/>
                <w:color w:val="auto"/>
              </w:rPr>
            </w:pPr>
          </w:p>
        </w:tc>
      </w:tr>
      <w:tr>
        <w:trPr>
          <w:trHeight w:val="175"/>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Gross profit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14,355</w:t>
            </w:r>
          </w:p>
        </w:tc>
        <w:tc>
          <w:tcPr>
            <w:tcW w:w="1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10,199</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32,778</w:t>
            </w:r>
          </w:p>
        </w:tc>
        <w:tc>
          <w:tcPr>
            <w:tcW w:w="1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25,278</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23"/>
                <w:szCs w:val="23"/>
                <w:color w:val="auto"/>
              </w:rPr>
            </w:pP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4,190</w:t>
            </w:r>
          </w:p>
        </w:tc>
        <w:tc>
          <w:tcPr>
            <w:tcW w:w="140" w:type="dxa"/>
            <w:vAlign w:val="bottom"/>
          </w:tcPr>
          <w:p>
            <w:pPr>
              <w:spacing w:after="0"/>
              <w:rPr>
                <w:sz w:val="23"/>
                <w:szCs w:val="23"/>
                <w:color w:val="auto"/>
              </w:rPr>
            </w:pPr>
          </w:p>
        </w:tc>
        <w:tc>
          <w:tcPr>
            <w:tcW w:w="11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6,663</w:t>
            </w:r>
          </w:p>
        </w:tc>
        <w:tc>
          <w:tcPr>
            <w:tcW w:w="540" w:type="dxa"/>
            <w:vAlign w:val="bottom"/>
          </w:tcPr>
          <w:p>
            <w:pPr>
              <w:spacing w:after="0"/>
              <w:rPr>
                <w:sz w:val="23"/>
                <w:szCs w:val="23"/>
                <w:color w:val="auto"/>
              </w:rPr>
            </w:pP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9,919</w:t>
            </w:r>
          </w:p>
        </w:tc>
        <w:tc>
          <w:tcPr>
            <w:tcW w:w="140" w:type="dxa"/>
            <w:vAlign w:val="bottom"/>
          </w:tcPr>
          <w:p>
            <w:pPr>
              <w:spacing w:after="0"/>
              <w:rPr>
                <w:sz w:val="23"/>
                <w:szCs w:val="23"/>
                <w:color w:val="auto"/>
              </w:rPr>
            </w:pPr>
          </w:p>
        </w:tc>
        <w:tc>
          <w:tcPr>
            <w:tcW w:w="8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13,001</w:t>
            </w:r>
          </w:p>
        </w:tc>
        <w:tc>
          <w:tcPr>
            <w:tcW w:w="0" w:type="dxa"/>
            <w:vAlign w:val="bottom"/>
          </w:tcPr>
          <w:p>
            <w:pPr>
              <w:spacing w:after="0"/>
              <w:rPr>
                <w:sz w:val="1"/>
                <w:szCs w:val="1"/>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Selling and delivery</w:t>
            </w: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4,446</w:t>
            </w:r>
          </w:p>
        </w:tc>
        <w:tc>
          <w:tcPr>
            <w:tcW w:w="1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6,866</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9,712</w:t>
            </w:r>
          </w:p>
        </w:tc>
        <w:tc>
          <w:tcPr>
            <w:tcW w:w="1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11,751</w:t>
            </w:r>
          </w:p>
        </w:tc>
        <w:tc>
          <w:tcPr>
            <w:tcW w:w="0" w:type="dxa"/>
            <w:vAlign w:val="bottom"/>
          </w:tcPr>
          <w:p>
            <w:pPr>
              <w:spacing w:after="0"/>
              <w:rPr>
                <w:sz w:val="1"/>
                <w:szCs w:val="1"/>
                <w:color w:val="auto"/>
              </w:rPr>
            </w:pPr>
          </w:p>
        </w:tc>
      </w:tr>
      <w:tr>
        <w:trPr>
          <w:trHeight w:val="175"/>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8,636</w:t>
            </w:r>
          </w:p>
        </w:tc>
        <w:tc>
          <w:tcPr>
            <w:tcW w:w="1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13,529</w:t>
            </w:r>
          </w:p>
        </w:tc>
        <w:tc>
          <w:tcPr>
            <w:tcW w:w="540" w:type="dxa"/>
            <w:vAlign w:val="bottom"/>
          </w:tcPr>
          <w:p>
            <w:pPr>
              <w:spacing w:after="0"/>
              <w:rPr>
                <w:sz w:val="15"/>
                <w:szCs w:val="15"/>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19,631</w:t>
            </w:r>
          </w:p>
        </w:tc>
        <w:tc>
          <w:tcPr>
            <w:tcW w:w="1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24,752</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5,719</w:t>
            </w:r>
          </w:p>
        </w:tc>
        <w:tc>
          <w:tcPr>
            <w:tcW w:w="14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(3,330)</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13,147</w:t>
            </w:r>
          </w:p>
        </w:tc>
        <w:tc>
          <w:tcPr>
            <w:tcW w:w="1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526</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540" w:type="dxa"/>
            <w:vAlign w:val="bottom"/>
          </w:tcPr>
          <w:p>
            <w:pPr>
              <w:spacing w:after="0"/>
              <w:rPr>
                <w:sz w:val="23"/>
                <w:szCs w:val="23"/>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771</w:t>
            </w:r>
          </w:p>
        </w:tc>
        <w:tc>
          <w:tcPr>
            <w:tcW w:w="140" w:type="dxa"/>
            <w:vAlign w:val="bottom"/>
          </w:tcPr>
          <w:p>
            <w:pPr>
              <w:spacing w:after="0"/>
              <w:rPr>
                <w:sz w:val="23"/>
                <w:szCs w:val="23"/>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745</w:t>
            </w:r>
          </w:p>
        </w:tc>
        <w:tc>
          <w:tcPr>
            <w:tcW w:w="540" w:type="dxa"/>
            <w:vAlign w:val="bottom"/>
          </w:tcPr>
          <w:p>
            <w:pPr>
              <w:spacing w:after="0"/>
              <w:rPr>
                <w:sz w:val="23"/>
                <w:szCs w:val="23"/>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1,384</w:t>
            </w:r>
          </w:p>
        </w:tc>
        <w:tc>
          <w:tcPr>
            <w:tcW w:w="140" w:type="dxa"/>
            <w:vAlign w:val="bottom"/>
          </w:tcPr>
          <w:p>
            <w:pPr>
              <w:spacing w:after="0"/>
              <w:rPr>
                <w:sz w:val="23"/>
                <w:szCs w:val="23"/>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1,114</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Pre-tax income (loss) from continuing operations</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6,490</w:t>
            </w:r>
          </w:p>
        </w:tc>
        <w:tc>
          <w:tcPr>
            <w:tcW w:w="14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(2,585)</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14,531</w:t>
            </w:r>
          </w:p>
        </w:tc>
        <w:tc>
          <w:tcPr>
            <w:tcW w:w="1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1,640</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540" w:type="dxa"/>
            <w:vAlign w:val="bottom"/>
          </w:tcPr>
          <w:p>
            <w:pPr>
              <w:spacing w:after="0"/>
              <w:rPr>
                <w:sz w:val="23"/>
                <w:szCs w:val="23"/>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2,140</w:t>
            </w:r>
          </w:p>
        </w:tc>
        <w:tc>
          <w:tcPr>
            <w:tcW w:w="140" w:type="dxa"/>
            <w:vAlign w:val="bottom"/>
          </w:tcPr>
          <w:p>
            <w:pPr>
              <w:spacing w:after="0"/>
              <w:rPr>
                <w:sz w:val="23"/>
                <w:szCs w:val="23"/>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1,089</w:t>
            </w:r>
          </w:p>
        </w:tc>
        <w:tc>
          <w:tcPr>
            <w:tcW w:w="540" w:type="dxa"/>
            <w:vAlign w:val="bottom"/>
          </w:tcPr>
          <w:p>
            <w:pPr>
              <w:spacing w:after="0"/>
              <w:rPr>
                <w:sz w:val="23"/>
                <w:szCs w:val="23"/>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4,843</w:t>
            </w:r>
          </w:p>
        </w:tc>
        <w:tc>
          <w:tcPr>
            <w:tcW w:w="140" w:type="dxa"/>
            <w:vAlign w:val="bottom"/>
          </w:tcPr>
          <w:p>
            <w:pPr>
              <w:spacing w:after="0"/>
              <w:rPr>
                <w:sz w:val="23"/>
                <w:szCs w:val="23"/>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2,608</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4,350</w:t>
            </w:r>
          </w:p>
        </w:tc>
        <w:tc>
          <w:tcPr>
            <w:tcW w:w="14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(3,674)</w:t>
            </w:r>
          </w:p>
        </w:tc>
        <w:tc>
          <w:tcPr>
            <w:tcW w:w="540" w:type="dxa"/>
            <w:vAlign w:val="bottom"/>
          </w:tcPr>
          <w:p>
            <w:pPr>
              <w:spacing w:after="0"/>
              <w:rPr>
                <w:sz w:val="24"/>
                <w:szCs w:val="24"/>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9,688</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(968)</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Discontinued operations: Gain from sale of discontinued</w:t>
            </w: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Cycle-Sat subsidiary (includes a loss on operations of</w:t>
            </w: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$160 net of applicable income tax credits of $123</w:t>
            </w: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and a gain on disposal of $16,632 net of income taxes</w:t>
            </w:r>
          </w:p>
        </w:tc>
        <w:tc>
          <w:tcPr>
            <w:tcW w:w="540" w:type="dxa"/>
            <w:vAlign w:val="bottom"/>
          </w:tcPr>
          <w:p>
            <w:pPr>
              <w:spacing w:after="0"/>
              <w:rPr>
                <w:sz w:val="15"/>
                <w:szCs w:val="15"/>
                <w:color w:val="auto"/>
              </w:rPr>
            </w:pP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 - -</w:t>
            </w:r>
          </w:p>
        </w:tc>
        <w:tc>
          <w:tcPr>
            <w:tcW w:w="140" w:type="dxa"/>
            <w:vAlign w:val="bottom"/>
          </w:tcPr>
          <w:p>
            <w:pPr>
              <w:spacing w:after="0"/>
              <w:rPr>
                <w:sz w:val="15"/>
                <w:szCs w:val="15"/>
                <w:color w:val="auto"/>
              </w:rPr>
            </w:pPr>
          </w:p>
        </w:tc>
        <w:tc>
          <w:tcPr>
            <w:tcW w:w="11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spacing w:after="0"/>
              <w:rPr>
                <w:sz w:val="15"/>
                <w:szCs w:val="15"/>
                <w:color w:val="auto"/>
              </w:rPr>
            </w:pP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 - -</w:t>
            </w:r>
          </w:p>
        </w:tc>
        <w:tc>
          <w:tcPr>
            <w:tcW w:w="140" w:type="dxa"/>
            <w:vAlign w:val="bottom"/>
          </w:tcPr>
          <w:p>
            <w:pPr>
              <w:spacing w:after="0"/>
              <w:rPr>
                <w:sz w:val="15"/>
                <w:szCs w:val="15"/>
                <w:color w:val="auto"/>
              </w:rPr>
            </w:pPr>
          </w:p>
        </w:tc>
        <w:tc>
          <w:tcPr>
            <w:tcW w:w="8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16,472</w:t>
            </w: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of $13,462)</w:t>
            </w: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4,350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(3,674)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9,688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15,504</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Earnings (loss) per share - basic (Note 7):</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.18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.39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 continuing operations</w:t>
            </w:r>
          </w:p>
        </w:tc>
        <w:tc>
          <w:tcPr>
            <w:tcW w:w="5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spacing w:after="0"/>
              <w:rPr>
                <w:sz w:val="22"/>
                <w:szCs w:val="22"/>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Earnings (loss) per share - assuming dilution (Note 7):</w:t>
            </w:r>
          </w:p>
        </w:tc>
        <w:tc>
          <w:tcPr>
            <w:tcW w:w="540" w:type="dxa"/>
            <w:vAlign w:val="bottom"/>
          </w:tcPr>
          <w:p>
            <w:pPr>
              <w:spacing w:after="0"/>
              <w:rPr>
                <w:sz w:val="23"/>
                <w:szCs w:val="23"/>
                <w:color w:val="auto"/>
              </w:rPr>
            </w:pP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.18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.39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 continuing operations</w:t>
            </w: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spacing w:after="0"/>
              <w:rPr>
                <w:sz w:val="22"/>
                <w:szCs w:val="22"/>
                <w:color w:val="auto"/>
              </w:rPr>
            </w:pP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1520"/>
          </w:cols>
          <w:pgMar w:left="240" w:top="789" w:right="139" w:bottom="1440" w:gutter="0" w:footer="0" w:header="0"/>
        </w:sectPr>
      </w:pPr>
    </w:p>
    <w:bookmarkStart w:id="4" w:name="page5"/>
    <w:bookmarkEnd w:id="4"/>
    <w:p>
      <w:pPr>
        <w:jc w:val="center"/>
        <w:ind w:right="2859"/>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3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88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TWENTY-SIX WEEKS ENDED</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2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February 28,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March 1,</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2"/>
                <w:szCs w:val="22"/>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9,688</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$ 15,504</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w:t>
            </w: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to net cash from operating activities:</w:t>
            </w:r>
          </w:p>
        </w:tc>
        <w:tc>
          <w:tcPr>
            <w:tcW w:w="17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(29,811)</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Pre-tax gain on sale of Cycle-Sat subsidiary</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2,754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3,826</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Realized and unrealized gains on investments, net</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trading securities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4,453</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1,616</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17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1,956</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(7,533)</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accounts receivable</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Decrease in inventories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15,354</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Increase in accounts payable and accrued expenses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23,783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4,950</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Increase in postretirement benefits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1,554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694</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c>
          <w:tcPr>
            <w:tcW w:w="0" w:type="dxa"/>
            <w:vAlign w:val="bottom"/>
          </w:tcPr>
          <w:p>
            <w:pPr>
              <w:spacing w:after="0"/>
              <w:rPr>
                <w:sz w:val="1"/>
                <w:szCs w:val="1"/>
                <w:color w:val="auto"/>
              </w:rPr>
            </w:pPr>
          </w:p>
        </w:tc>
      </w:tr>
      <w:tr>
        <w:trPr>
          <w:trHeight w:val="175"/>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40,317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6,722</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2"/>
                <w:szCs w:val="22"/>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flows provided (used) by investing activities:</w:t>
            </w:r>
          </w:p>
        </w:tc>
        <w:tc>
          <w:tcPr>
            <w:tcW w:w="17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55,883</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Gross proceeds from the sale of Cycle-Sat subsidiary</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Payments to minority shareholder from sale of Cycle-Sat</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(7,160)</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Purchases of property and equipment</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(2,086)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(2,039)</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dealer receivables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(25,939)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(21,695)</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Collections of dealer receivables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22,420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20,078</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c>
          <w:tcPr>
            <w:tcW w:w="0" w:type="dxa"/>
            <w:vAlign w:val="bottom"/>
          </w:tcPr>
          <w:p>
            <w:pPr>
              <w:spacing w:after="0"/>
              <w:rPr>
                <w:sz w:val="1"/>
                <w:szCs w:val="1"/>
                <w:color w:val="auto"/>
              </w:rPr>
            </w:pPr>
          </w:p>
        </w:tc>
      </w:tr>
      <w:tr>
        <w:trPr>
          <w:trHeight w:val="175"/>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provided by investing activities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(8,455)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44,627</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2"/>
                <w:szCs w:val="22"/>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flows used by financing activities and capital transactions:</w:t>
            </w:r>
          </w:p>
        </w:tc>
        <w:tc>
          <w:tcPr>
            <w:tcW w:w="17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(17,600)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Payments for purchase of common stock</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Payment of long-term debt of discontinued operations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(13,220)</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Payments of long-term debt and capital leases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Payment of cash dividends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(2,548)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(2,542)</w:t>
            </w:r>
          </w:p>
        </w:tc>
        <w:tc>
          <w:tcPr>
            <w:tcW w:w="0" w:type="dxa"/>
            <w:vAlign w:val="bottom"/>
          </w:tcPr>
          <w:p>
            <w:pPr>
              <w:spacing w:after="0"/>
              <w:rPr>
                <w:sz w:val="1"/>
                <w:szCs w:val="1"/>
                <w:color w:val="auto"/>
              </w:rPr>
            </w:pPr>
          </w:p>
        </w:tc>
      </w:tr>
      <w:tr>
        <w:trPr>
          <w:trHeight w:val="175"/>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434</w:t>
            </w:r>
          </w:p>
        </w:tc>
        <w:tc>
          <w:tcPr>
            <w:tcW w:w="0" w:type="dxa"/>
            <w:vAlign w:val="bottom"/>
          </w:tcPr>
          <w:p>
            <w:pPr>
              <w:spacing w:after="0"/>
              <w:rPr>
                <w:sz w:val="1"/>
                <w:szCs w:val="1"/>
                <w:color w:val="auto"/>
              </w:rPr>
            </w:pPr>
          </w:p>
        </w:tc>
      </w:tr>
      <w:tr>
        <w:trPr>
          <w:trHeight w:val="256"/>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by financing activities and</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120" w:type="dxa"/>
            <w:vAlign w:val="bottom"/>
            <w:vMerge w:val="continue"/>
          </w:tcPr>
          <w:p>
            <w:pPr>
              <w:spacing w:after="0"/>
              <w:rPr>
                <w:sz w:val="8"/>
                <w:szCs w:val="8"/>
                <w:color w:val="auto"/>
              </w:rPr>
            </w:pPr>
          </w:p>
        </w:tc>
        <w:tc>
          <w:tcPr>
            <w:tcW w:w="17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(20,623)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(17,236)</w:t>
            </w:r>
          </w:p>
        </w:tc>
        <w:tc>
          <w:tcPr>
            <w:tcW w:w="0" w:type="dxa"/>
            <w:vAlign w:val="bottom"/>
          </w:tcPr>
          <w:p>
            <w:pPr>
              <w:spacing w:after="0"/>
              <w:rPr>
                <w:sz w:val="1"/>
                <w:szCs w:val="1"/>
                <w:color w:val="auto"/>
              </w:rPr>
            </w:pPr>
          </w:p>
        </w:tc>
      </w:tr>
      <w:tr>
        <w:trPr>
          <w:trHeight w:val="175"/>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capital transactions</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6120" w:type="dxa"/>
            <w:vAlign w:val="bottom"/>
            <w:vMerge w:val="continue"/>
          </w:tcPr>
          <w:p>
            <w:pPr>
              <w:spacing w:after="0"/>
              <w:rPr>
                <w:sz w:val="22"/>
                <w:szCs w:val="22"/>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11,239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34,113</w:t>
            </w: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32,130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797</w:t>
            </w:r>
          </w:p>
        </w:tc>
        <w:tc>
          <w:tcPr>
            <w:tcW w:w="0" w:type="dxa"/>
            <w:vAlign w:val="bottom"/>
          </w:tcPr>
          <w:p>
            <w:pPr>
              <w:spacing w:after="0"/>
              <w:rPr>
                <w:sz w:val="1"/>
                <w:szCs w:val="1"/>
                <w:color w:val="auto"/>
              </w:rPr>
            </w:pPr>
          </w:p>
        </w:tc>
      </w:tr>
      <w:tr>
        <w:trPr>
          <w:trHeight w:val="175"/>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$ 43,369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$ 34,910</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2"/>
                <w:szCs w:val="22"/>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0219"/>
          </w:cols>
          <w:pgMar w:left="240" w:top="789" w:right="1440" w:bottom="1440" w:gutter="0" w:footer="0" w:header="0"/>
        </w:sectPr>
      </w:pPr>
    </w:p>
    <w:bookmarkStart w:id="5" w:name="page6"/>
    <w:bookmarkEnd w:id="5"/>
    <w:p>
      <w:pPr>
        <w:jc w:val="center"/>
        <w:ind w:right="2872"/>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p>
      <w:pPr>
        <w:spacing w:after="0" w:line="152" w:lineRule="exact"/>
        <w:rPr>
          <w:sz w:val="20"/>
          <w:szCs w:val="20"/>
          <w:color w:val="auto"/>
        </w:rPr>
      </w:pPr>
    </w:p>
    <w:p>
      <w:pPr>
        <w:ind w:left="827" w:right="2959" w:hanging="827"/>
        <w:spacing w:after="0" w:line="262"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the accompanying unaudited consolidated condensed financial statements contain all adjustments, consisting of normal recurring accruals, necessary to present fairly the consolidated financial position as of February 28, 1998, the consolidated results of operations for the 26 and 13 weeks ended February 28, 1998 and March 1, 1997, and the consolidated cash flows for the 26 weeks ended February 28, 1998 and March 1, 1997. The results of operations for the 26 weeks ended February 28, 1998, are not necessarily indicative of the results to be expected for the full year.</w:t>
      </w:r>
    </w:p>
    <w:p>
      <w:pPr>
        <w:spacing w:after="0" w:line="78" w:lineRule="exact"/>
        <w:rPr>
          <w:rFonts w:ascii="Courier New" w:cs="Courier New" w:eastAsia="Courier New" w:hAnsi="Courier New"/>
          <w:sz w:val="15"/>
          <w:szCs w:val="15"/>
          <w:color w:val="auto"/>
        </w:rPr>
      </w:pPr>
    </w:p>
    <w:p>
      <w:pPr>
        <w:ind w:left="827" w:right="3039" w:hanging="827"/>
        <w:spacing w:after="0" w:line="307"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valued at the lower of cost or market, with cost being determined under the last-in, first-out (LIFO) method and market defined as net realizable value.</w:t>
      </w:r>
    </w:p>
    <w:p>
      <w:pPr>
        <w:spacing w:after="0" w:line="47"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composed of the following (dollars in thousands):</w:t>
      </w:r>
    </w:p>
    <w:p>
      <w:pPr>
        <w:spacing w:after="0" w:line="180" w:lineRule="exact"/>
        <w:rPr>
          <w:sz w:val="20"/>
          <w:szCs w:val="20"/>
          <w:color w:val="auto"/>
        </w:rPr>
      </w:pPr>
    </w:p>
    <w:tbl>
      <w:tblPr>
        <w:tblLayout w:type="fixed"/>
        <w:tblInd w:w="907"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February 28,</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August 30,</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26,546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27,577</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14,268</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13,842</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30,833</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29,907</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500" w:type="dxa"/>
            <w:vAlign w:val="bottom"/>
          </w:tcPr>
          <w:p>
            <w:pPr>
              <w:ind w:left="220"/>
              <w:spacing w:after="0"/>
              <w:rPr>
                <w:sz w:val="20"/>
                <w:szCs w:val="20"/>
                <w:color w:val="auto"/>
              </w:rPr>
            </w:pPr>
            <w:r>
              <w:rPr>
                <w:rFonts w:ascii="Courier New" w:cs="Courier New" w:eastAsia="Courier New" w:hAnsi="Courier New"/>
                <w:sz w:val="6"/>
                <w:szCs w:val="6"/>
                <w:color w:val="auto"/>
                <w:w w:val="72"/>
              </w:rPr>
              <w:t>----------</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71,647</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40" w:type="dxa"/>
            <w:vAlign w:val="bottom"/>
            <w:vMerge w:val="restart"/>
          </w:tcPr>
          <w:p>
            <w:pPr>
              <w:spacing w:after="0"/>
              <w:rPr>
                <w:sz w:val="20"/>
                <w:szCs w:val="20"/>
                <w:color w:val="auto"/>
              </w:rPr>
            </w:pPr>
            <w:r>
              <w:rPr>
                <w:rFonts w:ascii="Courier New" w:cs="Courier New" w:eastAsia="Courier New" w:hAnsi="Courier New"/>
                <w:sz w:val="15"/>
                <w:szCs w:val="15"/>
                <w:color w:val="auto"/>
              </w:rPr>
              <w:t>LIFO reserve....................</w:t>
            </w: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71,326</w:t>
            </w:r>
          </w:p>
        </w:tc>
        <w:tc>
          <w:tcPr>
            <w:tcW w:w="0" w:type="dxa"/>
            <w:vAlign w:val="bottom"/>
          </w:tcPr>
          <w:p>
            <w:pPr>
              <w:spacing w:after="0"/>
              <w:rPr>
                <w:sz w:val="1"/>
                <w:szCs w:val="1"/>
                <w:color w:val="auto"/>
              </w:rPr>
            </w:pPr>
          </w:p>
        </w:tc>
      </w:tr>
      <w:tr>
        <w:trPr>
          <w:trHeight w:val="175"/>
        </w:trPr>
        <w:tc>
          <w:tcPr>
            <w:tcW w:w="3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(18,116)</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(17,742)</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5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53,531</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53,584</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27" w:right="2959" w:hanging="827"/>
        <w:spacing w:after="0" w:line="251"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w:t>
      </w:r>
    </w:p>
    <w:p>
      <w:pPr>
        <w:spacing w:after="0" w:line="1" w:lineRule="exact"/>
        <w:rPr>
          <w:rFonts w:ascii="Courier New" w:cs="Courier New" w:eastAsia="Courier New" w:hAnsi="Courier New"/>
          <w:sz w:val="15"/>
          <w:szCs w:val="15"/>
          <w:color w:val="auto"/>
        </w:rPr>
      </w:pPr>
    </w:p>
    <w:p>
      <w:pPr>
        <w:ind w:left="82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90-days' notice prior to the end of the one-year period to the other party that they wish to terminate the line of credit. The agreement also contains certain restrictive covenants including maintenance of minimum net worth, working capital and current ratio. As of February 28, 1998, the Company was in compliance with these covenants. There were no outstanding borrowings under the line of credit at February 28, 1998 or August 30, 1997.</w:t>
      </w:r>
    </w:p>
    <w:p>
      <w:pPr>
        <w:spacing w:after="0" w:line="81" w:lineRule="exact"/>
        <w:rPr>
          <w:rFonts w:ascii="Courier New" w:cs="Courier New" w:eastAsia="Courier New" w:hAnsi="Courier New"/>
          <w:sz w:val="15"/>
          <w:szCs w:val="15"/>
          <w:color w:val="auto"/>
        </w:rPr>
      </w:pPr>
    </w:p>
    <w:p>
      <w:pPr>
        <w:ind w:left="827" w:right="2959" w:hanging="827"/>
        <w:spacing w:after="0" w:line="25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$155,824,000 and $115,637,000 under repurchase agreements with lending institutions as of February 28, 1998 and August 30, 1997, respectively. Included in these contingent liabilities as of February 28, 1998 and August 30, 1997 are approximately $25,133,000 and $24,868,000, respectively, of certain dealer receivables subject to recourse agreements with NationsCredit and Green Tree Financial Corporation.</w:t>
      </w:r>
    </w:p>
    <w:p>
      <w:pPr>
        <w:spacing w:after="0" w:line="88" w:lineRule="exact"/>
        <w:rPr>
          <w:rFonts w:ascii="Courier New" w:cs="Courier New" w:eastAsia="Courier New" w:hAnsi="Courier New"/>
          <w:sz w:val="15"/>
          <w:szCs w:val="15"/>
          <w:color w:val="auto"/>
        </w:rPr>
      </w:pPr>
    </w:p>
    <w:p>
      <w:pPr>
        <w:ind w:left="827" w:right="3419" w:hanging="827"/>
        <w:spacing w:after="0" w:line="368"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periods indicated, the Company paid cash for the following (dollars in thousands):</w:t>
      </w:r>
    </w:p>
    <w:p>
      <w:pPr>
        <w:spacing w:after="0" w:line="3" w:lineRule="exact"/>
        <w:rPr>
          <w:sz w:val="20"/>
          <w:szCs w:val="20"/>
          <w:color w:val="auto"/>
        </w:rPr>
      </w:pPr>
    </w:p>
    <w:tbl>
      <w:tblPr>
        <w:tblLayout w:type="fixed"/>
        <w:tblInd w:w="827"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9"/>
              </w:rPr>
              <w:t>TWENTY-SIX WEEKS ENDED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9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February 28,</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March 1,</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w:t>
            </w:r>
          </w:p>
        </w:tc>
        <w:tc>
          <w:tcPr>
            <w:tcW w:w="76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9"/>
                <w:vertAlign w:val="subscript"/>
              </w:rPr>
              <w:t>$</w:t>
            </w:r>
            <w:r>
              <w:rPr>
                <w:rFonts w:ascii="Courier New" w:cs="Courier New" w:eastAsia="Courier New" w:hAnsi="Courier New"/>
                <w:sz w:val="15"/>
                <w:szCs w:val="15"/>
                <w:color w:val="auto"/>
                <w:w w:val="79"/>
              </w:rPr>
              <w:t>---------</w:t>
            </w:r>
          </w:p>
        </w:tc>
        <w:tc>
          <w:tcPr>
            <w:tcW w:w="11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236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760" w:type="dxa"/>
            <w:vAlign w:val="bottom"/>
          </w:tcPr>
          <w:p>
            <w:pPr>
              <w:spacing w:after="0"/>
              <w:rPr>
                <w:sz w:val="22"/>
                <w:szCs w:val="22"/>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2,120</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10,175</w:t>
            </w:r>
          </w:p>
        </w:tc>
        <w:tc>
          <w:tcPr>
            <w:tcW w:w="0" w:type="dxa"/>
            <w:vAlign w:val="bottom"/>
          </w:tcPr>
          <w:p>
            <w:pPr>
              <w:spacing w:after="0"/>
              <w:rPr>
                <w:sz w:val="1"/>
                <w:szCs w:val="1"/>
                <w:color w:val="auto"/>
              </w:rPr>
            </w:pPr>
          </w:p>
        </w:tc>
      </w:tr>
    </w:tbl>
    <w:p>
      <w:pPr>
        <w:sectPr>
          <w:pgSz w:w="11900" w:h="16838" w:orient="portrait"/>
          <w:cols w:equalWidth="0" w:num="1">
            <w:col w:w="10226"/>
          </w:cols>
          <w:pgMar w:left="233" w:top="789" w:right="1440" w:bottom="1440" w:gutter="0" w:footer="0" w:header="0"/>
        </w:sectPr>
      </w:pPr>
    </w:p>
    <w:bookmarkStart w:id="6" w:name="page7"/>
    <w:bookmarkEnd w:id="6"/>
    <w:p>
      <w:pPr>
        <w:ind w:left="827" w:right="3900" w:hanging="827"/>
        <w:spacing w:after="0" w:line="287"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29, 1997, the Company repurchased 1,920,600 shares of Common Stock from the Estate of John K. Hanson. The shares were repurchased for an aggregate purchase price of $17,000,000 ($8.85125 per share).</w:t>
      </w:r>
    </w:p>
    <w:p>
      <w:pPr>
        <w:spacing w:after="0" w:line="61" w:lineRule="exact"/>
        <w:rPr>
          <w:rFonts w:ascii="Courier New" w:cs="Courier New" w:eastAsia="Courier New" w:hAnsi="Courier New"/>
          <w:sz w:val="15"/>
          <w:szCs w:val="15"/>
          <w:color w:val="auto"/>
        </w:rPr>
      </w:pPr>
    </w:p>
    <w:p>
      <w:pPr>
        <w:ind w:left="827" w:right="3640" w:hanging="827"/>
        <w:spacing w:after="0" w:line="271"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15, 1997, the Company adopted Statement of Financial Accounting Standards No. 128, "EARNINGS PER SHARE" (SFAS No. 128). Earnings per share amounts presented for the 13 and 26 weeks ended March 1, 1997 have been restated for the adoption of SFAS No. 128. The following table reflects the calculation of basic and diluted earnings per share.</w:t>
      </w:r>
    </w:p>
    <w:p>
      <w:pPr>
        <w:spacing w:after="0" w:line="200" w:lineRule="exact"/>
        <w:rPr>
          <w:sz w:val="20"/>
          <w:szCs w:val="20"/>
          <w:color w:val="auto"/>
        </w:rPr>
      </w:pPr>
    </w:p>
    <w:p>
      <w:pPr>
        <w:spacing w:after="0" w:line="222" w:lineRule="exact"/>
        <w:rPr>
          <w:sz w:val="20"/>
          <w:szCs w:val="20"/>
          <w:color w:val="auto"/>
        </w:rPr>
      </w:pPr>
    </w:p>
    <w:tbl>
      <w:tblPr>
        <w:tblLayout w:type="fixed"/>
        <w:tblInd w:w="827"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8"/>
              </w:rPr>
              <w:t>THIRTEEN WEEKS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TWENTY-SIX WEEKS</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73"/>
                <w:vertAlign w:val="subscript"/>
              </w:rPr>
              <w:t>FEBRUARY</w:t>
            </w: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28,</w:t>
            </w:r>
          </w:p>
        </w:tc>
        <w:tc>
          <w:tcPr>
            <w:tcW w:w="136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MARCH 1,</w:t>
            </w:r>
          </w:p>
        </w:tc>
        <w:tc>
          <w:tcPr>
            <w:tcW w:w="26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6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FEBRUARY 28,</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1,</w:t>
            </w: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1998</w:t>
            </w:r>
          </w:p>
        </w:tc>
        <w:tc>
          <w:tcPr>
            <w:tcW w:w="40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1997</w:t>
            </w:r>
          </w:p>
        </w:tc>
        <w:tc>
          <w:tcPr>
            <w:tcW w:w="540" w:type="dxa"/>
            <w:vAlign w:val="bottom"/>
          </w:tcPr>
          <w:p>
            <w:pPr>
              <w:spacing w:after="0"/>
              <w:rPr>
                <w:sz w:val="15"/>
                <w:szCs w:val="15"/>
                <w:color w:val="auto"/>
              </w:rPr>
            </w:pPr>
          </w:p>
        </w:tc>
        <w:tc>
          <w:tcPr>
            <w:tcW w:w="1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 (LOSS) PER SHARE - BASIC</w:t>
            </w: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4,350</w:t>
            </w:r>
          </w:p>
        </w:tc>
        <w:tc>
          <w:tcPr>
            <w:tcW w:w="136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(3,674)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9,688</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(968)</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5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ind w:left="400"/>
              <w:spacing w:after="0"/>
              <w:rPr>
                <w:sz w:val="20"/>
                <w:szCs w:val="20"/>
                <w:color w:val="auto"/>
              </w:rPr>
            </w:pPr>
            <w:r>
              <w:rPr>
                <w:rFonts w:ascii="Courier New" w:cs="Courier New" w:eastAsia="Courier New" w:hAnsi="Courier New"/>
                <w:sz w:val="4"/>
                <w:szCs w:val="4"/>
                <w:color w:val="auto"/>
                <w:w w:val="83"/>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9"/>
              </w:rPr>
              <w:t>24,179</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25,431</w:t>
            </w:r>
          </w:p>
        </w:tc>
        <w:tc>
          <w:tcPr>
            <w:tcW w:w="54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24,830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25,405</w:t>
            </w:r>
          </w:p>
        </w:tc>
        <w:tc>
          <w:tcPr>
            <w:tcW w:w="0" w:type="dxa"/>
            <w:vAlign w:val="bottom"/>
          </w:tcPr>
          <w:p>
            <w:pPr>
              <w:spacing w:after="0"/>
              <w:rPr>
                <w:sz w:val="1"/>
                <w:szCs w:val="1"/>
                <w:color w:val="auto"/>
              </w:rPr>
            </w:pPr>
          </w:p>
        </w:tc>
      </w:tr>
      <w:tr>
        <w:trPr>
          <w:trHeight w:val="175"/>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share - basic</w:t>
            </w:r>
          </w:p>
        </w:tc>
        <w:tc>
          <w:tcPr>
            <w:tcW w:w="580" w:type="dxa"/>
            <w:vAlign w:val="bottom"/>
            <w:vMerge w:val="restart"/>
          </w:tcPr>
          <w:p>
            <w:pPr>
              <w:ind w:left="4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.18</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 (LOSS) PER SHARE - ASSUMING DILUTION</w:t>
            </w: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4,350</w:t>
            </w:r>
          </w:p>
        </w:tc>
        <w:tc>
          <w:tcPr>
            <w:tcW w:w="136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(3,674)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9,688</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(968)</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5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ind w:left="400"/>
              <w:spacing w:after="0"/>
              <w:rPr>
                <w:sz w:val="20"/>
                <w:szCs w:val="20"/>
                <w:color w:val="auto"/>
              </w:rPr>
            </w:pPr>
            <w:r>
              <w:rPr>
                <w:rFonts w:ascii="Courier New" w:cs="Courier New" w:eastAsia="Courier New" w:hAnsi="Courier New"/>
                <w:sz w:val="4"/>
                <w:szCs w:val="4"/>
                <w:color w:val="auto"/>
                <w:w w:val="83"/>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9"/>
              </w:rPr>
              <w:t>24,179</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25,431</w:t>
            </w:r>
          </w:p>
        </w:tc>
        <w:tc>
          <w:tcPr>
            <w:tcW w:w="54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24,830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25,405</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Dilutive impact of options outstanding</w:t>
            </w:r>
          </w:p>
        </w:tc>
        <w:tc>
          <w:tcPr>
            <w:tcW w:w="5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56"/>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&amp; potential</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4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9"/>
              </w:rPr>
              <w:t>24,366</w:t>
            </w:r>
          </w:p>
        </w:tc>
        <w:tc>
          <w:tcPr>
            <w:tcW w:w="400" w:type="dxa"/>
            <w:vAlign w:val="bottom"/>
          </w:tcPr>
          <w:p>
            <w:pPr>
              <w:spacing w:after="0"/>
              <w:rPr>
                <w:sz w:val="8"/>
                <w:szCs w:val="8"/>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25,431</w:t>
            </w:r>
          </w:p>
        </w:tc>
        <w:tc>
          <w:tcPr>
            <w:tcW w:w="540" w:type="dxa"/>
            <w:vAlign w:val="bottom"/>
          </w:tcPr>
          <w:p>
            <w:pPr>
              <w:spacing w:after="0"/>
              <w:rPr>
                <w:sz w:val="8"/>
                <w:szCs w:val="8"/>
                <w:color w:val="auto"/>
              </w:rPr>
            </w:pPr>
          </w:p>
        </w:tc>
        <w:tc>
          <w:tcPr>
            <w:tcW w:w="11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24,989</w:t>
            </w:r>
          </w:p>
        </w:tc>
        <w:tc>
          <w:tcPr>
            <w:tcW w:w="360" w:type="dxa"/>
            <w:vAlign w:val="bottom"/>
          </w:tcPr>
          <w:p>
            <w:pPr>
              <w:spacing w:after="0"/>
              <w:rPr>
                <w:sz w:val="8"/>
                <w:szCs w:val="8"/>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25,405</w:t>
            </w:r>
          </w:p>
        </w:tc>
        <w:tc>
          <w:tcPr>
            <w:tcW w:w="0" w:type="dxa"/>
            <w:vAlign w:val="bottom"/>
          </w:tcPr>
          <w:p>
            <w:pPr>
              <w:spacing w:after="0"/>
              <w:rPr>
                <w:sz w:val="1"/>
                <w:szCs w:val="1"/>
                <w:color w:val="auto"/>
              </w:rPr>
            </w:pPr>
          </w:p>
        </w:tc>
      </w:tr>
      <w:tr>
        <w:trPr>
          <w:trHeight w:val="175"/>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dilutive shares outstanding</w:t>
            </w:r>
          </w:p>
        </w:tc>
        <w:tc>
          <w:tcPr>
            <w:tcW w:w="5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per share from continuing</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400" w:type="dxa"/>
            <w:vAlign w:val="bottom"/>
            <w:vMerge w:val="continue"/>
          </w:tcPr>
          <w:p>
            <w:pPr>
              <w:spacing w:after="0"/>
              <w:rPr>
                <w:sz w:val="8"/>
                <w:szCs w:val="8"/>
                <w:color w:val="auto"/>
              </w:rPr>
            </w:pP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.18</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.39</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5"/>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operations - assuming dilution</w:t>
            </w:r>
          </w:p>
        </w:tc>
        <w:tc>
          <w:tcPr>
            <w:tcW w:w="5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827" w:right="3640"/>
        <w:spacing w:after="0" w:line="262" w:lineRule="auto"/>
        <w:rPr>
          <w:sz w:val="20"/>
          <w:szCs w:val="20"/>
          <w:color w:val="auto"/>
        </w:rPr>
      </w:pPr>
      <w:r>
        <w:rPr>
          <w:rFonts w:ascii="Courier New" w:cs="Courier New" w:eastAsia="Courier New" w:hAnsi="Courier New"/>
          <w:sz w:val="15"/>
          <w:szCs w:val="15"/>
          <w:color w:val="auto"/>
        </w:rPr>
        <w:t>Options to purchase 10,000 shares of common stock at a price of $10.00 per share were outstanding during the 13 weeks ended February 28, 1998 but were not included in the computation of diluted earnings per share because the options' exercise price was greater than the average market price of the common shares. Options to purchase 381,000 shares of common stock at a range of $4.31 to $7.19 were outstanding during the 13 weeks ended March 1, 1997 but were not included in the computation of diluted earnings per share because of the anti-dilutive impact on the loss per share.</w:t>
      </w:r>
    </w:p>
    <w:p>
      <w:pPr>
        <w:sectPr>
          <w:pgSz w:w="11900" w:h="16838" w:orient="portrait"/>
          <w:cols w:equalWidth="0" w:num="1">
            <w:col w:w="10907"/>
          </w:cols>
          <w:pgMar w:left="233" w:top="789" w:right="759" w:bottom="1440" w:gutter="0" w:footer="0" w:header="0"/>
        </w:sectPr>
      </w:pPr>
    </w:p>
    <w:bookmarkStart w:id="7" w:name="page8"/>
    <w:bookmarkEnd w:id="7"/>
    <w:p>
      <w:pPr>
        <w:jc w:val="center"/>
        <w:ind w:right="287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AND RESULTS OF OPERATIONS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Thirteen Weeks Ended February 28, 1998 compared to Thirteen Weeks Ended March 1, 1997</w:t>
      </w:r>
    </w:p>
    <w:p>
      <w:pPr>
        <w:spacing w:after="0" w:line="3"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Net revenues for the 13 weeks ended February 28, 1998 were $118,709,000, an increase of $13,007,000, or 12.3 percent from the 13 week period ended March 1, 1997. Motor home shipments (Class A and C) were 2,009 units, an increase of 181 units, or 9.9 percent, during the second quarter of fiscal 1998 compared to the second quarter of fiscal 1997. Industry demand for motorized recreation vehicles remained strong during the 13 weeks ended February 28, 1998 and the Company's 1998 products continue to be received well by dealers and retail customers. Orders for the Company's motor homes continue to run considerably ahead of last year.</w:t>
      </w:r>
    </w:p>
    <w:p>
      <w:pPr>
        <w:spacing w:after="0" w:line="78"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Gross profit, as a percent of net revenues, was 12.1 percent for the 13 weeks ended February 28, 1998 compared to 9.6 percent for the 13 weeks ended March 1, 1997. The increase in gross profit percentage during the 13 weeks ended February 28, 1998 was due primarily to increased production and sales of motor homes. During the 13 weeks ended March 1, 1997, the Company incurred significant discounts granted to encourage motor home sales and a reduction in valuations of finished goods and parts inventories at the Company's former subsidiary, Winnebago Industries Europe GmbH (WIE).</w:t>
      </w:r>
    </w:p>
    <w:p>
      <w:pPr>
        <w:spacing w:after="0" w:line="7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Selling and delivery expenses were $4,190,000 or 3.5 percent of net revenues during the second quarter of fiscal 1998 compared to $6,663,000 or 6.3 percent of net revenues during the second quarter of fiscal 1997. The decreases in dollars and percentage can be attributed primarily to significant decreases in promotional programs during the second quarter of fiscal 1998 when compared to the second quarter of fiscal 1997. The Company's sale of WIE, during fiscal 1997, also contributed to the reduction in dollars when comparing the two periods. Increased sales volume, during the second quarter of fiscal 1998, also contributed to the decrease in percentage.</w:t>
      </w:r>
    </w:p>
    <w:p>
      <w:pPr>
        <w:spacing w:after="0" w:line="78"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General and administrative expenses decreased by $2,420,000 to $4,446,000 comparing the 13 weeks ended February 28, 1998 to the 13 weeks ended March 1, 1997 and decreased as a percentage of net revenues to 3.7 percent from 6.5 percent. The Company's sale of WIE, during fiscal 1997, was the primary factor contributing to the decreases in dollars and percentage. Increased sales volume, during the second quarter of fiscal 1998, also contributed to the decrease in percentage.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had net financial income of $771,000 for the second quarter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net financial income of $745,000 for the comparable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fiscal 1997. During the 13 weeks ended February 28, 1998,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$711,000 of interest income and gains of $60,000 in foreign currency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During the 13 weeks ended March 1, 1997, the Company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$636,000 of interest income, gains of $93,000 in foreign currency transactions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$16,000 of realized and unrealized gains in its trading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portfolio.</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13 weeks ended February 28, 1998, the Company had income before taxes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$6,490,000 and a provision for taxes of $2,140,000 resulting in net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$4,350,000 or $.18 per share. For the 13 weeks ended March 1, 1997,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pre-tax income from operations (other than WIE) of $3,115,000 and a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from WIE of $5,700,000, due to the sale in fiscal 1997. The $5,700,000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loss of WIE was considered an operating loss of a foreign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does not qualify for a tax deduction, therefore, the Company was required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record a provision for taxes of $1,089,000 resulting in a consolidated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of $3,674,000 or $.15 per share for the 13 weeks ended March 1, 1997.</w:t>
      </w:r>
    </w:p>
    <w:p>
      <w:pPr>
        <w:sectPr>
          <w:pgSz w:w="11900" w:h="16838" w:orient="portrait"/>
          <w:cols w:equalWidth="0" w:num="1">
            <w:col w:w="10219"/>
          </w:cols>
          <w:pgMar w:left="240" w:top="789" w:right="1440" w:bottom="1440" w:gutter="0" w:footer="0" w:header="0"/>
        </w:sectPr>
      </w:pPr>
    </w:p>
    <w:bookmarkStart w:id="8" w:name="page9"/>
    <w:bookmarkEnd w:id="8"/>
    <w:p>
      <w:pPr>
        <w:ind w:right="3419"/>
        <w:spacing w:after="0" w:line="368" w:lineRule="auto"/>
        <w:rPr>
          <w:sz w:val="20"/>
          <w:szCs w:val="20"/>
          <w:color w:val="auto"/>
        </w:rPr>
      </w:pPr>
      <w:r>
        <w:rPr>
          <w:rFonts w:ascii="Courier New" w:cs="Courier New" w:eastAsia="Courier New" w:hAnsi="Courier New"/>
          <w:sz w:val="15"/>
          <w:szCs w:val="15"/>
          <w:color w:val="auto"/>
        </w:rPr>
        <w:t>Twenty-Six Weeks Ended February 28, 1998 Compared to Twenty-Six Weeks Ended March 1, 1997</w:t>
      </w:r>
    </w:p>
    <w:p>
      <w:pPr>
        <w:spacing w:after="0" w:line="3"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Net revenues for the 26 weeks ended February 28, 1998 were $244,605,000, an increase of $25,011,000, or 11.4 percent from the 26 week period ended March 1, 1997. Motor home shipments (Class A and C) were 4,071 units, an increase of 285 units, or 7.5 percent, during the 26 weeks ended February 28, 1998 when compared to the 26 weeks ended March 1, 1997. Industry demand for motorized recreation vehicles remained strong during the 26 weeks ended February 28, 1998 and the Company's 1998 products continue to be received well by dealers and retail customers.</w:t>
      </w:r>
    </w:p>
    <w:p>
      <w:pPr>
        <w:spacing w:after="0" w:line="78"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Gross profit, as a percent of net revenues, was 13.4 percent for the 26 weeks ended February 28, 1998 compared to 11.5 percent for the 26 weeks ended March 1, 1997. The increase in gross profit percentage during the 26 weeks ended February 28, 1998 was due primarily to increased production and sales of motor homes. During the 26 weeks ended March 1, 1997, the Company incurred significant discounts granted to encourage motor home sales and a reduction in valuations of finished goods and parts inventories at WIE.</w:t>
      </w:r>
    </w:p>
    <w:p>
      <w:pPr>
        <w:spacing w:after="0" w:line="75"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Selling and delivery expenses were $9,919,000 or 4.1 percent of net revenues during the first half of fiscal 1998 compared to $13,001,000 or 5.9 percent of net revenues during the first half of fiscal 1997. The decreases in dollars and percentage can be attributed primarily to significant decreases in promotional programs during the first half of fiscal 1998 when compared to the first half of fiscal 1997. The Company's sale of WIE, also contributed to the decreases when comparing the two periods. Increased sales volume, during the first half of fiscal 1998, also contributed to the decrease in percentage.</w:t>
      </w:r>
    </w:p>
    <w:p>
      <w:pPr>
        <w:spacing w:after="0" w:line="7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General and administrative expenses decreased by $2,039,000 to $9,712,000 comparing the first half of fiscal 1998 to the first half of fiscal 1997 and decreased as a percentage of net revenues to 4.0 percent from 5.4 percent. The Company's sale of WIE, during fiscal 1997, was the primary factor contributing to the decreases in dollars and percentage. Partially offsetting this decrease was an increase in the Company's product liability costs, during the first half of fiscal 1998. Increased sales volume, during the first half of fiscal 1998, also contributed to the decrease in percentage.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had net financial income of $1,384,000 for the first half of fiscal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compared to net financial income of $1,114,000 for the comparable period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During the first half of fiscal 1998, the Company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$1,371,000 of interest income and gains of $13,000 in foreign currency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During the first half of fiscal 1997, the Company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$945,000 of interest income, gains of $32,000 in foreign currency transactions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$137,000 of realized and unrealized gains in its trading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portfolio.</w:t>
      </w:r>
    </w:p>
    <w:p>
      <w:pPr>
        <w:spacing w:after="0" w:line="152"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For the 26 weeks ended February 28, 1998, the Company had pre-tax income from continuing operations of $14,531,000 and a provision for taxes of $4,843,000 resulting in income from continuing operations of $9,688,000 or $.39 per share. For the 26 weeks ended March 1, 1997, the Company had pre-tax income from continuing operations of $7,440,000 and a pre-tax loss from WIE of $5,800,000 due to the sale in fiscal 1997. The $5,800,000 pre-tax loss of WIE was considered an operating loss of a foreign subsidiary that does not qualify for a tax deduction, therefore, the Company was required to record a provision for taxes of $2,608,000 resulting in a loss from continuing operations of $968,000 or $.04 per share for the 26 weeks ended March 1, 1997.</w:t>
      </w:r>
    </w:p>
    <w:p>
      <w:pPr>
        <w:spacing w:after="0" w:line="82" w:lineRule="exact"/>
        <w:rPr>
          <w:sz w:val="20"/>
          <w:szCs w:val="20"/>
          <w:color w:val="auto"/>
        </w:rPr>
      </w:pPr>
    </w:p>
    <w:p>
      <w:pPr>
        <w:jc w:val="both"/>
        <w:ind w:right="3039"/>
        <w:spacing w:after="0" w:line="307" w:lineRule="auto"/>
        <w:rPr>
          <w:sz w:val="20"/>
          <w:szCs w:val="20"/>
          <w:color w:val="auto"/>
        </w:rPr>
      </w:pPr>
      <w:r>
        <w:rPr>
          <w:rFonts w:ascii="Courier New" w:cs="Courier New" w:eastAsia="Courier New" w:hAnsi="Courier New"/>
          <w:sz w:val="15"/>
          <w:szCs w:val="15"/>
          <w:color w:val="auto"/>
        </w:rPr>
        <w:t>For the 26 weeks ended March 1, 1997, the Company recorded a gain from the sale of the discontinued Cycle-Sat subsidiary of $16,472,000 (net of income taxes of $13,339,000), or $.65 per share.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26 weeks ended February 28, 1998, the Company had net income of</w:t>
      </w:r>
    </w:p>
    <w:p>
      <w:pPr>
        <w:spacing w:after="0" w:line="33"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$9,688,000, or $.39 per share, compared to $15,504,000, or $.61 per share for the 26 weeks ended March 1, 1997.</w:t>
      </w:r>
    </w:p>
    <w:p>
      <w:pPr>
        <w:sectPr>
          <w:pgSz w:w="11900" w:h="16838" w:orient="portrait"/>
          <w:cols w:equalWidth="0" w:num="1">
            <w:col w:w="10219"/>
          </w:cols>
          <w:pgMar w:left="240" w:top="78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80"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Company meets its working capital and capital equipment requirements and cash requirements of subsidiaries with funds generated internally and borrowings under agreements with financial institutions.</w:t>
      </w:r>
    </w:p>
    <w:p>
      <w:pPr>
        <w:spacing w:after="0" w:line="47"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At February 28, 1998, working capital was $89,613,000, a decrease of $10,322,000 from the amount at August 30, 1997. The Company's principal use of cash during the 26 weeks ended February 28, 1998 was $17,600,000 for the purchase of shares of the Company's Common Stock. The Company's principal sources and uses of cash during the 26 weeks ended February 28, 1998 are set forth in the unaudited consolidated condensed statement of cash flows for that period.</w:t>
      </w:r>
    </w:p>
    <w:p>
      <w:pPr>
        <w:spacing w:after="0" w:line="72"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Principal known demands at February 28, 1998 on the Company's liquid assets for the remainder of fiscal 1998 include approximately $2,500,000 of capital expenditures (primarily equipment replacement) and $2,300,000 of cash dividends declared by the Board of Directors on March 19, 1998 (payable on July 6, 1998 to shareholders of record as of June 5, 1998). On December 29, 1997, the Company's Board of Directors authorized the repurchase of outstanding shares of the Company's Common Stock. As of February 28, 1998, approximately $18,900,000 remained under this authorization and may be used by the Company from time to time to repurchase additional shares.</w:t>
      </w:r>
    </w:p>
    <w:p>
      <w:pPr>
        <w:spacing w:after="0" w:line="78"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ADOPTED ACCOUNTING STANDARDS</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Statement of Financial Accounting Standards ("SFAS") No. 128, "Earnings Per Share," was issued in February, 1997 and adopted by the Company in the second quarter of fiscal 1998. The adoption of SFAS No. 128 did not have a significant impact on the calculation of earnings per share.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MILLENNIUM CHANGE</w:t>
      </w:r>
    </w:p>
    <w:p>
      <w:pPr>
        <w:spacing w:after="0" w:line="180"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The Company has conducted a comprehensive review of its computer systems to identify the systems that could be affected by the "Year 2000" issue and began an implementation plan in September, 1996 to resolve this issue. It is anticipated that all reprogramming efforts will be completed by end of fiscal 1998. The remainder of calendar year 1998 is planned to be used for testing. The Company's Purchasing and Information Systems areas have prepared a survey of its active vendors requesting the status of their "Year 2000" initiatives. The Company plans on a follow-up to this survey before the end of the 1998 fiscal year to monitor their status.</w:t>
      </w:r>
    </w:p>
    <w:p>
      <w:pPr>
        <w:spacing w:after="0" w:line="78"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The Company presently estimates that the planned modifications to existing systems, the "Year 2000" compliance issue will cost approximately $200,000.</w:t>
      </w:r>
    </w:p>
    <w:p>
      <w:pPr>
        <w:sectPr>
          <w:pgSz w:w="11900" w:h="16838" w:orient="portrait"/>
          <w:cols w:equalWidth="0" w:num="1">
            <w:col w:w="10219"/>
          </w:cols>
          <w:pgMar w:left="240" w:top="789" w:right="1440" w:bottom="1440" w:gutter="0" w:footer="0" w:header="0"/>
        </w:sectPr>
      </w:pPr>
    </w:p>
    <w:bookmarkStart w:id="10" w:name="page11"/>
    <w:bookmarkEnd w:id="10"/>
    <w:p>
      <w:pPr>
        <w:spacing w:after="0"/>
        <w:tabs>
          <w:tab w:leader="none" w:pos="8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0" w:lineRule="exact"/>
        <w:rPr>
          <w:sz w:val="20"/>
          <w:szCs w:val="20"/>
          <w:color w:val="auto"/>
        </w:rPr>
      </w:pPr>
    </w:p>
    <w:p>
      <w:pPr>
        <w:ind w:left="1620" w:hanging="809"/>
        <w:spacing w:after="0"/>
        <w:tabs>
          <w:tab w:leader="none" w:pos="1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shareholders was held December 17, 1997.</w:t>
      </w:r>
    </w:p>
    <w:p>
      <w:pPr>
        <w:spacing w:after="0" w:line="179" w:lineRule="exact"/>
        <w:rPr>
          <w:rFonts w:ascii="Courier New" w:cs="Courier New" w:eastAsia="Courier New" w:hAnsi="Courier New"/>
          <w:sz w:val="15"/>
          <w:szCs w:val="15"/>
          <w:color w:val="auto"/>
        </w:rPr>
      </w:pPr>
    </w:p>
    <w:p>
      <w:pPr>
        <w:ind w:left="1620" w:right="3139" w:hanging="809"/>
        <w:spacing w:after="0" w:line="368" w:lineRule="auto"/>
        <w:tabs>
          <w:tab w:leader="none" w:pos="1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breakdown of votes for the election of ten directors was as follows*:</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VOTES CAST FOR</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AUTHORITY WITHHELD</w:t>
            </w:r>
          </w:p>
        </w:tc>
        <w:tc>
          <w:tcPr>
            <w:tcW w:w="0" w:type="dxa"/>
            <w:vAlign w:val="bottom"/>
          </w:tcPr>
          <w:p>
            <w:pPr>
              <w:spacing w:after="0"/>
              <w:rPr>
                <w:sz w:val="1"/>
                <w:szCs w:val="1"/>
                <w:color w:val="auto"/>
              </w:rPr>
            </w:pPr>
          </w:p>
        </w:tc>
      </w:tr>
      <w:tr>
        <w:trPr>
          <w:trHeight w:val="17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Gerald E. Boman</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20,383,904</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890,217</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Jerry N. Currie</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20,693,456</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580,665</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Fred G. Dohrmann</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20,319,159</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954,962</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John V. Hanson</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20,375,945</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898,176</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20,370,867</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903,254</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Gerald C. Kitch</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20,692,656</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581,465</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Richard C. Scott</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20,670,563</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603,558</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Joseph M. Shuster</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20,692,206</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581,915</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Frederick M. Zimmerman</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20,689,807</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584,314</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Francis L. Zrostlik</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20,689,042</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585,079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There were no broker non-votes.</w:t>
      </w:r>
    </w:p>
    <w:p>
      <w:pPr>
        <w:spacing w:after="0" w:line="179" w:lineRule="exact"/>
        <w:rPr>
          <w:sz w:val="20"/>
          <w:szCs w:val="20"/>
          <w:color w:val="auto"/>
        </w:rPr>
      </w:pPr>
    </w:p>
    <w:p>
      <w:pPr>
        <w:ind w:left="1620" w:right="3779" w:hanging="809"/>
        <w:spacing w:after="0" w:line="307" w:lineRule="auto"/>
        <w:tabs>
          <w:tab w:leader="none" w:pos="1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annual meeting of shareholders, the Winnebago Industries, Inc. 1997 Stock Option Plan was approved. Breakdown of votes was as follows:</w:t>
      </w:r>
    </w:p>
    <w:p>
      <w:pPr>
        <w:spacing w:after="0" w:line="47" w:lineRule="exact"/>
        <w:rPr>
          <w:rFonts w:ascii="Courier New" w:cs="Courier New" w:eastAsia="Courier New" w:hAnsi="Courier New"/>
          <w:sz w:val="15"/>
          <w:szCs w:val="15"/>
          <w:color w:val="auto"/>
        </w:rPr>
      </w:pPr>
    </w:p>
    <w:p>
      <w:pPr>
        <w:ind w:left="1620" w:right="5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- 13,876,013; Against - 2,806,032; Abstained - 580,366, and Broker Non-Votes - 4,011,710.</w:t>
      </w:r>
    </w:p>
    <w:p>
      <w:pPr>
        <w:spacing w:after="0" w:line="6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ind w:left="1620" w:hanging="809"/>
        <w:spacing w:after="0"/>
        <w:tabs>
          <w:tab w:leader="none" w:pos="1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are being filed as a part of this report.</w:t>
      </w:r>
    </w:p>
    <w:p>
      <w:pPr>
        <w:spacing w:after="0" w:line="179" w:lineRule="exact"/>
        <w:rPr>
          <w:rFonts w:ascii="Courier New" w:cs="Courier New" w:eastAsia="Courier New" w:hAnsi="Courier New"/>
          <w:sz w:val="15"/>
          <w:szCs w:val="15"/>
          <w:color w:val="auto"/>
        </w:rPr>
      </w:pPr>
    </w:p>
    <w:p>
      <w:pPr>
        <w:ind w:left="1620" w:right="3219" w:hanging="809"/>
        <w:spacing w:after="0" w:line="368" w:lineRule="auto"/>
        <w:tabs>
          <w:tab w:leader="none" w:pos="1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period covered by this report.</w:t>
      </w:r>
    </w:p>
    <w:p>
      <w:pPr>
        <w:sectPr>
          <w:pgSz w:w="11900" w:h="16838" w:orient="portrait"/>
          <w:cols w:equalWidth="0" w:num="1">
            <w:col w:w="10219"/>
          </w:cols>
          <w:pgMar w:left="240" w:top="789" w:right="1440" w:bottom="1440" w:gutter="0" w:footer="0" w:header="0"/>
        </w:sectPr>
      </w:pPr>
    </w:p>
    <w:bookmarkStart w:id="11" w:name="page12"/>
    <w:bookmarkEnd w:id="11"/>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jc w:val="both"/>
        <w:ind w:right="3679"/>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WINNEBAGO INDUSTRIES, INC.</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789"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9,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ectPr>
          <w:pgSz w:w="11900" w:h="16838" w:orient="portrait"/>
          <w:cols w:equalWidth="0" w:num="3">
            <w:col w:w="360" w:space="360"/>
            <w:col w:w="2180" w:space="720"/>
            <w:col w:w="6599"/>
          </w:cols>
          <w:pgMar w:left="240" w:top="789" w:right="1440" w:bottom="1440" w:gutter="0" w:footer="0" w:header="0"/>
          <w:type w:val="continuous"/>
        </w:sect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9,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Chief Financial Officer</w:t>
      </w:r>
    </w:p>
    <w:p>
      <w:pPr>
        <w:sectPr>
          <w:pgSz w:w="11900" w:h="16838" w:orient="portrait"/>
          <w:cols w:equalWidth="0" w:num="3">
            <w:col w:w="360" w:space="360"/>
            <w:col w:w="2180" w:space="720"/>
            <w:col w:w="6599"/>
          </w:cols>
          <w:pgMar w:left="240" w:top="789" w:right="1440" w:bottom="1440" w:gutter="0" w:footer="0" w:header="0"/>
          <w:type w:val="continuous"/>
        </w:sectPr>
      </w:pPr>
    </w:p>
    <w:bookmarkStart w:id="12" w:name="page13"/>
    <w:bookmarkEnd w:id="12"/>
    <w:p>
      <w:pPr>
        <w:ind w:left="70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6-MOS</w:t>
      </w:r>
    </w:p>
    <w:p>
      <w:pPr>
        <w:spacing w:after="0" w:line="3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AUG-29-1998</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FEB-28-1998</w:t>
      </w:r>
    </w:p>
    <w:p>
      <w:pPr>
        <w:spacing w:after="0" w:line="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43,369</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44,919</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1,484</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53,531</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153,927</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111,871</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79,522</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227,937</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64,314</w:t>
      </w:r>
    </w:p>
    <w:p>
      <w:pPr>
        <w:spacing w:after="0" w:line="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12,930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100,712</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227,937</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118,709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118,709</w:t>
      </w:r>
    </w:p>
    <w:p>
      <w:pPr>
        <w:spacing w:after="0" w:line="5"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104,354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104,354</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8,636</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(771)</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6,490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2,140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4,350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5"/>
          <w:szCs w:val="15"/>
          <w:color w:val="auto"/>
        </w:rPr>
        <w:t>4,350</w:t>
      </w:r>
    </w:p>
    <w:p>
      <w:pPr>
        <w:spacing w:after="0" w:line="5"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9019"/>
      </w:cols>
      <w:pgMar w:left="1440" w:top="4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2019-12-13T08:14:53Z</dcterms:created>
  <dcterms:modified xsi:type="dcterms:W3CDTF">2019-12-13T08:14:53Z</dcterms:modified>
</cp:coreProperties>
</file>