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92075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42545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ANNUAL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fiscal year ended August 27, 2011; or</w:t>
      </w:r>
      <w:r>
        <w:rPr>
          <w:rFonts w:ascii="Arial" w:cs="Arial" w:eastAsia="Arial" w:hAnsi="Arial"/>
          <w:sz w:val="18"/>
          <w:szCs w:val="18"/>
          <w:color w:val="auto"/>
        </w:rPr>
        <w:t xml:space="preserve"> o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transition period from</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 to _______________________</w:t>
      </w:r>
    </w:p>
    <w:p>
      <w:pPr>
        <w:spacing w:after="0" w:line="208"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WINNEBAGO INDUSTRIES, INC.</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Iowa</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42-0802678</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(State or other jurisdiction of</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70"/>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incorporation or organization)</w:t>
            </w:r>
          </w:p>
        </w:tc>
        <w:tc>
          <w:tcPr>
            <w:tcW w:w="3680" w:type="dxa"/>
            <w:vAlign w:val="bottom"/>
          </w:tcPr>
          <w:p>
            <w:pPr>
              <w:spacing w:after="0"/>
              <w:rPr>
                <w:sz w:val="23"/>
                <w:szCs w:val="23"/>
                <w:color w:val="auto"/>
              </w:rPr>
            </w:pPr>
          </w:p>
        </w:tc>
      </w:tr>
      <w:tr>
        <w:trPr>
          <w:trHeight w:val="47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P.O. Box 152, Forest City, Iowa</w:t>
            </w:r>
          </w:p>
        </w:tc>
        <w:tc>
          <w:tcPr>
            <w:tcW w:w="152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50436</w:t>
            </w:r>
          </w:p>
        </w:tc>
      </w:tr>
      <w:tr>
        <w:trPr>
          <w:trHeight w:val="224"/>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Common Stock ($.50 par value)</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New York Stock Exchange, Inc.</w:t>
            </w:r>
          </w:p>
        </w:tc>
      </w:tr>
    </w:tbl>
    <w:p>
      <w:pPr>
        <w:spacing w:after="0" w:line="48" w:lineRule="exact"/>
        <w:rPr>
          <w:sz w:val="24"/>
          <w:szCs w:val="24"/>
          <w:color w:val="auto"/>
        </w:rPr>
      </w:pPr>
    </w:p>
    <w:p>
      <w:pPr>
        <w:ind w:left="7240"/>
        <w:spacing w:after="0"/>
        <w:rPr>
          <w:sz w:val="20"/>
          <w:szCs w:val="20"/>
          <w:color w:val="auto"/>
        </w:rPr>
      </w:pPr>
      <w:r>
        <w:rPr>
          <w:rFonts w:ascii="Arial" w:cs="Arial" w:eastAsia="Arial" w:hAnsi="Arial"/>
          <w:sz w:val="16"/>
          <w:szCs w:val="16"/>
          <w:color w:val="auto"/>
        </w:rPr>
        <w:t>Chicago Stock Exchange, Inc.</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51" w:lineRule="exact"/>
        <w:rPr>
          <w:sz w:val="24"/>
          <w:szCs w:val="24"/>
          <w:color w:val="auto"/>
        </w:rPr>
      </w:pPr>
    </w:p>
    <w:p>
      <w:pPr>
        <w:spacing w:after="0"/>
        <w:tabs>
          <w:tab w:leader="none" w:pos="8980" w:val="left"/>
        </w:tabs>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8"/>
          <w:szCs w:val="18"/>
          <w:color w:val="auto"/>
        </w:rPr>
        <w:t>o</w:t>
      </w:r>
      <w:r>
        <w:rPr>
          <w:sz w:val="20"/>
          <w:szCs w:val="20"/>
          <w:color w:val="auto"/>
        </w:rPr>
        <w:tab/>
      </w:r>
      <w:r>
        <w:rPr>
          <w:rFonts w:ascii="Arial" w:cs="Arial" w:eastAsia="Arial" w:hAnsi="Arial"/>
          <w:sz w:val="15"/>
          <w:szCs w:val="15"/>
          <w:color w:val="auto"/>
        </w:rPr>
        <w:t xml:space="preserve">No </w:t>
      </w:r>
      <w:r>
        <w:rPr>
          <w:rFonts w:ascii="Arial" w:cs="Arial" w:eastAsia="Arial" w:hAnsi="Arial"/>
          <w:sz w:val="17"/>
          <w:szCs w:val="17"/>
          <w:color w:val="auto"/>
        </w:rPr>
        <w:t>x</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not required to file reports pursuant to Section 13 or Section 15(d) of the Act.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201" w:lineRule="exact"/>
        <w:rPr>
          <w:sz w:val="24"/>
          <w:szCs w:val="24"/>
          <w:color w:val="auto"/>
        </w:rPr>
      </w:pPr>
    </w:p>
    <w:p>
      <w:pPr>
        <w:jc w:val="both"/>
        <w:ind w:right="120"/>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152" w:lineRule="exact"/>
        <w:rPr>
          <w:sz w:val="24"/>
          <w:szCs w:val="24"/>
          <w:color w:val="auto"/>
        </w:rPr>
      </w:pPr>
    </w:p>
    <w:p>
      <w:pPr>
        <w:jc w:val="both"/>
        <w:ind w:right="60"/>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152" w:lineRule="exact"/>
        <w:rPr>
          <w:sz w:val="24"/>
          <w:szCs w:val="24"/>
          <w:color w:val="auto"/>
        </w:rPr>
      </w:pPr>
    </w:p>
    <w:p>
      <w:pPr>
        <w:jc w:val="both"/>
        <w:ind w:right="160"/>
        <w:spacing w:after="0" w:line="275" w:lineRule="auto"/>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8"/>
          <w:szCs w:val="18"/>
          <w:color w:val="auto"/>
        </w:rPr>
        <w:t>x</w:t>
      </w:r>
      <w:r>
        <w:rPr>
          <w:rFonts w:ascii="Arial" w:cs="Arial" w:eastAsia="Arial" w:hAnsi="Arial"/>
          <w:sz w:val="16"/>
          <w:szCs w:val="16"/>
          <w:color w:val="auto"/>
        </w:rPr>
        <w:t>.</w:t>
      </w:r>
    </w:p>
    <w:p>
      <w:pPr>
        <w:spacing w:after="0" w:line="138"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right="3220"/>
        <w:spacing w:after="0" w:line="438" w:lineRule="auto"/>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rFonts w:ascii="Arial" w:cs="Arial" w:eastAsia="Arial" w:hAnsi="Arial"/>
          <w:sz w:val="16"/>
          <w:szCs w:val="16"/>
          <w:color w:val="auto"/>
        </w:rPr>
        <w:t xml:space="preserve"> Accelerated Filer </w:t>
      </w:r>
      <w:r>
        <w:rPr>
          <w:rFonts w:ascii="Arial" w:cs="Arial" w:eastAsia="Arial" w:hAnsi="Arial"/>
          <w:sz w:val="18"/>
          <w:szCs w:val="18"/>
          <w:color w:val="auto"/>
        </w:rPr>
        <w:t>x</w:t>
      </w:r>
      <w:r>
        <w:rPr>
          <w:rFonts w:ascii="Arial" w:cs="Arial" w:eastAsia="Arial" w:hAnsi="Arial"/>
          <w:sz w:val="16"/>
          <w:szCs w:val="16"/>
          <w:color w:val="auto"/>
        </w:rPr>
        <w:t xml:space="preserve"> Non-accelerated filer </w:t>
      </w:r>
      <w:r>
        <w:rPr>
          <w:rFonts w:ascii="Arial" w:cs="Arial" w:eastAsia="Arial" w:hAnsi="Arial"/>
          <w:sz w:val="18"/>
          <w:szCs w:val="18"/>
          <w:color w:val="auto"/>
        </w:rPr>
        <w:t>o</w:t>
      </w:r>
      <w:r>
        <w:rPr>
          <w:rFonts w:ascii="Arial" w:cs="Arial" w:eastAsia="Arial" w:hAnsi="Arial"/>
          <w:sz w:val="16"/>
          <w:szCs w:val="16"/>
          <w:color w:val="auto"/>
        </w:rPr>
        <w:t xml:space="preserve"> Smaller Reporting Company </w:t>
      </w:r>
      <w:r>
        <w:rPr>
          <w:rFonts w:ascii="Arial" w:cs="Arial" w:eastAsia="Arial" w:hAnsi="Arial"/>
          <w:sz w:val="18"/>
          <w:szCs w:val="18"/>
          <w:color w:val="auto"/>
        </w:rPr>
        <w:t>o</w:t>
      </w:r>
      <w:r>
        <w:rPr>
          <w:rFonts w:ascii="Arial" w:cs="Arial" w:eastAsia="Arial" w:hAnsi="Arial"/>
          <w:sz w:val="16"/>
          <w:szCs w:val="16"/>
          <w:color w:val="auto"/>
        </w:rPr>
        <w:t xml:space="preserve"> Indicate by check mark whether the registrant is a shell company (as defined in Rule 12b-2 of the Act).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1" w:lineRule="exact"/>
        <w:rPr>
          <w:sz w:val="24"/>
          <w:szCs w:val="24"/>
          <w:color w:val="auto"/>
        </w:rPr>
      </w:pPr>
    </w:p>
    <w:p>
      <w:pPr>
        <w:ind w:right="280"/>
        <w:spacing w:after="0" w:line="260" w:lineRule="auto"/>
        <w:rPr>
          <w:sz w:val="20"/>
          <w:szCs w:val="20"/>
          <w:color w:val="auto"/>
        </w:rPr>
      </w:pPr>
      <w:r>
        <w:rPr>
          <w:rFonts w:ascii="Arial" w:cs="Arial" w:eastAsia="Arial" w:hAnsi="Arial"/>
          <w:sz w:val="16"/>
          <w:szCs w:val="16"/>
          <w:color w:val="auto"/>
        </w:rPr>
        <w:t>Aggregate market value of the common stock held by non-affiliates of the registrant: $411,046,818 (28,906,246 shares at the closing price on the New York Stock Exchange of $14.22 on February 25, 2011).</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Common stock outstanding on October 4, 2011: 29,137,648 shares.</w:t>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4"/>
          <w:szCs w:val="24"/>
          <w:color w:val="auto"/>
        </w:rPr>
      </w:pPr>
    </w:p>
    <w:p>
      <w:pPr>
        <w:ind w:right="200"/>
        <w:spacing w:after="0" w:line="295" w:lineRule="auto"/>
        <w:rPr>
          <w:sz w:val="20"/>
          <w:szCs w:val="20"/>
          <w:color w:val="auto"/>
        </w:rPr>
      </w:pPr>
      <w:r>
        <w:rPr>
          <w:rFonts w:ascii="Arial" w:cs="Arial" w:eastAsia="Arial" w:hAnsi="Arial"/>
          <w:sz w:val="16"/>
          <w:szCs w:val="16"/>
          <w:color w:val="auto"/>
        </w:rPr>
        <w:t>Portions of the registrant's Proxy Statement relating to the registrant's December 2011 Annual Meeting of Shareholders, scheduled to be held December 13, 2011,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920" w:type="dxa"/>
            <w:vAlign w:val="bottom"/>
            <w:gridSpan w:val="8"/>
          </w:tcPr>
          <w:p>
            <w:pPr>
              <w:jc w:val="center"/>
              <w:ind w:right="4100"/>
              <w:spacing w:after="0"/>
              <w:rPr>
                <w:sz w:val="20"/>
                <w:szCs w:val="20"/>
                <w:color w:val="auto"/>
              </w:rPr>
            </w:pPr>
            <w:r>
              <w:rPr>
                <w:rFonts w:ascii="Arial" w:cs="Arial" w:eastAsia="Arial" w:hAnsi="Arial"/>
                <w:sz w:val="22"/>
                <w:szCs w:val="22"/>
                <w:b w:val="1"/>
                <w:bCs w:val="1"/>
                <w:color w:val="auto"/>
                <w:w w:val="97"/>
              </w:rPr>
              <w:t>Winnebago Industries, Inc.</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380" w:type="dxa"/>
            <w:vAlign w:val="bottom"/>
            <w:gridSpan w:val="9"/>
          </w:tcPr>
          <w:p>
            <w:pPr>
              <w:jc w:val="center"/>
              <w:ind w:right="3620"/>
              <w:spacing w:after="0"/>
              <w:rPr>
                <w:sz w:val="20"/>
                <w:szCs w:val="20"/>
                <w:color w:val="auto"/>
              </w:rPr>
            </w:pPr>
            <w:r>
              <w:rPr>
                <w:rFonts w:ascii="Arial" w:cs="Arial" w:eastAsia="Arial" w:hAnsi="Arial"/>
                <w:sz w:val="22"/>
                <w:szCs w:val="22"/>
                <w:b w:val="1"/>
                <w:bCs w:val="1"/>
                <w:color w:val="auto"/>
                <w:w w:val="98"/>
              </w:rPr>
              <w:t>2011 Form 10-K Annual Report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20" w:type="dxa"/>
            <w:vAlign w:val="bottom"/>
            <w:gridSpan w:val="8"/>
          </w:tcPr>
          <w:p>
            <w:pPr>
              <w:jc w:val="center"/>
              <w:ind w:right="4100"/>
              <w:spacing w:after="0"/>
              <w:rPr>
                <w:sz w:val="20"/>
                <w:szCs w:val="20"/>
                <w:color w:val="auto"/>
              </w:rPr>
            </w:pPr>
            <w:r>
              <w:rPr>
                <w:rFonts w:ascii="Arial" w:cs="Arial" w:eastAsia="Arial" w:hAnsi="Arial"/>
                <w:sz w:val="22"/>
                <w:szCs w:val="22"/>
                <w:b w:val="1"/>
                <w:bCs w:val="1"/>
                <w:color w:val="auto"/>
                <w:w w:val="97"/>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7"/>
        </w:trPr>
        <w:tc>
          <w:tcPr>
            <w:tcW w:w="520" w:type="dxa"/>
            <w:vAlign w:val="bottom"/>
            <w:tcBorders>
              <w:bottom w:val="single" w:sz="8" w:color="0000FF"/>
            </w:tcBorders>
          </w:tcPr>
          <w:p>
            <w:pPr>
              <w:spacing w:after="0"/>
              <w:rPr>
                <w:rFonts w:ascii="Arial" w:cs="Arial" w:eastAsia="Arial" w:hAnsi="Arial"/>
                <w:sz w:val="16"/>
                <w:szCs w:val="16"/>
                <w:b w:val="1"/>
                <w:bCs w:val="1"/>
                <w:color w:val="0000FF"/>
                <w:w w:val="95"/>
              </w:rPr>
            </w:pPr>
            <w:hyperlink w:anchor="page2">
              <w:r>
                <w:rPr>
                  <w:rFonts w:ascii="Arial" w:cs="Arial" w:eastAsia="Arial" w:hAnsi="Arial"/>
                  <w:sz w:val="16"/>
                  <w:szCs w:val="16"/>
                  <w:b w:val="1"/>
                  <w:bCs w:val="1"/>
                  <w:color w:val="0000FF"/>
                  <w:w w:val="95"/>
                </w:rPr>
                <w:t>PART I</w:t>
              </w:r>
            </w:hyperlink>
          </w:p>
        </w:tc>
        <w:tc>
          <w:tcPr>
            <w:tcW w:w="40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FF"/>
            </w:tcBorders>
          </w:tcPr>
          <w:p>
            <w:pPr>
              <w:spacing w:after="0"/>
              <w:rPr>
                <w:rFonts w:ascii="Arial" w:cs="Arial" w:eastAsia="Arial" w:hAnsi="Arial"/>
                <w:sz w:val="16"/>
                <w:szCs w:val="16"/>
                <w:color w:val="0000FF"/>
                <w:w w:val="98"/>
              </w:rPr>
            </w:pPr>
            <w:hyperlink w:anchor="page3">
              <w:r>
                <w:rPr>
                  <w:rFonts w:ascii="Arial" w:cs="Arial" w:eastAsia="Arial" w:hAnsi="Arial"/>
                  <w:sz w:val="16"/>
                  <w:szCs w:val="16"/>
                  <w:color w:val="0000FF"/>
                  <w:w w:val="98"/>
                </w:rPr>
                <w:t>Business</w:t>
              </w:r>
            </w:hyperlink>
          </w:p>
        </w:tc>
        <w:tc>
          <w:tcPr>
            <w:tcW w:w="9600" w:type="dxa"/>
            <w:vAlign w:val="bottom"/>
            <w:gridSpan w:val="19"/>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1</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7">
              <w:r>
                <w:rPr>
                  <w:rFonts w:ascii="Arial" w:cs="Arial" w:eastAsia="Arial" w:hAnsi="Arial"/>
                  <w:sz w:val="16"/>
                  <w:szCs w:val="16"/>
                  <w:color w:val="0000FF"/>
                  <w:w w:val="98"/>
                </w:rPr>
                <w:t>Risk Factors</w:t>
              </w:r>
            </w:hyperlink>
          </w:p>
        </w:tc>
        <w:tc>
          <w:tcPr>
            <w:tcW w:w="9360" w:type="dxa"/>
            <w:vAlign w:val="bottom"/>
            <w:gridSpan w:val="17"/>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6</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2020" w:type="dxa"/>
            <w:vAlign w:val="bottom"/>
            <w:tcBorders>
              <w:bottom w:val="single" w:sz="8" w:color="0000FF"/>
            </w:tcBorders>
            <w:gridSpan w:val="9"/>
          </w:tcPr>
          <w:p>
            <w:pPr>
              <w:spacing w:after="0"/>
              <w:rPr>
                <w:rFonts w:ascii="Arial" w:cs="Arial" w:eastAsia="Arial" w:hAnsi="Arial"/>
                <w:sz w:val="16"/>
                <w:szCs w:val="16"/>
                <w:color w:val="0000FF"/>
                <w:w w:val="99"/>
              </w:rPr>
            </w:pPr>
            <w:hyperlink w:anchor="page10">
              <w:r>
                <w:rPr>
                  <w:rFonts w:ascii="Arial" w:cs="Arial" w:eastAsia="Arial" w:hAnsi="Arial"/>
                  <w:sz w:val="16"/>
                  <w:szCs w:val="16"/>
                  <w:color w:val="0000FF"/>
                  <w:w w:val="99"/>
                </w:rPr>
                <w:t>Unresolved Staff Comments</w:t>
              </w:r>
            </w:hyperlink>
          </w:p>
        </w:tc>
        <w:tc>
          <w:tcPr>
            <w:tcW w:w="8240" w:type="dxa"/>
            <w:vAlign w:val="bottom"/>
            <w:gridSpan w:val="11"/>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0">
              <w:r>
                <w:rPr>
                  <w:rFonts w:ascii="Arial" w:cs="Arial" w:eastAsia="Arial" w:hAnsi="Arial"/>
                  <w:sz w:val="16"/>
                  <w:szCs w:val="16"/>
                  <w:color w:val="0000FF"/>
                  <w:w w:val="89"/>
                </w:rPr>
                <w:t>8</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2.</w:t>
            </w:r>
          </w:p>
        </w:tc>
        <w:tc>
          <w:tcPr>
            <w:tcW w:w="740" w:type="dxa"/>
            <w:vAlign w:val="bottom"/>
            <w:tcBorders>
              <w:bottom w:val="single" w:sz="8" w:color="0000FF"/>
            </w:tcBorders>
            <w:gridSpan w:val="2"/>
          </w:tcPr>
          <w:p>
            <w:pPr>
              <w:spacing w:after="0"/>
              <w:rPr>
                <w:rFonts w:ascii="Arial" w:cs="Arial" w:eastAsia="Arial" w:hAnsi="Arial"/>
                <w:sz w:val="16"/>
                <w:szCs w:val="16"/>
                <w:color w:val="0000FF"/>
                <w:w w:val="98"/>
              </w:rPr>
            </w:pPr>
            <w:hyperlink w:anchor="page10">
              <w:r>
                <w:rPr>
                  <w:rFonts w:ascii="Arial" w:cs="Arial" w:eastAsia="Arial" w:hAnsi="Arial"/>
                  <w:sz w:val="16"/>
                  <w:szCs w:val="16"/>
                  <w:color w:val="0000FF"/>
                  <w:w w:val="98"/>
                </w:rPr>
                <w:t>Properties</w:t>
              </w:r>
            </w:hyperlink>
          </w:p>
        </w:tc>
        <w:tc>
          <w:tcPr>
            <w:tcW w:w="9520" w:type="dxa"/>
            <w:vAlign w:val="bottom"/>
            <w:gridSpan w:val="18"/>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0">
              <w:r>
                <w:rPr>
                  <w:rFonts w:ascii="Arial" w:cs="Arial" w:eastAsia="Arial" w:hAnsi="Arial"/>
                  <w:sz w:val="16"/>
                  <w:szCs w:val="16"/>
                  <w:color w:val="0000FF"/>
                  <w:w w:val="89"/>
                </w:rPr>
                <w:t>8</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3.</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10">
              <w:r>
                <w:rPr>
                  <w:rFonts w:ascii="Arial" w:cs="Arial" w:eastAsia="Arial" w:hAnsi="Arial"/>
                  <w:sz w:val="16"/>
                  <w:szCs w:val="16"/>
                  <w:color w:val="0000FF"/>
                  <w:w w:val="99"/>
                </w:rPr>
                <w:t>Legal Proceedings</w:t>
              </w:r>
            </w:hyperlink>
          </w:p>
        </w:tc>
        <w:tc>
          <w:tcPr>
            <w:tcW w:w="8920" w:type="dxa"/>
            <w:vAlign w:val="bottom"/>
            <w:gridSpan w:val="15"/>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0">
              <w:r>
                <w:rPr>
                  <w:rFonts w:ascii="Arial" w:cs="Arial" w:eastAsia="Arial" w:hAnsi="Arial"/>
                  <w:sz w:val="16"/>
                  <w:szCs w:val="16"/>
                  <w:color w:val="0000FF"/>
                  <w:w w:val="89"/>
                </w:rPr>
                <w:t>8</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4.</w:t>
            </w:r>
          </w:p>
        </w:tc>
        <w:tc>
          <w:tcPr>
            <w:tcW w:w="10260" w:type="dxa"/>
            <w:vAlign w:val="bottom"/>
            <w:gridSpan w:val="20"/>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(Removed and Reserved)</w:t>
              </w:r>
            </w:hyperlink>
          </w:p>
        </w:tc>
        <w:tc>
          <w:tcPr>
            <w:tcW w:w="180" w:type="dxa"/>
            <w:vAlign w:val="bottom"/>
            <w:gridSpan w:val="2"/>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9</w:t>
              </w:r>
            </w:hyperlink>
          </w:p>
        </w:tc>
      </w:tr>
      <w:tr>
        <w:trPr>
          <w:trHeight w:val="520"/>
        </w:trPr>
        <w:tc>
          <w:tcPr>
            <w:tcW w:w="560" w:type="dxa"/>
            <w:vAlign w:val="bottom"/>
            <w:tcBorders>
              <w:bottom w:val="single" w:sz="8" w:color="0000FF"/>
            </w:tcBorders>
            <w:gridSpan w:val="2"/>
          </w:tcPr>
          <w:p>
            <w:pPr>
              <w:spacing w:after="0"/>
              <w:rPr>
                <w:rFonts w:ascii="Arial" w:cs="Arial" w:eastAsia="Arial" w:hAnsi="Arial"/>
                <w:sz w:val="16"/>
                <w:szCs w:val="16"/>
                <w:b w:val="1"/>
                <w:bCs w:val="1"/>
                <w:color w:val="0000FF"/>
                <w:w w:val="94"/>
              </w:rPr>
            </w:pPr>
            <w:hyperlink w:anchor="page11">
              <w:r>
                <w:rPr>
                  <w:rFonts w:ascii="Arial" w:cs="Arial" w:eastAsia="Arial" w:hAnsi="Arial"/>
                  <w:sz w:val="16"/>
                  <w:szCs w:val="16"/>
                  <w:b w:val="1"/>
                  <w:bCs w:val="1"/>
                  <w:color w:val="0000FF"/>
                  <w:w w:val="94"/>
                </w:rPr>
                <w:t>PART II</w:t>
              </w:r>
            </w:hyperlink>
          </w:p>
        </w:tc>
        <w:tc>
          <w:tcPr>
            <w:tcW w:w="36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920" w:type="dxa"/>
            <w:vAlign w:val="bottom"/>
            <w:gridSpan w:val="5"/>
          </w:tcPr>
          <w:p>
            <w:pPr>
              <w:spacing w:after="0"/>
              <w:rPr>
                <w:sz w:val="20"/>
                <w:szCs w:val="20"/>
                <w:color w:val="auto"/>
              </w:rPr>
            </w:pPr>
            <w:r>
              <w:rPr>
                <w:rFonts w:ascii="Arial" w:cs="Arial" w:eastAsia="Arial" w:hAnsi="Arial"/>
                <w:sz w:val="16"/>
                <w:szCs w:val="16"/>
                <w:color w:val="auto"/>
              </w:rPr>
              <w:t>Item 5.</w:t>
            </w:r>
          </w:p>
        </w:tc>
        <w:tc>
          <w:tcPr>
            <w:tcW w:w="6020" w:type="dxa"/>
            <w:vAlign w:val="bottom"/>
            <w:tcBorders>
              <w:bottom w:val="single" w:sz="8" w:color="0000FF"/>
            </w:tcBorders>
            <w:gridSpan w:val="16"/>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Market for the Registrant's Common Equity, Related Stockholder Matters and Issuer</w:t>
              </w:r>
            </w:hyperlink>
          </w:p>
        </w:tc>
        <w:tc>
          <w:tcPr>
            <w:tcW w:w="424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w:anchor="page11">
              <w:r>
                <w:rPr>
                  <w:rFonts w:ascii="Arial" w:cs="Arial" w:eastAsia="Arial" w:hAnsi="Arial"/>
                  <w:sz w:val="16"/>
                  <w:szCs w:val="16"/>
                  <w:color w:val="0000FF"/>
                </w:rPr>
                <w:t>Purchases of Equity Securities</w:t>
              </w:r>
            </w:hyperlink>
          </w:p>
        </w:tc>
        <w:tc>
          <w:tcPr>
            <w:tcW w:w="8060" w:type="dxa"/>
            <w:vAlign w:val="bottom"/>
            <w:gridSpan w:val="10"/>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0000FF"/>
            </w:tcBorders>
          </w:tcPr>
          <w:p>
            <w:pPr>
              <w:jc w:val="right"/>
              <w:spacing w:after="0" w:line="169" w:lineRule="exact"/>
              <w:rPr>
                <w:rFonts w:ascii="Arial" w:cs="Arial" w:eastAsia="Arial" w:hAnsi="Arial"/>
                <w:sz w:val="16"/>
                <w:szCs w:val="16"/>
                <w:color w:val="0000FF"/>
                <w:w w:val="89"/>
              </w:rPr>
            </w:pPr>
            <w:hyperlink w:anchor="page11">
              <w:r>
                <w:rPr>
                  <w:rFonts w:ascii="Arial" w:cs="Arial" w:eastAsia="Arial" w:hAnsi="Arial"/>
                  <w:sz w:val="16"/>
                  <w:szCs w:val="16"/>
                  <w:color w:val="0000FF"/>
                  <w:w w:val="89"/>
                </w:rPr>
                <w:t>9</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6.</w:t>
            </w:r>
          </w:p>
        </w:tc>
        <w:tc>
          <w:tcPr>
            <w:tcW w:w="10260" w:type="dxa"/>
            <w:vAlign w:val="bottom"/>
            <w:gridSpan w:val="20"/>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Selected Financial Data</w:t>
              </w:r>
            </w:hyperlink>
          </w:p>
        </w:tc>
        <w:tc>
          <w:tcPr>
            <w:tcW w:w="180" w:type="dxa"/>
            <w:vAlign w:val="bottom"/>
            <w:gridSpan w:val="2"/>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10</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7.</w:t>
            </w:r>
          </w:p>
        </w:tc>
        <w:tc>
          <w:tcPr>
            <w:tcW w:w="10260" w:type="dxa"/>
            <w:vAlign w:val="bottom"/>
            <w:gridSpan w:val="20"/>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11</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4240" w:type="dxa"/>
            <w:vAlign w:val="bottom"/>
            <w:tcBorders>
              <w:top w:val="single" w:sz="8" w:color="0000FF"/>
              <w:bottom w:val="single" w:sz="8" w:color="0000FF"/>
            </w:tcBorders>
            <w:gridSpan w:val="14"/>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Quantitative and Qualitative Disclosures About Market Risk</w:t>
              </w:r>
            </w:hyperlink>
          </w:p>
        </w:tc>
        <w:tc>
          <w:tcPr>
            <w:tcW w:w="2120" w:type="dxa"/>
            <w:vAlign w:val="bottom"/>
            <w:tcBorders>
              <w:top w:val="single" w:sz="8" w:color="0000FF"/>
            </w:tcBorders>
            <w:gridSpan w:val="3"/>
          </w:tcPr>
          <w:p>
            <w:pPr>
              <w:spacing w:after="0"/>
              <w:rPr>
                <w:sz w:val="19"/>
                <w:szCs w:val="19"/>
                <w:color w:val="auto"/>
              </w:rPr>
            </w:pPr>
          </w:p>
        </w:tc>
        <w:tc>
          <w:tcPr>
            <w:tcW w:w="3900" w:type="dxa"/>
            <w:vAlign w:val="bottom"/>
            <w:gridSpan w:val="3"/>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24">
              <w:r>
                <w:rPr>
                  <w:rFonts w:ascii="Arial" w:cs="Arial" w:eastAsia="Arial" w:hAnsi="Arial"/>
                  <w:sz w:val="16"/>
                  <w:szCs w:val="16"/>
                  <w:color w:val="0000FF"/>
                  <w:w w:val="89"/>
                </w:rPr>
                <w:t>22</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8.</w:t>
            </w:r>
          </w:p>
        </w:tc>
        <w:tc>
          <w:tcPr>
            <w:tcW w:w="10260" w:type="dxa"/>
            <w:vAlign w:val="bottom"/>
            <w:gridSpan w:val="20"/>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Financial Statements and Supplementary Data</w:t>
              </w:r>
            </w:hyperlink>
          </w:p>
        </w:tc>
        <w:tc>
          <w:tcPr>
            <w:tcW w:w="180" w:type="dxa"/>
            <w:vAlign w:val="bottom"/>
            <w:gridSpan w:val="2"/>
          </w:tcPr>
          <w:p>
            <w:pPr>
              <w:jc w:val="right"/>
              <w:spacing w:after="0"/>
              <w:rPr>
                <w:rFonts w:ascii="Arial" w:cs="Arial" w:eastAsia="Arial" w:hAnsi="Arial"/>
                <w:sz w:val="16"/>
                <w:szCs w:val="16"/>
                <w:color w:val="0000FF"/>
                <w:w w:val="89"/>
              </w:rPr>
            </w:pPr>
            <w:hyperlink w:anchor="page24">
              <w:r>
                <w:rPr>
                  <w:rFonts w:ascii="Arial" w:cs="Arial" w:eastAsia="Arial" w:hAnsi="Arial"/>
                  <w:sz w:val="16"/>
                  <w:szCs w:val="16"/>
                  <w:color w:val="0000FF"/>
                  <w:w w:val="89"/>
                </w:rPr>
                <w:t>22</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9.</w:t>
            </w:r>
          </w:p>
        </w:tc>
        <w:tc>
          <w:tcPr>
            <w:tcW w:w="6420" w:type="dxa"/>
            <w:vAlign w:val="bottom"/>
            <w:tcBorders>
              <w:bottom w:val="single" w:sz="8" w:color="0000FF"/>
            </w:tcBorders>
            <w:gridSpan w:val="18"/>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Changes in and Disagreements with Accountants on Accounting and Financial Disclosure</w:t>
              </w:r>
            </w:hyperlink>
          </w:p>
        </w:tc>
        <w:tc>
          <w:tcPr>
            <w:tcW w:w="384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48">
              <w:r>
                <w:rPr>
                  <w:rFonts w:ascii="Arial" w:cs="Arial" w:eastAsia="Arial" w:hAnsi="Arial"/>
                  <w:sz w:val="16"/>
                  <w:szCs w:val="16"/>
                  <w:color w:val="0000FF"/>
                  <w:w w:val="89"/>
                </w:rPr>
                <w:t>46</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10260" w:type="dxa"/>
            <w:vAlign w:val="bottom"/>
            <w:gridSpan w:val="20"/>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Controls and Procedures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48">
              <w:r>
                <w:rPr>
                  <w:rFonts w:ascii="Arial" w:cs="Arial" w:eastAsia="Arial" w:hAnsi="Arial"/>
                  <w:sz w:val="16"/>
                  <w:szCs w:val="16"/>
                  <w:color w:val="0000FF"/>
                  <w:w w:val="89"/>
                </w:rPr>
                <w:t>46</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1780" w:type="dxa"/>
            <w:vAlign w:val="bottom"/>
            <w:tcBorders>
              <w:top w:val="single" w:sz="8" w:color="0000FF"/>
            </w:tcBorders>
            <w:gridSpan w:val="7"/>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Other Information</w:t>
              </w:r>
            </w:hyperlink>
          </w:p>
        </w:tc>
        <w:tc>
          <w:tcPr>
            <w:tcW w:w="8480" w:type="dxa"/>
            <w:vAlign w:val="bottom"/>
            <w:gridSpan w:val="13"/>
          </w:tcPr>
          <w:p>
            <w:pPr>
              <w:spacing w:after="0"/>
              <w:rPr>
                <w:sz w:val="19"/>
                <w:szCs w:val="19"/>
                <w:color w:val="auto"/>
              </w:rPr>
            </w:pPr>
          </w:p>
        </w:tc>
        <w:tc>
          <w:tcPr>
            <w:tcW w:w="180" w:type="dxa"/>
            <w:vAlign w:val="bottom"/>
            <w:tcBorders>
              <w:top w:val="single" w:sz="8" w:color="0000FF"/>
            </w:tcBorders>
            <w:gridSpan w:val="2"/>
          </w:tcPr>
          <w:p>
            <w:pPr>
              <w:jc w:val="right"/>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47</w:t>
              </w:r>
            </w:hyperlink>
          </w:p>
        </w:tc>
      </w:tr>
      <w:tr>
        <w:trPr>
          <w:trHeight w:val="520"/>
        </w:trPr>
        <w:tc>
          <w:tcPr>
            <w:tcW w:w="920" w:type="dxa"/>
            <w:vAlign w:val="bottom"/>
            <w:gridSpan w:val="5"/>
          </w:tcPr>
          <w:p>
            <w:pPr>
              <w:spacing w:after="0"/>
              <w:rPr>
                <w:rFonts w:ascii="Arial" w:cs="Arial" w:eastAsia="Arial" w:hAnsi="Arial"/>
                <w:sz w:val="16"/>
                <w:szCs w:val="16"/>
                <w:b w:val="1"/>
                <w:bCs w:val="1"/>
                <w:color w:val="0000FF"/>
              </w:rPr>
            </w:pPr>
            <w:hyperlink w:anchor="page49">
              <w:r>
                <w:rPr>
                  <w:rFonts w:ascii="Arial" w:cs="Arial" w:eastAsia="Arial" w:hAnsi="Arial"/>
                  <w:sz w:val="16"/>
                  <w:szCs w:val="16"/>
                  <w:b w:val="1"/>
                  <w:bCs w:val="1"/>
                  <w:color w:val="0000FF"/>
                </w:rPr>
                <w:t>PART III</w:t>
              </w:r>
            </w:hyperlink>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Item 10.</w:t>
            </w:r>
          </w:p>
        </w:tc>
        <w:tc>
          <w:tcPr>
            <w:tcW w:w="320" w:type="dxa"/>
            <w:vAlign w:val="bottom"/>
            <w:gridSpan w:val="2"/>
          </w:tcPr>
          <w:p>
            <w:pPr>
              <w:spacing w:after="0"/>
              <w:rPr>
                <w:sz w:val="21"/>
                <w:szCs w:val="21"/>
                <w:color w:val="auto"/>
              </w:rPr>
            </w:pPr>
          </w:p>
        </w:tc>
        <w:tc>
          <w:tcPr>
            <w:tcW w:w="10260" w:type="dxa"/>
            <w:vAlign w:val="bottom"/>
            <w:gridSpan w:val="20"/>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Directors, Executive Officers and Corporate Governance</w:t>
              </w:r>
            </w:hyperlink>
          </w:p>
        </w:tc>
        <w:tc>
          <w:tcPr>
            <w:tcW w:w="180" w:type="dxa"/>
            <w:vAlign w:val="bottom"/>
            <w:gridSpan w:val="2"/>
          </w:tcPr>
          <w:p>
            <w:pPr>
              <w:jc w:val="right"/>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47</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4040" w:type="dxa"/>
            <w:vAlign w:val="bottom"/>
            <w:tcBorders>
              <w:top w:val="single" w:sz="8" w:color="0000FF"/>
            </w:tcBorders>
            <w:gridSpan w:val="13"/>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Executive Compensation</w:t>
              </w:r>
            </w:hyperlink>
          </w:p>
        </w:tc>
        <w:tc>
          <w:tcPr>
            <w:tcW w:w="6220" w:type="dxa"/>
            <w:vAlign w:val="bottom"/>
            <w:gridSpan w:val="7"/>
          </w:tcPr>
          <w:p>
            <w:pPr>
              <w:spacing w:after="0"/>
              <w:rPr>
                <w:sz w:val="19"/>
                <w:szCs w:val="19"/>
                <w:color w:val="auto"/>
              </w:rPr>
            </w:pPr>
          </w:p>
        </w:tc>
        <w:tc>
          <w:tcPr>
            <w:tcW w:w="180" w:type="dxa"/>
            <w:vAlign w:val="bottom"/>
            <w:tcBorders>
              <w:top w:val="single" w:sz="8" w:color="0000FF"/>
            </w:tcBorders>
            <w:gridSpan w:val="2"/>
          </w:tcPr>
          <w:p>
            <w:pPr>
              <w:jc w:val="right"/>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47</w:t>
              </w:r>
            </w:hyperlink>
          </w:p>
        </w:tc>
      </w:tr>
      <w:tr>
        <w:trPr>
          <w:trHeight w:val="20"/>
        </w:trPr>
        <w:tc>
          <w:tcPr>
            <w:tcW w:w="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10260" w:type="dxa"/>
            <w:vAlign w:val="bottom"/>
            <w:gridSpan w:val="20"/>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47</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5420" w:type="dxa"/>
            <w:vAlign w:val="bottom"/>
            <w:tcBorders>
              <w:top w:val="single" w:sz="8" w:color="0000FF"/>
              <w:bottom w:val="single" w:sz="8" w:color="0000FF"/>
            </w:tcBorders>
            <w:gridSpan w:val="15"/>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Certain Relationships and Related Transactions and Director Independence</w:t>
              </w:r>
            </w:hyperlink>
          </w:p>
        </w:tc>
        <w:tc>
          <w:tcPr>
            <w:tcW w:w="1780" w:type="dxa"/>
            <w:vAlign w:val="bottom"/>
            <w:tcBorders>
              <w:top w:val="single" w:sz="8" w:color="0000FF"/>
            </w:tcBorders>
            <w:gridSpan w:val="4"/>
          </w:tcPr>
          <w:p>
            <w:pPr>
              <w:spacing w:after="0"/>
              <w:rPr>
                <w:sz w:val="19"/>
                <w:szCs w:val="19"/>
                <w:color w:val="auto"/>
              </w:rPr>
            </w:pPr>
          </w:p>
        </w:tc>
        <w:tc>
          <w:tcPr>
            <w:tcW w:w="306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47</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10260" w:type="dxa"/>
            <w:vAlign w:val="bottom"/>
            <w:gridSpan w:val="20"/>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Principal Accounting Fees and Services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47</w:t>
              </w:r>
            </w:hyperlink>
          </w:p>
        </w:tc>
      </w:tr>
      <w:tr>
        <w:trPr>
          <w:trHeight w:val="520"/>
        </w:trPr>
        <w:tc>
          <w:tcPr>
            <w:tcW w:w="920" w:type="dxa"/>
            <w:vAlign w:val="bottom"/>
            <w:gridSpan w:val="5"/>
          </w:tcPr>
          <w:p>
            <w:pPr>
              <w:spacing w:after="0"/>
              <w:rPr>
                <w:rFonts w:ascii="Arial" w:cs="Arial" w:eastAsia="Arial" w:hAnsi="Arial"/>
                <w:sz w:val="16"/>
                <w:szCs w:val="16"/>
                <w:b w:val="1"/>
                <w:bCs w:val="1"/>
                <w:color w:val="0000FF"/>
              </w:rPr>
            </w:pPr>
            <w:hyperlink w:anchor="page49">
              <w:r>
                <w:rPr>
                  <w:rFonts w:ascii="Arial" w:cs="Arial" w:eastAsia="Arial" w:hAnsi="Arial"/>
                  <w:sz w:val="16"/>
                  <w:szCs w:val="16"/>
                  <w:b w:val="1"/>
                  <w:bCs w:val="1"/>
                  <w:color w:val="0000FF"/>
                </w:rPr>
                <w:t>PART IV</w:t>
              </w:r>
            </w:hyperlink>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2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auto"/>
              </w:rPr>
              <w:t>Item 15.</w:t>
            </w:r>
          </w:p>
        </w:tc>
        <w:tc>
          <w:tcPr>
            <w:tcW w:w="300" w:type="dxa"/>
            <w:vAlign w:val="bottom"/>
          </w:tcPr>
          <w:p>
            <w:pPr>
              <w:spacing w:after="0"/>
              <w:rPr>
                <w:sz w:val="21"/>
                <w:szCs w:val="21"/>
                <w:color w:val="auto"/>
              </w:rPr>
            </w:pPr>
          </w:p>
        </w:tc>
        <w:tc>
          <w:tcPr>
            <w:tcW w:w="10260" w:type="dxa"/>
            <w:vAlign w:val="bottom"/>
            <w:gridSpan w:val="20"/>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Exhibits, Financial Statement Schedules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47</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60"/>
          </w:cols>
          <w:pgMar w:left="280" w:top="121"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187" w:lineRule="exact"/>
        <w:rPr>
          <w:sz w:val="20"/>
          <w:szCs w:val="20"/>
          <w:color w:val="auto"/>
        </w:rPr>
      </w:pPr>
    </w:p>
    <w:p>
      <w:pPr>
        <w:jc w:val="center"/>
        <w:ind w:right="-19"/>
        <w:spacing w:after="0" w:line="184"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Report for the Fiscal Year Ended August 27, 2011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the context.</w:t>
      </w:r>
    </w:p>
    <w:p>
      <w:pPr>
        <w:spacing w:after="0" w:line="14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recreation vehicles (RV) used primarily in leisure travel and outdoor recreation activities. We sell motor homes through independent dealers under the Winnebago, Itasca and Era brand names.</w:t>
      </w:r>
    </w:p>
    <w:p>
      <w:pPr>
        <w:spacing w:after="0" w:line="14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December 29, 2010, through a newly formed, wholly-owned subsidiary, Winnebago of Indiana, LLC ("Towables"), also doing business as Winnebago Industries Towables, we purchased substantially all of the assets of SunnyBrook RV, Inc. ("SunnyBrook"), a manufacturer of travel trailers and fifth wheel recreation vehicles. SunnyBrook, located in Middlebury, Indiana, was purchased for $4.7 million, net of cash acquired. We sell travel trailer and fifth wheel RVs primarily under the SunnyBrook brand name. Beginning in the fourth quarter of Fiscal 2011, we also began selling travel trailers under the Winnebago brand name.</w:t>
      </w:r>
    </w:p>
    <w:p>
      <w:pPr>
        <w:spacing w:after="0" w:line="149"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Other products manufactured by us consist primarily of original equipment manufacturing (OEM) parts, including extruded aluminum and other component products for other manufacturers and commercial vehicles.</w:t>
      </w:r>
    </w:p>
    <w:p>
      <w:pPr>
        <w:spacing w:after="0" w:line="14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Our website, located at www.winnebagoind.com, provides additional information about us. On our website, you can obtain, free of charge, this and prior year Annual Reports on Form 10-K, Quarterly Reports on Form 10-Q, Current Reports on Form 8-K and all of our other filings with the Securities and Exchange Commission ("SEC"). Our recent press releases are also available on our website. Our website also contains important information regarding our corporate governance practices. Information contained on our website is not incorporated into this Annual Report on Form 10-K.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41" w:right="2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Net revenues by major product classes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57"/>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August 27, 2011</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August 28, 2010</w:t>
            </w: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August 29, 2009</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August 30, 2008</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August 25, 2007</w:t>
            </w:r>
          </w:p>
        </w:tc>
      </w:tr>
      <w:tr>
        <w:trPr>
          <w:trHeight w:val="27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443,232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415,277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178,619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555,671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815,895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70"/>
        </w:trPr>
        <w:tc>
          <w:tcPr>
            <w:tcW w:w="226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16,712</w:t>
            </w: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4"/>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13,105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13,655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12,559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16,923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16,413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64"/>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23,369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20,552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20,341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31,758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37,844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67"/>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496,418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449,484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211,519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604,352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870,152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8890</wp:posOffset>
            </wp:positionV>
            <wp:extent cx="581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ind w:left="260" w:hanging="238"/>
        <w:spacing w:after="0" w:line="224"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30, 2008 contained 53 weeks; all other fiscal years contained 52 weeks.</w:t>
      </w:r>
    </w:p>
    <w:p>
      <w:pPr>
        <w:ind w:left="260" w:hanging="238"/>
        <w:spacing w:after="0" w:line="187"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Motor home unit revenue less discounts, sales promotions and incentives, and accrued loss on repurchase adjustments.</w:t>
      </w:r>
    </w:p>
    <w:p>
      <w:pPr>
        <w:ind w:left="260" w:hanging="238"/>
        <w:spacing w:after="0" w:line="199"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Motor Homes</w:t>
      </w:r>
      <w:r>
        <w:rPr>
          <w:rFonts w:ascii="Arial" w:cs="Arial" w:eastAsia="Arial" w:hAnsi="Arial"/>
          <w:sz w:val="16"/>
          <w:szCs w:val="16"/>
          <w:color w:val="auto"/>
        </w:rPr>
        <w:t>. A motor home is a self-propelled mobile dwelling used primarily as temporary living quarters during vacation and camping trips, or to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some other active lifestyle. The Recreation Vehicle Industry Association (RVIA) classifies motor homes into three types which are defined as follows:</w:t>
      </w:r>
    </w:p>
    <w:p>
      <w:pPr>
        <w:spacing w:after="0" w:line="122" w:lineRule="exact"/>
        <w:rPr>
          <w:sz w:val="20"/>
          <w:szCs w:val="20"/>
          <w:color w:val="auto"/>
        </w:rPr>
      </w:pPr>
    </w:p>
    <w:p>
      <w:pPr>
        <w:ind w:left="340" w:right="360" w:hanging="332"/>
        <w:spacing w:after="0" w:line="25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A models are conventional motor homes constructed directly on medium- and heavy-duty truck chassis, which include the engine and drivetrain components. The living area and driver's compartment are designed and produced by the motor home manufacturer. We manufacture Class A motor homes with gas and diesel engines.</w:t>
      </w:r>
    </w:p>
    <w:p>
      <w:pPr>
        <w:spacing w:after="0" w:line="147" w:lineRule="exact"/>
        <w:rPr>
          <w:rFonts w:ascii="Arial" w:cs="Arial" w:eastAsia="Arial" w:hAnsi="Arial"/>
          <w:sz w:val="16"/>
          <w:szCs w:val="16"/>
          <w:color w:val="auto"/>
        </w:rPr>
      </w:pPr>
    </w:p>
    <w:p>
      <w:pPr>
        <w:ind w:left="340" w:right="180" w:hanging="332"/>
        <w:spacing w:after="0" w:line="26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B models are panel-type vans to which sleeping, kitchen, and/or toilet facilities are added. These models may also have a top extension to provide more headroom. We manufacture Class B motor homes with diesel engines.</w:t>
      </w:r>
    </w:p>
    <w:p>
      <w:pPr>
        <w:spacing w:after="0" w:line="141" w:lineRule="exact"/>
        <w:rPr>
          <w:rFonts w:ascii="Arial" w:cs="Arial" w:eastAsia="Arial" w:hAnsi="Arial"/>
          <w:sz w:val="16"/>
          <w:szCs w:val="16"/>
          <w:color w:val="auto"/>
        </w:rPr>
      </w:pPr>
    </w:p>
    <w:p>
      <w:pPr>
        <w:ind w:left="340" w:right="260" w:hanging="332"/>
        <w:spacing w:after="0" w:line="26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C models are motor homes built on van-type chassis onto which the motor home manufacturer constructs a living area with access to the driver's compartment. We manufacture Class C motor homes with gas and diesel engines.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We manufacture and sell Class A and C motor homes under the Winnebago and Itasca brand names and Class B motor homes under the Era brand name.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product offerings for the 2012 model year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454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Winnebago</w:t>
            </w:r>
          </w:p>
        </w:tc>
        <w:tc>
          <w:tcPr>
            <w:tcW w:w="3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Itasca</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Era</w:t>
            </w: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45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Vista, Sightseer, Adventurer</w:t>
            </w: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Sunstar, Sunova, Suncruiser</w:t>
            </w: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1920" w:type="dxa"/>
            <w:vAlign w:val="bottom"/>
          </w:tcPr>
          <w:p>
            <w:pPr>
              <w:ind w:left="40"/>
              <w:spacing w:after="0"/>
              <w:rPr>
                <w:sz w:val="20"/>
                <w:szCs w:val="20"/>
                <w:color w:val="auto"/>
              </w:rPr>
            </w:pPr>
            <w:r>
              <w:rPr>
                <w:rFonts w:ascii="Arial" w:cs="Arial" w:eastAsia="Arial" w:hAnsi="Arial"/>
                <w:sz w:val="16"/>
                <w:szCs w:val="16"/>
                <w:color w:val="auto"/>
              </w:rPr>
              <w:t>Class A (diesel)</w:t>
            </w:r>
          </w:p>
        </w:tc>
        <w:tc>
          <w:tcPr>
            <w:tcW w:w="4540" w:type="dxa"/>
            <w:vAlign w:val="bottom"/>
          </w:tcPr>
          <w:p>
            <w:pPr>
              <w:ind w:left="740"/>
              <w:spacing w:after="0"/>
              <w:rPr>
                <w:sz w:val="20"/>
                <w:szCs w:val="20"/>
                <w:color w:val="auto"/>
              </w:rPr>
            </w:pPr>
            <w:r>
              <w:rPr>
                <w:rFonts w:ascii="Arial" w:cs="Arial" w:eastAsia="Arial" w:hAnsi="Arial"/>
                <w:sz w:val="16"/>
                <w:szCs w:val="16"/>
                <w:color w:val="auto"/>
              </w:rPr>
              <w:t>Via, Journey, Tour</w:t>
            </w:r>
          </w:p>
        </w:tc>
        <w:tc>
          <w:tcPr>
            <w:tcW w:w="3900" w:type="dxa"/>
            <w:vAlign w:val="bottom"/>
          </w:tcPr>
          <w:p>
            <w:pPr>
              <w:ind w:left="80"/>
              <w:spacing w:after="0"/>
              <w:rPr>
                <w:sz w:val="20"/>
                <w:szCs w:val="20"/>
                <w:color w:val="auto"/>
              </w:rPr>
            </w:pPr>
            <w:r>
              <w:rPr>
                <w:rFonts w:ascii="Arial" w:cs="Arial" w:eastAsia="Arial" w:hAnsi="Arial"/>
                <w:sz w:val="16"/>
                <w:szCs w:val="16"/>
                <w:color w:val="auto"/>
              </w:rPr>
              <w:t>Reyo, Meridian, Ellipse</w:t>
            </w:r>
          </w:p>
        </w:tc>
        <w:tc>
          <w:tcPr>
            <w:tcW w:w="1060" w:type="dxa"/>
            <w:vAlign w:val="bottom"/>
          </w:tcPr>
          <w:p>
            <w:pPr>
              <w:spacing w:after="0"/>
              <w:rPr>
                <w:sz w:val="19"/>
                <w:szCs w:val="19"/>
                <w:color w:val="auto"/>
              </w:rPr>
            </w:pPr>
          </w:p>
        </w:tc>
      </w:tr>
      <w:tr>
        <w:trPr>
          <w:trHeight w:val="47"/>
        </w:trPr>
        <w:tc>
          <w:tcPr>
            <w:tcW w:w="19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454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Era</w:t>
            </w:r>
          </w:p>
        </w:tc>
      </w:tr>
      <w:tr>
        <w:trPr>
          <w:trHeight w:val="224"/>
        </w:trPr>
        <w:tc>
          <w:tcPr>
            <w:tcW w:w="1920" w:type="dxa"/>
            <w:vAlign w:val="bottom"/>
          </w:tcPr>
          <w:p>
            <w:pPr>
              <w:ind w:left="40"/>
              <w:spacing w:after="0"/>
              <w:rPr>
                <w:sz w:val="20"/>
                <w:szCs w:val="20"/>
                <w:color w:val="auto"/>
              </w:rPr>
            </w:pPr>
            <w:r>
              <w:rPr>
                <w:rFonts w:ascii="Arial" w:cs="Arial" w:eastAsia="Arial" w:hAnsi="Arial"/>
                <w:sz w:val="16"/>
                <w:szCs w:val="16"/>
                <w:color w:val="auto"/>
              </w:rPr>
              <w:t>Class C</w:t>
            </w:r>
          </w:p>
        </w:tc>
        <w:tc>
          <w:tcPr>
            <w:tcW w:w="4540" w:type="dxa"/>
            <w:vAlign w:val="bottom"/>
          </w:tcPr>
          <w:p>
            <w:pPr>
              <w:ind w:left="740"/>
              <w:spacing w:after="0"/>
              <w:rPr>
                <w:sz w:val="20"/>
                <w:szCs w:val="20"/>
                <w:color w:val="auto"/>
              </w:rPr>
            </w:pPr>
            <w:r>
              <w:rPr>
                <w:rFonts w:ascii="Arial" w:cs="Arial" w:eastAsia="Arial" w:hAnsi="Arial"/>
                <w:sz w:val="16"/>
                <w:szCs w:val="16"/>
                <w:color w:val="auto"/>
              </w:rPr>
              <w:t>Access, Access Premier, Aspect, View, View Profile</w:t>
            </w:r>
          </w:p>
        </w:tc>
        <w:tc>
          <w:tcPr>
            <w:tcW w:w="3900" w:type="dxa"/>
            <w:vAlign w:val="bottom"/>
          </w:tcPr>
          <w:p>
            <w:pPr>
              <w:ind w:left="80"/>
              <w:spacing w:after="0"/>
              <w:rPr>
                <w:sz w:val="20"/>
                <w:szCs w:val="20"/>
                <w:color w:val="auto"/>
              </w:rPr>
            </w:pPr>
            <w:r>
              <w:rPr>
                <w:rFonts w:ascii="Arial" w:cs="Arial" w:eastAsia="Arial" w:hAnsi="Arial"/>
                <w:sz w:val="16"/>
                <w:szCs w:val="16"/>
                <w:color w:val="auto"/>
              </w:rPr>
              <w:t>Impulse, Impulse Silver, Cambria, Navion, Navion iQ</w:t>
            </w:r>
          </w:p>
        </w:tc>
        <w:tc>
          <w:tcPr>
            <w:tcW w:w="1060" w:type="dxa"/>
            <w:vAlign w:val="bottom"/>
          </w:tcPr>
          <w:p>
            <w:pPr>
              <w:spacing w:after="0"/>
              <w:rPr>
                <w:sz w:val="19"/>
                <w:szCs w:val="19"/>
                <w:color w:val="auto"/>
              </w:rPr>
            </w:pPr>
          </w:p>
        </w:tc>
      </w:tr>
    </w:tbl>
    <w:p>
      <w:pPr>
        <w:spacing w:after="0" w:line="210"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Motor homes generally provide living accommodations for up to seven people and include kitchen, dining, sleeping and bath areas, and in some models, a lounge. Optional equipment accessories include, among other items, generators, home theater systems, king-size beds, and UltraLeather</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upholstery and a wide selection of interior equipment. With the purchase of any new motor home, we offer a comprehensive 12-month/15,000-mile warranty on the coach and, for Class A and C motor homes, a 3-year/36,000-mile structural warranty on sidewalls and floors.</w:t>
      </w:r>
    </w:p>
    <w:p>
      <w:pPr>
        <w:spacing w:after="0" w:line="15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Our Class A and C motor homes are sold by dealers in the retail market with manufacturer's suggested retail prices ranging from approximately $69,000 to $356,000, depending on size and model, plus optional equipment and delivery charges. Our motor homes range in length from 24 to 42 feet.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 homes for the last five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w:t>
            </w:r>
          </w:p>
        </w:tc>
        <w:tc>
          <w:tcPr>
            <w:tcW w:w="9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57"/>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Units</w:t>
            </w:r>
          </w:p>
        </w:tc>
        <w:tc>
          <w:tcPr>
            <w:tcW w:w="19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August 27, 2011</w:t>
            </w:r>
          </w:p>
        </w:tc>
        <w:tc>
          <w:tcPr>
            <w:tcW w:w="18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August 28, 2010</w:t>
            </w:r>
          </w:p>
        </w:tc>
        <w:tc>
          <w:tcPr>
            <w:tcW w:w="18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August 29, 2009</w:t>
            </w:r>
          </w:p>
        </w:tc>
        <w:tc>
          <w:tcPr>
            <w:tcW w:w="18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August 30, 2008</w:t>
            </w:r>
          </w:p>
        </w:tc>
        <w:tc>
          <w:tcPr>
            <w:tcW w:w="16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August 25, 2007</w:t>
            </w:r>
          </w:p>
        </w:tc>
      </w:tr>
      <w:tr>
        <w:trPr>
          <w:trHeight w:val="27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2,436</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55.4%</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2,452</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55.3%</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822</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37.4%</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3,029</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47.3%</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60"/>
        </w:trPr>
        <w:tc>
          <w:tcPr>
            <w:tcW w:w="2280" w:type="dxa"/>
            <w:vAlign w:val="bottom"/>
          </w:tcPr>
          <w:p>
            <w:pPr>
              <w:ind w:left="40"/>
              <w:spacing w:after="0"/>
              <w:rPr>
                <w:sz w:val="20"/>
                <w:szCs w:val="20"/>
                <w:color w:val="auto"/>
              </w:rPr>
            </w:pPr>
            <w:r>
              <w:rPr>
                <w:rFonts w:ascii="Arial" w:cs="Arial" w:eastAsia="Arial" w:hAnsi="Arial"/>
                <w:sz w:val="16"/>
                <w:szCs w:val="16"/>
                <w:color w:val="auto"/>
              </w:rPr>
              <w:t>Class B</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103</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236</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149</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140</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1,856</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42.2%</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1,745</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39.4%</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1,225</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55.8%</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3,238</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50.5%</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64"/>
        </w:trPr>
        <w:tc>
          <w:tcPr>
            <w:tcW w:w="2280" w:type="dxa"/>
            <w:vAlign w:val="bottom"/>
          </w:tcPr>
          <w:p>
            <w:pPr>
              <w:ind w:left="40"/>
              <w:spacing w:after="0"/>
              <w:rPr>
                <w:sz w:val="20"/>
                <w:szCs w:val="20"/>
                <w:color w:val="auto"/>
              </w:rPr>
            </w:pPr>
            <w:r>
              <w:rPr>
                <w:rFonts w:ascii="Arial" w:cs="Arial" w:eastAsia="Arial" w:hAnsi="Arial"/>
                <w:sz w:val="16"/>
                <w:szCs w:val="16"/>
                <w:color w:val="auto"/>
              </w:rPr>
              <w:t>Total motor homes</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4,395</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4,433</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2,196</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6,407</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100.0%</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9,469</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3810</wp:posOffset>
            </wp:positionV>
            <wp:extent cx="5805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20955</wp:posOffset>
            </wp:positionV>
            <wp:extent cx="5805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ind w:left="260" w:hanging="238"/>
        <w:spacing w:after="0"/>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30, 2008 contained 53 weeks; all other fiscal years contained 52 weeks.</w:t>
      </w:r>
    </w:p>
    <w:p>
      <w:pPr>
        <w:spacing w:after="0" w:line="129"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color w:val="auto"/>
        </w:rPr>
        <w:t xml:space="preserve">Towable RVs. </w:t>
      </w:r>
      <w:r>
        <w:rPr>
          <w:rFonts w:ascii="Arial" w:cs="Arial" w:eastAsia="Arial" w:hAnsi="Arial"/>
          <w:sz w:val="16"/>
          <w:szCs w:val="16"/>
          <w:color w:val="auto"/>
        </w:rPr>
        <w:t>A towable is a non-motorized vehicle that connects to a ball hitch mounted on the tow vehicle and is used as temporary living quarters for</w:t>
      </w:r>
      <w:r>
        <w:rPr>
          <w:rFonts w:ascii="Arial" w:cs="Arial" w:eastAsia="Arial" w:hAnsi="Arial"/>
          <w:sz w:val="16"/>
          <w:szCs w:val="16"/>
          <w:b w:val="1"/>
          <w:bCs w:val="1"/>
          <w:color w:val="auto"/>
        </w:rPr>
        <w:t xml:space="preserve"> </w:t>
      </w:r>
      <w:r>
        <w:rPr>
          <w:rFonts w:ascii="Arial" w:cs="Arial" w:eastAsia="Arial" w:hAnsi="Arial"/>
          <w:sz w:val="16"/>
          <w:szCs w:val="16"/>
          <w:color w:val="auto"/>
        </w:rPr>
        <w:t>recreational travel. We manufacture and sell conventional travel trailers which are towed by means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 hitch attached to the frame of the towing vehicle and fifth wheel trailers which are constructed with a raised forward section that is connected to the vehicle with a special fifth wheel hitch.</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towable product offerings for the 2012 model year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606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Sunnybrook</w:t>
            </w:r>
          </w:p>
        </w:tc>
        <w:tc>
          <w:tcPr>
            <w:tcW w:w="35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Winnebago</w:t>
            </w:r>
          </w:p>
        </w:tc>
      </w:tr>
      <w:tr>
        <w:trPr>
          <w:trHeight w:val="218"/>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60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Bristol Bay, Brookside, Harmony, Raven, Sunset Creek, Sunset Creek</w:t>
            </w:r>
          </w:p>
        </w:tc>
        <w:tc>
          <w:tcPr>
            <w:tcW w:w="3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Winnebago One</w:t>
            </w:r>
          </w:p>
        </w:tc>
      </w:tr>
      <w:tr>
        <w:trPr>
          <w:trHeight w:val="214"/>
        </w:trPr>
        <w:tc>
          <w:tcPr>
            <w:tcW w:w="1800" w:type="dxa"/>
            <w:vAlign w:val="bottom"/>
            <w:shd w:val="clear" w:color="auto" w:fill="CCEEFF"/>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Sport</w:t>
            </w:r>
          </w:p>
        </w:tc>
        <w:tc>
          <w:tcPr>
            <w:tcW w:w="3560" w:type="dxa"/>
            <w:vAlign w:val="bottom"/>
            <w:shd w:val="clear" w:color="auto" w:fill="CCEEFF"/>
          </w:tcPr>
          <w:p>
            <w:pPr>
              <w:spacing w:after="0"/>
              <w:rPr>
                <w:sz w:val="18"/>
                <w:szCs w:val="18"/>
                <w:color w:val="auto"/>
              </w:rPr>
            </w:pPr>
          </w:p>
        </w:tc>
      </w:tr>
      <w:tr>
        <w:trPr>
          <w:trHeight w:val="224"/>
        </w:trPr>
        <w:tc>
          <w:tcPr>
            <w:tcW w:w="180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6060" w:type="dxa"/>
            <w:vAlign w:val="bottom"/>
          </w:tcPr>
          <w:p>
            <w:pPr>
              <w:ind w:left="860"/>
              <w:spacing w:after="0"/>
              <w:rPr>
                <w:sz w:val="20"/>
                <w:szCs w:val="20"/>
                <w:color w:val="auto"/>
              </w:rPr>
            </w:pPr>
            <w:r>
              <w:rPr>
                <w:rFonts w:ascii="Arial" w:cs="Arial" w:eastAsia="Arial" w:hAnsi="Arial"/>
                <w:sz w:val="16"/>
                <w:szCs w:val="16"/>
                <w:color w:val="auto"/>
              </w:rPr>
              <w:t>Bristol Bay, Brookside, Harmony, Raven</w:t>
            </w:r>
          </w:p>
        </w:tc>
        <w:tc>
          <w:tcPr>
            <w:tcW w:w="3560" w:type="dxa"/>
            <w:vAlign w:val="bottom"/>
          </w:tcPr>
          <w:p>
            <w:pPr>
              <w:ind w:left="180"/>
              <w:spacing w:after="0"/>
              <w:rPr>
                <w:sz w:val="20"/>
                <w:szCs w:val="20"/>
                <w:color w:val="auto"/>
              </w:rPr>
            </w:pPr>
            <w:r>
              <w:rPr>
                <w:rFonts w:ascii="Arial" w:cs="Arial" w:eastAsia="Arial" w:hAnsi="Arial"/>
                <w:sz w:val="16"/>
                <w:szCs w:val="16"/>
                <w:color w:val="auto"/>
              </w:rPr>
              <w:t>Winnebago Lite Five</w:t>
            </w:r>
          </w:p>
        </w:tc>
      </w:tr>
    </w:tbl>
    <w:p>
      <w:pPr>
        <w:spacing w:after="0" w:line="183"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Our travel trailers and fifth wheels are sold by dealers in the retail market with manufacturer's suggested retail prices ranging from approximately $16,000 to $48,000, depending on size and model, plus optional equipment and delivery charges. Our towables range in length from 18 to 37 feet. All new units purchased receive a comprehensive 12-month warranty. Unit sales of our towables for Fiscal 2011 were 575 travel trailers and 194 fifth wheels.</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Motor Home Parts and Services</w:t>
      </w:r>
      <w:r>
        <w:rPr>
          <w:rFonts w:ascii="Arial" w:cs="Arial" w:eastAsia="Arial" w:hAnsi="Arial"/>
          <w:sz w:val="16"/>
          <w:szCs w:val="16"/>
          <w:color w:val="auto"/>
        </w:rPr>
        <w:t>. Motor home parts and service activities represent revenues generated by service work we perform for retail customers at</w:t>
      </w:r>
      <w:r>
        <w:rPr>
          <w:rFonts w:ascii="Arial" w:cs="Arial" w:eastAsia="Arial" w:hAnsi="Arial"/>
          <w:sz w:val="16"/>
          <w:szCs w:val="16"/>
          <w:b w:val="1"/>
          <w:bCs w:val="1"/>
          <w:color w:val="auto"/>
        </w:rPr>
        <w:t xml:space="preserve"> </w:t>
      </w:r>
      <w:r>
        <w:rPr>
          <w:rFonts w:ascii="Arial" w:cs="Arial" w:eastAsia="Arial" w:hAnsi="Arial"/>
          <w:sz w:val="16"/>
          <w:szCs w:val="16"/>
          <w:color w:val="auto"/>
        </w:rPr>
        <w:t>our Forest City, Iowa facility and parts we sell to our dealers. As of August 27, 2011, our parts inventory was approximately $2.3 million and is located in a 450,000-square foot warehouse with what we believe to be the most sophisticated distribution and tracking system in the industry. Our competitive strategy is to provide proprietary manufactured parts through our dealer network, which we believe increases customer satisfaction and the value of our motor homes.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Other Manufactured Products</w:t>
      </w:r>
      <w:r>
        <w:rPr>
          <w:rFonts w:ascii="Arial" w:cs="Arial" w:eastAsia="Arial" w:hAnsi="Arial"/>
          <w:sz w:val="16"/>
          <w:szCs w:val="16"/>
          <w:color w:val="auto"/>
        </w:rPr>
        <w:t>. We manufacture aluminum extrusions which are sold to approximately 80 customers. To a limited extent, we manufacture</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component parts sold to outside manufacturers. We also manufacture commercial vehicles which are motor home shells, primarily custom designed for the buyer's special needs and requirements, such as law enforcement command centers and mobile medical and dental clinics. These commercial vehicles are sold through our dealer network.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generally produce motor homes and towables to order from dealers. We have the ability to increase our capacity by scheduling overtime and/or hiring additional production employees or to decrease our capacity through the use of shortened workweeks and/or reducing head count. We have long been known as an industry leader in innovation as each year we introduce new or redesigned products. These changes generally include new floor plans and sizes as well as design and decor modifications.</w:t>
      </w:r>
    </w:p>
    <w:p>
      <w:pPr>
        <w:spacing w:after="0" w:line="14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motor homes are produced in the state of Iowa at two different campuses. Our Forest City facilities have been designed to provide vertically integrated production line manufacturing. We also operate an assembly plant and a cabinet products manufacturing facility in Charles City, Iowa. Our motor home bodies are made from various materials and structural components which are typically laminated into rigid, lightweight panels. Body designs are developed with computer design and analysis and subjected to a variety of tests and evaluations to meet our standards and requirements. We manufacture a number of components utilized in our motor homes, with the principal exceptions being chassis, engines, generators and appliances.</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 home chassis, are available from a small group of suppliers. We are currently purchasing Class A and C chassis from Ford Motor Company, Mercedes-Benz USA (a Daimler company) and Mercedes-Benz Canada (a Daimler company) and Class A chassis from Freightliner Custom Chassis Corporation (a Daimler company). Class B chassis are purchased from Mercedes-Benz USA and Mercedes-Benz Canada. In Fiscal 2011, only three vendors, Ford Motor Company, Freightliner Custom Chassis Corporation and Mercedes-Benz (USA and Canada combined) individually accounted for more than 10% of our raw material purchases and approximating 46% in the aggregate.</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towables are produced at an assembly plant located in Middlebury, Indiana. The majority of components are comprised of frames, appliances and furniture and are purchased from suppliers.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of August 27, 2011, we had a backlog for our motor homes of 681 units with an approximate revenue value of $74.7 million. In comparison as of August 28, 2010, our backlog was 818 units with an approximate revenue value of $82.8 million. As of August 27, 2011, we had a backlog for our towables of 293 units with an approximate revenue value of $6.7 million. A more detailed description of our motor home and towable order backlog is included in Item 7,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87"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We market our recreation vehicles on a wholesale basis to a diversified independent dealer organization located throughout the United States and, to a limited extent, in Canada. Foreign sales, including Canada, were 10% or less of net revenues during each of the past three fiscal years. See Note 15 to our Financial Statements of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As of August 27, 2011 and August 28, 2010, our motor home dealer organization in the United States and Canada included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approximately 225 and 230 dealer locations, respectively. We have a number of dealers that carry our Winnebago, Itasca and Era brands; we count each motor home dealer location only once regardless of how many of our brands are offered at each such dealer location. Our towable dealer organization consisted of 172 dealer locations as of August 27, 2011 across the United States and Canada. Many of our towable dealerships also carry more than one of the towable product lines, but each dealership is counted only once in the number of towable dealer locations. During Fiscal 2011, three dealer organizations accounted for approximately 26% of our net revenues. One of our dealer organizations, FreedomRoads, LLC, accounted for 18% of our net revenue, as they sold our products in 43 of their dealership locations across 23 U.S. states.</w:t>
      </w:r>
    </w:p>
    <w:p>
      <w:pPr>
        <w:spacing w:after="0" w:line="15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sales and service agreements with dealers which generally have a term of ten years but are subject to annual review. Many of the dealers are also engaged in other areas of business, including the sale of automobiles, trailers or boats, and many dealers carry one or more competitive lines of recreation vehicles. We continue to place high emphasis on the capability of our dealers to provide complete service for our recreation vehicles. Dealers are obligated to provide full service for owners of our recreation vehicles or, in lieu thereof, to secure such service from other authorized providers.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47"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Recreation vehicle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recreation vehicle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Our maximum exposure for repurchases varies significantly from time to time, depending upon general economic conditions, seasonal shipments, competition, dealer organization, gasoline availability and access to and the cost of financing. See Note 11.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recreation vehicle market is highly competitive with many other manufacturers selling products which compete directly with our products. Some of our competitors are much larger than us most notably in the towable recreation vehicle market, which may provide them additional purchasing power. Also, some of our competitors went through Chapter 11 bankruptcy protection during calendar 2009 and their assets were purchased without many of their liabilities (e.g. warranty, product liability, workers' compensation), which we believe reduced their cost structure as compared to ours. The competition in the recreation vehicle industry is based upon design, price, quality and service of the products. We believe our principal competitive advantages are our brand strength, product quality and our service after the sale. We also believe that our motor home products have historically commanded a price premium as a result of these competitive advantages.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primary use of recreation vehicles for leisure travel and outdoor recreation has historically led to a peak retail selling season concentrated in the spring and summer months. Our sales of recreation vehicles are generally influenced by this pattern in retail sales, but can also be affected by the level of dealer inventory. Our products are generally manufactured against orders from dealers.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Trademarks and Patents</w:t>
      </w:r>
    </w:p>
    <w:p>
      <w:pPr>
        <w:spacing w:after="0" w:line="18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are subject to a variety of federal, state and local laws and regulations, including the National Traffic and Motor Vehicle Safety Act, under which the National Highway Traffic Safety Administration may require manufacturers to recall recreation vehicles that contain safety-related defects, and numerous state consumer protection laws and regulations relating to the operation of motor vehicles, including so-called "Lemon Laws." We are also subject to regulations established by the Occupational Safety and Health Administration (OSHA). Our facilities are periodically inspected by federal and state agencies, such as OSHA. We believe that our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our products and could have a material adverse effect on our results of operations. Our failure to comply with present or future regulations could result in fines being imposed on us, potential civil and criminal liability, suspension of sales or production or cessation of operations. In addition, a major product recall could have a material adverse effect on our results of operations.</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and disposal of hazardous materials and wastes and noise pollution. Although we believe that we currently are in compliance with applicable environmental regulations in all material aspects, the failure by us to comply with present or future laws and regulations could result in fines being imposed on us, potential civil and criminal liability, suspension of production or operations, alterations to the manufacturing process or costly cleanup or capital expenditures, which could have a material adverse effect on our results of operations.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have several registered trademarks which include: Access, Adventurer, Aspect, Cambria, Ellipse, Era, Impulse, Itasca, Journey, Meridian, Navion, Outlook, Reyo, Sightseer, Suncruiser, Sunova, Sunstar, Tour, Via, View, Vista, and Winnebago. We believe that our trademarks and trade names are significant to our business and we will vigorously protect them against infringement. We are not dependent upon any patents or technology licenses for the conduct of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Research and development expenditures are expensed as incurred. During Fiscal 2011, 2010 and 2009, we spent approximately $3.3 million, $3.2 million and $3.3 million, respectively on research and development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87" w:lineRule="exact"/>
        <w:rPr>
          <w:sz w:val="20"/>
          <w:szCs w:val="20"/>
          <w:color w:val="auto"/>
        </w:rPr>
      </w:pPr>
    </w:p>
    <w:p>
      <w:pPr>
        <w:jc w:val="both"/>
        <w:ind w:right="420"/>
        <w:spacing w:after="0" w:line="260" w:lineRule="auto"/>
        <w:rPr>
          <w:sz w:val="20"/>
          <w:szCs w:val="20"/>
          <w:color w:val="auto"/>
        </w:rPr>
      </w:pPr>
      <w:r>
        <w:rPr>
          <w:rFonts w:ascii="Arial" w:cs="Arial" w:eastAsia="Arial" w:hAnsi="Arial"/>
          <w:sz w:val="16"/>
          <w:szCs w:val="16"/>
          <w:color w:val="auto"/>
        </w:rPr>
        <w:t>At the end of Fiscal 2011, 2010 and 2009, we employed approximately 2,130, 1,950 and 1,630 persons, respectively. None of our employees are covered under a collective bargaining agreement. We believe our relations with our employees are good.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59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64"/>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59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Office (Year First Elected an Officer)</w:t>
            </w:r>
          </w:p>
        </w:tc>
        <w:tc>
          <w:tcPr>
            <w:tcW w:w="2440" w:type="dxa"/>
            <w:vAlign w:val="bottom"/>
            <w:tcBorders>
              <w:bottom w:val="single" w:sz="8" w:color="auto"/>
            </w:tcBorders>
          </w:tcPr>
          <w:p>
            <w:pPr>
              <w:jc w:val="center"/>
              <w:ind w:left="1559"/>
              <w:spacing w:after="0"/>
              <w:rPr>
                <w:sz w:val="20"/>
                <w:szCs w:val="20"/>
                <w:color w:val="auto"/>
              </w:rPr>
            </w:pPr>
            <w:r>
              <w:rPr>
                <w:rFonts w:ascii="Arial" w:cs="Arial" w:eastAsia="Arial" w:hAnsi="Arial"/>
                <w:sz w:val="16"/>
                <w:szCs w:val="16"/>
                <w:b w:val="1"/>
                <w:bCs w:val="1"/>
                <w:color w:val="auto"/>
              </w:rPr>
              <w:t>Age</w:t>
            </w: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Robert J. Olson </w:t>
            </w:r>
            <w:r>
              <w:rPr>
                <w:rFonts w:ascii="Arial" w:cs="Arial" w:eastAsia="Arial" w:hAnsi="Arial"/>
                <w:sz w:val="21"/>
                <w:szCs w:val="21"/>
                <w:color w:val="auto"/>
                <w:vertAlign w:val="superscript"/>
              </w:rPr>
              <w:t>(1)</w:t>
            </w:r>
          </w:p>
        </w:tc>
        <w:tc>
          <w:tcPr>
            <w:tcW w:w="5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Chairman of the Board (1996)</w:t>
            </w:r>
          </w:p>
        </w:tc>
        <w:tc>
          <w:tcPr>
            <w:tcW w:w="2440" w:type="dxa"/>
            <w:vAlign w:val="bottom"/>
            <w:shd w:val="clear" w:color="auto" w:fill="CCEEFF"/>
          </w:tcPr>
          <w:p>
            <w:pPr>
              <w:jc w:val="center"/>
              <w:ind w:left="1579"/>
              <w:spacing w:after="0"/>
              <w:rPr>
                <w:sz w:val="20"/>
                <w:szCs w:val="20"/>
                <w:color w:val="auto"/>
              </w:rPr>
            </w:pPr>
            <w:r>
              <w:rPr>
                <w:rFonts w:ascii="Arial" w:cs="Arial" w:eastAsia="Arial" w:hAnsi="Arial"/>
                <w:sz w:val="16"/>
                <w:szCs w:val="16"/>
                <w:color w:val="auto"/>
              </w:rPr>
              <w:t>60</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5920" w:type="dxa"/>
            <w:vAlign w:val="bottom"/>
          </w:tcPr>
          <w:p>
            <w:pPr>
              <w:ind w:left="300"/>
              <w:spacing w:after="0"/>
              <w:rPr>
                <w:sz w:val="20"/>
                <w:szCs w:val="20"/>
                <w:color w:val="auto"/>
              </w:rPr>
            </w:pPr>
            <w:r>
              <w:rPr>
                <w:rFonts w:ascii="Arial" w:cs="Arial" w:eastAsia="Arial" w:hAnsi="Arial"/>
                <w:sz w:val="16"/>
                <w:szCs w:val="16"/>
                <w:color w:val="auto"/>
              </w:rPr>
              <w:t>Chief Executive Officer and President (2006)</w:t>
            </w:r>
          </w:p>
        </w:tc>
        <w:tc>
          <w:tcPr>
            <w:tcW w:w="2440" w:type="dxa"/>
            <w:vAlign w:val="bottom"/>
          </w:tcPr>
          <w:p>
            <w:pPr>
              <w:jc w:val="center"/>
              <w:ind w:left="1579"/>
              <w:spacing w:after="0"/>
              <w:rPr>
                <w:sz w:val="20"/>
                <w:szCs w:val="20"/>
                <w:color w:val="auto"/>
              </w:rPr>
            </w:pPr>
            <w:r>
              <w:rPr>
                <w:rFonts w:ascii="Arial" w:cs="Arial" w:eastAsia="Arial" w:hAnsi="Arial"/>
                <w:sz w:val="16"/>
                <w:szCs w:val="16"/>
                <w:color w:val="auto"/>
              </w:rPr>
              <w:t>52</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Raymond M. Beebe</w:t>
            </w:r>
          </w:p>
        </w:tc>
        <w:tc>
          <w:tcPr>
            <w:tcW w:w="5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General Counsel &amp; Secretary (1974)</w:t>
            </w:r>
          </w:p>
        </w:tc>
        <w:tc>
          <w:tcPr>
            <w:tcW w:w="2440" w:type="dxa"/>
            <w:vAlign w:val="bottom"/>
            <w:shd w:val="clear" w:color="auto" w:fill="CCEEFF"/>
          </w:tcPr>
          <w:p>
            <w:pPr>
              <w:jc w:val="center"/>
              <w:ind w:left="1579"/>
              <w:spacing w:after="0"/>
              <w:rPr>
                <w:sz w:val="20"/>
                <w:szCs w:val="20"/>
                <w:color w:val="auto"/>
              </w:rPr>
            </w:pPr>
            <w:r>
              <w:rPr>
                <w:rFonts w:ascii="Arial" w:cs="Arial" w:eastAsia="Arial" w:hAnsi="Arial"/>
                <w:sz w:val="16"/>
                <w:szCs w:val="16"/>
                <w:color w:val="auto"/>
              </w:rPr>
              <w:t>69</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5920" w:type="dxa"/>
            <w:vAlign w:val="bottom"/>
          </w:tcPr>
          <w:p>
            <w:pPr>
              <w:ind w:left="300"/>
              <w:spacing w:after="0"/>
              <w:rPr>
                <w:sz w:val="20"/>
                <w:szCs w:val="20"/>
                <w:color w:val="auto"/>
              </w:rPr>
            </w:pPr>
            <w:r>
              <w:rPr>
                <w:rFonts w:ascii="Arial" w:cs="Arial" w:eastAsia="Arial" w:hAnsi="Arial"/>
                <w:sz w:val="16"/>
                <w:szCs w:val="16"/>
                <w:color w:val="auto"/>
              </w:rPr>
              <w:t>Vice President, Administration (1998)</w:t>
            </w:r>
          </w:p>
        </w:tc>
        <w:tc>
          <w:tcPr>
            <w:tcW w:w="2440" w:type="dxa"/>
            <w:vAlign w:val="bottom"/>
          </w:tcPr>
          <w:p>
            <w:pPr>
              <w:jc w:val="center"/>
              <w:ind w:left="1579"/>
              <w:spacing w:after="0"/>
              <w:rPr>
                <w:sz w:val="20"/>
                <w:szCs w:val="20"/>
                <w:color w:val="auto"/>
              </w:rPr>
            </w:pPr>
            <w:r>
              <w:rPr>
                <w:rFonts w:ascii="Arial" w:cs="Arial" w:eastAsia="Arial" w:hAnsi="Arial"/>
                <w:sz w:val="16"/>
                <w:szCs w:val="16"/>
                <w:color w:val="auto"/>
              </w:rPr>
              <w:t>60</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5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Manufacturing (2010)</w:t>
            </w:r>
          </w:p>
        </w:tc>
        <w:tc>
          <w:tcPr>
            <w:tcW w:w="2440" w:type="dxa"/>
            <w:vAlign w:val="bottom"/>
            <w:shd w:val="clear" w:color="auto" w:fill="CCEEFF"/>
          </w:tcPr>
          <w:p>
            <w:pPr>
              <w:jc w:val="center"/>
              <w:ind w:left="1579"/>
              <w:spacing w:after="0"/>
              <w:rPr>
                <w:sz w:val="20"/>
                <w:szCs w:val="20"/>
                <w:color w:val="auto"/>
              </w:rPr>
            </w:pPr>
            <w:r>
              <w:rPr>
                <w:rFonts w:ascii="Arial" w:cs="Arial" w:eastAsia="Arial" w:hAnsi="Arial"/>
                <w:sz w:val="16"/>
                <w:szCs w:val="16"/>
                <w:color w:val="auto"/>
              </w:rPr>
              <w:t>48</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Roger W. Martin</w:t>
            </w:r>
          </w:p>
        </w:tc>
        <w:tc>
          <w:tcPr>
            <w:tcW w:w="5920" w:type="dxa"/>
            <w:vAlign w:val="bottom"/>
          </w:tcPr>
          <w:p>
            <w:pPr>
              <w:ind w:left="300"/>
              <w:spacing w:after="0"/>
              <w:rPr>
                <w:sz w:val="20"/>
                <w:szCs w:val="20"/>
                <w:color w:val="auto"/>
              </w:rPr>
            </w:pPr>
            <w:r>
              <w:rPr>
                <w:rFonts w:ascii="Arial" w:cs="Arial" w:eastAsia="Arial" w:hAnsi="Arial"/>
                <w:sz w:val="16"/>
                <w:szCs w:val="16"/>
                <w:color w:val="auto"/>
              </w:rPr>
              <w:t>Vice President, Sales and Marketing (2003)</w:t>
            </w:r>
          </w:p>
        </w:tc>
        <w:tc>
          <w:tcPr>
            <w:tcW w:w="2440" w:type="dxa"/>
            <w:vAlign w:val="bottom"/>
          </w:tcPr>
          <w:p>
            <w:pPr>
              <w:jc w:val="center"/>
              <w:ind w:left="1579"/>
              <w:spacing w:after="0"/>
              <w:rPr>
                <w:sz w:val="20"/>
                <w:szCs w:val="20"/>
                <w:color w:val="auto"/>
              </w:rPr>
            </w:pPr>
            <w:r>
              <w:rPr>
                <w:rFonts w:ascii="Arial" w:cs="Arial" w:eastAsia="Arial" w:hAnsi="Arial"/>
                <w:sz w:val="16"/>
                <w:szCs w:val="16"/>
                <w:color w:val="auto"/>
              </w:rPr>
              <w:t>51</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5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Chief Financial Officer (2005)</w:t>
            </w:r>
          </w:p>
        </w:tc>
        <w:tc>
          <w:tcPr>
            <w:tcW w:w="2440" w:type="dxa"/>
            <w:vAlign w:val="bottom"/>
            <w:shd w:val="clear" w:color="auto" w:fill="CCEEFF"/>
          </w:tcPr>
          <w:p>
            <w:pPr>
              <w:jc w:val="center"/>
              <w:ind w:left="1579"/>
              <w:spacing w:after="0"/>
              <w:rPr>
                <w:sz w:val="20"/>
                <w:szCs w:val="20"/>
                <w:color w:val="auto"/>
              </w:rPr>
            </w:pPr>
            <w:r>
              <w:rPr>
                <w:rFonts w:ascii="Arial" w:cs="Arial" w:eastAsia="Arial" w:hAnsi="Arial"/>
                <w:sz w:val="16"/>
                <w:szCs w:val="16"/>
                <w:color w:val="auto"/>
              </w:rPr>
              <w:t>38</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5920" w:type="dxa"/>
            <w:vAlign w:val="bottom"/>
          </w:tcPr>
          <w:p>
            <w:pPr>
              <w:ind w:left="300"/>
              <w:spacing w:after="0"/>
              <w:rPr>
                <w:sz w:val="20"/>
                <w:szCs w:val="20"/>
                <w:color w:val="auto"/>
              </w:rPr>
            </w:pPr>
            <w:r>
              <w:rPr>
                <w:rFonts w:ascii="Arial" w:cs="Arial" w:eastAsia="Arial" w:hAnsi="Arial"/>
                <w:sz w:val="16"/>
                <w:szCs w:val="16"/>
                <w:color w:val="auto"/>
              </w:rPr>
              <w:t>Vice President, Product Development (2001)</w:t>
            </w:r>
          </w:p>
        </w:tc>
        <w:tc>
          <w:tcPr>
            <w:tcW w:w="2440" w:type="dxa"/>
            <w:vAlign w:val="bottom"/>
          </w:tcPr>
          <w:p>
            <w:pPr>
              <w:jc w:val="center"/>
              <w:ind w:left="1579"/>
              <w:spacing w:after="0"/>
              <w:rPr>
                <w:sz w:val="20"/>
                <w:szCs w:val="20"/>
                <w:color w:val="auto"/>
              </w:rPr>
            </w:pPr>
            <w:r>
              <w:rPr>
                <w:rFonts w:ascii="Arial" w:cs="Arial" w:eastAsia="Arial" w:hAnsi="Arial"/>
                <w:sz w:val="16"/>
                <w:szCs w:val="16"/>
                <w:color w:val="auto"/>
              </w:rPr>
              <w:t>62</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Donald L. Heidemann</w:t>
            </w:r>
          </w:p>
        </w:tc>
        <w:tc>
          <w:tcPr>
            <w:tcW w:w="5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Treasurer and Director of Finance (2007)</w:t>
            </w:r>
          </w:p>
        </w:tc>
        <w:tc>
          <w:tcPr>
            <w:tcW w:w="2440" w:type="dxa"/>
            <w:vAlign w:val="bottom"/>
            <w:shd w:val="clear" w:color="auto" w:fill="CCEEFF"/>
          </w:tcPr>
          <w:p>
            <w:pPr>
              <w:jc w:val="center"/>
              <w:ind w:left="1579"/>
              <w:spacing w:after="0"/>
              <w:rPr>
                <w:sz w:val="20"/>
                <w:szCs w:val="20"/>
                <w:color w:val="auto"/>
              </w:rPr>
            </w:pPr>
            <w:r>
              <w:rPr>
                <w:rFonts w:ascii="Arial" w:cs="Arial" w:eastAsia="Arial" w:hAnsi="Arial"/>
                <w:sz w:val="16"/>
                <w:szCs w:val="16"/>
                <w:color w:val="auto"/>
              </w:rPr>
              <w:t>39</w:t>
            </w:r>
          </w:p>
        </w:tc>
      </w:tr>
      <w:tr>
        <w:trPr>
          <w:trHeight w:val="276"/>
        </w:trPr>
        <w:tc>
          <w:tcPr>
            <w:tcW w:w="306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Director</w:t>
            </w:r>
          </w:p>
        </w:tc>
        <w:tc>
          <w:tcPr>
            <w:tcW w:w="59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77" w:lineRule="exact"/>
        <w:rPr>
          <w:sz w:val="20"/>
          <w:szCs w:val="20"/>
          <w:color w:val="auto"/>
        </w:rPr>
      </w:pPr>
    </w:p>
    <w:p>
      <w:pPr>
        <w:jc w:val="both"/>
        <w:ind w:right="240"/>
        <w:spacing w:after="0" w:line="260"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42"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Mr. Olson has over 42 years of experience with Winnebago Industries. He was elected Chairman of the Board in May 2008. He served as Chief Executive Officer from May 2008 to June 2011, President from May 2007 to January 2011, Senior Vice President, Operations from January 2006 to May 2007, Vice President, Manufacturing, from August 1996 to January 2006.</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Potts has over 28 years of experience with Winnebago Industries. He has been Chief Executive Officer since June 2011 and President since January 2011. Prior to that time, he served as Senior Vice President, Strategic Planning from November 2009 to June 2011, Vice President, Manufacturing from October 2006 to November 2009, Director of Manufacturing from February 2006 to October 2006 and as General Manager of Manufacturing Services from November 2000 to February 2006.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Mr. Beebe has over 37 years of experience with Winnebago Industries. He has been Vice President, General Counsel and Secretary since 1986.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Mr. Gossett has over 12 years of experience with Winnebago Industries. He has been Vice President, Administration since joining the Company in 1998.</w:t>
      </w:r>
    </w:p>
    <w:p>
      <w:pPr>
        <w:spacing w:after="0" w:line="16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Mr. Krieger has over 27 years of experience with Winnebago Industries. He has been Vice President, Manufacturing since May 2010. Prior to that time, he served as Director of Manufacturing from November 2009 to May 2010 and General Manager - Fabrication from February 2002 to November 2009.</w:t>
      </w:r>
    </w:p>
    <w:p>
      <w:pPr>
        <w:spacing w:after="0" w:line="14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Mr. Martin has over 17 years of experience with Winnebago Industries. He has been Vice President, Sales and Marketing since February 2003. He joined the Company as Director of Marketing in 1994.</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Ms. Nielsen has six years of experience with Winnebago Industries. She has been Vice President and Chief Financial Officer since November 2005. Ms. Nielsen joined the Company in August 2005 as Director of Special Projects and Training. Prior to joining Winnebago Industries, she was employed as a senior audit manager at Deloite &amp; Touche LLP, where she worked from 1995 to 2005. Ms. Nielsen is a Certified Public Accountant.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Mr. O'Leary has over 39 years of experience with Winnebago Industries. He has been Vice President, Product Development since 2001.</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Mr. Heidemann has four years of experience with Winnebago Industries. He was elected to the position of Treasurer in August 2007 and has been Director of Finance since August 2011. Prior to joining Winnebago Industries, Mr. Heidemann served in various treasury positions for Select Comfort Corporation from 2003 to July 2007 and served in various treasury positions for Rent-A-Center Incorporated from 1998 to 2003.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risk factors should be considered carefully in addition to the other information contained in this Annual Report on Form 10-K. The risks and uncertainties described below are not the only ones we face, but represent the most significant risk factors that we believe may adversely affect the RV industry and our business, operations or financial position. Additional risks and uncertainties, not presently known to us also may impact our business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market for recreation vehicles is very competitive. Competition in this industry is based upon price, design, value, quality and service. There can be no assurance that existing or new competitors will not develop products that are superior to our recreation vehicles or that achieve better consumer acceptance, thereby adversely affecting market share, sales volume and profit margins. Some of our competitors are much larger than us, most notably in the towable recreation vehicle market, which may provide them additional purchasing power. Also, some of our competitors went through Chapter 11 bankruptcy proceedings and their assets were purchased without many of their liabilities (e.g. warranty, product liability, workers' compensation) which we believe lowered their cost structure as compared to ours. These competitive pressures could have a material adverse effect on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187"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auto"/>
        </w:rPr>
        <w:t>Companies within the recreation vehicle industry are subject to volatility in operating results due primarily to general economic conditions. Specific factors affecting the recreation vehicle industry include:</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Availability and Interest Rates to Dealers and Retail Purchasers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business is affected by the availability and terms of the financing to dealers. Generally, recreation vehicle dealers finance their purchases of inventory with financing provided by lending institutions. Two financial flooring institutions held 67% of our total financed dealer inventory dollars that were outstanding at August 27, 2011. In the event that either or both of these lending institutions limit or discontinue dealer financing, we could experience a material adverse effect on our results of operations. Our business is also affected by the availability and terms of financing to retail purchasers. Retail buyers purchasing a motor home or towable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Maintaining Adequate Liquidity and Capital Resources</w:t>
      </w:r>
    </w:p>
    <w:p>
      <w:pPr>
        <w:spacing w:after="0" w:line="18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Although we have historically generated revenues from our operations to pay operating expenses, make capital expenditures, buy back stock and pay cash dividends, our ability to continue to meet our cash requirements over the long term may be substantially more difficult. Due to challenging market conditions in the past few years, revenues generated from motor home sales have been significantly reduced from historical levels, further constraining our liquidity and capital resources. We have taken a number of steps, as discussed in "Item 7 - Management's Discussion and Analysis of Financial Condition and Results of Operations - Analysis of Financial Condition, Liquidity and Resources" below, to maintain our cash position and ensure adequate liquidity. However, the continuation of reduced demand for our products could weaken our liquidity position and materially adversely affect net revenues available for anticipated cash needs. To the extent the initiatives we have undertaken are not successful or we are unable to successfully implement other alternative actions, our ability to cover both short-term and long-term operation requirements would be significantly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Cyclicality and Seasonality</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recreation vehicle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4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recreation vehicle industry generally declines over the winter season, while sales are generally highest during the spring and summer months. Also, unusually severe weather conditions in some markets may impact demand.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Integration of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Fiscal 2011 we made an acquisition of a towable manufacturer. The integration and introduction of new models of recreation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vehicles is important to our future growth. We may incur unexpected expenses and the acceptance of a new product line is uncertain. We may not be able to obtain efficiencies of scale in back office processes or obtain expected purchasing efficiencies via increased volume from mutual suppliers.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187"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During Fiscal 2011, one of our dealer organizations, FreedomRoads, LLC, accounted for 18% of our net revenue, as they sold our products in 43 of their dealership locations across 23 U.S. states. The loss of this dealer organization could have a significant adverse effect on our business. In addition, deterioration in the liquidity or creditworthiness of FreedomRoads, LLC could negatively impact our sales and could trigger repurchase obligations under our repurchase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accordance with customary practice in the recreation vehicle industry, we enter into formal repurchase agreements with lending institutions pursuant to which we agree, in the event of a default by an independent retailer in its obligation to a lender and repossession of the unit(s) by the lending institution, to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w:t>
      </w:r>
    </w:p>
    <w:p>
      <w:pPr>
        <w:spacing w:after="0" w:line="34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Prior to Fiscal 2009, our losses associated with repurchases had not been material. However, the substantial decrease in retail demand for recreation vehicles and tightened credit standards by lenders resulted in a significant increase in defaults by our dealers during Fiscal 2009. Defaults by our dealers decreased significantly in Fiscal 2010 and Fiscal 2011 from the defaults in Fiscal 2009 and the associated losses were not material. If we are obligated to repurchase a larger number of recreation vehicles in the future, this would increase our costs and could have a material adverse effect on our results of operations. (See Note 11.)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Availability and Price Volatility</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Gasoline or diesel fuel is required for the operation of motorized recreation vehicles. There can be no assurance that the supply of these petroleum products will continue uninterrupted or that the price or tax on these petroleum products will not significantly increase in the future. Fuel shortages and substantial increases in fuel prices have had a material adverse effect on the recreation vehicle industry as a whole in the past and could have a material adverse effect on us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Most of our RV components are readily available from numerous sources. However, a few of our components are produced by a small group of quality suppliers. In the case of motor home chassis, Ford Motor Company, Freightliner Custom Chassis Corporation and Mercedes-Benz (USA and Canada) are our major suppliers. Our relationship with our chassis suppliers is similar to our other supplier relationships in that no special contractual commitments are engaged in by either party. Historically, chassis suppliers resort to an industry-wide allocation system during periods when supply is restricted. These allocations have been based on the volume of chassis previously purchased. Sales of motor homes rely on chassis and are affected accordingly. Decisions by our suppliers to decrease production, production delays, or work stoppages by the employees of such suppliers could have a material adverse effect on our ability to produce motor homes and ultimately, on the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recreation vehicle industry. We have an insurance policy covering product liability, however, we are self-insured for a portion of product liability claims.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It may also increase the amounts we pay in punitive damages, not all of which are covered by our insurance. In addition, if these claims rise to a level of frequency or size that are significantly higher than similar claims made against our competitors, our reputation and business may be harmed.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8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are subject to numerous federal, state and local regulations governing the manufacture and sale of our products, including the provisions of the National Traffic and Motor Vehicle Safety Act ("Motor Vehicle Act"), and the safety standards for recreation vehicles and components which have been established under the Motor Vehicle Act by the Department of Transportation. The Motor Vehicle Act authorizes the National Highway Traffic Safety Administration to require a manufacturer to recall and repair vehicles which contain certain hazards or defects. Any recalls of our vehicles, voluntary or involuntary, could have a material adverse effect on our results of operations, financial condition and cash flows.</w:t>
      </w:r>
    </w:p>
    <w:p>
      <w:pPr>
        <w:spacing w:after="0" w:line="14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 homes that may be operated in certain jurisdictions or on certain roadways. Certain jurisdictions also prohibit the sale of vehicles exceeding length restrictions.</w:t>
      </w:r>
    </w:p>
    <w:p>
      <w:pPr>
        <w:spacing w:after="0" w:line="14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which affect us and our operations. Failure to comply with any of the foregoing laws or regulations could have an adverse impact on our results of operations, financial condition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187"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Provisions of our articles of incorporation, by-laws and the Iowa Business Corporation Act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color w:val="auto"/>
        </w:rPr>
        <w:t>Unresolved Staff Comments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Properties</w:t>
      </w:r>
    </w:p>
    <w:p>
      <w:pPr>
        <w:spacing w:after="0" w:line="20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27, 2011: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Square</w:t>
            </w:r>
          </w:p>
        </w:tc>
      </w:tr>
      <w:tr>
        <w:trPr>
          <w:trHeight w:val="22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55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Facility Type/Use</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of Buildings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Footage</w:t>
            </w: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Forest City, Iowa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maintenance, service and office</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1,558,000</w:t>
            </w:r>
          </w:p>
        </w:tc>
      </w:tr>
      <w:tr>
        <w:trPr>
          <w:trHeight w:val="233"/>
        </w:trPr>
        <w:tc>
          <w:tcPr>
            <w:tcW w:w="2160" w:type="dxa"/>
            <w:vAlign w:val="bottom"/>
          </w:tcPr>
          <w:p>
            <w:pPr>
              <w:ind w:left="40"/>
              <w:spacing w:after="0"/>
              <w:rPr>
                <w:sz w:val="20"/>
                <w:szCs w:val="20"/>
                <w:color w:val="auto"/>
              </w:rPr>
            </w:pPr>
            <w:r>
              <w:rPr>
                <w:rFonts w:ascii="Arial" w:cs="Arial" w:eastAsia="Arial" w:hAnsi="Arial"/>
                <w:sz w:val="16"/>
                <w:szCs w:val="16"/>
                <w:color w:val="auto"/>
              </w:rPr>
              <w:t>Forest City, Iowa</w:t>
            </w:r>
          </w:p>
        </w:tc>
        <w:tc>
          <w:tcPr>
            <w:tcW w:w="5500" w:type="dxa"/>
            <w:vAlign w:val="bottom"/>
          </w:tcPr>
          <w:p>
            <w:pPr>
              <w:ind w:left="740"/>
              <w:spacing w:after="0"/>
              <w:rPr>
                <w:sz w:val="20"/>
                <w:szCs w:val="20"/>
                <w:color w:val="auto"/>
              </w:rPr>
            </w:pPr>
            <w:r>
              <w:rPr>
                <w:rFonts w:ascii="Arial" w:cs="Arial" w:eastAsia="Arial" w:hAnsi="Arial"/>
                <w:sz w:val="16"/>
                <w:szCs w:val="16"/>
                <w:color w:val="auto"/>
              </w:rPr>
              <w:t>Warehouse</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702,000</w:t>
            </w:r>
          </w:p>
        </w:tc>
      </w:tr>
      <w:tr>
        <w:trPr>
          <w:trHeight w:val="25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Charles City, Iowa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161,000</w:t>
            </w:r>
          </w:p>
        </w:tc>
      </w:tr>
      <w:tr>
        <w:trPr>
          <w:trHeight w:val="233"/>
        </w:trPr>
        <w:tc>
          <w:tcPr>
            <w:tcW w:w="2160" w:type="dxa"/>
            <w:vAlign w:val="bottom"/>
          </w:tcPr>
          <w:p>
            <w:pPr>
              <w:ind w:left="40"/>
              <w:spacing w:after="0"/>
              <w:rPr>
                <w:sz w:val="20"/>
                <w:szCs w:val="20"/>
                <w:color w:val="auto"/>
              </w:rPr>
            </w:pPr>
            <w:r>
              <w:rPr>
                <w:rFonts w:ascii="Arial" w:cs="Arial" w:eastAsia="Arial" w:hAnsi="Arial"/>
                <w:sz w:val="16"/>
                <w:szCs w:val="16"/>
                <w:color w:val="auto"/>
              </w:rPr>
              <w:t>Hampton, Iowa</w:t>
            </w:r>
          </w:p>
        </w:tc>
        <w:tc>
          <w:tcPr>
            <w:tcW w:w="5500" w:type="dxa"/>
            <w:vAlign w:val="bottom"/>
          </w:tcPr>
          <w:p>
            <w:pPr>
              <w:ind w:left="740"/>
              <w:spacing w:after="0"/>
              <w:rPr>
                <w:sz w:val="20"/>
                <w:szCs w:val="20"/>
                <w:color w:val="auto"/>
              </w:rPr>
            </w:pPr>
            <w:r>
              <w:rPr>
                <w:rFonts w:ascii="Arial" w:cs="Arial" w:eastAsia="Arial" w:hAnsi="Arial"/>
                <w:sz w:val="16"/>
                <w:szCs w:val="16"/>
                <w:color w:val="auto"/>
              </w:rPr>
              <w:t>Assets Held for Sale (Manufacturing)</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135,000</w:t>
            </w:r>
          </w:p>
        </w:tc>
      </w:tr>
      <w:tr>
        <w:trPr>
          <w:trHeight w:val="246"/>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Middlebury, Indiana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and office</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Leased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277,000</w:t>
            </w:r>
          </w:p>
        </w:tc>
      </w:tr>
      <w:tr>
        <w:trPr>
          <w:trHeight w:val="237"/>
        </w:trPr>
        <w:tc>
          <w:tcPr>
            <w:tcW w:w="2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24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2,833,000</w:t>
            </w:r>
          </w:p>
        </w:tc>
      </w:tr>
      <w:tr>
        <w:trPr>
          <w:trHeight w:val="20"/>
        </w:trPr>
        <w:tc>
          <w:tcPr>
            <w:tcW w:w="2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80"/>
        <w:spacing w:after="0" w:line="191" w:lineRule="exact"/>
        <w:rPr>
          <w:sz w:val="20"/>
          <w:szCs w:val="20"/>
          <w:color w:val="auto"/>
        </w:rPr>
      </w:pPr>
      <w:r>
        <w:rPr>
          <w:rFonts w:ascii="Arial" w:cs="Arial" w:eastAsia="Arial" w:hAnsi="Arial"/>
          <w:sz w:val="16"/>
          <w:szCs w:val="16"/>
          <w:color w:val="auto"/>
        </w:rPr>
        <w:t>The facilities that we own in Forest City, Charles City and Hampton are located on approximately 500 acres of land. We lease 244,000 square feet of our warehouse facilities in Forest City to others. Most of our buildings are of steel or steel and concrete construction and are protected from fire with high</w:t>
      </w:r>
      <w:r>
        <w:rPr>
          <w:rFonts w:ascii="MS PGothic" w:cs="MS PGothic" w:eastAsia="MS PGothic" w:hAnsi="MS PGothic"/>
          <w:sz w:val="16"/>
          <w:szCs w:val="16"/>
          <w:color w:val="auto"/>
        </w:rPr>
        <w:t>‑</w:t>
      </w:r>
      <w:r>
        <w:rPr>
          <w:rFonts w:ascii="Arial" w:cs="Arial" w:eastAsia="Arial" w:hAnsi="Arial"/>
          <w:sz w:val="16"/>
          <w:szCs w:val="16"/>
          <w:color w:val="auto"/>
        </w:rPr>
        <w:t>pressure sprinkler systems, dust collector systems, automatic fire doors and alarm systems. We believe that our facilities and equipment are well maintained, in excellent condition and suitable for the purposes for which they are intended.</w:t>
      </w:r>
    </w:p>
    <w:p>
      <w:pPr>
        <w:spacing w:after="0" w:line="15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In January 2011, we entered into a five year lease agreement with FFT Land Management for real property consisting of four buildings and approximately 30 acres of land located in Middlebury, Indiana. The buildings are being utilized to manufacture towable trailers. See further discussion in Note 19.</w:t>
      </w:r>
    </w:p>
    <w:p>
      <w:pPr>
        <w:spacing w:after="0" w:line="14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Under terms of our credit facility, as further described in Note 8, we have encumbered substantially all of our real property for the benefit of the lender under such facility.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Legal Proceedings</w:t>
      </w:r>
    </w:p>
    <w:p>
      <w:pPr>
        <w:spacing w:after="0" w:line="18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are not able to estimate the ultimate legal and financial liability with respect to this litigation. We believe, however,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(Removed and Reserved)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Market for the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18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Below are the New York Stock Exchange high, low and closing prices of Winnebago Industries, Inc. common stock for each quarter of Fiscal 2011 and Fiscal 2010: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2011</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Low</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Close</w:t>
            </w:r>
          </w:p>
        </w:tc>
        <w:tc>
          <w:tcPr>
            <w:tcW w:w="19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Fiscal 2010</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Close</w:t>
            </w: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10.54</w:t>
            </w:r>
          </w:p>
        </w:tc>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First Quarter</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10.20</w:t>
            </w:r>
          </w:p>
        </w:tc>
        <w:tc>
          <w:tcPr>
            <w:tcW w:w="26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14.22</w:t>
            </w:r>
          </w:p>
        </w:tc>
        <w:tc>
          <w:tcPr>
            <w:tcW w:w="1940" w:type="dxa"/>
            <w:vAlign w:val="bottom"/>
          </w:tcPr>
          <w:p>
            <w:pPr>
              <w:ind w:left="180"/>
              <w:spacing w:after="0"/>
              <w:rPr>
                <w:sz w:val="20"/>
                <w:szCs w:val="20"/>
                <w:color w:val="auto"/>
              </w:rPr>
            </w:pPr>
            <w:r>
              <w:rPr>
                <w:rFonts w:ascii="Arial" w:cs="Arial" w:eastAsia="Arial" w:hAnsi="Arial"/>
                <w:sz w:val="16"/>
                <w:szCs w:val="16"/>
                <w:color w:val="auto"/>
              </w:rPr>
              <w:t>Second Quarter</w:t>
            </w: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13.97</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10.27</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11.68</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9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11.52</w:t>
            </w:r>
          </w:p>
        </w:tc>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Third Quarter</w:t>
            </w:r>
          </w:p>
        </w:tc>
        <w:tc>
          <w:tcPr>
            <w:tcW w:w="8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12.13</w:t>
            </w:r>
          </w:p>
        </w:tc>
      </w:tr>
      <w:tr>
        <w:trPr>
          <w:trHeight w:val="251"/>
        </w:trPr>
        <w:tc>
          <w:tcPr>
            <w:tcW w:w="192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11.74</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6.31</w:t>
            </w:r>
          </w:p>
        </w:tc>
        <w:tc>
          <w:tcPr>
            <w:tcW w:w="260" w:type="dxa"/>
            <w:vAlign w:val="bottom"/>
          </w:tcPr>
          <w:p>
            <w:pPr>
              <w:spacing w:after="0"/>
              <w:rPr>
                <w:sz w:val="21"/>
                <w:szCs w:val="21"/>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7.14</w:t>
            </w:r>
          </w:p>
        </w:tc>
        <w:tc>
          <w:tcPr>
            <w:tcW w:w="1940" w:type="dxa"/>
            <w:vAlign w:val="bottom"/>
          </w:tcPr>
          <w:p>
            <w:pPr>
              <w:ind w:left="180"/>
              <w:spacing w:after="0"/>
              <w:rPr>
                <w:sz w:val="20"/>
                <w:szCs w:val="20"/>
                <w:color w:val="auto"/>
              </w:rPr>
            </w:pPr>
            <w:r>
              <w:rPr>
                <w:rFonts w:ascii="Arial" w:cs="Arial" w:eastAsia="Arial" w:hAnsi="Arial"/>
                <w:sz w:val="16"/>
                <w:szCs w:val="16"/>
                <w:color w:val="auto"/>
              </w:rPr>
              <w:t>Fourth Quarter</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13.17</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8.10</w:t>
            </w:r>
          </w:p>
        </w:tc>
        <w:tc>
          <w:tcPr>
            <w:tcW w:w="2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9.05</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4, 2011: 3,479</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18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On October 15, 2008, our Board of Directors suspended future cash dividend payments in order to conserve capital and to maintain liquidity. As a result, no dividends have been paid since the first quarter of Fiscal 2009.</w:t>
      </w:r>
    </w:p>
    <w:p>
      <w:pPr>
        <w:spacing w:after="0" w:line="14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Our credit facility, as further described in Note 8, contains covenants that limit our ability, among other things, to pay cash dividends without the consent of Burdale Capital Finance, Inc., as Agent and the lenders thereunder, in their sole discretion.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Fiscal 2011, approximately 8,000 shares were repurchased under the authorization, at an aggregate cost of approximately $89,000. These shares were repurchased from employees who vested in Winnebago shares during the year and elected to pay their payroll tax via shares as opposed to cash. As of August 27, 2011, there was approximately $59.2 million remaining under this authorization. However, our credit facility, as further described in Note 8, contains covenants that limit our ability, among other things, except for limited redemptions of Winnebago Industries' common stock from employees, to make distributions or payments with respect to or purchases of Winnebago Industries' common stock without the consent of Burdale Capital Finance, Inc., as Agent and the lenders thereunder, in their sole discretion.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We did not purchase any shares of our common stock during the fourth quarter of Fiscal 2011.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1"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27, 2011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78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(a)</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899"/>
              <w:spacing w:after="0"/>
              <w:rPr>
                <w:sz w:val="20"/>
                <w:szCs w:val="20"/>
                <w:color w:val="auto"/>
              </w:rPr>
            </w:pPr>
            <w:r>
              <w:rPr>
                <w:rFonts w:ascii="Arial" w:cs="Arial" w:eastAsia="Arial" w:hAnsi="Arial"/>
                <w:sz w:val="16"/>
                <w:szCs w:val="16"/>
                <w:b w:val="1"/>
                <w:bCs w:val="1"/>
                <w:color w:val="auto"/>
              </w:rPr>
              <w:t>(b)</w:t>
            </w:r>
          </w:p>
        </w:tc>
        <w:tc>
          <w:tcPr>
            <w:tcW w:w="212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b w:val="1"/>
                <w:bCs w:val="1"/>
                <w:color w:val="auto"/>
              </w:rPr>
              <w:t>(c)</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4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 of Securities Remaining</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to be Issued Upon Exercise of</w:t>
            </w:r>
          </w:p>
        </w:tc>
        <w:tc>
          <w:tcPr>
            <w:tcW w:w="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Available for Future Issuance Under</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(Adjusted for the 2-for-1 Stock</w:t>
            </w: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Weighted Average</w:t>
            </w:r>
          </w:p>
        </w:tc>
        <w:tc>
          <w:tcPr>
            <w:tcW w:w="28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Compensation Plans</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Split on March 5, 2004)</w:t>
            </w:r>
          </w:p>
        </w:tc>
        <w:tc>
          <w:tcPr>
            <w:tcW w:w="1780" w:type="dxa"/>
            <w:vAlign w:val="bottom"/>
          </w:tcPr>
          <w:p>
            <w:pPr>
              <w:jc w:val="center"/>
              <w:ind w:left="579"/>
              <w:spacing w:after="0"/>
              <w:rPr>
                <w:sz w:val="20"/>
                <w:szCs w:val="20"/>
                <w:color w:val="auto"/>
              </w:rPr>
            </w:pPr>
            <w:r>
              <w:rPr>
                <w:rFonts w:ascii="Arial" w:cs="Arial" w:eastAsia="Arial" w:hAnsi="Arial"/>
                <w:sz w:val="16"/>
                <w:szCs w:val="16"/>
                <w:b w:val="1"/>
                <w:bCs w:val="1"/>
                <w:color w:val="auto"/>
                <w:w w:val="97"/>
              </w:rPr>
              <w:t>Warrants</w:t>
            </w:r>
          </w:p>
        </w:tc>
        <w:tc>
          <w:tcPr>
            <w:tcW w:w="640" w:type="dxa"/>
            <w:vAlign w:val="bottom"/>
          </w:tcPr>
          <w:p>
            <w:pPr>
              <w:spacing w:after="0"/>
              <w:rPr>
                <w:sz w:val="16"/>
                <w:szCs w:val="16"/>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Exercise Price of Outstanding</w:t>
            </w:r>
          </w:p>
        </w:tc>
        <w:tc>
          <w:tcPr>
            <w:tcW w:w="28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(Excluding Securities Reflected in</w:t>
            </w:r>
          </w:p>
        </w:tc>
        <w:tc>
          <w:tcPr>
            <w:tcW w:w="0" w:type="dxa"/>
            <w:vAlign w:val="bottom"/>
          </w:tcPr>
          <w:p>
            <w:pPr>
              <w:spacing w:after="0"/>
              <w:rPr>
                <w:sz w:val="1"/>
                <w:szCs w:val="1"/>
                <w:color w:val="auto"/>
              </w:rPr>
            </w:pP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178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rPr>
              <w:t>and Rights</w:t>
            </w: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Options, Warrants and Rights</w:t>
            </w:r>
          </w:p>
        </w:tc>
        <w:tc>
          <w:tcPr>
            <w:tcW w:w="212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b w:val="1"/>
                <w:bCs w:val="1"/>
                <w:color w:val="auto"/>
              </w:rPr>
              <w:t>(a))</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7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366"/>
              <w:spacing w:after="0"/>
              <w:rPr>
                <w:sz w:val="20"/>
                <w:szCs w:val="20"/>
                <w:color w:val="auto"/>
              </w:rPr>
            </w:pPr>
            <w:r>
              <w:rPr>
                <w:rFonts w:ascii="Arial" w:cs="Arial" w:eastAsia="Arial" w:hAnsi="Arial"/>
                <w:sz w:val="11"/>
                <w:szCs w:val="11"/>
                <w:color w:val="auto"/>
              </w:rPr>
              <w:t>(1)</w:t>
            </w:r>
          </w:p>
        </w:tc>
        <w:tc>
          <w:tcPr>
            <w:tcW w:w="9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4"/>
        </w:trPr>
        <w:tc>
          <w:tcPr>
            <w:tcW w:w="3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approved by shareholders</w:t>
            </w:r>
          </w:p>
        </w:tc>
        <w:tc>
          <w:tcPr>
            <w:tcW w:w="17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812,983</w:t>
            </w:r>
          </w:p>
        </w:tc>
        <w:tc>
          <w:tcPr>
            <w:tcW w:w="64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28.84</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2,962,731</w:t>
            </w: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6"/>
                <w:szCs w:val="16"/>
                <w:color w:val="auto"/>
              </w:rPr>
              <w:t xml:space="preserve">approved by shareholders </w:t>
            </w:r>
            <w:r>
              <w:rPr>
                <w:rFonts w:ascii="Arial" w:cs="Arial" w:eastAsia="Arial" w:hAnsi="Arial"/>
                <w:sz w:val="21"/>
                <w:szCs w:val="21"/>
                <w:color w:val="auto"/>
                <w:vertAlign w:val="superscript"/>
              </w:rPr>
              <w:t>(3)</w:t>
            </w:r>
          </w:p>
        </w:tc>
        <w:tc>
          <w:tcPr>
            <w:tcW w:w="178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119,896</w:t>
            </w:r>
          </w:p>
        </w:tc>
        <w:tc>
          <w:tcPr>
            <w:tcW w:w="6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(4)</w:t>
            </w: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13.97</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932,879</w:t>
            </w:r>
          </w:p>
        </w:tc>
        <w:tc>
          <w:tcPr>
            <w:tcW w:w="6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26.93</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2,962,731</w:t>
            </w: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0" w:right="80" w:hanging="238"/>
        <w:spacing w:after="0" w:line="211"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includes 618,445 stock options granted under the 2004 Incentive Compensation Plan, as amended (the "Plan"). Also included are 194,538 options granted under the 1997 Stock Option Plan.</w:t>
      </w:r>
    </w:p>
    <w:p>
      <w:pPr>
        <w:ind w:left="260" w:hanging="238"/>
        <w:spacing w:after="0" w:line="199"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available for grant under the Plan as of August 27, 2011. The Plan replaced the 1997 Stock Option Plan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10"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92" w:lineRule="exact"/>
        <w:rPr>
          <w:sz w:val="20"/>
          <w:szCs w:val="20"/>
          <w:color w:val="auto"/>
        </w:rPr>
      </w:pPr>
    </w:p>
    <w:p>
      <w:pPr>
        <w:ind w:left="260" w:right="580"/>
        <w:spacing w:after="0" w:line="348" w:lineRule="auto"/>
        <w:rPr>
          <w:sz w:val="20"/>
          <w:szCs w:val="20"/>
          <w:color w:val="auto"/>
        </w:rPr>
      </w:pPr>
      <w:r>
        <w:rPr>
          <w:rFonts w:ascii="Arial" w:cs="Arial" w:eastAsia="Arial" w:hAnsi="Arial"/>
          <w:sz w:val="14"/>
          <w:szCs w:val="14"/>
          <w:color w:val="auto"/>
        </w:rPr>
        <w:t>effective January 1, 2004. No new grants may be made under the 1997 Stock Option Plan. Any stock options previously granted under the 1997 Stock Option Plan will continue to be exercisable in accordance with their original terms and conditions.</w:t>
      </w:r>
    </w:p>
    <w:p>
      <w:pPr>
        <w:spacing w:after="0" w:line="6" w:lineRule="exact"/>
        <w:rPr>
          <w:sz w:val="20"/>
          <w:szCs w:val="20"/>
          <w:color w:val="auto"/>
        </w:rPr>
      </w:pPr>
    </w:p>
    <w:p>
      <w:pPr>
        <w:ind w:left="260" w:right="60" w:hanging="238"/>
        <w:spacing w:after="0" w:line="225"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Our sole equity compensation plan not previously submitted to our shareholders for approval is the Directors' Deferred Compensation Plan. The Board of Directors may terminate the Directors' Deferred Compensation Plan at any time. If not terminated earlier, the Directors' Deferred Compensation Plan will automatically terminate on June 30, 2013. For a description of the key provisions of the Directors' Deferred Compensation Plan, see the information in our Proxy Statement for the Annual Meeting of Shareholders scheduled to be held December 13, 2011 under the caption "Director Compensation," which information is incorporated by reference herein.</w:t>
      </w:r>
    </w:p>
    <w:p>
      <w:pPr>
        <w:spacing w:after="0" w:line="1" w:lineRule="exact"/>
        <w:rPr>
          <w:rFonts w:ascii="Arial" w:cs="Arial" w:eastAsia="Arial" w:hAnsi="Arial"/>
          <w:sz w:val="18"/>
          <w:szCs w:val="18"/>
          <w:color w:val="auto"/>
          <w:vertAlign w:val="superscript"/>
        </w:rPr>
      </w:pPr>
    </w:p>
    <w:p>
      <w:pPr>
        <w:ind w:left="260" w:right="160" w:hanging="238"/>
        <w:spacing w:after="0" w:line="211"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shares of common stock issued to a trust which underlie stock units, payable on a one-for-one basis, credited to stock unit accounts as of August 27, 2011 under the Directors' Deferred Compensation Plan.</w:t>
      </w:r>
    </w:p>
    <w:p>
      <w:pPr>
        <w:ind w:left="260" w:right="60" w:hanging="238"/>
        <w:spacing w:after="0" w:line="225"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26, 2006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2778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00"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Base Period</w:t>
            </w:r>
          </w:p>
        </w:tc>
        <w:tc>
          <w:tcPr>
            <w:tcW w:w="1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Company/Index</w:t>
            </w: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8/26/06</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8/25/07</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8/30/08</w:t>
            </w: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8/29/09</w:t>
            </w: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8/28/10</w:t>
            </w: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8/27/11</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13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100.00</w:t>
            </w:r>
          </w:p>
        </w:tc>
        <w:tc>
          <w:tcPr>
            <w:tcW w:w="13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99.23</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42.24</w:t>
            </w: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43.69</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34.03</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26.85</w:t>
            </w:r>
          </w:p>
        </w:tc>
      </w:tr>
      <w:tr>
        <w:trPr>
          <w:trHeight w:val="260"/>
        </w:trPr>
        <w:tc>
          <w:tcPr>
            <w:tcW w:w="344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100.00</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116.36</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103.06</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84.93</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89.65</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101.07</w:t>
            </w:r>
          </w:p>
        </w:tc>
      </w:tr>
      <w:tr>
        <w:trPr>
          <w:trHeight w:val="28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13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100.00</w:t>
            </w:r>
          </w:p>
        </w:tc>
        <w:tc>
          <w:tcPr>
            <w:tcW w:w="13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109.40</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72.12</w:t>
            </w: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66.76</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82.14</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112.76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color w:val="auto"/>
        </w:rPr>
        <w:t>Selected Financial Data (See pages 58 and 59)</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eight sections:</w:t>
      </w:r>
    </w:p>
    <w:p>
      <w:pPr>
        <w:spacing w:after="0" w:line="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Executive Overview</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Industry Outlook</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Company Outlook</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Results of Operations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Analysis of Financial Condition, Liquidity and Capital Resources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Contractual Obligations and Commercial Commitments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Critical Accounting Policies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New Accounting Pronouncements</w:t>
        </w:r>
      </w:hyperlink>
    </w:p>
    <w:p>
      <w:pPr>
        <w:spacing w:after="0" w:line="194" w:lineRule="exact"/>
        <w:rPr>
          <w:rFonts w:ascii="Arial" w:cs="Arial" w:eastAsia="Arial" w:hAnsi="Arial"/>
          <w:sz w:val="16"/>
          <w:szCs w:val="16"/>
          <w:color w:val="auto"/>
        </w:rPr>
      </w:pPr>
    </w:p>
    <w:p>
      <w:pPr>
        <w:spacing w:after="0" w:line="260"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Annual Report on Form 10-K.</w:t>
      </w:r>
    </w:p>
    <w:p>
      <w:pPr>
        <w:spacing w:after="0" w:line="14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rFonts w:ascii="Arial" w:cs="Arial" w:eastAsia="Arial" w:hAnsi="Arial"/>
          <w:sz w:val="16"/>
          <w:szCs w:val="16"/>
          <w:color w:val="auto"/>
        </w:rPr>
      </w:pPr>
    </w:p>
    <w:p>
      <w:pPr>
        <w:ind w:right="40"/>
        <w:spacing w:after="0" w:line="248" w:lineRule="auto"/>
        <w:rPr>
          <w:sz w:val="20"/>
          <w:szCs w:val="20"/>
          <w:color w:val="auto"/>
        </w:rPr>
      </w:pPr>
      <w:r>
        <w:rPr>
          <w:rFonts w:ascii="Arial" w:cs="Arial" w:eastAsia="Arial" w:hAnsi="Arial"/>
          <w:sz w:val="16"/>
          <w:szCs w:val="16"/>
          <w:color w:val="auto"/>
        </w:rPr>
        <w:t>Winnebago Industries, Inc. is a leading U.S. manufacturer of recreation vehicles with a proud history of manufacturing RV products for more than 50 years. We produce all of our motor homes in highly vertically integrated manufacturing facilities in the state of Iowa and we produce all travel trailer and fifth wheels ("towables products") in Indiana. We distribute our products through independent dealers throughout the United States and Canada, who then retail the products to the end consumer. We have been a leader in the industry with one of the highest retail market share in the U.S. of Class A and Class C motor homes combined for the past ten calendar years and through calendar 2011 year through August 2011 according to Statistical Surveys, Inc. (Statistical Surveys) reporting. We held the number three retail market share position in Canada for calendar 2010, which was approximately 15% of the size of the U.S. market for calendar 2010. The reduction in Class B retail market share reflected below is a result of our decision to discontinue the Era (Class B) product during model year 2011. We have subsequently reintroduced the Era in the 2012 model year and have begun shipping product to our dealers and believe that our retail market share will improve once the dealers are adequately stocked.</w:t>
      </w:r>
    </w:p>
    <w:p>
      <w:pPr>
        <w:spacing w:after="0" w:line="166"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5"/>
        </w:trPr>
        <w:tc>
          <w:tcPr>
            <w:tcW w:w="6100" w:type="dxa"/>
            <w:vAlign w:val="bottom"/>
            <w:gridSpan w:val="2"/>
          </w:tcPr>
          <w:p>
            <w:pPr>
              <w:spacing w:after="0"/>
              <w:rPr>
                <w:sz w:val="20"/>
                <w:szCs w:val="20"/>
                <w:color w:val="auto"/>
              </w:rPr>
            </w:pPr>
            <w:r>
              <w:rPr>
                <w:rFonts w:ascii="Arial" w:cs="Arial" w:eastAsia="Arial" w:hAnsi="Arial"/>
                <w:sz w:val="16"/>
                <w:szCs w:val="16"/>
                <w:color w:val="auto"/>
              </w:rPr>
              <w:t>Our retail unit market share, as reported by Statistical Surveys, is as follows:</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05"/>
        </w:trPr>
        <w:tc>
          <w:tcPr>
            <w:tcW w:w="4740" w:type="dxa"/>
            <w:vAlign w:val="bottom"/>
          </w:tcPr>
          <w:p>
            <w:pPr>
              <w:spacing w:after="0"/>
              <w:rPr>
                <w:sz w:val="24"/>
                <w:szCs w:val="24"/>
                <w:color w:val="auto"/>
              </w:rPr>
            </w:pPr>
          </w:p>
        </w:tc>
        <w:tc>
          <w:tcPr>
            <w:tcW w:w="27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Through August 31,</w:t>
            </w:r>
          </w:p>
        </w:tc>
        <w:tc>
          <w:tcPr>
            <w:tcW w:w="1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Calendar Year</w:t>
            </w:r>
          </w:p>
        </w:tc>
        <w:tc>
          <w:tcPr>
            <w:tcW w:w="1160" w:type="dxa"/>
            <w:vAlign w:val="bottom"/>
            <w:tcBorders>
              <w:bottom w:val="single" w:sz="8" w:color="auto"/>
            </w:tcBorders>
          </w:tcPr>
          <w:p>
            <w:pPr>
              <w:spacing w:after="0"/>
              <w:rPr>
                <w:sz w:val="24"/>
                <w:szCs w:val="24"/>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US Retail Motorized:</w:t>
            </w: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2010</w:t>
            </w: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2010</w:t>
            </w:r>
          </w:p>
        </w:tc>
        <w:tc>
          <w:tcPr>
            <w:tcW w:w="1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2009</w:t>
            </w: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2008</w:t>
            </w: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22.4%</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23.0%</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23.7%</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22.9%</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23.2%</w:t>
            </w:r>
          </w:p>
        </w:tc>
      </w:tr>
      <w:tr>
        <w:trPr>
          <w:trHeight w:val="26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17.2%</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13.5%</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15.2%</w:t>
            </w: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11.4%</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8.1%</w:t>
            </w: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20.2%</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18.2%</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19.5%</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16.6%</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15.3%</w:t>
            </w:r>
          </w:p>
        </w:tc>
      </w:tr>
      <w:tr>
        <w:trPr>
          <w:trHeight w:val="26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16.6%</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17.3%</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17.9%</w:t>
            </w: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22.7%</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22.8%</w:t>
            </w:r>
          </w:p>
        </w:tc>
      </w:tr>
      <w:tr>
        <w:trPr>
          <w:trHeight w:val="26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18.5%</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17.8%</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18.8%</w:t>
            </w:r>
          </w:p>
        </w:tc>
        <w:tc>
          <w:tcPr>
            <w:tcW w:w="16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19.1%</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18.3%</w:t>
            </w: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6"/>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6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4.6%</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17.6%</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w:t>
            </w:r>
          </w:p>
        </w:tc>
        <w:tc>
          <w:tcPr>
            <w:tcW w:w="16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18.1%</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w:t>
            </w: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272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Through July 31,</w:t>
            </w:r>
          </w:p>
        </w:tc>
        <w:tc>
          <w:tcPr>
            <w:tcW w:w="1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Calendar Year</w:t>
            </w:r>
          </w:p>
        </w:tc>
        <w:tc>
          <w:tcPr>
            <w:tcW w:w="1160" w:type="dxa"/>
            <w:vAlign w:val="bottom"/>
            <w:tcBorders>
              <w:bottom w:val="single" w:sz="8" w:color="auto"/>
            </w:tcBorders>
          </w:tcPr>
          <w:p>
            <w:pPr>
              <w:spacing w:after="0"/>
              <w:rPr>
                <w:sz w:val="19"/>
                <w:szCs w:val="19"/>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Canadian Retail Motorized:</w:t>
            </w: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2011</w:t>
            </w: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2010</w:t>
            </w: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2010</w:t>
            </w:r>
          </w:p>
        </w:tc>
        <w:tc>
          <w:tcPr>
            <w:tcW w:w="1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2009</w:t>
            </w: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2008</w:t>
            </w: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16.4%</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14.8%</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13.8%</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18.4%</w:t>
            </w:r>
          </w:p>
        </w:tc>
      </w:tr>
      <w:tr>
        <w:trPr>
          <w:trHeight w:val="26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19.5%</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9.9%</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w:t>
            </w: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7.0%</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5.3%</w:t>
            </w: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17.6%</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12.5%</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10.0%</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12.4%</w:t>
            </w:r>
          </w:p>
        </w:tc>
      </w:tr>
      <w:tr>
        <w:trPr>
          <w:trHeight w:val="26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17.0%</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14.9%</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13.8%</w:t>
            </w: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9.5%</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19.5%</w:t>
            </w:r>
          </w:p>
        </w:tc>
      </w:tr>
      <w:tr>
        <w:trPr>
          <w:trHeight w:val="26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17.3%</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13.9%</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13.2%</w:t>
            </w:r>
          </w:p>
        </w:tc>
        <w:tc>
          <w:tcPr>
            <w:tcW w:w="16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9.8%</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15.7%</w:t>
            </w: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Through August 31, 2011</w:t>
            </w:r>
          </w:p>
        </w:tc>
        <w:tc>
          <w:tcPr>
            <w:tcW w:w="2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Through July 31, 2011</w:t>
            </w:r>
          </w:p>
        </w:tc>
        <w:tc>
          <w:tcPr>
            <w:tcW w:w="0" w:type="dxa"/>
            <w:vAlign w:val="bottom"/>
          </w:tcPr>
          <w:p>
            <w:pPr>
              <w:spacing w:after="0"/>
              <w:rPr>
                <w:sz w:val="1"/>
                <w:szCs w:val="1"/>
                <w:color w:val="auto"/>
              </w:rPr>
            </w:pPr>
          </w:p>
        </w:tc>
      </w:tr>
      <w:tr>
        <w:trPr>
          <w:trHeight w:val="237"/>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Retail Towable:</w:t>
            </w:r>
          </w:p>
        </w:tc>
        <w:tc>
          <w:tcPr>
            <w:tcW w:w="36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U.S.</w:t>
            </w:r>
          </w:p>
        </w:tc>
        <w:tc>
          <w:tcPr>
            <w:tcW w:w="2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Canadian</w:t>
            </w: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5980" w:type="dxa"/>
            <w:vAlign w:val="bottom"/>
            <w:gridSpan w:val="2"/>
            <w:shd w:val="clear" w:color="auto" w:fill="CCEEFF"/>
          </w:tcPr>
          <w:p>
            <w:pPr>
              <w:jc w:val="right"/>
              <w:ind w:right="479"/>
              <w:spacing w:after="0"/>
              <w:rPr>
                <w:sz w:val="20"/>
                <w:szCs w:val="20"/>
                <w:color w:val="auto"/>
              </w:rPr>
            </w:pPr>
            <w:r>
              <w:rPr>
                <w:rFonts w:ascii="Arial" w:cs="Arial" w:eastAsia="Arial" w:hAnsi="Arial"/>
                <w:sz w:val="16"/>
                <w:szCs w:val="16"/>
                <w:color w:val="auto"/>
              </w:rPr>
              <w:t>0.6%</w:t>
            </w:r>
          </w:p>
        </w:tc>
        <w:tc>
          <w:tcPr>
            <w:tcW w:w="20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364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0.4%</w:t>
            </w:r>
          </w:p>
        </w:tc>
        <w:tc>
          <w:tcPr>
            <w:tcW w:w="2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5980" w:type="dxa"/>
            <w:vAlign w:val="bottom"/>
            <w:gridSpan w:val="2"/>
            <w:shd w:val="clear" w:color="auto" w:fill="CCEEFF"/>
          </w:tcPr>
          <w:p>
            <w:pPr>
              <w:jc w:val="right"/>
              <w:ind w:right="479"/>
              <w:spacing w:after="0"/>
              <w:rPr>
                <w:sz w:val="20"/>
                <w:szCs w:val="20"/>
                <w:color w:val="auto"/>
              </w:rPr>
            </w:pPr>
            <w:r>
              <w:rPr>
                <w:rFonts w:ascii="Arial" w:cs="Arial" w:eastAsia="Arial" w:hAnsi="Arial"/>
                <w:sz w:val="16"/>
                <w:szCs w:val="16"/>
                <w:color w:val="auto"/>
              </w:rPr>
              <w:t>0.6%</w:t>
            </w:r>
          </w:p>
        </w:tc>
        <w:tc>
          <w:tcPr>
            <w:tcW w:w="20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1179"/>
              <w:spacing w:after="0"/>
              <w:rPr>
                <w:sz w:val="20"/>
                <w:szCs w:val="20"/>
                <w:color w:val="auto"/>
              </w:rPr>
            </w:pPr>
            <w:r>
              <w:rPr>
                <w:rFonts w:ascii="Arial" w:cs="Arial" w:eastAsia="Arial" w:hAnsi="Arial"/>
                <w:sz w:val="16"/>
                <w:szCs w:val="16"/>
                <w:color w:val="auto"/>
              </w:rPr>
              <w:t>11</w:t>
            </w:r>
          </w:p>
        </w:tc>
        <w:tc>
          <w:tcPr>
            <w:tcW w:w="23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34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60"/>
        </w:trPr>
        <w:tc>
          <w:tcPr>
            <w:tcW w:w="6500" w:type="dxa"/>
            <w:vAlign w:val="bottom"/>
            <w:gridSpan w:val="3"/>
          </w:tcPr>
          <w:p>
            <w:pPr>
              <w:spacing w:after="0"/>
              <w:rPr>
                <w:sz w:val="20"/>
                <w:szCs w:val="20"/>
                <w:color w:val="auto"/>
              </w:rPr>
            </w:pPr>
            <w:r>
              <w:rPr>
                <w:rFonts w:ascii="Arial" w:cs="Arial" w:eastAsia="Arial" w:hAnsi="Arial"/>
                <w:sz w:val="16"/>
                <w:szCs w:val="16"/>
                <w:color w:val="auto"/>
              </w:rPr>
              <w:t>Certain key metrics for our Class A, B and C motor homes are provided in the table below:</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8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As of Quarter End</w:t>
            </w:r>
          </w:p>
        </w:tc>
      </w:tr>
      <w:tr>
        <w:trPr>
          <w:trHeight w:val="198"/>
        </w:trPr>
        <w:tc>
          <w:tcPr>
            <w:tcW w:w="12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auto"/>
              </w:rPr>
              <w:t>Wholesale</w:t>
            </w:r>
          </w:p>
        </w:tc>
        <w:tc>
          <w:tcPr>
            <w:tcW w:w="1360" w:type="dxa"/>
            <w:vAlign w:val="bottom"/>
          </w:tcPr>
          <w:p>
            <w:pPr>
              <w:jc w:val="right"/>
              <w:ind w:right="399"/>
              <w:spacing w:after="0"/>
              <w:rPr>
                <w:sz w:val="20"/>
                <w:szCs w:val="20"/>
                <w:color w:val="auto"/>
              </w:rPr>
            </w:pPr>
            <w:r>
              <w:rPr>
                <w:rFonts w:ascii="Arial" w:cs="Arial" w:eastAsia="Arial" w:hAnsi="Arial"/>
                <w:sz w:val="16"/>
                <w:szCs w:val="16"/>
                <w:b w:val="1"/>
                <w:bCs w:val="1"/>
                <w:color w:val="auto"/>
              </w:rPr>
              <w:t>Retail</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Dealer</w:t>
            </w: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Order</w:t>
            </w:r>
          </w:p>
        </w:tc>
      </w:tr>
      <w:tr>
        <w:trPr>
          <w:trHeight w:val="228"/>
        </w:trPr>
        <w:tc>
          <w:tcPr>
            <w:tcW w:w="65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units and presented in fiscal quarters)</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Deliveries</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Registrations</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Inventory</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Backlog</w:t>
            </w:r>
          </w:p>
        </w:tc>
      </w:tr>
      <w:tr>
        <w:trPr>
          <w:trHeight w:val="243"/>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First quarter 2010</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794</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921</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1,567</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1,521</w:t>
            </w:r>
          </w:p>
        </w:tc>
      </w:tr>
      <w:tr>
        <w:trPr>
          <w:trHeight w:val="233"/>
        </w:trPr>
        <w:tc>
          <w:tcPr>
            <w:tcW w:w="6500" w:type="dxa"/>
            <w:vAlign w:val="bottom"/>
            <w:gridSpan w:val="3"/>
          </w:tcPr>
          <w:p>
            <w:pPr>
              <w:ind w:left="40"/>
              <w:spacing w:after="0"/>
              <w:rPr>
                <w:sz w:val="20"/>
                <w:szCs w:val="20"/>
                <w:color w:val="auto"/>
              </w:rPr>
            </w:pPr>
            <w:r>
              <w:rPr>
                <w:rFonts w:ascii="Arial" w:cs="Arial" w:eastAsia="Arial" w:hAnsi="Arial"/>
                <w:sz w:val="16"/>
                <w:szCs w:val="16"/>
                <w:color w:val="auto"/>
              </w:rPr>
              <w:t>Second quarter 2010</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1,109</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2,022</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1,159</w:t>
            </w:r>
          </w:p>
        </w:tc>
      </w:tr>
      <w:tr>
        <w:trPr>
          <w:trHeight w:val="253"/>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Third quarter 2010</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1,366</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1,388</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2,000</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r>
      <w:tr>
        <w:trPr>
          <w:trHeight w:val="237"/>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Fourth quarter 2010</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1,164</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1,120</w:t>
            </w:r>
          </w:p>
        </w:tc>
        <w:tc>
          <w:tcPr>
            <w:tcW w:w="1260" w:type="dxa"/>
            <w:vAlign w:val="bottom"/>
            <w:tcBorders>
              <w:bottom w:val="single" w:sz="8" w:color="CCEEFF"/>
            </w:tcBorders>
          </w:tcPr>
          <w:p>
            <w:pPr>
              <w:jc w:val="right"/>
              <w:ind w:right="299"/>
              <w:spacing w:after="0"/>
              <w:rPr>
                <w:sz w:val="20"/>
                <w:szCs w:val="20"/>
                <w:color w:val="auto"/>
              </w:rPr>
            </w:pPr>
            <w:r>
              <w:rPr>
                <w:rFonts w:ascii="Arial" w:cs="Arial" w:eastAsia="Arial" w:hAnsi="Arial"/>
                <w:sz w:val="16"/>
                <w:szCs w:val="16"/>
                <w:color w:val="auto"/>
              </w:rPr>
              <w:t>2,044</w:t>
            </w:r>
          </w:p>
        </w:tc>
        <w:tc>
          <w:tcPr>
            <w:tcW w:w="12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818</w:t>
            </w:r>
          </w:p>
        </w:tc>
      </w:tr>
      <w:tr>
        <w:trPr>
          <w:trHeight w:val="240"/>
        </w:trPr>
        <w:tc>
          <w:tcPr>
            <w:tcW w:w="65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Fiscal 2010</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4,433</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4,083</w:t>
            </w:r>
          </w:p>
        </w:tc>
        <w:tc>
          <w:tcPr>
            <w:tcW w:w="1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46"/>
        </w:trPr>
        <w:tc>
          <w:tcPr>
            <w:tcW w:w="12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43"/>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First quarter 2011</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1,115</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2,066</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w:t>
            </w:r>
          </w:p>
        </w:tc>
      </w:tr>
      <w:tr>
        <w:trPr>
          <w:trHeight w:val="233"/>
        </w:trPr>
        <w:tc>
          <w:tcPr>
            <w:tcW w:w="6500" w:type="dxa"/>
            <w:vAlign w:val="bottom"/>
            <w:gridSpan w:val="3"/>
          </w:tcPr>
          <w:p>
            <w:pPr>
              <w:ind w:left="40"/>
              <w:spacing w:after="0"/>
              <w:rPr>
                <w:sz w:val="20"/>
                <w:szCs w:val="20"/>
                <w:color w:val="auto"/>
              </w:rPr>
            </w:pPr>
            <w:r>
              <w:rPr>
                <w:rFonts w:ascii="Arial" w:cs="Arial" w:eastAsia="Arial" w:hAnsi="Arial"/>
                <w:sz w:val="16"/>
                <w:szCs w:val="16"/>
                <w:color w:val="auto"/>
              </w:rPr>
              <w:t>Second quarter 2011</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909</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796</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2,179</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957</w:t>
            </w:r>
          </w:p>
        </w:tc>
      </w:tr>
      <w:tr>
        <w:trPr>
          <w:trHeight w:val="253"/>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Third quarter 2011</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1,283</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1,394</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2,068</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r>
      <w:tr>
        <w:trPr>
          <w:trHeight w:val="237"/>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Fourth quarter 2011</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1,088</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1,198</w:t>
            </w:r>
          </w:p>
        </w:tc>
        <w:tc>
          <w:tcPr>
            <w:tcW w:w="1260" w:type="dxa"/>
            <w:vAlign w:val="bottom"/>
            <w:tcBorders>
              <w:bottom w:val="single" w:sz="8" w:color="CCEEFF"/>
            </w:tcBorders>
          </w:tcPr>
          <w:p>
            <w:pPr>
              <w:jc w:val="right"/>
              <w:ind w:right="299"/>
              <w:spacing w:after="0"/>
              <w:rPr>
                <w:sz w:val="20"/>
                <w:szCs w:val="20"/>
                <w:color w:val="auto"/>
              </w:rPr>
            </w:pPr>
            <w:r>
              <w:rPr>
                <w:rFonts w:ascii="Arial" w:cs="Arial" w:eastAsia="Arial" w:hAnsi="Arial"/>
                <w:sz w:val="16"/>
                <w:szCs w:val="16"/>
                <w:color w:val="auto"/>
              </w:rPr>
              <w:t>1,958</w:t>
            </w:r>
          </w:p>
        </w:tc>
        <w:tc>
          <w:tcPr>
            <w:tcW w:w="12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681</w:t>
            </w:r>
          </w:p>
        </w:tc>
      </w:tr>
      <w:tr>
        <w:trPr>
          <w:trHeight w:val="240"/>
        </w:trPr>
        <w:tc>
          <w:tcPr>
            <w:tcW w:w="65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Fiscal 2011</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4,395</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4,481</w:t>
            </w:r>
          </w:p>
        </w:tc>
        <w:tc>
          <w:tcPr>
            <w:tcW w:w="1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saw improvement in Fiscal 2011 in nearly all aspect of our business, but most notably in our operating performance with operating income of $11.3 million as compared to $520,000 in the prior year. This improvement primarily occurred during the first two quarters of Fiscal 2011, but deteriorated during the second half of Fiscal 2011 due to a softening in the overall RV market and in the general economy. Our increased revenues in Fiscal 2011 allowed for greater absorption of our fixed costs and improved labor efficiencies, which had a favorable effect on our profit margins. The most significant reason for the increased motor home revenue was the increase to our average selling price. Our motor home average selling price increased 6.7% due to a stronger mix of higher-priced product sold, which has also positively impacted our margins. As evidenced in the table above, our retail registrations were up nearly 10% over the prior fiscal year.</w:t>
      </w: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discussed in Item 1 and Note 2, on December 29, 2010, we purchased substantially all of the assets of SunnyBrook, a manufacturer of travel trailer and fifth wheel recreation vehicles located in Middlebury, Indiana. This transaction allowed us to enter the much larger towable segment of the recreation vehicle industry and provides us the potential for future growth opportunities. Fiscal 2011 was a year of investment in this operational segment as subsequent to the acquisition, we incurred operational losses of $1.5 million during the year in part related to the integration of systems, expansion of the distribution network and the development of a new Winnebago branded towable product line which includes the Winnebago One travel trailer and Lite Five fifth wheel trailer.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 home industry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gridSpan w:val="6"/>
          </w:tcPr>
          <w:p>
            <w:pPr>
              <w:jc w:val="right"/>
              <w:ind w:right="1559"/>
              <w:spacing w:after="0"/>
              <w:rPr>
                <w:sz w:val="20"/>
                <w:szCs w:val="20"/>
                <w:color w:val="auto"/>
              </w:rPr>
            </w:pPr>
            <w:r>
              <w:rPr>
                <w:rFonts w:ascii="Arial" w:cs="Arial" w:eastAsia="Arial" w:hAnsi="Arial"/>
                <w:sz w:val="16"/>
                <w:szCs w:val="16"/>
                <w:b w:val="1"/>
                <w:bCs w:val="1"/>
                <w:color w:val="auto"/>
              </w:rPr>
              <w:t>U.S. and Canada Industry Class A, B &amp; C Motor Homes</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Calendar Year</w:t>
            </w:r>
          </w:p>
        </w:tc>
        <w:tc>
          <w:tcPr>
            <w:tcW w:w="10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2010</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2009</w:t>
            </w:r>
          </w:p>
        </w:tc>
        <w:tc>
          <w:tcPr>
            <w:tcW w:w="1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Increase</w:t>
            </w: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2010</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2009</w:t>
            </w:r>
          </w:p>
        </w:tc>
        <w:tc>
          <w:tcPr>
            <w:tcW w:w="17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5,700</w:t>
            </w:r>
          </w:p>
        </w:tc>
        <w:tc>
          <w:tcPr>
            <w:tcW w:w="3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3,300</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137.5 %</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4,900</w:t>
            </w: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4,800</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7,800</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3,200</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4,600</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143.8 %</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8,300</w:t>
            </w:r>
          </w:p>
        </w:tc>
        <w:tc>
          <w:tcPr>
            <w:tcW w:w="5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7,100</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1,200</w:t>
            </w:r>
          </w:p>
        </w:tc>
        <w:tc>
          <w:tcPr>
            <w:tcW w:w="980" w:type="dxa"/>
            <w:vAlign w:val="bottom"/>
          </w:tcPr>
          <w:p>
            <w:pPr>
              <w:jc w:val="right"/>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r>
        <w:trPr>
          <w:trHeight w:val="28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6,200</w:t>
            </w: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2,900</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87.9 %</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6,000</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5,800</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Fourth quarter</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5,600</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w:t>
            </w: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1,300</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30.2 %</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4,600</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4,200</w:t>
            </w: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67"/>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25,300</w:t>
            </w:r>
          </w:p>
        </w:tc>
        <w:tc>
          <w:tcPr>
            <w:tcW w:w="3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16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12,100</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91.7 %</w:t>
            </w: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23,800</w:t>
            </w: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21,900</w:t>
            </w:r>
          </w:p>
        </w:tc>
        <w:tc>
          <w:tcPr>
            <w:tcW w:w="17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2010</w:t>
            </w: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Increase(Decrease)</w:t>
            </w: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2010</w:t>
            </w:r>
          </w:p>
        </w:tc>
        <w:tc>
          <w:tcPr>
            <w:tcW w:w="1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Increase(Decrease)</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6,900</w:t>
            </w:r>
          </w:p>
        </w:tc>
        <w:tc>
          <w:tcPr>
            <w:tcW w:w="3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1,200</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21.1 %</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5,100</w:t>
            </w: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4,900</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7,800</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7,800</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7,900</w:t>
            </w:r>
          </w:p>
        </w:tc>
        <w:tc>
          <w:tcPr>
            <w:tcW w:w="5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8,300</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(400)</w:t>
            </w: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0"/>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2,000</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2,200</w:t>
            </w: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60"/>
        </w:trPr>
        <w:tc>
          <w:tcPr>
            <w:tcW w:w="1940" w:type="dxa"/>
            <w:vAlign w:val="bottom"/>
          </w:tcPr>
          <w:p>
            <w:pPr>
              <w:ind w:left="180"/>
              <w:spacing w:after="0"/>
              <w:rPr>
                <w:sz w:val="20"/>
                <w:szCs w:val="20"/>
                <w:color w:val="auto"/>
              </w:rPr>
            </w:pPr>
            <w:r>
              <w:rPr>
                <w:rFonts w:ascii="Arial" w:cs="Arial" w:eastAsia="Arial" w:hAnsi="Arial"/>
                <w:sz w:val="16"/>
                <w:szCs w:val="16"/>
                <w:color w:val="auto"/>
              </w:rPr>
              <w:t>August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1,900</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2,300</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(400)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(17.4)%</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1,700</w:t>
            </w:r>
          </w:p>
        </w:tc>
        <w:tc>
          <w:tcPr>
            <w:tcW w:w="520" w:type="dxa"/>
            <w:vAlign w:val="bottom"/>
          </w:tcPr>
          <w:p>
            <w:pPr>
              <w:jc w:val="right"/>
              <w:ind w:right="146"/>
              <w:spacing w:after="0"/>
              <w:rPr>
                <w:sz w:val="20"/>
                <w:szCs w:val="20"/>
                <w:color w:val="auto"/>
              </w:rPr>
            </w:pPr>
            <w:r>
              <w:rPr>
                <w:rFonts w:ascii="Arial" w:cs="Arial" w:eastAsia="Arial" w:hAnsi="Arial"/>
                <w:sz w:val="11"/>
                <w:szCs w:val="11"/>
                <w:color w:val="auto"/>
              </w:rPr>
              <w:t>(4)</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1,900</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(200)</w:t>
            </w:r>
          </w:p>
        </w:tc>
        <w:tc>
          <w:tcPr>
            <w:tcW w:w="98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3"/>
        </w:trPr>
        <w:tc>
          <w:tcPr>
            <w:tcW w:w="194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1,800</w:t>
            </w:r>
          </w:p>
        </w:tc>
        <w:tc>
          <w:tcPr>
            <w:tcW w:w="3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6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(200)</w:t>
            </w: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(10.0)%</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(5)</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c>
          <w:tcPr>
            <w:tcW w:w="1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94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Fourth quarter</w:t>
            </w: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4,300</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5,600</w:t>
            </w:r>
          </w:p>
        </w:tc>
        <w:tc>
          <w:tcPr>
            <w:tcW w:w="1680" w:type="dxa"/>
            <w:vAlign w:val="bottom"/>
            <w:vMerge w:val="restart"/>
          </w:tcPr>
          <w:p>
            <w:pPr>
              <w:jc w:val="right"/>
              <w:ind w:right="139"/>
              <w:spacing w:after="0"/>
              <w:rPr>
                <w:sz w:val="20"/>
                <w:szCs w:val="20"/>
                <w:color w:val="auto"/>
              </w:rPr>
            </w:pPr>
            <w:r>
              <w:rPr>
                <w:rFonts w:ascii="Arial" w:cs="Arial" w:eastAsia="Arial" w:hAnsi="Arial"/>
                <w:sz w:val="16"/>
                <w:szCs w:val="16"/>
                <w:color w:val="auto"/>
              </w:rPr>
              <w:t>(1,300)</w:t>
            </w: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rPr>
              <w:t>(23.2)%</w:t>
            </w:r>
          </w:p>
        </w:tc>
        <w:tc>
          <w:tcPr>
            <w:tcW w:w="8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color w:val="auto"/>
              </w:rPr>
              <w:t>(5)</w:t>
            </w: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4,600</w:t>
            </w:r>
          </w:p>
        </w:tc>
        <w:tc>
          <w:tcPr>
            <w:tcW w:w="1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40" w:type="dxa"/>
            <w:vAlign w:val="bottom"/>
            <w:tcBorders>
              <w:bottom w:val="single" w:sz="8" w:color="CCEEFF"/>
            </w:tcBorders>
            <w:vMerge w:val="continue"/>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9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24,400</w:t>
            </w:r>
          </w:p>
        </w:tc>
        <w:tc>
          <w:tcPr>
            <w:tcW w:w="3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25,300</w:t>
            </w:r>
          </w:p>
        </w:tc>
        <w:tc>
          <w:tcPr>
            <w:tcW w:w="16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(900)</w:t>
            </w: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8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16,700</w:t>
            </w:r>
          </w:p>
        </w:tc>
        <w:tc>
          <w:tcPr>
            <w:tcW w:w="5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23,800</w:t>
            </w:r>
          </w:p>
        </w:tc>
        <w:tc>
          <w:tcPr>
            <w:tcW w:w="17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(600)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14"/>
        </w:trPr>
        <w:tc>
          <w:tcPr>
            <w:tcW w:w="1940" w:type="dxa"/>
            <w:vAlign w:val="bottom"/>
            <w:tcBorders>
              <w:bottom w:val="single" w:sz="8" w:color="CCEEFF"/>
            </w:tcBorders>
            <w:vMerge w:val="continue"/>
            <w:shd w:val="clear" w:color="auto" w:fill="CCEEFF"/>
          </w:tcPr>
          <w:p>
            <w:pPr>
              <w:spacing w:after="0"/>
              <w:rPr>
                <w:sz w:val="9"/>
                <w:szCs w:val="9"/>
                <w:color w:val="auto"/>
              </w:rPr>
            </w:pPr>
          </w:p>
        </w:tc>
        <w:tc>
          <w:tcPr>
            <w:tcW w:w="800" w:type="dxa"/>
            <w:vAlign w:val="bottom"/>
            <w:tcBorders>
              <w:bottom w:val="single" w:sz="8" w:color="auto"/>
            </w:tcBorders>
            <w:vMerge w:val="continue"/>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vMerge w:val="continue"/>
            <w:shd w:val="clear" w:color="auto" w:fill="CCEEFF"/>
          </w:tcPr>
          <w:p>
            <w:pPr>
              <w:spacing w:after="0"/>
              <w:rPr>
                <w:sz w:val="9"/>
                <w:szCs w:val="9"/>
                <w:color w:val="auto"/>
              </w:rPr>
            </w:pPr>
          </w:p>
        </w:tc>
        <w:tc>
          <w:tcPr>
            <w:tcW w:w="1680" w:type="dxa"/>
            <w:vAlign w:val="bottom"/>
            <w:tcBorders>
              <w:bottom w:val="single" w:sz="8" w:color="auto"/>
            </w:tcBorders>
            <w:vMerge w:val="continue"/>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840" w:type="dxa"/>
            <w:vAlign w:val="bottom"/>
            <w:tcBorders>
              <w:bottom w:val="single" w:sz="8" w:color="auto"/>
            </w:tcBorders>
            <w:vMerge w:val="continue"/>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1740" w:type="dxa"/>
            <w:vAlign w:val="bottom"/>
            <w:tcBorders>
              <w:bottom w:val="single" w:sz="8" w:color="auto"/>
            </w:tcBorders>
            <w:vMerge w:val="continue"/>
            <w:shd w:val="clear" w:color="auto" w:fill="CCEEFF"/>
          </w:tcPr>
          <w:p>
            <w:pPr>
              <w:spacing w:after="0"/>
              <w:rPr>
                <w:sz w:val="9"/>
                <w:szCs w:val="9"/>
                <w:color w:val="auto"/>
              </w:rPr>
            </w:pPr>
          </w:p>
        </w:tc>
        <w:tc>
          <w:tcPr>
            <w:tcW w:w="9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 rounded to the nearest hundred.</w:t>
      </w:r>
    </w:p>
    <w:p>
      <w:pPr>
        <w:ind w:left="340" w:hanging="332"/>
        <w:spacing w:after="0" w:line="187"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Statistical Surveys for the U.S. and Canada combined, rounded to the nearest hundred.</w:t>
      </w:r>
    </w:p>
    <w:p>
      <w:pPr>
        <w:ind w:left="340" w:hanging="332"/>
        <w:spacing w:after="0" w:line="187"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Based upon forecasted 2011 Class A, B and C wholesale shipments as reported by RVIA in the Roadsigns Fall 2011 issue.</w:t>
      </w:r>
    </w:p>
    <w:p>
      <w:pPr>
        <w:ind w:left="340" w:hanging="332"/>
        <w:spacing w:after="0" w:line="187"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U.S. retail registrations for Class A, B and C for August 2011. Canadian retail registrations are not yet available.</w:t>
      </w:r>
    </w:p>
    <w:p>
      <w:pPr>
        <w:ind w:left="340" w:hanging="332"/>
        <w:spacing w:after="0" w:line="199"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Statistical Surveys has not issued a projection for 2011 retail demand.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size of the motorized retail market in Calendar 2009 and 2010 (under 25,000 units) was less than half of what the industry norms had been prior to the recession and thus far, retail registration trends in Calendar 2011 are not noticeably different than the prior year. RVIA, in its most recent Roadsigns publication, attributes the flat retail environment to the uncertainty about the job market, stagnating wages and depressed home values. RVIA also indicates that the last downturn was more severe than typical and that while the slowdown in the year ahead can be expected to be milder than average, it is unfortunately expected to be more long lasting. RVIA forecasts that motor home shipments in Calendar 2012 will be 23,200.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Calendar Year</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2010</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2009</w:t>
            </w:r>
          </w:p>
        </w:tc>
        <w:tc>
          <w:tcPr>
            <w:tcW w:w="1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2010</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2009</w:t>
            </w:r>
          </w:p>
        </w:tc>
        <w:tc>
          <w:tcPr>
            <w:tcW w:w="1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Increase</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49,300</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24,500</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98.8 %</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31,100</w:t>
            </w:r>
          </w:p>
        </w:tc>
        <w:tc>
          <w:tcPr>
            <w:tcW w:w="4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60"/>
        </w:trPr>
        <w:tc>
          <w:tcPr>
            <w:tcW w:w="18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62,300</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34,600</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27,700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80.1 %</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69,400</w:t>
            </w: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60,000</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9,400</w:t>
            </w:r>
          </w:p>
        </w:tc>
        <w:tc>
          <w:tcPr>
            <w:tcW w:w="940" w:type="dxa"/>
            <w:vAlign w:val="bottom"/>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8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48,600</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7,100</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17.1 %</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57,200</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64"/>
        </w:trPr>
        <w:tc>
          <w:tcPr>
            <w:tcW w:w="1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Fourth quarter</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39,000</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37,400</w:t>
            </w: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1,600</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4.3 %</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28,300</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25,300</w:t>
            </w: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67"/>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199,200</w:t>
            </w: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138,300</w:t>
            </w:r>
          </w:p>
        </w:tc>
        <w:tc>
          <w:tcPr>
            <w:tcW w:w="16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60,900</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44.0 %</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186,000</w:t>
            </w:r>
          </w:p>
        </w:tc>
        <w:tc>
          <w:tcPr>
            <w:tcW w:w="4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164,100</w:t>
            </w:r>
          </w:p>
        </w:tc>
        <w:tc>
          <w:tcPr>
            <w:tcW w:w="16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21,900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2010</w:t>
            </w: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Increase(Decrease)</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2010</w:t>
            </w: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Increase(Decrease)</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54,200</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4,900</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9.9 %</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33,300</w:t>
            </w:r>
          </w:p>
        </w:tc>
        <w:tc>
          <w:tcPr>
            <w:tcW w:w="4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31,100</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60"/>
        </w:trPr>
        <w:tc>
          <w:tcPr>
            <w:tcW w:w="18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66,000</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62,300</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3,700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5.9 %</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73,900</w:t>
            </w: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69,400</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4,500</w:t>
            </w:r>
          </w:p>
        </w:tc>
        <w:tc>
          <w:tcPr>
            <w:tcW w:w="940" w:type="dxa"/>
            <w:vAlign w:val="bottom"/>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80"/>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15,100</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16,600</w:t>
            </w: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(1,500)</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21,600</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21,900</w:t>
            </w:r>
          </w:p>
        </w:tc>
        <w:tc>
          <w:tcPr>
            <w:tcW w:w="1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60"/>
        </w:trPr>
        <w:tc>
          <w:tcPr>
            <w:tcW w:w="1860" w:type="dxa"/>
            <w:vAlign w:val="bottom"/>
          </w:tcPr>
          <w:p>
            <w:pPr>
              <w:ind w:left="160"/>
              <w:spacing w:after="0"/>
              <w:rPr>
                <w:sz w:val="20"/>
                <w:szCs w:val="20"/>
                <w:color w:val="auto"/>
              </w:rPr>
            </w:pPr>
            <w:r>
              <w:rPr>
                <w:rFonts w:ascii="Arial" w:cs="Arial" w:eastAsia="Arial" w:hAnsi="Arial"/>
                <w:sz w:val="16"/>
                <w:szCs w:val="16"/>
                <w:color w:val="auto"/>
              </w:rPr>
              <w:t>August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18,100</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18,200</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16,100</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19,400</w:t>
            </w: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(3,300)</w:t>
            </w:r>
          </w:p>
        </w:tc>
        <w:tc>
          <w:tcPr>
            <w:tcW w:w="94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63"/>
        </w:trPr>
        <w:tc>
          <w:tcPr>
            <w:tcW w:w="186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15,700</w:t>
            </w:r>
          </w:p>
        </w:tc>
        <w:tc>
          <w:tcPr>
            <w:tcW w:w="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13,800</w:t>
            </w:r>
          </w:p>
        </w:tc>
        <w:tc>
          <w:tcPr>
            <w:tcW w:w="16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1,900</w:t>
            </w:r>
          </w:p>
        </w:tc>
        <w:tc>
          <w:tcPr>
            <w:tcW w:w="9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13.8 %</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(5)</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15,900</w:t>
            </w:r>
          </w:p>
        </w:tc>
        <w:tc>
          <w:tcPr>
            <w:tcW w:w="16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860" w:type="dxa"/>
            <w:vAlign w:val="bottom"/>
            <w:vMerge w:val="restart"/>
          </w:tcPr>
          <w:p>
            <w:pPr>
              <w:ind w:left="40"/>
              <w:spacing w:after="0"/>
              <w:rPr>
                <w:sz w:val="20"/>
                <w:szCs w:val="20"/>
                <w:color w:val="auto"/>
              </w:rPr>
            </w:pPr>
            <w:r>
              <w:rPr>
                <w:rFonts w:ascii="Arial" w:cs="Arial" w:eastAsia="Arial" w:hAnsi="Arial"/>
                <w:sz w:val="16"/>
                <w:szCs w:val="16"/>
                <w:color w:val="auto"/>
              </w:rPr>
              <w:t>Fourth quarter</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39,700</w:t>
            </w: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39,000</w:t>
            </w:r>
          </w:p>
        </w:tc>
        <w:tc>
          <w:tcPr>
            <w:tcW w:w="1680" w:type="dxa"/>
            <w:vAlign w:val="bottom"/>
            <w:vMerge w:val="restart"/>
          </w:tcPr>
          <w:p>
            <w:pPr>
              <w:jc w:val="right"/>
              <w:ind w:right="199"/>
              <w:spacing w:after="0"/>
              <w:rPr>
                <w:sz w:val="20"/>
                <w:szCs w:val="20"/>
                <w:color w:val="auto"/>
              </w:rPr>
            </w:pPr>
            <w:r>
              <w:rPr>
                <w:rFonts w:ascii="Arial" w:cs="Arial" w:eastAsia="Arial" w:hAnsi="Arial"/>
                <w:sz w:val="16"/>
                <w:szCs w:val="16"/>
                <w:color w:val="auto"/>
              </w:rPr>
              <w:t>700</w:t>
            </w: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1.8 %</w:t>
            </w:r>
          </w:p>
        </w:tc>
        <w:tc>
          <w:tcPr>
            <w:tcW w:w="90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(5)</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28,300</w:t>
            </w:r>
          </w:p>
        </w:tc>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60" w:type="dxa"/>
            <w:vAlign w:val="bottom"/>
            <w:tcBorders>
              <w:bottom w:val="single" w:sz="8" w:color="CCEEFF"/>
            </w:tcBorders>
            <w:vMerge w:val="continue"/>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8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208,800</w:t>
            </w:r>
          </w:p>
        </w:tc>
        <w:tc>
          <w:tcPr>
            <w:tcW w:w="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199,200</w:t>
            </w:r>
          </w:p>
        </w:tc>
        <w:tc>
          <w:tcPr>
            <w:tcW w:w="16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9,600</w:t>
            </w:r>
          </w:p>
        </w:tc>
        <w:tc>
          <w:tcPr>
            <w:tcW w:w="9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4.8 %</w:t>
            </w:r>
          </w:p>
        </w:tc>
        <w:tc>
          <w:tcPr>
            <w:tcW w:w="9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144,900</w:t>
            </w:r>
          </w:p>
        </w:tc>
        <w:tc>
          <w:tcPr>
            <w:tcW w:w="4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186,000</w:t>
            </w:r>
          </w:p>
        </w:tc>
        <w:tc>
          <w:tcPr>
            <w:tcW w:w="16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3,100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114"/>
        </w:trPr>
        <w:tc>
          <w:tcPr>
            <w:tcW w:w="1860" w:type="dxa"/>
            <w:vAlign w:val="bottom"/>
            <w:tcBorders>
              <w:bottom w:val="single" w:sz="8" w:color="CCEEFF"/>
            </w:tcBorders>
            <w:vMerge w:val="continue"/>
            <w:shd w:val="clear" w:color="auto" w:fill="CCEEFF"/>
          </w:tcPr>
          <w:p>
            <w:pPr>
              <w:spacing w:after="0"/>
              <w:rPr>
                <w:sz w:val="9"/>
                <w:szCs w:val="9"/>
                <w:color w:val="auto"/>
              </w:rPr>
            </w:pPr>
          </w:p>
        </w:tc>
        <w:tc>
          <w:tcPr>
            <w:tcW w:w="840" w:type="dxa"/>
            <w:vAlign w:val="bottom"/>
            <w:tcBorders>
              <w:bottom w:val="single" w:sz="8" w:color="auto"/>
            </w:tcBorders>
            <w:vMerge w:val="continue"/>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1680" w:type="dxa"/>
            <w:vAlign w:val="bottom"/>
            <w:tcBorders>
              <w:bottom w:val="single" w:sz="8" w:color="auto"/>
            </w:tcBorders>
            <w:vMerge w:val="continue"/>
            <w:shd w:val="clear" w:color="auto" w:fill="CCEEFF"/>
          </w:tcPr>
          <w:p>
            <w:pPr>
              <w:spacing w:after="0"/>
              <w:rPr>
                <w:sz w:val="9"/>
                <w:szCs w:val="9"/>
                <w:color w:val="auto"/>
              </w:rPr>
            </w:pPr>
          </w:p>
        </w:tc>
        <w:tc>
          <w:tcPr>
            <w:tcW w:w="980" w:type="dxa"/>
            <w:vAlign w:val="bottom"/>
            <w:tcBorders>
              <w:bottom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1680" w:type="dxa"/>
            <w:vAlign w:val="bottom"/>
            <w:tcBorders>
              <w:bottom w:val="single" w:sz="8" w:color="auto"/>
            </w:tcBorders>
            <w:vMerge w:val="continue"/>
            <w:shd w:val="clear" w:color="auto" w:fill="CCEEFF"/>
          </w:tcPr>
          <w:p>
            <w:pPr>
              <w:spacing w:after="0"/>
              <w:rPr>
                <w:sz w:val="9"/>
                <w:szCs w:val="9"/>
                <w:color w:val="auto"/>
              </w:rPr>
            </w:pPr>
          </w:p>
        </w:tc>
        <w:tc>
          <w:tcPr>
            <w:tcW w:w="94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 rounded to the nearest hundred.</w:t>
      </w:r>
    </w:p>
    <w:p>
      <w:pPr>
        <w:ind w:left="340" w:hanging="332"/>
        <w:spacing w:after="0" w:line="187"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Statistical Surveys for the U.S. and Canada combined, rounded to the nearest hundred.</w:t>
      </w:r>
    </w:p>
    <w:p>
      <w:pPr>
        <w:ind w:left="340" w:hanging="332"/>
        <w:spacing w:after="0" w:line="187"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Based upon forecasted 2011 Towable wholesale shipments as reported by RVIA in the Roadsigns Fall 2011 issue.</w:t>
      </w:r>
    </w:p>
    <w:p>
      <w:pPr>
        <w:ind w:left="340" w:hanging="332"/>
        <w:spacing w:after="0" w:line="187"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U.S. retail registrations for Class A, B and C for August 2011. Canadian retail registrations are not yet available.</w:t>
      </w:r>
    </w:p>
    <w:p>
      <w:pPr>
        <w:ind w:left="340" w:hanging="332"/>
        <w:spacing w:after="0" w:line="199"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Statistical Surveys has not issued a projection for 2011 retail demand.</w:t>
      </w:r>
    </w:p>
    <w:p>
      <w:pPr>
        <w:spacing w:after="0" w:line="17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towable retail market has not been as negatively impacted in recent years as the motorized market. The size of the market is forecasted to be nearly nine times larger than the motorized market on a unit basis in Calendar 2011. This is primarily due to the fact that average price of a towable unit is considerably less than a motor home. RVIA forecasts that towable shipments in Calendar 2012 will be 206,500.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26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Based on our profitable operating results in Fiscal 2011, we believe that we have demonstrated our ability to maintain our liquidity, cover operations costs, recover fixed assets, and maintain physical capacity at present levels. Now that we have entered into the towable market, we have the potential to grow revenues and earnings in a market significantly larger than the motorized market.</w:t>
      </w:r>
    </w:p>
    <w:p>
      <w:pPr>
        <w:spacing w:after="0" w:line="14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believe retail sales will be the key driver to improvement of the recreation vehicle market. We also believe that future dealer buying patterns will continue to be primarily based on retail demand, thus dealers are expected to order approximately one new unit as one is retailed. Our viewpoint is that dealers post-recession are much more cautious about their level of inventory and are more focused on their retail turn rate than they were as a group pre-recession. We plan to continue to focus on those same metrics, closely reviewing the aging of dealer inventory and retail turns by product series. Consistent with our current practice, we will continue to adjust our weekly production rate up or down based on market demand. Negative factors that may hinder retail sales include the current low level of consumer confidence, continued high unemployment levels and uncertainty regarding fuel prices.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Materials cost is the primary component in the cost of our products. In Fiscal 2011, we incurred modest increases in raw material and component costs. Historically, the impact of inflation on our operations has not been significantly detrimental, as we have usually been able to adjust our prices to reflect the inflationary impact on the cost of manufacturing our products. While we have historically been able to pass on these increased costs, in the event we are unable to continue to do so due to market conditions, future increases in manufacturing costs could have a material adverse effect on our results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3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3"/>
        </w:trPr>
        <w:tc>
          <w:tcPr>
            <w:tcW w:w="3200" w:type="dxa"/>
            <w:vAlign w:val="bottom"/>
            <w:gridSpan w:val="2"/>
          </w:tcPr>
          <w:p>
            <w:pPr>
              <w:spacing w:after="0"/>
              <w:rPr>
                <w:sz w:val="20"/>
                <w:szCs w:val="20"/>
                <w:color w:val="auto"/>
              </w:rPr>
            </w:pPr>
            <w:r>
              <w:rPr>
                <w:rFonts w:ascii="Arial" w:cs="Arial" w:eastAsia="Arial" w:hAnsi="Arial"/>
                <w:sz w:val="16"/>
                <w:szCs w:val="16"/>
                <w:color w:val="auto"/>
              </w:rPr>
              <w:t>Our unit order backlog was as follows: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As Of</w:t>
            </w:r>
          </w:p>
        </w:tc>
        <w:tc>
          <w:tcPr>
            <w:tcW w:w="1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2740" w:type="dxa"/>
            <w:vAlign w:val="bottom"/>
            <w:gridSpan w:val="3"/>
          </w:tcPr>
          <w:p>
            <w:pPr>
              <w:ind w:left="660"/>
              <w:spacing w:after="0"/>
              <w:rPr>
                <w:sz w:val="20"/>
                <w:szCs w:val="20"/>
                <w:color w:val="auto"/>
              </w:rPr>
            </w:pPr>
            <w:r>
              <w:rPr>
                <w:rFonts w:ascii="Arial" w:cs="Arial" w:eastAsia="Arial" w:hAnsi="Arial"/>
                <w:sz w:val="16"/>
                <w:szCs w:val="16"/>
                <w:b w:val="1"/>
                <w:bCs w:val="1"/>
                <w:color w:val="auto"/>
              </w:rPr>
              <w:t>August 27, 2011</w:t>
            </w:r>
          </w:p>
        </w:tc>
        <w:tc>
          <w:tcPr>
            <w:tcW w:w="2660" w:type="dxa"/>
            <w:vAlign w:val="bottom"/>
            <w:gridSpan w:val="3"/>
          </w:tcPr>
          <w:p>
            <w:pPr>
              <w:ind w:left="660"/>
              <w:spacing w:after="0"/>
              <w:rPr>
                <w:sz w:val="20"/>
                <w:szCs w:val="20"/>
                <w:color w:val="auto"/>
              </w:rPr>
            </w:pPr>
            <w:r>
              <w:rPr>
                <w:rFonts w:ascii="Arial" w:cs="Arial" w:eastAsia="Arial" w:hAnsi="Arial"/>
                <w:sz w:val="16"/>
                <w:szCs w:val="16"/>
                <w:b w:val="1"/>
                <w:bCs w:val="1"/>
                <w:color w:val="auto"/>
              </w:rPr>
              <w:t>August 28, 2010</w:t>
            </w: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47"/>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Class A gas</w:t>
            </w:r>
          </w:p>
        </w:tc>
        <w:tc>
          <w:tcPr>
            <w:tcW w:w="14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230</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(42)</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(15.4)%</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diesel</w:t>
            </w:r>
          </w:p>
        </w:tc>
        <w:tc>
          <w:tcPr>
            <w:tcW w:w="14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177</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(41)</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r>
      <w:tr>
        <w:trPr>
          <w:trHeight w:val="247"/>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Total Class A</w:t>
            </w:r>
          </w:p>
        </w:tc>
        <w:tc>
          <w:tcPr>
            <w:tcW w:w="1440" w:type="dxa"/>
            <w:vAlign w:val="bottom"/>
          </w:tcPr>
          <w:p>
            <w:pPr>
              <w:jc w:val="right"/>
              <w:ind w:right="279"/>
              <w:spacing w:after="0"/>
              <w:rPr>
                <w:sz w:val="20"/>
                <w:szCs w:val="20"/>
                <w:color w:val="auto"/>
              </w:rPr>
            </w:pPr>
            <w:r>
              <w:rPr>
                <w:rFonts w:ascii="Arial" w:cs="Arial" w:eastAsia="Arial" w:hAnsi="Arial"/>
                <w:sz w:val="16"/>
                <w:szCs w:val="16"/>
                <w:color w:val="auto"/>
              </w:rPr>
              <w:t>407</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59.8%</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490</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1"/>
                <w:szCs w:val="21"/>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(83)</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(16.9)%</w:t>
            </w:r>
          </w:p>
        </w:tc>
      </w:tr>
      <w:tr>
        <w:trPr>
          <w:trHeight w:val="28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4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71</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10.4%</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71</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32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203</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29.8%</w:t>
            </w:r>
          </w:p>
        </w:tc>
        <w:tc>
          <w:tcPr>
            <w:tcW w:w="2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(125)</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(38.1)%</w:t>
            </w:r>
          </w:p>
        </w:tc>
      </w:tr>
      <w:tr>
        <w:trPr>
          <w:trHeight w:val="243"/>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(1)</w:t>
            </w:r>
          </w:p>
        </w:tc>
        <w:tc>
          <w:tcPr>
            <w:tcW w:w="14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681</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(137)</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(16.7)%</w:t>
            </w:r>
          </w:p>
        </w:tc>
      </w:tr>
      <w:tr>
        <w:trPr>
          <w:trHeight w:val="20"/>
        </w:trPr>
        <w:tc>
          <w:tcPr>
            <w:tcW w:w="1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Travel trailer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Fifth wheel</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Total towable backlog</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6"/>
          <w:szCs w:val="16"/>
          <w:color w:val="auto"/>
        </w:rPr>
        <w:t>63.8%</w:t>
      </w:r>
    </w:p>
    <w:p>
      <w:pPr>
        <w:spacing w:after="0" w:line="86" w:lineRule="exact"/>
        <w:rPr>
          <w:sz w:val="20"/>
          <w:szCs w:val="20"/>
          <w:color w:val="auto"/>
        </w:rPr>
      </w:pPr>
    </w:p>
    <w:p>
      <w:pPr>
        <w:ind w:left="1100" w:hanging="1095"/>
        <w:spacing w:after="0"/>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36.2%</w:t>
      </w:r>
    </w:p>
    <w:p>
      <w:pPr>
        <w:spacing w:after="0" w:line="72" w:lineRule="exact"/>
        <w:rPr>
          <w:rFonts w:ascii="Arial" w:cs="Arial" w:eastAsia="Arial" w:hAnsi="Arial"/>
          <w:sz w:val="16"/>
          <w:szCs w:val="16"/>
          <w:color w:val="auto"/>
        </w:rPr>
      </w:pPr>
    </w:p>
    <w:p>
      <w:pPr>
        <w:ind w:left="1020" w:hanging="1015"/>
        <w:spacing w:after="0"/>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223520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-135890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3280" w:space="720"/>
            <w:col w:w="7420"/>
          </w:cols>
          <w:pgMar w:left="240" w:top="118" w:right="239" w:bottom="144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Approximate backlog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34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74,704</w:t>
            </w:r>
          </w:p>
        </w:tc>
        <w:tc>
          <w:tcPr>
            <w:tcW w:w="118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82,773</w:t>
            </w:r>
          </w:p>
        </w:tc>
        <w:tc>
          <w:tcPr>
            <w:tcW w:w="11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(8,069)</w:t>
            </w:r>
          </w:p>
        </w:tc>
        <w:tc>
          <w:tcPr>
            <w:tcW w:w="116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r>
      <w:tr>
        <w:trPr>
          <w:trHeight w:val="251"/>
        </w:trPr>
        <w:tc>
          <w:tcPr>
            <w:tcW w:w="3200" w:type="dxa"/>
            <w:vAlign w:val="bottom"/>
          </w:tcPr>
          <w:p>
            <w:pPr>
              <w:ind w:left="40"/>
              <w:spacing w:after="0"/>
              <w:rPr>
                <w:sz w:val="20"/>
                <w:szCs w:val="20"/>
                <w:color w:val="auto"/>
              </w:rPr>
            </w:pPr>
            <w:r>
              <w:rPr>
                <w:rFonts w:ascii="Arial" w:cs="Arial" w:eastAsia="Arial" w:hAnsi="Arial"/>
                <w:sz w:val="16"/>
                <w:szCs w:val="16"/>
                <w:color w:val="auto"/>
              </w:rPr>
              <w:t>Towable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759"/>
              <w:spacing w:after="0"/>
              <w:rPr>
                <w:sz w:val="20"/>
                <w:szCs w:val="20"/>
                <w:color w:val="auto"/>
              </w:rPr>
            </w:pPr>
            <w:r>
              <w:rPr>
                <w:rFonts w:ascii="Arial" w:cs="Arial" w:eastAsia="Arial" w:hAnsi="Arial"/>
                <w:sz w:val="16"/>
                <w:szCs w:val="16"/>
                <w:color w:val="auto"/>
              </w:rPr>
              <w:t>6,669</w:t>
            </w:r>
          </w:p>
        </w:tc>
        <w:tc>
          <w:tcPr>
            <w:tcW w:w="1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4" w:lineRule="exact"/>
        <w:rPr>
          <w:sz w:val="20"/>
          <w:szCs w:val="20"/>
          <w:color w:val="auto"/>
        </w:rPr>
      </w:pPr>
    </w:p>
    <w:p>
      <w:pPr>
        <w:ind w:left="240" w:right="40" w:hanging="232"/>
        <w:spacing w:after="0" w:line="218" w:lineRule="auto"/>
        <w:tabs>
          <w:tab w:leader="none" w:pos="2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2011 Compared to Fiscal 2010</w:t>
      </w:r>
    </w:p>
    <w:p>
      <w:pPr>
        <w:spacing w:after="0" w:line="20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27, 2011 compared to the fiscal year ended August 28, 2010: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20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w:t>
            </w: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28,</w:t>
            </w: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54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154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496,418</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449,484</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46,934</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7.9 %</w:t>
            </w:r>
          </w:p>
        </w:tc>
      </w:tr>
      <w:tr>
        <w:trPr>
          <w:trHeight w:val="237"/>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456,664</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92.0 %</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423,217</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94.2 %</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33,447</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7.9 %</w:t>
            </w: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39,754</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8.0 %</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26,267</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5.8 %</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13,487</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51.3 %</w:t>
            </w:r>
          </w:p>
        </w:tc>
      </w:tr>
      <w:tr>
        <w:trPr>
          <w:trHeight w:val="162"/>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14,251</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2.9 %</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12,724</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1,527</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12.0 %</w:t>
            </w:r>
          </w:p>
        </w:tc>
      </w:tr>
      <w:tr>
        <w:trPr>
          <w:trHeight w:val="233"/>
        </w:trPr>
        <w:tc>
          <w:tcPr>
            <w:tcW w:w="2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14,263</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2.9 %</w:t>
            </w:r>
          </w:p>
        </w:tc>
        <w:tc>
          <w:tcPr>
            <w:tcW w:w="1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13,023</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2.9 %</w:t>
            </w:r>
          </w:p>
        </w:tc>
        <w:tc>
          <w:tcPr>
            <w:tcW w:w="2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1,240</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9.5 %</w:t>
            </w:r>
          </w:p>
        </w:tc>
      </w:tr>
      <w:tr>
        <w:trPr>
          <w:trHeight w:val="22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 impairment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net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(39)</w:t>
            </w: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28,475</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25,747</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2,728</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10.6 %</w:t>
            </w:r>
          </w:p>
        </w:tc>
      </w:tr>
      <w:tr>
        <w:trPr>
          <w:trHeight w:val="162"/>
        </w:trPr>
        <w:tc>
          <w:tcPr>
            <w:tcW w:w="2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3"/>
        </w:trPr>
        <w:tc>
          <w:tcPr>
            <w:tcW w:w="27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11,279</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2.3 %</w:t>
            </w:r>
          </w:p>
        </w:tc>
        <w:tc>
          <w:tcPr>
            <w:tcW w:w="1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520</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0.1 %</w:t>
            </w:r>
          </w:p>
        </w:tc>
        <w:tc>
          <w:tcPr>
            <w:tcW w:w="2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10,759</w:t>
            </w: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NMF</w:t>
            </w:r>
          </w:p>
        </w:tc>
      </w:tr>
      <w:tr>
        <w:trPr>
          <w:trHeight w:val="24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658</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222</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436</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196.4 %</w:t>
            </w:r>
          </w:p>
        </w:tc>
      </w:tr>
      <w:tr>
        <w:trPr>
          <w:trHeight w:val="233"/>
        </w:trPr>
        <w:tc>
          <w:tcPr>
            <w:tcW w:w="2740" w:type="dxa"/>
            <w:vAlign w:val="bottom"/>
          </w:tcPr>
          <w:p>
            <w:pPr>
              <w:ind w:left="40"/>
              <w:spacing w:after="0"/>
              <w:rPr>
                <w:sz w:val="20"/>
                <w:szCs w:val="20"/>
                <w:color w:val="auto"/>
              </w:rPr>
            </w:pPr>
            <w:r>
              <w:rPr>
                <w:rFonts w:ascii="Arial" w:cs="Arial" w:eastAsia="Arial" w:hAnsi="Arial"/>
                <w:sz w:val="16"/>
                <w:szCs w:val="16"/>
                <w:color w:val="auto"/>
              </w:rPr>
              <w:t>Pre-tax income</w:t>
            </w:r>
          </w:p>
        </w:tc>
        <w:tc>
          <w:tcPr>
            <w:tcW w:w="2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11,937</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742</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0.2 %</w:t>
            </w:r>
          </w:p>
        </w:tc>
        <w:tc>
          <w:tcPr>
            <w:tcW w:w="2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11,195</w:t>
            </w: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NMF</w:t>
            </w:r>
          </w:p>
        </w:tc>
      </w:tr>
      <w:tr>
        <w:trPr>
          <w:trHeight w:val="24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(9,505)</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9,599</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(101.0)%</w:t>
            </w:r>
          </w:p>
        </w:tc>
      </w:tr>
      <w:tr>
        <w:trPr>
          <w:trHeight w:val="28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11,843</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10,247</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1,596</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15.6 %</w:t>
            </w: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0.41</w:t>
            </w:r>
          </w:p>
        </w:tc>
        <w:tc>
          <w:tcPr>
            <w:tcW w:w="1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0.35</w:t>
            </w:r>
          </w:p>
        </w:tc>
        <w:tc>
          <w:tcPr>
            <w:tcW w:w="1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0.06</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17.1 %</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29,148</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29,101</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4"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27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60"/>
        </w:trPr>
        <w:tc>
          <w:tcPr>
            <w:tcW w:w="6920" w:type="dxa"/>
            <w:vAlign w:val="bottom"/>
            <w:gridSpan w:val="7"/>
          </w:tcPr>
          <w:p>
            <w:pPr>
              <w:spacing w:after="0"/>
              <w:rPr>
                <w:sz w:val="20"/>
                <w:szCs w:val="20"/>
                <w:color w:val="auto"/>
              </w:rPr>
            </w:pPr>
            <w:r>
              <w:rPr>
                <w:rFonts w:ascii="Arial" w:cs="Arial" w:eastAsia="Arial" w:hAnsi="Arial"/>
                <w:sz w:val="16"/>
                <w:szCs w:val="16"/>
                <w:color w:val="auto"/>
              </w:rPr>
              <w:t>Unit deliveries and average sales price (ASP), net of discounts, consisted of the following:</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w:t>
            </w:r>
          </w:p>
        </w:tc>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2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34"/>
        </w:trPr>
        <w:tc>
          <w:tcPr>
            <w:tcW w:w="2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c>
          <w:tcPr>
            <w:tcW w:w="1500" w:type="dxa"/>
            <w:vAlign w:val="bottom"/>
            <w:tcBorders>
              <w:bottom w:val="single" w:sz="8" w:color="auto"/>
            </w:tcBorders>
            <w:gridSpan w:val="2"/>
          </w:tcPr>
          <w:p>
            <w:pPr>
              <w:ind w:left="28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c>
          <w:tcPr>
            <w:tcW w:w="122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Increase(Decrease)</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3"/>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1,518</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34.5%</w:t>
            </w:r>
          </w:p>
        </w:tc>
        <w:tc>
          <w:tcPr>
            <w:tcW w:w="16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1,483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33.4%</w:t>
            </w:r>
          </w:p>
        </w:tc>
        <w:tc>
          <w:tcPr>
            <w:tcW w:w="240" w:type="dxa"/>
            <w:vAlign w:val="bottom"/>
          </w:tcPr>
          <w:p>
            <w:pPr>
              <w:spacing w:after="0"/>
              <w:rPr>
                <w:sz w:val="20"/>
                <w:szCs w:val="20"/>
                <w:color w:val="auto"/>
              </w:rPr>
            </w:pPr>
          </w:p>
        </w:tc>
        <w:tc>
          <w:tcPr>
            <w:tcW w:w="1760" w:type="dxa"/>
            <w:vAlign w:val="bottom"/>
          </w:tcPr>
          <w:p>
            <w:pPr>
              <w:jc w:val="right"/>
              <w:ind w:right="399"/>
              <w:spacing w:after="0"/>
              <w:rPr>
                <w:sz w:val="20"/>
                <w:szCs w:val="20"/>
                <w:color w:val="auto"/>
              </w:rPr>
            </w:pPr>
            <w:r>
              <w:rPr>
                <w:rFonts w:ascii="Arial" w:cs="Arial" w:eastAsia="Arial" w:hAnsi="Arial"/>
                <w:sz w:val="16"/>
                <w:szCs w:val="16"/>
                <w:color w:val="auto"/>
              </w:rPr>
              <w:t>35</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2.4 %</w:t>
            </w:r>
          </w:p>
        </w:tc>
      </w:tr>
      <w:tr>
        <w:trPr>
          <w:trHeight w:val="24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918</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20.9%</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969</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21.9%</w:t>
            </w:r>
          </w:p>
        </w:tc>
        <w:tc>
          <w:tcPr>
            <w:tcW w:w="2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(51)</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r>
      <w:tr>
        <w:trPr>
          <w:trHeight w:val="233"/>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2,436</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55.4%</w:t>
            </w:r>
          </w:p>
        </w:tc>
        <w:tc>
          <w:tcPr>
            <w:tcW w:w="16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2,452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55.3%</w:t>
            </w:r>
          </w:p>
        </w:tc>
        <w:tc>
          <w:tcPr>
            <w:tcW w:w="240" w:type="dxa"/>
            <w:vAlign w:val="bottom"/>
          </w:tcPr>
          <w:p>
            <w:pPr>
              <w:spacing w:after="0"/>
              <w:rPr>
                <w:sz w:val="20"/>
                <w:szCs w:val="20"/>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(0.7)%</w:t>
            </w:r>
          </w:p>
        </w:tc>
      </w:tr>
      <w:tr>
        <w:trPr>
          <w:trHeight w:val="253"/>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103</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236</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(133)</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(56.4)%</w:t>
            </w:r>
          </w:p>
        </w:tc>
      </w:tr>
      <w:tr>
        <w:trPr>
          <w:trHeight w:val="237"/>
        </w:trPr>
        <w:tc>
          <w:tcPr>
            <w:tcW w:w="2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1,856</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42.2%</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1,745</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111</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6.4 %</w:t>
            </w:r>
          </w:p>
        </w:tc>
      </w:tr>
      <w:tr>
        <w:trPr>
          <w:trHeight w:val="240"/>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 home deliveries</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4,395</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4,433</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(38)</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0"/>
        </w:trPr>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6"/>
        </w:trPr>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7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w:t>
            </w:r>
          </w:p>
        </w:tc>
        <w:tc>
          <w:tcPr>
            <w:tcW w:w="12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r>
      <w:tr>
        <w:trPr>
          <w:trHeight w:val="162"/>
        </w:trPr>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70"/>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575</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74.8%</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3"/>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194</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80"/>
        </w:trPr>
        <w:tc>
          <w:tcPr>
            <w:tcW w:w="2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769</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146"/>
        </w:trPr>
        <w:tc>
          <w:tcPr>
            <w:tcW w:w="1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51"/>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ind w:left="160" w:hanging="152"/>
        <w:spacing w:after="0" w:line="227"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20" w:type="dxa"/>
            <w:vAlign w:val="bottom"/>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3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August 27, 2011</w:t>
            </w: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August 28, 2010</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(Decrease)</w:t>
            </w: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443,232</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89.3%</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415,277</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27,955</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r>
      <w:tr>
        <w:trPr>
          <w:trHeight w:val="270"/>
        </w:trPr>
        <w:tc>
          <w:tcPr>
            <w:tcW w:w="302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16,712</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480" w:type="dxa"/>
            <w:vAlign w:val="bottom"/>
          </w:tcPr>
          <w:p>
            <w:pPr>
              <w:spacing w:after="0"/>
              <w:rPr>
                <w:sz w:val="23"/>
                <w:szCs w:val="23"/>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16,712</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100.0 %</w:t>
            </w:r>
          </w:p>
        </w:tc>
      </w:tr>
      <w:tr>
        <w:trPr>
          <w:trHeight w:val="27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13,105</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13,655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(550)</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r>
      <w:tr>
        <w:trPr>
          <w:trHeight w:val="264"/>
        </w:trPr>
        <w:tc>
          <w:tcPr>
            <w:tcW w:w="3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23,369</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20,552</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2,817</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13.7 %</w:t>
            </w:r>
          </w:p>
        </w:tc>
      </w:tr>
      <w:tr>
        <w:trPr>
          <w:trHeight w:val="267"/>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496,418</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449,484</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46,934</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8890</wp:posOffset>
            </wp:positionV>
            <wp:extent cx="5334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ind w:left="260" w:hanging="238"/>
        <w:spacing w:after="0" w:line="224" w:lineRule="auto"/>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Motor home unit revenue less discounts, sales promotions and incentives, and accrued loss on repurchase adjustments.</w:t>
      </w:r>
    </w:p>
    <w:p>
      <w:pPr>
        <w:ind w:left="260" w:hanging="238"/>
        <w:spacing w:after="0" w:line="199" w:lineRule="auto"/>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increase in motor home net revenues of $28.0 million or 6.7% was entirely attributed to an increase in motor home ASP, which was also 6.7%, as unit deliveries were essentially flat compared to Fiscal 2010. The increase in motor home ASP was primarily a result of more higher-priced Class A diesel units sold this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Towables revenues of $16.7 million were incremental in Fiscal 2011 and represented revenue since the SunnyBrook acquisition date of December 29, 2010.</w:t>
      </w:r>
    </w:p>
    <w:p>
      <w:pPr>
        <w:spacing w:after="0" w:line="19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$456.7 million, or 92.0% of net revenues for Fiscal 2011 compared to $423.2 million, or 94.2% of net revenues for Fiscal 2010 due to the following:</w:t>
      </w:r>
    </w:p>
    <w:p>
      <w:pPr>
        <w:spacing w:after="0" w:line="1" w:lineRule="exact"/>
        <w:rPr>
          <w:sz w:val="20"/>
          <w:szCs w:val="20"/>
          <w:color w:val="auto"/>
        </w:rPr>
      </w:pPr>
    </w:p>
    <w:p>
      <w:pPr>
        <w:ind w:left="340" w:right="2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84.0% this year from 85.2% last year which was primarily a result of increased sales volume. Also impacting our variable costs were the following two significant items:</w:t>
      </w:r>
    </w:p>
    <w:p>
      <w:pPr>
        <w:ind w:left="660" w:right="20" w:hanging="328"/>
        <w:spacing w:after="0" w:line="246"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Our variable costs were positively impacted by an inventory adjustment as a result of the annual physical inventory performed in the second quarter of Fiscal 2011. The favorable adjustment was the result of lower actual inventory scrap and production material loss than recent historical experience, which had the effect of increasing gross profit and inventories by $3.5 million. Conversely, a negative inventory adjustment of $600,000 was recorded in the fourth quarter of Fiscal 2011 as a result of a Towables physical inventory. These adjustments in the aggregate favorably impacted our material, labor, variable overhead and fixed overhead costs by 0.6% as a percentage of net revenues.</w:t>
      </w:r>
    </w:p>
    <w:p>
      <w:pPr>
        <w:spacing w:after="0" w:line="2" w:lineRule="exact"/>
        <w:rPr>
          <w:rFonts w:ascii="Arial" w:cs="Arial" w:eastAsia="Arial" w:hAnsi="Arial"/>
          <w:sz w:val="16"/>
          <w:szCs w:val="16"/>
          <w:color w:val="auto"/>
        </w:rPr>
      </w:pPr>
    </w:p>
    <w:p>
      <w:pPr>
        <w:ind w:left="660" w:right="40" w:hanging="328"/>
        <w:spacing w:after="0" w:line="246"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Our variable costs were unfavorably impacted by $2.1 million, or 0.4%, of net revenues this year due to last-in, first-out (LIFO) inventory expense, as compared to a LIFO inventory gain on liquidation of $783,000, or 0.2%, of net revenues last year. This increase is due to inflation and higher inventory levels this year.</w:t>
      </w:r>
    </w:p>
    <w:p>
      <w:pPr>
        <w:spacing w:after="0" w:line="1" w:lineRule="exact"/>
        <w:rPr>
          <w:rFonts w:ascii="Arial" w:cs="Arial" w:eastAsia="Arial" w:hAnsi="Arial"/>
          <w:sz w:val="16"/>
          <w:szCs w:val="16"/>
          <w:color w:val="auto"/>
        </w:rPr>
      </w:pPr>
    </w:p>
    <w:p>
      <w:pPr>
        <w:ind w:left="340" w:right="50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8.0% of net revenues compared to 8.9% last year. With similar spending levels, the difference was due primarily to increased revenues this year.</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factors considered, gross profit increased to 8.0% of net revenues from 5.8% of net revenues.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Selling expenses increased $1.5 million, or 12.0%, in Fiscal 2011. The expense increase was primarily due to operating expenses associated with Towables and increases in advertising and wage-related expenses. As a percent of net revenues, selling expenses were 2.9% and 2.8% in Fiscal 2011 and Fiscal 2010, respectively.</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General and administrative expenses increased $1.2 million, or 9.5%, in Fiscal 2011. This increase was due primarily to increases in wage-related expenses of $1.4 million and legal expenses of $1.1 million partially offset by a decrease in product liability expenses of $830,000. As a percent of net revenues, general and administrative expenses were flat year over year at 2.9%.</w:t>
      </w:r>
    </w:p>
    <w:p>
      <w:pPr>
        <w:spacing w:after="0" w:line="14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the first quarter of Fiscal 2011 we realized a gain of $644,000 on the sale of an idled assembly facility in Charles City, Iowa, (CCMF) one of our assets held for sale. Conversely, an impairment of $605,000 was recorded in the third quarter of Fiscal 2011 on our Hampton facility. See Note 6.</w:t>
      </w:r>
    </w:p>
    <w:p>
      <w:pPr>
        <w:spacing w:after="0" w:line="142"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Non-operating income increased $436,000 or 196.4%, in Fiscal 2011. This difference is primarily the result of incurring a one-time expense of $375,000 in Fiscal 2010 to terminate a credit and security agreement with Wells Fargo. We also received proceeds from company-owned life insurance (COLI) policies during Fiscal 2011, partially offset by lower investment income. See Note 13.</w:t>
      </w:r>
    </w:p>
    <w:p>
      <w:pPr>
        <w:spacing w:after="0" w:line="161"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The overall effective income tax rate for this year was an expense of 0.8% compared to a benefit of 1,281.0% last year. The following table breaks down the two aforementioned tax rates: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1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August 27, 2011</w:t>
            </w:r>
          </w:p>
        </w:tc>
        <w:tc>
          <w:tcPr>
            <w:tcW w:w="5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August 28, 2010</w:t>
            </w:r>
          </w:p>
        </w:tc>
      </w:tr>
      <w:tr>
        <w:trPr>
          <w:trHeight w:val="198"/>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Effective</w:t>
            </w: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jc w:val="right"/>
              <w:ind w:right="359"/>
              <w:spacing w:after="0"/>
              <w:rPr>
                <w:sz w:val="20"/>
                <w:szCs w:val="20"/>
                <w:color w:val="auto"/>
              </w:rPr>
            </w:pPr>
            <w:r>
              <w:rPr>
                <w:rFonts w:ascii="Arial" w:cs="Arial" w:eastAsia="Arial" w:hAnsi="Arial"/>
                <w:sz w:val="16"/>
                <w:szCs w:val="16"/>
                <w:b w:val="1"/>
                <w:bCs w:val="1"/>
                <w:color w:val="auto"/>
              </w:rPr>
              <w:t>Effective</w:t>
            </w:r>
          </w:p>
        </w:tc>
      </w:tr>
      <w:tr>
        <w:trPr>
          <w:trHeight w:val="22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Rate</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expense on current operations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2,596</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21.7 %</w:t>
            </w:r>
          </w:p>
        </w:tc>
        <w:tc>
          <w:tcPr>
            <w:tcW w:w="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667</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89.9 %</w:t>
            </w:r>
          </w:p>
        </w:tc>
      </w:tr>
      <w:tr>
        <w:trPr>
          <w:trHeight w:val="233"/>
        </w:trPr>
        <w:tc>
          <w:tcPr>
            <w:tcW w:w="5160" w:type="dxa"/>
            <w:vAlign w:val="bottom"/>
          </w:tcPr>
          <w:p>
            <w:pPr>
              <w:ind w:left="40"/>
              <w:spacing w:after="0"/>
              <w:rPr>
                <w:sz w:val="20"/>
                <w:szCs w:val="20"/>
                <w:color w:val="auto"/>
              </w:rPr>
            </w:pPr>
            <w:r>
              <w:rPr>
                <w:rFonts w:ascii="Arial" w:cs="Arial" w:eastAsia="Arial" w:hAnsi="Arial"/>
                <w:sz w:val="16"/>
                <w:szCs w:val="16"/>
                <w:color w:val="auto"/>
              </w:rPr>
              <w:t>Valuation allowance decrease</w:t>
            </w:r>
          </w:p>
        </w:tc>
        <w:tc>
          <w:tcPr>
            <w:tcW w:w="280" w:type="dxa"/>
            <w:vAlign w:val="bottom"/>
          </w:tcPr>
          <w:p>
            <w:pPr>
              <w:spacing w:after="0"/>
              <w:rPr>
                <w:sz w:val="20"/>
                <w:szCs w:val="20"/>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(2,013)</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580" w:type="dxa"/>
            <w:vAlign w:val="bottom"/>
          </w:tcPr>
          <w:p>
            <w:pPr>
              <w:spacing w:after="0"/>
              <w:rPr>
                <w:sz w:val="20"/>
                <w:szCs w:val="20"/>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(5,456)</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(735.3)%</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(489)</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5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(3,195)</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(430.6)%</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Amended state tax returns and other items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(1,521)</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(205.0)%</w:t>
            </w:r>
          </w:p>
        </w:tc>
      </w:tr>
      <w:tr>
        <w:trPr>
          <w:trHeight w:val="26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(benefit) for taxes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94</w:t>
            </w: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0.8 %</w:t>
            </w:r>
          </w:p>
        </w:tc>
        <w:tc>
          <w:tcPr>
            <w:tcW w:w="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(9,505)</w:t>
            </w: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(1,281.0)%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expense on current operations</w:t>
      </w:r>
    </w:p>
    <w:p>
      <w:pPr>
        <w:spacing w:after="0" w:line="21"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The primary reason for the decrease in the overall effective tax expense rate on current operations is the relationship between our higher pre-tax income this year relative to the permanent financial accounting to taxable income (loss) adjustments for this year compared to last year. Significant permanent deductions are income tax credits and tax-free income from COLI and student loan-related tax exempt securities. For further discussion of income taxes (which includes a reconciliation of the U.S. statutory income tax rate to our effective tax rate),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allowance decrease</w:t>
      </w:r>
    </w:p>
    <w:p>
      <w:pPr>
        <w:spacing w:after="0" w:line="2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During the fourth quarter of Fiscal 2011, we re-established a portion of our deferred tax assets due to the taxable earnings achieved in Fiscal 2011 which increased the likelihood of realizing a portion of gross deferred tax assets in the future. This resulted in a tax benefit of $649,000 through the reduction of our valuation allowance. Also, the sale of CCMF resulted in a tax loss even though we incurred a gain for accounting purposes and we were able to utilize the associated deferred tax assets of $685,000 as a current tax deduction and reduce the related valuation allowance accordingly. We were also able to utilize net operating loss (NOL) and tax credit deferred tax assets established in the prior year of $479,000 due to taxable income earned in Fiscal 2011 and reduce the related valuation allowance accordingly.</w:t>
      </w:r>
    </w:p>
    <w:p>
      <w:pPr>
        <w:spacing w:after="0" w:line="15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At the end of Fiscal 2009, we had established a valuation allowance on all deferred tax assets and NOL carryforward assets associated with Fiscal 2009. In Fiscal 2010, the President of the United States signed into law the Worker, Homeownership, and Business Assistance Act of 2009, which expanded the carryback period from two to five years, allowing us to carryback all Fiscal 2009 NOL. As a result, we recorded a total tax benefit of $5.8 million in Fiscal 2010 and reduced the associated valuation allowance due to this beneficial tax law change. The remaining change in valuation allowance was a result of increases in other deferred tax assets, such as additional NOLs and tax credit carryforward deferred tax assets established during the year.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 settlements and adjustments</w:t>
      </w:r>
    </w:p>
    <w:p>
      <w:pPr>
        <w:spacing w:after="0" w:line="2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During Fiscal 2011, benefits of $489,000 were recorded as a result of adjustments to uncertain tax positions. During Fiscal 2010, benefits of $3.2 million were recorded as a result of favorable settlements with various taxing jurisdictions and other adjustments to uncertain tax positions. Of this amount, $1.7 million resulted from the reduction of reserves associated with unrecognized tax benefits as a result of a positive resolution of the federal Internal Revenue Service (IRS) tax audit on our income tax returns for Fiscal 2006 through Fiscal 2008. Benefits of $1.5 million were recorded a result of tax planning initiatives recognized during Fiscal 2010. For further discussion of income taxes, see Note 12.</w:t>
      </w:r>
    </w:p>
    <w:p>
      <w:pPr>
        <w:spacing w:after="0" w:line="149"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Net income and diluted income per share were $11.8 million and $0.41 per share, respectively, for Fiscal 2011. In Fiscal 2010, the net income was $10.2 million and diluted income was $0.35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2010 Compared to Fiscal 2009</w:t>
      </w:r>
    </w:p>
    <w:p>
      <w:pPr>
        <w:spacing w:after="0" w:line="20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28, 2010 compared to the fiscal year ended August 29, 2009: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2"/>
          </w:tcPr>
          <w:p>
            <w:pPr>
              <w:jc w:val="right"/>
              <w:ind w:right="99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80" w:type="dxa"/>
            <w:vAlign w:val="bottom"/>
          </w:tcPr>
          <w:p>
            <w:pPr>
              <w:spacing w:after="0"/>
              <w:rPr>
                <w:sz w:val="17"/>
                <w:szCs w:val="17"/>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28,</w:t>
            </w: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29,</w:t>
            </w:r>
          </w:p>
        </w:tc>
        <w:tc>
          <w:tcPr>
            <w:tcW w:w="156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154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2009</w:t>
            </w:r>
          </w:p>
        </w:tc>
        <w:tc>
          <w:tcPr>
            <w:tcW w:w="156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449,484</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211,519</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237,965</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112.5 %</w:t>
            </w:r>
          </w:p>
        </w:tc>
      </w:tr>
      <w:tr>
        <w:trPr>
          <w:trHeight w:val="23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423,217</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94.2 %</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242,265</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114.5 %</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180,952</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74.7 %</w:t>
            </w:r>
          </w:p>
        </w:tc>
      </w:tr>
      <w:tr>
        <w:trPr>
          <w:trHeight w:val="237"/>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(deficit)</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26,267</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5.8 %</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(30,746)</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(14.5)%</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57,013</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(185.4)%</w:t>
            </w:r>
          </w:p>
        </w:tc>
      </w:tr>
      <w:tr>
        <w:trPr>
          <w:trHeight w:val="162"/>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12,724</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2.8 %</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12,616</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6.0 %</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108</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0.9 %</w:t>
            </w: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13,023</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2.9 %</w:t>
            </w:r>
          </w:p>
        </w:tc>
        <w:tc>
          <w:tcPr>
            <w:tcW w:w="2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15,298</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7.2 %</w:t>
            </w:r>
          </w:p>
        </w:tc>
        <w:tc>
          <w:tcPr>
            <w:tcW w:w="18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(2,275)</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(14.9)%</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(855)</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3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25,747</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5.7 %</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28,769</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13.6 %</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(3,022)</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w:t>
            </w:r>
          </w:p>
        </w:tc>
      </w:tr>
      <w:tr>
        <w:trPr>
          <w:trHeight w:val="162"/>
        </w:trPr>
        <w:tc>
          <w:tcPr>
            <w:tcW w:w="2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520</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0.1 %</w:t>
            </w:r>
          </w:p>
        </w:tc>
        <w:tc>
          <w:tcPr>
            <w:tcW w:w="2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(59,515)</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20"/>
                <w:szCs w:val="20"/>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60,035</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(100.9)%</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222</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1,452</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0.7 %</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(1,230)</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(84.7)%</w:t>
            </w: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Pre-tax income (loss)</w:t>
            </w:r>
          </w:p>
        </w:tc>
        <w:tc>
          <w:tcPr>
            <w:tcW w:w="1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742</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0.2 %</w:t>
            </w:r>
          </w:p>
        </w:tc>
        <w:tc>
          <w:tcPr>
            <w:tcW w:w="2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(58,063)</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180" w:type="dxa"/>
            <w:vAlign w:val="bottom"/>
          </w:tcPr>
          <w:p>
            <w:pPr>
              <w:spacing w:after="0"/>
              <w:rPr>
                <w:sz w:val="20"/>
                <w:szCs w:val="20"/>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58,805</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101.3 %</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(9,505)</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20,703</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9.8 %</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(30,208)</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(145.9)%</w:t>
            </w:r>
          </w:p>
        </w:tc>
      </w:tr>
      <w:tr>
        <w:trPr>
          <w:trHeight w:val="280"/>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10,247</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(78,766)</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89,013</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113.0 %</w:t>
            </w: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0.35</w:t>
            </w:r>
          </w:p>
        </w:tc>
        <w:tc>
          <w:tcPr>
            <w:tcW w:w="1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(2.71)</w:t>
            </w:r>
          </w:p>
        </w:tc>
        <w:tc>
          <w:tcPr>
            <w:tcW w:w="1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3.06</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113.0 %</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29,101</w:t>
            </w: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29,051</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4" w:lineRule="exact"/>
        <w:rPr>
          <w:sz w:val="20"/>
          <w:szCs w:val="20"/>
          <w:color w:val="auto"/>
        </w:rPr>
      </w:pPr>
    </w:p>
    <w:p>
      <w:pPr>
        <w:ind w:left="260" w:hanging="238"/>
        <w:spacing w:after="0"/>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Year Ended</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28,</w:t>
            </w: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29,</w:t>
            </w: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Product</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2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Mix %</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2009</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Mix %</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43"/>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1,483</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480</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1,003</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209.0%</w:t>
            </w:r>
          </w:p>
        </w:tc>
      </w:tr>
      <w:tr>
        <w:trPr>
          <w:trHeight w:val="237"/>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969</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342</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627</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183.3%</w:t>
            </w:r>
          </w:p>
        </w:tc>
      </w:tr>
      <w:tr>
        <w:trPr>
          <w:trHeight w:val="243"/>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2,452</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822</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1,630</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198.3%</w:t>
            </w:r>
          </w:p>
        </w:tc>
      </w:tr>
      <w:tr>
        <w:trPr>
          <w:trHeight w:val="233"/>
        </w:trPr>
        <w:tc>
          <w:tcPr>
            <w:tcW w:w="2960" w:type="dxa"/>
            <w:vAlign w:val="bottom"/>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236</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149</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30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87</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58.4%</w:t>
            </w:r>
          </w:p>
        </w:tc>
      </w:tr>
      <w:tr>
        <w:trPr>
          <w:trHeight w:val="246"/>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1,745</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1,225</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520</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42.4%</w:t>
            </w:r>
          </w:p>
        </w:tc>
      </w:tr>
      <w:tr>
        <w:trPr>
          <w:trHeight w:val="280"/>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deliveries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4,433</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2,196</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2,237</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101.9%</w:t>
            </w:r>
          </w:p>
        </w:tc>
      </w:tr>
      <w:tr>
        <w:trPr>
          <w:trHeight w:val="146"/>
        </w:trPr>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251"/>
        </w:trPr>
        <w:tc>
          <w:tcPr>
            <w:tcW w:w="2960" w:type="dxa"/>
            <w:vAlign w:val="bottom"/>
          </w:tcPr>
          <w:p>
            <w:pPr>
              <w:ind w:left="40"/>
              <w:spacing w:after="0"/>
              <w:rPr>
                <w:sz w:val="20"/>
                <w:szCs w:val="20"/>
                <w:color w:val="auto"/>
              </w:rPr>
            </w:pPr>
            <w:r>
              <w:rPr>
                <w:rFonts w:ascii="Arial" w:cs="Arial" w:eastAsia="Arial" w:hAnsi="Arial"/>
                <w:sz w:val="16"/>
                <w:szCs w:val="16"/>
                <w:color w:val="auto"/>
              </w:rPr>
              <w:t>ASP (in thousands)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96</w:t>
            </w:r>
          </w:p>
        </w:tc>
        <w:tc>
          <w:tcPr>
            <w:tcW w:w="12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87</w:t>
            </w:r>
          </w:p>
        </w:tc>
        <w:tc>
          <w:tcPr>
            <w:tcW w:w="1260" w:type="dxa"/>
            <w:vAlign w:val="bottom"/>
          </w:tcPr>
          <w:p>
            <w:pPr>
              <w:spacing w:after="0"/>
              <w:rPr>
                <w:sz w:val="21"/>
                <w:szCs w:val="21"/>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10.3%</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Fiscal 2010 increased $238.0 million, or 112.5%, compared to Fiscal 2009 due to the following:</w:t>
      </w:r>
    </w:p>
    <w:p>
      <w:pPr>
        <w:spacing w:after="0" w:line="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Volume: The primary reason for the net revenue increase was an increase of unit deliveries of 101.9%.</w:t>
      </w:r>
    </w:p>
    <w:p>
      <w:pPr>
        <w:spacing w:after="0" w:line="5" w:lineRule="exact"/>
        <w:rPr>
          <w:rFonts w:ascii="Arial" w:cs="Arial" w:eastAsia="Arial" w:hAnsi="Arial"/>
          <w:sz w:val="16"/>
          <w:szCs w:val="16"/>
          <w:color w:val="auto"/>
        </w:rPr>
      </w:pPr>
    </w:p>
    <w:p>
      <w:pPr>
        <w:ind w:left="340" w:right="2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Pricing and mix: Our ASP increased 10.3%. This increase was primarily due to a shift in mix of more Class A motor homes, our higher-priced products. Class A products were 55.3% of our volume for Fiscal 2010 compared to 37.4% in Fiscal 2009. Our ASP also increased due to a significant reduction in product discounts in Fiscal 2010 due to improved market conditions.</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Promotional incentives: Our retail and other incentives decreased significantly, a decrease of 2.5% (as a percentage of net revenues) due to improvement in the motor home market.</w:t>
      </w:r>
    </w:p>
    <w:p>
      <w:pPr>
        <w:ind w:left="340" w:right="6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Repurchases: Our losses on repurchases of motor homes were lower in Fiscal 2010, also a result of improvement in the motor home market. As a percentage of net revenues, repurchase expense was 0.1% for Fiscal 2010 compared to 1.2% last year.</w:t>
      </w: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revenue: Revenues for motor home parts and services and other manufactured products increased by 4.0%.</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Cost of goods sold was $423.2 million, or 94.2%, of net revenues for Fiscal 2010 compared to $242.3 million, or 114.5%, of net revenues for Fiscal 2009 due to the following:</w:t>
      </w:r>
    </w:p>
    <w:p>
      <w:pPr>
        <w:spacing w:after="0" w:line="1" w:lineRule="exact"/>
        <w:rPr>
          <w:sz w:val="20"/>
          <w:szCs w:val="20"/>
          <w:color w:val="auto"/>
        </w:rPr>
      </w:pPr>
    </w:p>
    <w:p>
      <w:pPr>
        <w:jc w:val="both"/>
        <w:ind w:left="340" w:right="30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increase in our variable costs (materials, direct labor, variable overhead, delivery expense and warranty) of $181.4 million was primarily caused by increased sales volume. Total variable costs, as a percent of net revenues, decreased to 85.2% for Fiscal 2010 from 95.3% in Fiscal 2009. The 10.1% decrease was primarily caused by decreased discounting and promotional incentives.</w:t>
      </w:r>
    </w:p>
    <w:p>
      <w:pPr>
        <w:spacing w:after="0" w:line="1" w:lineRule="exact"/>
        <w:rPr>
          <w:rFonts w:ascii="Arial" w:cs="Arial" w:eastAsia="Arial" w:hAnsi="Arial"/>
          <w:sz w:val="16"/>
          <w:szCs w:val="16"/>
          <w:color w:val="auto"/>
        </w:rPr>
      </w:pPr>
    </w:p>
    <w:p>
      <w:pPr>
        <w:ind w:left="340" w:right="28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variable costs were favorably impacted by $780,000, or 0.2%, of net revenues for Fiscal 2010 due to the reduction of LIFO inventory liquidation, as compared to LIFO inventory liquidation of $7.0 million, or 3.3%, of net revenues in Fiscal 2009.</w:t>
      </w:r>
    </w:p>
    <w:p>
      <w:pPr>
        <w:sectPr>
          <w:pgSz w:w="11900" w:h="16838" w:orient="portrait"/>
          <w:cols w:equalWidth="0" w:num="1">
            <w:col w:w="11420"/>
          </w:cols>
          <w:pgMar w:left="240" w:top="141"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right="50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8.9% of net revenues compared to 19.2% in Fiscal 2009. This difference was due primarily to higher absorption of fixed costs as a result of significantly higher production volume.</w:t>
      </w:r>
    </w:p>
    <w:p>
      <w:pPr>
        <w:spacing w:after="0" w:line="1" w:lineRule="exact"/>
        <w:rPr>
          <w:rFonts w:ascii="Arial" w:cs="Arial" w:eastAsia="Arial" w:hAnsi="Arial"/>
          <w:sz w:val="16"/>
          <w:szCs w:val="16"/>
          <w:color w:val="auto"/>
        </w:rPr>
      </w:pPr>
    </w:p>
    <w:p>
      <w:pPr>
        <w:ind w:left="340" w:right="4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a gross deficit of 14.5% of net revenues in Fiscal 2009 to a gross profit of 5.8% of net revenues in Fiscal 2010.</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General and administrative expenses decreased $2.3 million, or 14.9%, in Fiscal 2010. This decrease was due primarily to reductions in legal expenses of $1.5 million and lower depreciation expense of $550,000. As a percent of net revenues, general and administrative expenses were 2.9% for Fiscal 2010 compared to 7.2% for Fiscal 2009. The decrease in percentage of net revenues was caused by the significant difference in revenue levels between the two fiscal periods.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expenses of $855,000 were recorded in Fiscal 2009 as a result of the decision to close the Hampton, Iowa fiberglass manufacturing facility.</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Non-operating income decreased $1.2 million, or 84.7%, in Fiscal 2010. Primary reasons for this decrease were increased line of credit costs of $800,000 (which included a termination fee of $375,000 paid to Wells Fargo to terminate a credit and security agreement) and lower investment income of $600,000. For further discussion of financial income, see Note 8.</w:t>
      </w:r>
    </w:p>
    <w:p>
      <w:pPr>
        <w:spacing w:after="0" w:line="188"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The overall effective income tax rate for Fiscal 2010 was a benefit of 1,281.0% compared to an expense of 35.6% for Fiscal 2009. The following table breaks down the two aforementioned tax rates: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1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64"/>
        </w:trPr>
        <w:tc>
          <w:tcPr>
            <w:tcW w:w="4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August 28, 2010</w:t>
            </w:r>
          </w:p>
        </w:tc>
        <w:tc>
          <w:tcPr>
            <w:tcW w:w="6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b w:val="1"/>
                <w:bCs w:val="1"/>
                <w:color w:val="auto"/>
              </w:rPr>
              <w:t>August 29, 2009</w:t>
            </w:r>
          </w:p>
        </w:tc>
      </w:tr>
      <w:tr>
        <w:trPr>
          <w:trHeight w:val="198"/>
        </w:trPr>
        <w:tc>
          <w:tcPr>
            <w:tcW w:w="4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Effective</w:t>
            </w: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jc w:val="right"/>
              <w:ind w:right="439"/>
              <w:spacing w:after="0"/>
              <w:rPr>
                <w:sz w:val="20"/>
                <w:szCs w:val="20"/>
                <w:color w:val="auto"/>
              </w:rPr>
            </w:pPr>
            <w:r>
              <w:rPr>
                <w:rFonts w:ascii="Arial" w:cs="Arial" w:eastAsia="Arial" w:hAnsi="Arial"/>
                <w:sz w:val="16"/>
                <w:szCs w:val="16"/>
                <w:b w:val="1"/>
                <w:bCs w:val="1"/>
                <w:color w:val="auto"/>
              </w:rPr>
              <w:t>Effective</w:t>
            </w:r>
          </w:p>
        </w:tc>
      </w:tr>
      <w:tr>
        <w:trPr>
          <w:trHeight w:val="22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Rate</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99"/>
              </w:rPr>
              <w:t>Amount</w:t>
            </w:r>
          </w:p>
        </w:tc>
        <w:tc>
          <w:tcPr>
            <w:tcW w:w="1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Rate</w:t>
            </w:r>
          </w:p>
        </w:tc>
      </w:tr>
      <w:tr>
        <w:trPr>
          <w:trHeight w:val="270"/>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expense (benefit) from current operations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667</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89.9 %</w:t>
            </w:r>
          </w:p>
        </w:tc>
        <w:tc>
          <w:tcPr>
            <w:tcW w:w="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(22,898)</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(39.5)%</w:t>
            </w:r>
          </w:p>
        </w:tc>
      </w:tr>
      <w:tr>
        <w:trPr>
          <w:trHeight w:val="260"/>
        </w:trPr>
        <w:tc>
          <w:tcPr>
            <w:tcW w:w="476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300" w:type="dxa"/>
            <w:vAlign w:val="bottom"/>
          </w:tcPr>
          <w:p>
            <w:pPr>
              <w:spacing w:after="0"/>
              <w:rPr>
                <w:sz w:val="22"/>
                <w:szCs w:val="22"/>
                <w:color w:val="auto"/>
              </w:rPr>
            </w:pPr>
          </w:p>
        </w:tc>
        <w:tc>
          <w:tcPr>
            <w:tcW w:w="1400" w:type="dxa"/>
            <w:vAlign w:val="bottom"/>
          </w:tcPr>
          <w:p>
            <w:pPr>
              <w:jc w:val="right"/>
              <w:ind w:right="299"/>
              <w:spacing w:after="0"/>
              <w:rPr>
                <w:sz w:val="20"/>
                <w:szCs w:val="20"/>
                <w:color w:val="auto"/>
              </w:rPr>
            </w:pPr>
            <w:r>
              <w:rPr>
                <w:rFonts w:ascii="Arial" w:cs="Arial" w:eastAsia="Arial" w:hAnsi="Arial"/>
                <w:sz w:val="16"/>
                <w:szCs w:val="16"/>
                <w:color w:val="auto"/>
              </w:rPr>
              <w:t>(5,456)</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(735.3)%</w:t>
            </w:r>
          </w:p>
        </w:tc>
        <w:tc>
          <w:tcPr>
            <w:tcW w:w="600" w:type="dxa"/>
            <w:vAlign w:val="bottom"/>
          </w:tcPr>
          <w:p>
            <w:pPr>
              <w:spacing w:after="0"/>
              <w:rPr>
                <w:sz w:val="22"/>
                <w:szCs w:val="22"/>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44,976</w:t>
            </w:r>
          </w:p>
        </w:tc>
        <w:tc>
          <w:tcPr>
            <w:tcW w:w="1600" w:type="dxa"/>
            <w:vAlign w:val="bottom"/>
          </w:tcPr>
          <w:p>
            <w:pPr>
              <w:jc w:val="right"/>
              <w:ind w:right="199"/>
              <w:spacing w:after="0"/>
              <w:rPr>
                <w:sz w:val="20"/>
                <w:szCs w:val="20"/>
                <w:color w:val="auto"/>
              </w:rPr>
            </w:pPr>
            <w:r>
              <w:rPr>
                <w:rFonts w:ascii="Arial" w:cs="Arial" w:eastAsia="Arial" w:hAnsi="Arial"/>
                <w:sz w:val="16"/>
                <w:szCs w:val="16"/>
                <w:color w:val="auto"/>
              </w:rPr>
              <w:t>77.5 %</w:t>
            </w:r>
          </w:p>
        </w:tc>
      </w:tr>
      <w:tr>
        <w:trPr>
          <w:trHeight w:val="280"/>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(3,195)</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(430.6)%</w:t>
            </w:r>
          </w:p>
        </w:tc>
        <w:tc>
          <w:tcPr>
            <w:tcW w:w="6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(500)</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(0.9)%</w:t>
            </w:r>
          </w:p>
        </w:tc>
      </w:tr>
      <w:tr>
        <w:trPr>
          <w:trHeight w:val="264"/>
        </w:trPr>
        <w:tc>
          <w:tcPr>
            <w:tcW w:w="4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Amended state returns and other items</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(1,521)</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(205.0)%</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(875)</w:t>
            </w: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w:t>
            </w:r>
          </w:p>
        </w:tc>
      </w:tr>
      <w:tr>
        <w:trPr>
          <w:trHeight w:val="26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 provision for taxes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(9,505)</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(1,281.0)%</w:t>
            </w:r>
          </w:p>
        </w:tc>
        <w:tc>
          <w:tcPr>
            <w:tcW w:w="6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20,703</w:t>
            </w:r>
          </w:p>
        </w:tc>
        <w:tc>
          <w:tcPr>
            <w:tcW w:w="1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35.6 %</w:t>
            </w:r>
          </w:p>
        </w:tc>
      </w:tr>
      <w:tr>
        <w:trPr>
          <w:trHeight w:val="20"/>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expense (benefit) from current operations</w:t>
      </w:r>
    </w:p>
    <w:p>
      <w:pPr>
        <w:spacing w:after="0" w:line="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primary reason for the difference in the overall effective tax rate on current operations is the relationship between our low pre-tax income relative to the permanent financial accounting to taxable income (loss) adjustments for Fiscal 2010 compared to the significant pre-tax losses incurred in Fiscal 2009. Significant permanent deductions are income tax credits and tax-free income from COLI and student loan-related tax exempt securities. For further discussion of income taxes (which includes a reconciliation of the U.S. statutory income tax rate to our effective tax rate),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allowance</w:t>
      </w:r>
    </w:p>
    <w:p>
      <w:pPr>
        <w:spacing w:after="0" w:line="21"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At the end of Fiscal 2009, we had established a valuation allowance on all deferred tax assets and NOL carryforward assets associated with Fiscal 2009. In Fiscal 2010, the President of the United States signed into law the Worker, Homeownership, and Business Assistance Act of 2009, which expanded the carryback period from two to five years, allowing us to carryback all Fiscal 2009 NOL. As a result, we recorded a total tax benefit of $5.8 million during Fiscal 2010 and reduced the associated valuation allowance due to this beneficial tax law change. The remaining change in valuation allowance was a result of increases in other deferred tax assets, such as additional NOLs and tax credit carryforward deferred tax assets established during the year.</w:t>
      </w:r>
    </w:p>
    <w:p>
      <w:pPr>
        <w:spacing w:after="0" w:line="14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During the fourth quarter of Fiscal 2009, we recorded a non-cash charge of $45.0 million to establish a full valuation allowance on the deferred tax assets. Accounting Standard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requires that companies assess whether valuation allowances should be established against their deferred tax assets based on the consideration of all available evidence, using a “more likely than 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This loss, combined with uncertain near-term market and economic conditions, reduced our ability to rely on our projections of any future taxable income in determining whether a valuation allowance is appropriate. Accordingly, we concluded that, based on ASC 740 guidelines, a full valuation allowance should be established. We will continue to assess the likelihood that our deferred tax assets will be realizable and our valuation allowance will be adjusted accordingly, which could materially impact our financial position and results of operations. For further discussion of income taxes, see Note 12.</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 settlements and adjustments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2010, benefits of $3.2 million were recorded as a result of positive settlements of uncertain tax positions with taxing authorities and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uncertain tax positions. Of this amount, $1.7 million resulted from the reduction of reserves associated with unrecognized tax benefits as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result of a positive resolution of the federal IRS tax audit on our income tax returns for Fiscal 2006 through Fiscal 2008. During Fiscal 2009, benefits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$500,000 were recorded as a result of favorable settlements with various taxing jurisdictions and other adjustments to uncertain tax positions. Benefits of $1.5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and $875,000 were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recorded as a result of tax planning initiatives recognized during Fiscal 2010 and 2009 respectively. For further discussion of income taxes, see Note 12.</w:t>
      </w:r>
    </w:p>
    <w:p>
      <w:pPr>
        <w:spacing w:after="0" w:line="16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Net income and diluted income per share were $10.2 million and $0.35 per share, respectively, for Fiscal 2010. In Fiscal 2009, net loss was $78.8 million and diluted loss was $2.71 per share.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Cash and cash equivalents decreased $5.4 million during Fiscal 2011 and totaled $69.3 million as of August 27, 2011. The significant liquidity events that occurred during Fiscal 2011 were:</w:t>
      </w:r>
    </w:p>
    <w:p>
      <w:pPr>
        <w:spacing w:after="0" w:line="142" w:lineRule="exact"/>
        <w:rPr>
          <w:sz w:val="20"/>
          <w:szCs w:val="20"/>
          <w:color w:val="auto"/>
        </w:rPr>
      </w:pPr>
    </w:p>
    <w:p>
      <w:pPr>
        <w:ind w:left="340" w:right="2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in inventory of $23.8 million: The increase was primarily a result of increased raw chassis inventory on hand due to the slowdown of the market in the last six months of Fiscal 2011, additional inventory due to resuming Class B production in April 2011, a higher average cost per unit due to the mix of product ordered by our dealers, and additional investment in Towables inventory since the SunnyBrook acquisition.</w:t>
      </w:r>
    </w:p>
    <w:p>
      <w:pPr>
        <w:spacing w:after="0" w:line="1" w:lineRule="exact"/>
        <w:rPr>
          <w:rFonts w:ascii="Arial" w:cs="Arial" w:eastAsia="Arial" w:hAnsi="Arial"/>
          <w:sz w:val="16"/>
          <w:szCs w:val="16"/>
          <w:color w:val="auto"/>
        </w:rPr>
      </w:pPr>
    </w:p>
    <w:p>
      <w:pPr>
        <w:ind w:left="340" w:right="26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Auction Rate Securities (ARS) redemptions of $7.2 million: We have $10.7 million remaining ARS at par value classified as long-term investments as of August 27, 2011. See further discussion in Note 4.</w:t>
      </w:r>
    </w:p>
    <w:p>
      <w:pPr>
        <w:ind w:left="340" w:right="40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 of property for $4.1 million: During Fiscal 2011 we sold an idled assembly facility in Charles City, Iowa held for sale and a smaller, unused facility adjacent to our Forest City operations.</w:t>
      </w:r>
    </w:p>
    <w:p>
      <w:pPr>
        <w:ind w:left="340" w:right="26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Acquisition of SunnyBrook for $4.7 million: On December 29, 2010, we purchased substantially all the assets of SunnyBrook RV, Inc. a manufacturer of travel trailers and fifth wheels, described in further detail in Note 2</w:t>
      </w:r>
      <w:r>
        <w:rPr>
          <w:rFonts w:ascii="Arial" w:cs="Arial" w:eastAsia="Arial" w:hAnsi="Arial"/>
          <w:sz w:val="16"/>
          <w:szCs w:val="16"/>
          <w:b w:val="1"/>
          <w:bCs w:val="1"/>
          <w:color w:val="auto"/>
        </w:rPr>
        <w:t>.</w:t>
      </w:r>
    </w:p>
    <w:p>
      <w:pPr>
        <w:spacing w:after="0" w:line="6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also have in place a $20 million revolving credit facility, as described in further detail in Note 8, that allows us to borrow up to $12.5 million without financial covenant restrictions if there is adequate asset coverage. We had sufficient asset coverage in accounts receivable and inventory at the end of Fiscal 2011 to access the entire $12.5 million without financial covenant restrictions.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w:t>
      </w:r>
    </w:p>
    <w:p>
      <w:pPr>
        <w:spacing w:after="0" w:line="23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Working capital at August 27, 2011 and August 28, 2010 was $113.5 million and $91.3 million, respectively, an increase of $22.2 million. We currently expect cash on hand, funds generated from operations (if any) and the availability under the credit facility to be sufficient to cover both short-term and long-term operating requirements. We anticipate capital expenditures in Fiscal 2012 of approximately $4.4 million, primarily for manufacturing equipment and facilities.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Cash used in operating activities was $10.1 million for the fiscal year ended August 27, 2011 compared to cash provided by operating activities of $33.0 million for the fiscal year ended August 28, 2010. The combination of a net income of $11.8 million in the current year and increases in non-cash charges (e.g., depreciation, LIFO, stock-based compensation) provided $21.0 million of operating cash compared to of $16.6 million in the prior year period. However, in Fiscal 2011, changes in assets and liabilities (primarily inventory increases) used an additional $31.1 million of operating cash. In Fiscal 2010, changes in assets and liabilities (primarily income tax refunds) provided an additional $16.4 million of operating cash.</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Cash provided by investing activities of $4.2 million in Fiscal 2011 was due primarily to ARS redemptions of $7.2 million and proceeds of $4.1 million from the sale of property, partially offset by the acquisition of Towables for $4.7 million and capital spending of $2.1 million. During Fiscal 2010, cash provided by investing activities of $14.3 million was primarily due to ARS redemptions of $15.9 million, partially offset by capital spending of $1.9 million.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Cash provided by financing activities for the fiscal year ended August 27, 2011 was $500,000. Cash used in financing activities for the fiscal year ended August 28, 2010 was $9.2 million, primarily consisting of $9.1 million for repayments on borrowings from our ARS portfolio.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27, 2011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2013-2014</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2015-2016</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Postretirement health care obligations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32,899</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24,715</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2,491</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4,758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4,229</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13,237</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Executive share option obligations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9,286</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4,357</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Supplemental executive retirement plan benefit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2,152</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5720" w:type="dxa"/>
            <w:vAlign w:val="bottom"/>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780</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Unrecognized tax benefits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87,063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52,645</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5"/>
          </w:tcPr>
          <w:p>
            <w:pPr>
              <w:jc w:val="center"/>
              <w:ind w:right="199"/>
              <w:spacing w:after="0"/>
              <w:rPr>
                <w:sz w:val="20"/>
                <w:szCs w:val="20"/>
                <w:color w:val="auto"/>
              </w:rPr>
            </w:pPr>
            <w:r>
              <w:rPr>
                <w:rFonts w:ascii="Arial" w:cs="Arial" w:eastAsia="Arial" w:hAnsi="Arial"/>
                <w:sz w:val="16"/>
                <w:szCs w:val="16"/>
                <w:b w:val="1"/>
                <w:bCs w:val="1"/>
                <w:color w:val="auto"/>
              </w:rPr>
              <w:t>Expiration By Period</w:t>
            </w: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11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w:t>
            </w: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Fiscal 2012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2013-2014</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2015-2016</w:t>
            </w: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Formal repurchase obligations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8890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240" w:hanging="232"/>
        <w:spacing w:after="0" w:line="218"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See Note 10.</w:t>
      </w:r>
    </w:p>
    <w:p>
      <w:pPr>
        <w:ind w:left="240" w:hanging="232"/>
        <w:spacing w:after="0" w:line="193"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See Note 11.</w:t>
      </w:r>
    </w:p>
    <w:p>
      <w:pPr>
        <w:ind w:left="240" w:hanging="232"/>
        <w:spacing w:after="0" w:line="199" w:lineRule="auto"/>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We are not able to reasonably estimate in which future periods these amounts will ultimately be settled.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financial statements are prepared in accordance with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significant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Generally, revenues for recreation vehicles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7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Revenues from the sales of our OEM and recreation vehicles related parts are recorded as the products are shipped from our location. The title of ownership transfers on these products as they leave our location due to the freight terms of F.O.B. - Shipper.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Promotions and Incentives</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It is customary practice for manufacturers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for our product, age of product in dealer inventory, physical condition of the product, location of the dealer, financing source and independent third party credit rating of our dealers. To the extent that dealers are increasing or decreasing their inventories, our overall exposure under repurchase agreements is likewise impacted. The percentage of dealer inventory we estimate we will repurchase (which has ranged in recent years from 5 to 11% on a weighted average basis) and the associated estimated loss (which has ranged in recent years from 7 to 16%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185" w:lineRule="exact"/>
        <w:rPr>
          <w:sz w:val="20"/>
          <w:szCs w:val="20"/>
          <w:color w:val="auto"/>
        </w:rPr>
      </w:pPr>
    </w:p>
    <w:p>
      <w:pPr>
        <w:jc w:val="both"/>
        <w:ind w:right="46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as of August 27, 2011 would have affected net income by approximately $205,000.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provide with the purchase of any new motor home, a comprehensive 12-month/15,000-mile warranty on Class A, B and C motor homes and a 3-year/36,000-mile warranty on Class A and C sidewalls and floors. We provide a comprehensive 12-month warranty on all towable products. Estimated costs related to product warranty are accrued at the time of sale and are based upon past warranty claims and unit sales history and are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9.</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only recognize tax benefits for filing positions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 part of the process of preparing our financial statements, we are required to estimate our income taxes in each of the jurisdictions in which we operate. Significant judgment is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valuation allowance of $39.3 million was appropriate as of August 27, 2011.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Obligations and Costs</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Assumed health care cost trend rates do not have a significant effect on the amounts reported for retiree health care benefits due to the fact that in Fiscal 2005, maximum amounts ("dollar caps") were established on the amount we will pay for postretirement health care benefits per retiree on an annual basis. However, a significant increase or decrease in interest rates could have a significant impact on our operating results. Further discussion of our postretirement benefit plan and related assumptions is included in Note 10</w:t>
      </w:r>
      <w:r>
        <w:rPr>
          <w:rFonts w:ascii="Arial" w:cs="Arial" w:eastAsia="Arial" w:hAnsi="Arial"/>
          <w:sz w:val="16"/>
          <w:szCs w:val="16"/>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 Valuation</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inventory loss reserve represents anticipated physical work-in-process inventory losses (e.g. scrap, production loss or over-usage) that have occurred since the last physical inventory date. Physical inventory counts of work-in-process are taken on an annual basis to ensure the inventory reported in our consolidated financial statements is properly stated. During the interim period between physical inventory counts, we reserve for anticipated physical inventory losses based upon materials consumed. Our inventory loss reserve contains uncertainties because the calculation requires management to make assumptions and to apply judgment regarding a number of factors, including historical results and current inventory loss trends.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have reserves for other loss exposures, such as litigation, product liability, worker's compensation,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60" w:type="dxa"/>
            <w:vAlign w:val="bottom"/>
            <w:gridSpan w:val="8"/>
          </w:tcPr>
          <w:p>
            <w:pPr>
              <w:spacing w:after="0"/>
              <w:rPr>
                <w:sz w:val="20"/>
                <w:szCs w:val="20"/>
                <w:color w:val="auto"/>
              </w:rPr>
            </w:pPr>
            <w:r>
              <w:rPr>
                <w:rFonts w:ascii="Arial" w:cs="Arial" w:eastAsia="Arial" w:hAnsi="Arial"/>
                <w:sz w:val="16"/>
                <w:szCs w:val="16"/>
                <w:b w:val="1"/>
                <w:bCs w:val="1"/>
                <w:color w:val="auto"/>
              </w:rPr>
              <w:t>New Accounting Pronouncements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8"/>
        </w:trPr>
        <w:tc>
          <w:tcPr>
            <w:tcW w:w="9960" w:type="dxa"/>
            <w:vAlign w:val="bottom"/>
            <w:gridSpan w:val="8"/>
          </w:tcPr>
          <w:p>
            <w:pPr>
              <w:spacing w:after="0"/>
              <w:rPr>
                <w:sz w:val="20"/>
                <w:szCs w:val="20"/>
                <w:color w:val="auto"/>
              </w:rPr>
            </w:pPr>
            <w:r>
              <w:rPr>
                <w:rFonts w:ascii="Arial" w:cs="Arial" w:eastAsia="Arial" w:hAnsi="Arial"/>
                <w:sz w:val="16"/>
                <w:szCs w:val="16"/>
                <w:color w:val="auto"/>
              </w:rPr>
              <w:t>See Note 1 for a summary of new accounting pronouncements which summary is incorporated by reference herein.</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9960" w:type="dxa"/>
            <w:vAlign w:val="bottom"/>
            <w:gridSpan w:val="8"/>
          </w:tcPr>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color w:val="auto"/>
              </w:rPr>
              <w:t>Quantitative and Qualitative Disclosures About Market Risk</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9960" w:type="dxa"/>
            <w:vAlign w:val="bottom"/>
            <w:gridSpan w:val="8"/>
          </w:tcPr>
          <w:p>
            <w:pPr>
              <w:spacing w:after="0"/>
              <w:rPr>
                <w:sz w:val="20"/>
                <w:szCs w:val="20"/>
                <w:color w:val="auto"/>
              </w:rPr>
            </w:pPr>
            <w:r>
              <w:rPr>
                <w:rFonts w:ascii="Arial" w:cs="Arial" w:eastAsia="Arial" w:hAnsi="Arial"/>
                <w:sz w:val="16"/>
                <w:szCs w:val="16"/>
                <w:color w:val="auto"/>
              </w:rPr>
              <w:t>We have market risk exposure to our ARS, which is described in further detail in Note 4.</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9960" w:type="dxa"/>
            <w:vAlign w:val="bottom"/>
            <w:gridSpan w:val="8"/>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7"/>
        </w:trPr>
        <w:tc>
          <w:tcPr>
            <w:tcW w:w="6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6"/>
                <w:szCs w:val="16"/>
                <w:b w:val="1"/>
                <w:bCs w:val="1"/>
                <w:color w:val="auto"/>
              </w:rPr>
              <w:t>Index to Financial Statements</w:t>
            </w:r>
          </w:p>
        </w:tc>
        <w:tc>
          <w:tcPr>
            <w:tcW w:w="1440" w:type="dxa"/>
            <w:vAlign w:val="bottom"/>
            <w:gridSpan w:val="4"/>
          </w:tcPr>
          <w:p>
            <w:pPr>
              <w:jc w:val="right"/>
              <w:ind w:right="240"/>
              <w:spacing w:after="0"/>
              <w:rPr>
                <w:sz w:val="20"/>
                <w:szCs w:val="20"/>
                <w:color w:val="auto"/>
              </w:rPr>
            </w:pPr>
            <w:r>
              <w:rPr>
                <w:rFonts w:ascii="Arial" w:cs="Arial" w:eastAsia="Arial" w:hAnsi="Arial"/>
                <w:sz w:val="16"/>
                <w:szCs w:val="16"/>
                <w:color w:val="auto"/>
              </w:rPr>
              <w:t>Page</w:t>
            </w:r>
          </w:p>
        </w:tc>
      </w:tr>
      <w:tr>
        <w:trPr>
          <w:trHeight w:val="507"/>
        </w:trPr>
        <w:tc>
          <w:tcPr>
            <w:tcW w:w="60" w:type="dxa"/>
            <w:vAlign w:val="bottom"/>
          </w:tcPr>
          <w:p>
            <w:pPr>
              <w:spacing w:after="0"/>
              <w:rPr>
                <w:sz w:val="24"/>
                <w:szCs w:val="24"/>
                <w:color w:val="auto"/>
              </w:rPr>
            </w:pPr>
          </w:p>
        </w:tc>
        <w:tc>
          <w:tcPr>
            <w:tcW w:w="4780" w:type="dxa"/>
            <w:vAlign w:val="bottom"/>
            <w:gridSpan w:val="3"/>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Management's Report on Internal Control Over Financial Reporting</w:t>
              </w:r>
            </w:hyperlink>
          </w:p>
        </w:tc>
        <w:tc>
          <w:tcPr>
            <w:tcW w:w="51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gridSpan w:val="2"/>
          </w:tcPr>
          <w:p>
            <w:pPr>
              <w:jc w:val="right"/>
              <w:spacing w:after="0"/>
              <w:rPr>
                <w:rFonts w:ascii="Arial" w:cs="Arial" w:eastAsia="Arial" w:hAnsi="Arial"/>
                <w:sz w:val="16"/>
                <w:szCs w:val="16"/>
                <w:color w:val="0000FF"/>
              </w:rPr>
            </w:pPr>
            <w:hyperlink w:anchor="page24">
              <w:r>
                <w:rPr>
                  <w:rFonts w:ascii="Arial" w:cs="Arial" w:eastAsia="Arial" w:hAnsi="Arial"/>
                  <w:sz w:val="16"/>
                  <w:szCs w:val="16"/>
                  <w:color w:val="0000FF"/>
                </w:rPr>
                <w:t>23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200" w:type="dxa"/>
            <w:vAlign w:val="bottom"/>
            <w:gridSpan w:val="2"/>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Reports of Independent Registered Public Accounting Firm</w:t>
              </w:r>
            </w:hyperlink>
          </w:p>
        </w:tc>
        <w:tc>
          <w:tcPr>
            <w:tcW w:w="580" w:type="dxa"/>
            <w:vAlign w:val="bottom"/>
          </w:tcPr>
          <w:p>
            <w:pPr>
              <w:spacing w:after="0"/>
              <w:rPr>
                <w:sz w:val="19"/>
                <w:szCs w:val="19"/>
                <w:color w:val="auto"/>
              </w:rPr>
            </w:pPr>
          </w:p>
        </w:tc>
        <w:tc>
          <w:tcPr>
            <w:tcW w:w="5120" w:type="dxa"/>
            <w:vAlign w:val="bottom"/>
            <w:gridSpan w:val="4"/>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360" w:type="dxa"/>
            <w:vAlign w:val="bottom"/>
            <w:gridSpan w:val="5"/>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Consolidated Statements of Operations for the Years Ended August 27, 2011, August 28, 2010, and August 29, 2009</w:t>
              </w:r>
            </w:hyperlink>
          </w:p>
        </w:tc>
        <w:tc>
          <w:tcPr>
            <w:tcW w:w="1540" w:type="dxa"/>
            <w:vAlign w:val="bottom"/>
            <w:gridSpan w:val="2"/>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360" w:type="dxa"/>
            <w:vAlign w:val="bottom"/>
            <w:gridSpan w:val="5"/>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Consolidated Balance Sheets as of August 27, 2011 and August 28, 2010</w:t>
              </w:r>
            </w:hyperlink>
          </w:p>
        </w:tc>
        <w:tc>
          <w:tcPr>
            <w:tcW w:w="1540" w:type="dxa"/>
            <w:vAlign w:val="bottom"/>
            <w:gridSpan w:val="2"/>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gridSpan w:val="7"/>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Consolidated Statements of Changes in Stockholders' Equity for the Years Ended August 27, 2011, August 28, 2010, and August 29, 2009</w:t>
              </w:r>
            </w:hyperlink>
          </w:p>
        </w:tc>
        <w:tc>
          <w:tcPr>
            <w:tcW w:w="144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6"/>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Consolidated Statements of Cash Flows for the Years Ended August 27, 2011, August 28, 2010, and August 29, 2009</w:t>
              </w:r>
            </w:hyperlink>
          </w:p>
        </w:tc>
        <w:tc>
          <w:tcPr>
            <w:tcW w:w="1480" w:type="dxa"/>
            <w:vAlign w:val="bottom"/>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6"/>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Notes to Consolidated Financial Statements</w:t>
              </w:r>
            </w:hyperlink>
          </w:p>
        </w:tc>
        <w:tc>
          <w:tcPr>
            <w:tcW w:w="1480" w:type="dxa"/>
            <w:vAlign w:val="bottom"/>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30</w:t>
              </w:r>
            </w:hyperlink>
          </w:p>
        </w:tc>
      </w:tr>
      <w:tr>
        <w:trPr>
          <w:trHeight w:val="852"/>
        </w:trPr>
        <w:tc>
          <w:tcPr>
            <w:tcW w:w="60" w:type="dxa"/>
            <w:vAlign w:val="bottom"/>
          </w:tcPr>
          <w:p>
            <w:pPr>
              <w:spacing w:after="0"/>
              <w:rPr>
                <w:sz w:val="24"/>
                <w:szCs w:val="24"/>
                <w:color w:val="auto"/>
              </w:rPr>
            </w:pPr>
          </w:p>
        </w:tc>
        <w:tc>
          <w:tcPr>
            <w:tcW w:w="3120" w:type="dxa"/>
            <w:vAlign w:val="bottom"/>
            <w:tcBorders>
              <w:top w:val="single" w:sz="8" w:color="0000FF"/>
            </w:tcBorders>
          </w:tcPr>
          <w:p>
            <w:pPr>
              <w:spacing w:after="0"/>
              <w:rPr>
                <w:sz w:val="24"/>
                <w:szCs w:val="24"/>
                <w:color w:val="auto"/>
              </w:rPr>
            </w:pPr>
          </w:p>
        </w:tc>
        <w:tc>
          <w:tcPr>
            <w:tcW w:w="5240" w:type="dxa"/>
            <w:vAlign w:val="bottom"/>
            <w:gridSpan w:val="4"/>
          </w:tcPr>
          <w:p>
            <w:pPr>
              <w:jc w:val="right"/>
              <w:ind w:right="2620"/>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Management of Winnebago Industries, Inc. (the "Company") is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67"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27, 2011.</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Randy J. Potts</w:t>
            </w:r>
          </w:p>
        </w:tc>
        <w:tc>
          <w:tcPr>
            <w:tcW w:w="1480" w:type="dxa"/>
            <w:vAlign w:val="bottom"/>
          </w:tcPr>
          <w:p>
            <w:pPr>
              <w:spacing w:after="0"/>
              <w:rPr>
                <w:sz w:val="18"/>
                <w:szCs w:val="18"/>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Sarah N. Nielsen</w:t>
            </w:r>
          </w:p>
        </w:tc>
      </w:tr>
      <w:tr>
        <w:trPr>
          <w:trHeight w:val="237"/>
        </w:trPr>
        <w:tc>
          <w:tcPr>
            <w:tcW w:w="4920" w:type="dxa"/>
            <w:vAlign w:val="bottom"/>
          </w:tcPr>
          <w:p>
            <w:pPr>
              <w:spacing w:after="0"/>
              <w:rPr>
                <w:sz w:val="20"/>
                <w:szCs w:val="20"/>
                <w:color w:val="auto"/>
              </w:rPr>
            </w:pPr>
            <w:r>
              <w:rPr>
                <w:rFonts w:ascii="Arial" w:cs="Arial" w:eastAsia="Arial" w:hAnsi="Arial"/>
                <w:sz w:val="16"/>
                <w:szCs w:val="16"/>
                <w:color w:val="auto"/>
              </w:rPr>
              <w:t>Randy J. Potts</w:t>
            </w:r>
          </w:p>
        </w:tc>
        <w:tc>
          <w:tcPr>
            <w:tcW w:w="14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Sarah N. Nielsen</w:t>
            </w:r>
          </w:p>
        </w:tc>
      </w:tr>
      <w:tr>
        <w:trPr>
          <w:trHeight w:val="243"/>
        </w:trPr>
        <w:tc>
          <w:tcPr>
            <w:tcW w:w="4920" w:type="dxa"/>
            <w:vAlign w:val="bottom"/>
          </w:tcPr>
          <w:p>
            <w:pPr>
              <w:ind w:left="40"/>
              <w:spacing w:after="0"/>
              <w:rPr>
                <w:sz w:val="20"/>
                <w:szCs w:val="20"/>
                <w:color w:val="auto"/>
              </w:rPr>
            </w:pPr>
            <w:r>
              <w:rPr>
                <w:rFonts w:ascii="Arial" w:cs="Arial" w:eastAsia="Arial" w:hAnsi="Arial"/>
                <w:sz w:val="16"/>
                <w:szCs w:val="16"/>
                <w:color w:val="auto"/>
              </w:rPr>
              <w:t>Chief Executive Officer and President</w:t>
            </w:r>
          </w:p>
        </w:tc>
        <w:tc>
          <w:tcPr>
            <w:tcW w:w="14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r>
        <w:trPr>
          <w:trHeight w:val="567"/>
        </w:trPr>
        <w:tc>
          <w:tcPr>
            <w:tcW w:w="4920" w:type="dxa"/>
            <w:vAlign w:val="bottom"/>
          </w:tcPr>
          <w:p>
            <w:pPr>
              <w:ind w:left="40"/>
              <w:spacing w:after="0"/>
              <w:rPr>
                <w:sz w:val="20"/>
                <w:szCs w:val="20"/>
                <w:color w:val="auto"/>
              </w:rPr>
            </w:pPr>
            <w:r>
              <w:rPr>
                <w:rFonts w:ascii="Arial" w:cs="Arial" w:eastAsia="Arial" w:hAnsi="Arial"/>
                <w:sz w:val="16"/>
                <w:szCs w:val="16"/>
                <w:color w:val="auto"/>
              </w:rPr>
              <w:t>October 25, 2011</w:t>
            </w:r>
          </w:p>
        </w:tc>
        <w:tc>
          <w:tcPr>
            <w:tcW w:w="1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October 25, 2011</w:t>
            </w:r>
          </w:p>
        </w:tc>
      </w:tr>
      <w:tr>
        <w:trPr>
          <w:trHeight w:val="648"/>
        </w:trPr>
        <w:tc>
          <w:tcPr>
            <w:tcW w:w="4920" w:type="dxa"/>
            <w:vAlign w:val="bottom"/>
          </w:tcPr>
          <w:p>
            <w:pPr>
              <w:spacing w:after="0"/>
              <w:rPr>
                <w:sz w:val="24"/>
                <w:szCs w:val="24"/>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23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(the "Company") as of August 27,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27, 2011,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August 27, 2011 of the Company and our report dated October 25, 2011 expressed an unqualified opinion on those financial statements.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25,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audited the accompanying consolidated balance sheets of Winnebago Industries, Inc. (the "Company") as of August 27, 2011 and August 28, 2010, and the related consolidated statements of operations, stockholders' equity, and cash flows for each of the three years in the period ended August 27, 2011.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at August 27, 2011 and August 28, 2010, and the results of its operations and its cash flows for each of the three years in the period ended August 27, 2011, in conformity with accounting principles generally accepted in the United States of America.</w:t>
      </w:r>
    </w:p>
    <w:p>
      <w:pPr>
        <w:spacing w:after="0" w:line="16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August 27, 2011,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October 25, 2011 expressed an unqualified opinion on the Company's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25, 2011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0"/>
          </w:cols>
          <w:pgMar w:left="240" w:top="141" w:right="39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Operations</w:t>
      </w:r>
      <w:r>
        <w:rPr>
          <w:rFonts w:ascii="Arial" w:cs="Arial" w:eastAsia="Arial" w:hAnsi="Arial"/>
          <w:sz w:val="28"/>
          <w:szCs w:val="28"/>
          <w:b w:val="1"/>
          <w:bCs w:val="1"/>
          <w:color w:val="auto"/>
          <w:vertAlign w:val="superscript"/>
        </w:rPr>
        <w:t>(1)</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37"/>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27, 2011</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August 28, 2010</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29, 2009</w:t>
            </w: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496,418</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449,484</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211,519</w:t>
            </w:r>
          </w:p>
        </w:tc>
      </w:tr>
      <w:tr>
        <w:trPr>
          <w:trHeight w:val="23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456,664</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423,217</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242,265</w:t>
            </w: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(deficit)</w:t>
            </w: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39,754</w:t>
            </w:r>
          </w:p>
        </w:tc>
        <w:tc>
          <w:tcPr>
            <w:tcW w:w="4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26,267</w:t>
            </w:r>
          </w:p>
        </w:tc>
        <w:tc>
          <w:tcPr>
            <w:tcW w:w="4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(30,746)</w:t>
            </w:r>
          </w:p>
        </w:tc>
      </w:tr>
      <w:tr>
        <w:trPr>
          <w:trHeight w:val="28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3"/>
        </w:trPr>
        <w:tc>
          <w:tcPr>
            <w:tcW w:w="5620" w:type="dxa"/>
            <w:vAlign w:val="bottom"/>
          </w:tcPr>
          <w:p>
            <w:pPr>
              <w:ind w:left="300"/>
              <w:spacing w:after="0"/>
              <w:rPr>
                <w:sz w:val="20"/>
                <w:szCs w:val="20"/>
                <w:color w:val="auto"/>
              </w:rPr>
            </w:pPr>
            <w:r>
              <w:rPr>
                <w:rFonts w:ascii="Arial" w:cs="Arial" w:eastAsia="Arial" w:hAnsi="Arial"/>
                <w:sz w:val="16"/>
                <w:szCs w:val="16"/>
                <w:color w:val="auto"/>
              </w:rPr>
              <w:t>Selling</w:t>
            </w:r>
          </w:p>
        </w:tc>
        <w:tc>
          <w:tcPr>
            <w:tcW w:w="240" w:type="dxa"/>
            <w:vAlign w:val="bottom"/>
          </w:tcPr>
          <w:p>
            <w:pPr>
              <w:spacing w:after="0"/>
              <w:rPr>
                <w:sz w:val="20"/>
                <w:szCs w:val="20"/>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14,251</w:t>
            </w:r>
          </w:p>
        </w:tc>
        <w:tc>
          <w:tcPr>
            <w:tcW w:w="400" w:type="dxa"/>
            <w:vAlign w:val="bottom"/>
          </w:tcPr>
          <w:p>
            <w:pPr>
              <w:spacing w:after="0"/>
              <w:rPr>
                <w:sz w:val="20"/>
                <w:szCs w:val="20"/>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12,724</w:t>
            </w:r>
          </w:p>
        </w:tc>
        <w:tc>
          <w:tcPr>
            <w:tcW w:w="400" w:type="dxa"/>
            <w:vAlign w:val="bottom"/>
          </w:tcPr>
          <w:p>
            <w:pPr>
              <w:spacing w:after="0"/>
              <w:rPr>
                <w:sz w:val="20"/>
                <w:szCs w:val="20"/>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12,616</w:t>
            </w:r>
          </w:p>
        </w:tc>
      </w:tr>
      <w:tr>
        <w:trPr>
          <w:trHeight w:val="253"/>
        </w:trPr>
        <w:tc>
          <w:tcPr>
            <w:tcW w:w="5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14,263</w:t>
            </w:r>
          </w:p>
        </w:tc>
        <w:tc>
          <w:tcPr>
            <w:tcW w:w="4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13,023</w:t>
            </w: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15,298</w:t>
            </w:r>
          </w:p>
        </w:tc>
      </w:tr>
      <w:tr>
        <w:trPr>
          <w:trHeight w:val="237"/>
        </w:trPr>
        <w:tc>
          <w:tcPr>
            <w:tcW w:w="56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Assets held for sale impairment and (gain), net</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855</w:t>
            </w:r>
          </w:p>
        </w:tc>
      </w:tr>
      <w:tr>
        <w:trPr>
          <w:trHeight w:val="237"/>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28,475</w:t>
            </w:r>
          </w:p>
        </w:tc>
        <w:tc>
          <w:tcPr>
            <w:tcW w:w="4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25,747</w:t>
            </w:r>
          </w:p>
        </w:tc>
        <w:tc>
          <w:tcPr>
            <w:tcW w:w="4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28,769</w:t>
            </w:r>
          </w:p>
        </w:tc>
      </w:tr>
      <w:tr>
        <w:trPr>
          <w:trHeight w:val="28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11,279</w:t>
            </w:r>
          </w:p>
        </w:tc>
        <w:tc>
          <w:tcPr>
            <w:tcW w:w="4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520</w:t>
            </w: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(59,515)</w:t>
            </w:r>
          </w:p>
        </w:tc>
      </w:tr>
      <w:tr>
        <w:trPr>
          <w:trHeight w:val="28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658</w:t>
            </w:r>
          </w:p>
        </w:tc>
        <w:tc>
          <w:tcPr>
            <w:tcW w:w="4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222</w:t>
            </w:r>
          </w:p>
        </w:tc>
        <w:tc>
          <w:tcPr>
            <w:tcW w:w="4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1,452</w:t>
            </w:r>
          </w:p>
        </w:tc>
      </w:tr>
      <w:tr>
        <w:trPr>
          <w:trHeight w:val="233"/>
        </w:trPr>
        <w:tc>
          <w:tcPr>
            <w:tcW w:w="56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Pr>
          <w:p>
            <w:pPr>
              <w:spacing w:after="0"/>
              <w:rPr>
                <w:sz w:val="20"/>
                <w:szCs w:val="20"/>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11,937</w:t>
            </w:r>
          </w:p>
        </w:tc>
        <w:tc>
          <w:tcPr>
            <w:tcW w:w="400" w:type="dxa"/>
            <w:vAlign w:val="bottom"/>
          </w:tcPr>
          <w:p>
            <w:pPr>
              <w:spacing w:after="0"/>
              <w:rPr>
                <w:sz w:val="20"/>
                <w:szCs w:val="20"/>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742</w:t>
            </w:r>
          </w:p>
        </w:tc>
        <w:tc>
          <w:tcPr>
            <w:tcW w:w="400" w:type="dxa"/>
            <w:vAlign w:val="bottom"/>
          </w:tcPr>
          <w:p>
            <w:pPr>
              <w:spacing w:after="0"/>
              <w:rPr>
                <w:sz w:val="20"/>
                <w:szCs w:val="20"/>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(58,063)</w:t>
            </w:r>
          </w:p>
        </w:tc>
      </w:tr>
      <w:tr>
        <w:trPr>
          <w:trHeight w:val="293"/>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3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(9,505)</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20,703</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11,843</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10,247</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(78,766)</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67"/>
        </w:trPr>
        <w:tc>
          <w:tcPr>
            <w:tcW w:w="5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80"/>
        </w:trPr>
        <w:tc>
          <w:tcPr>
            <w:tcW w:w="56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0.41</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0.35</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(2.71)</w:t>
            </w:r>
          </w:p>
        </w:tc>
      </w:tr>
      <w:tr>
        <w:trPr>
          <w:trHeight w:val="224"/>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0.41</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0.35</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(2.71)</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67"/>
        </w:trPr>
        <w:tc>
          <w:tcPr>
            <w:tcW w:w="5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24"/>
        </w:trPr>
        <w:tc>
          <w:tcPr>
            <w:tcW w:w="5620" w:type="dxa"/>
            <w:vAlign w:val="bottom"/>
          </w:tcPr>
          <w:p>
            <w:pPr>
              <w:ind w:left="30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9"/>
                <w:szCs w:val="19"/>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29,121</w:t>
            </w:r>
          </w:p>
        </w:tc>
        <w:tc>
          <w:tcPr>
            <w:tcW w:w="400" w:type="dxa"/>
            <w:vAlign w:val="bottom"/>
          </w:tcPr>
          <w:p>
            <w:pPr>
              <w:spacing w:after="0"/>
              <w:rPr>
                <w:sz w:val="19"/>
                <w:szCs w:val="19"/>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29,091</w:t>
            </w:r>
          </w:p>
        </w:tc>
        <w:tc>
          <w:tcPr>
            <w:tcW w:w="400" w:type="dxa"/>
            <w:vAlign w:val="bottom"/>
          </w:tcPr>
          <w:p>
            <w:pPr>
              <w:spacing w:after="0"/>
              <w:rPr>
                <w:sz w:val="19"/>
                <w:szCs w:val="19"/>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29,040</w:t>
            </w:r>
          </w:p>
        </w:tc>
      </w:tr>
      <w:tr>
        <w:trPr>
          <w:trHeight w:val="243"/>
        </w:trPr>
        <w:tc>
          <w:tcPr>
            <w:tcW w:w="5620" w:type="dxa"/>
            <w:vAlign w:val="bottom"/>
          </w:tcPr>
          <w:p>
            <w:pPr>
              <w:ind w:left="30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1"/>
                <w:szCs w:val="21"/>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29,148</w:t>
            </w:r>
          </w:p>
        </w:tc>
        <w:tc>
          <w:tcPr>
            <w:tcW w:w="400" w:type="dxa"/>
            <w:vAlign w:val="bottom"/>
          </w:tcPr>
          <w:p>
            <w:pPr>
              <w:spacing w:after="0"/>
              <w:rPr>
                <w:sz w:val="21"/>
                <w:szCs w:val="21"/>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29,101</w:t>
            </w:r>
          </w:p>
        </w:tc>
        <w:tc>
          <w:tcPr>
            <w:tcW w:w="400" w:type="dxa"/>
            <w:vAlign w:val="bottom"/>
          </w:tcPr>
          <w:p>
            <w:pPr>
              <w:spacing w:after="0"/>
              <w:rPr>
                <w:sz w:val="21"/>
                <w:szCs w:val="21"/>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29,051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180" w:hanging="172"/>
        <w:spacing w:after="0" w:line="227" w:lineRule="auto"/>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r>
        <w:rPr>
          <w:rFonts w:ascii="Arial" w:cs="Arial" w:eastAsia="Arial" w:hAnsi="Arial"/>
          <w:sz w:val="28"/>
          <w:szCs w:val="28"/>
          <w:b w:val="1"/>
          <w:bCs w:val="1"/>
          <w:color w:val="auto"/>
          <w:vertAlign w:val="superscript"/>
        </w:rPr>
        <w:t>(1)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27, 2011</w:t>
            </w: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August 28, 2010</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69,307</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74,691</w:t>
            </w: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($76 and $91, respectively)</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19,981</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18,798</w:t>
            </w:r>
          </w:p>
        </w:tc>
      </w:tr>
      <w:tr>
        <w:trPr>
          <w:trHeight w:val="253"/>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69,165</w:t>
            </w:r>
          </w:p>
        </w:tc>
        <w:tc>
          <w:tcPr>
            <w:tcW w:w="4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43,526</w:t>
            </w: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4,227</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4,570</w:t>
            </w:r>
          </w:p>
        </w:tc>
      </w:tr>
      <w:tr>
        <w:trPr>
          <w:trHeight w:val="253"/>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1,525</w:t>
            </w:r>
          </w:p>
        </w:tc>
        <w:tc>
          <w:tcPr>
            <w:tcW w:w="4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132</w:t>
            </w:r>
          </w:p>
        </w:tc>
      </w:tr>
      <w:tr>
        <w:trPr>
          <w:trHeight w:val="237"/>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649</w:t>
            </w:r>
          </w:p>
        </w:tc>
        <w:tc>
          <w:tcPr>
            <w:tcW w:w="4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164,854</w:t>
            </w:r>
          </w:p>
        </w:tc>
        <w:tc>
          <w:tcPr>
            <w:tcW w:w="46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141,717</w:t>
            </w:r>
          </w:p>
        </w:tc>
      </w:tr>
      <w:tr>
        <w:trPr>
          <w:trHeight w:val="233"/>
        </w:trPr>
        <w:tc>
          <w:tcPr>
            <w:tcW w:w="70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22,589</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25,677</w:t>
            </w:r>
          </w:p>
        </w:tc>
      </w:tr>
      <w:tr>
        <w:trPr>
          <w:trHeight w:val="25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600</w:t>
            </w:r>
          </w:p>
        </w:tc>
        <w:tc>
          <w:tcPr>
            <w:tcW w:w="4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4,254</w:t>
            </w:r>
          </w:p>
        </w:tc>
      </w:tr>
      <w:tr>
        <w:trPr>
          <w:trHeight w:val="233"/>
        </w:trPr>
        <w:tc>
          <w:tcPr>
            <w:tcW w:w="708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10,627</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17,785</w:t>
            </w:r>
          </w:p>
        </w:tc>
      </w:tr>
      <w:tr>
        <w:trPr>
          <w:trHeight w:val="25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23,669</w:t>
            </w:r>
          </w:p>
        </w:tc>
        <w:tc>
          <w:tcPr>
            <w:tcW w:w="4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23,250</w:t>
            </w:r>
          </w:p>
        </w:tc>
      </w:tr>
      <w:tr>
        <w:trPr>
          <w:trHeight w:val="233"/>
        </w:trPr>
        <w:tc>
          <w:tcPr>
            <w:tcW w:w="70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1,228</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5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720</w:t>
            </w:r>
          </w:p>
        </w:tc>
        <w:tc>
          <w:tcPr>
            <w:tcW w:w="4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15,640</w:t>
            </w:r>
          </w:p>
        </w:tc>
        <w:tc>
          <w:tcPr>
            <w:tcW w:w="4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14,674</w:t>
            </w:r>
          </w:p>
        </w:tc>
      </w:tr>
      <w:tr>
        <w:trPr>
          <w:trHeight w:val="24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239,927</w:t>
            </w:r>
          </w:p>
        </w:tc>
        <w:tc>
          <w:tcPr>
            <w:tcW w:w="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227,357</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67"/>
        </w:trPr>
        <w:tc>
          <w:tcPr>
            <w:tcW w:w="7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21,610</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19,725</w:t>
            </w: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104</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99</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10,841</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10,529</w:t>
            </w:r>
          </w:p>
        </w:tc>
      </w:tr>
      <w:tr>
        <w:trPr>
          <w:trHeight w:val="253"/>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7,335</w:t>
            </w:r>
          </w:p>
        </w:tc>
        <w:tc>
          <w:tcPr>
            <w:tcW w:w="4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7,634</w:t>
            </w: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Self-insurance</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3,203</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4,409</w:t>
            </w:r>
          </w:p>
        </w:tc>
      </w:tr>
      <w:tr>
        <w:trPr>
          <w:trHeight w:val="253"/>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1,174</w:t>
            </w:r>
          </w:p>
        </w:tc>
        <w:tc>
          <w:tcPr>
            <w:tcW w:w="4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1,362</w:t>
            </w: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Promotional</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2,177</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1,817</w:t>
            </w:r>
          </w:p>
        </w:tc>
      </w:tr>
      <w:tr>
        <w:trPr>
          <w:trHeight w:val="246"/>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4,874</w:t>
            </w:r>
          </w:p>
        </w:tc>
        <w:tc>
          <w:tcPr>
            <w:tcW w:w="4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4,797</w:t>
            </w:r>
          </w:p>
        </w:tc>
      </w:tr>
      <w:tr>
        <w:trPr>
          <w:trHeight w:val="23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51,318</w:t>
            </w:r>
          </w:p>
        </w:tc>
        <w:tc>
          <w:tcPr>
            <w:tcW w:w="4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50,372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long-term liabilities:</w:t>
            </w:r>
          </w:p>
        </w:tc>
        <w:tc>
          <w:tcPr>
            <w:tcW w:w="2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5,387</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5,877</w:t>
            </w:r>
          </w:p>
        </w:tc>
      </w:tr>
      <w:tr>
        <w:trPr>
          <w:trHeight w:val="246"/>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74,492</w:t>
            </w:r>
          </w:p>
        </w:tc>
        <w:tc>
          <w:tcPr>
            <w:tcW w:w="4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73,581</w:t>
            </w:r>
          </w:p>
        </w:tc>
      </w:tr>
      <w:tr>
        <w:trPr>
          <w:trHeight w:val="23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long-term liabilities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79,879</w:t>
            </w:r>
          </w:p>
        </w:tc>
        <w:tc>
          <w:tcPr>
            <w:tcW w:w="4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79,458</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8"/>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14"/>
        </w:trPr>
        <w:tc>
          <w:tcPr>
            <w:tcW w:w="70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25,888</w:t>
            </w: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30,131</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29,464</w:t>
            </w:r>
          </w:p>
        </w:tc>
      </w:tr>
      <w:tr>
        <w:trPr>
          <w:trHeight w:val="253"/>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432,518</w:t>
            </w:r>
          </w:p>
        </w:tc>
        <w:tc>
          <w:tcPr>
            <w:tcW w:w="4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420,675</w:t>
            </w: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(454)</w:t>
            </w:r>
          </w:p>
        </w:tc>
        <w:tc>
          <w:tcPr>
            <w:tcW w:w="46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1,242</w:t>
            </w:r>
          </w:p>
        </w:tc>
      </w:tr>
      <w:tr>
        <w:trPr>
          <w:trHeight w:val="246"/>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stock, at cost (22,641 and 22,661 shares, respectively)</w:t>
            </w:r>
          </w:p>
        </w:tc>
        <w:tc>
          <w:tcPr>
            <w:tcW w:w="2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(379,353)</w:t>
            </w:r>
          </w:p>
        </w:tc>
        <w:tc>
          <w:tcPr>
            <w:tcW w:w="4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(379,742)</w:t>
            </w:r>
          </w:p>
        </w:tc>
      </w:tr>
      <w:tr>
        <w:trPr>
          <w:trHeight w:val="23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108,730</w:t>
            </w:r>
          </w:p>
        </w:tc>
        <w:tc>
          <w:tcPr>
            <w:tcW w:w="4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97,527</w:t>
            </w:r>
          </w:p>
        </w:tc>
      </w:tr>
      <w:tr>
        <w:trPr>
          <w:trHeight w:val="24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239,927</w:t>
            </w:r>
          </w:p>
        </w:tc>
        <w:tc>
          <w:tcPr>
            <w:tcW w:w="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227,357</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r>
        <w:rPr>
          <w:rFonts w:ascii="Arial" w:cs="Arial" w:eastAsia="Arial" w:hAnsi="Arial"/>
          <w:sz w:val="28"/>
          <w:szCs w:val="28"/>
          <w:b w:val="1"/>
          <w:bCs w:val="1"/>
          <w:color w:val="auto"/>
          <w:vertAlign w:val="superscript"/>
        </w:rPr>
        <w:t>(1)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ulated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190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w:t>
            </w:r>
          </w:p>
        </w:tc>
        <w:tc>
          <w:tcPr>
            <w:tcW w:w="190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84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hensive</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holders'</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(APIC)</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Income</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30, 2008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29,632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489,194</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9,813</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(22,706)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173,924</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Utilization of APIC pool due to stock award</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Issuance of stock to directors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804</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$2,263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(4,243)</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(4,243)</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appreciation of investments, net of $586 tax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970</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(78,766)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(78,766)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29, 2009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29,726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410,428</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6,540</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(22,690)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(380,251)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92,331</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Utilization of APIC pool due to stock award</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Issuance of stock to directors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369</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$1,260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(5,511)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(5,511)</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appreciation of investments, net of $128 tax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213</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10,247</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10,247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28, 2010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29,464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420,675</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1,242</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(22,661)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97,527</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Utilization of APIC pool due to stock award</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to directors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$1,166 tax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Unrealized depreciation of investments, net of $3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11,843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11,843</w:t>
            </w:r>
          </w:p>
        </w:tc>
        <w:tc>
          <w:tcPr>
            <w:tcW w:w="0" w:type="dxa"/>
            <w:vAlign w:val="bottom"/>
          </w:tcPr>
          <w:p>
            <w:pPr>
              <w:spacing w:after="0"/>
              <w:rPr>
                <w:sz w:val="1"/>
                <w:szCs w:val="1"/>
                <w:color w:val="auto"/>
              </w:rPr>
            </w:pPr>
          </w:p>
        </w:tc>
      </w:tr>
      <w:tr>
        <w:trPr>
          <w:trHeight w:val="216"/>
        </w:trPr>
        <w:tc>
          <w:tcPr>
            <w:tcW w:w="3620" w:type="dxa"/>
            <w:vAlign w:val="bottom"/>
          </w:tcPr>
          <w:p>
            <w:pPr>
              <w:ind w:left="40"/>
              <w:spacing w:after="0"/>
              <w:rPr>
                <w:sz w:val="20"/>
                <w:szCs w:val="20"/>
                <w:color w:val="auto"/>
              </w:rPr>
            </w:pPr>
            <w:r>
              <w:rPr>
                <w:rFonts w:ascii="Arial" w:cs="Arial" w:eastAsia="Arial" w:hAnsi="Arial"/>
                <w:sz w:val="14"/>
                <w:szCs w:val="14"/>
                <w:color w:val="auto"/>
              </w:rPr>
              <w:t>Balance, August 27, 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30,131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432,518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(454)</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(379,353)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108,730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See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r>
        <w:rPr>
          <w:rFonts w:ascii="Arial" w:cs="Arial" w:eastAsia="Arial" w:hAnsi="Arial"/>
          <w:sz w:val="28"/>
          <w:szCs w:val="28"/>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Year Ended</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37"/>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August 27, 2011</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August 28, 2010</w:t>
            </w:r>
          </w:p>
        </w:tc>
        <w:tc>
          <w:tcPr>
            <w:tcW w:w="15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August 29, 2009</w:t>
            </w:r>
          </w:p>
        </w:tc>
      </w:tr>
      <w:tr>
        <w:trPr>
          <w:trHeight w:val="270"/>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11,843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10,247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(78,766)</w:t>
            </w:r>
          </w:p>
        </w:tc>
      </w:tr>
      <w:tr>
        <w:trPr>
          <w:trHeight w:val="280"/>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5,492</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6,340</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7,834</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LIFO expense (income)</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2,075</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(783)</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(6,972)</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4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605</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855</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1,315</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546</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1,010</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4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517</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37,440</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1,378</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1,275</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1,252</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Provision (reduction) for doubtful accounts</w:t>
            </w:r>
          </w:p>
        </w:tc>
        <w:tc>
          <w:tcPr>
            <w:tcW w:w="4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73</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loss on disposal of property</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(994)</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Gain on life insurance</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(1,090)</w:t>
            </w: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(858)</w:t>
            </w:r>
          </w:p>
        </w:tc>
      </w:tr>
      <w:tr>
        <w:trPr>
          <w:trHeight w:val="280"/>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(23,792)</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4,107</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70,718</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 and prepaid assets</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(8,550)</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(2,074)</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(2,127)</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14,692</w:t>
            </w: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(8,708)</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(1,551)</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9,756</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(10,567)</w:t>
            </w:r>
          </w:p>
        </w:tc>
      </w:tr>
      <w:tr>
        <w:trPr>
          <w:trHeight w:val="237"/>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(3,741)</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(3,600)</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(3,172)</w:t>
            </w:r>
          </w:p>
        </w:tc>
      </w:tr>
      <w:tr>
        <w:trPr>
          <w:trHeight w:val="237"/>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4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(10,119)</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33,039</w:t>
            </w: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8,272</w:t>
            </w:r>
          </w:p>
        </w:tc>
      </w:tr>
      <w:tr>
        <w:trPr>
          <w:trHeight w:val="284"/>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4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7,150</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15,850</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8,900</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659</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(2,109)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(1,874)</w:t>
            </w: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(3,473)</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4,143</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96</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296</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Cash paid for acquisition, net of cash acquired</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(4,694)</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46"/>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(914)</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262</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r>
      <w:tr>
        <w:trPr>
          <w:trHeight w:val="237"/>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4,235</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14,334</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4,986</w:t>
            </w:r>
          </w:p>
        </w:tc>
      </w:tr>
      <w:tr>
        <w:trPr>
          <w:trHeight w:val="284"/>
        </w:trPr>
        <w:tc>
          <w:tcPr>
            <w:tcW w:w="7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70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Payments of cash dividends</w:t>
            </w:r>
          </w:p>
        </w:tc>
        <w:tc>
          <w:tcPr>
            <w:tcW w:w="4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(3,489)</w:t>
            </w: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borrowings on ARS portfolio</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(9,100)</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9,100</w:t>
            </w:r>
          </w:p>
        </w:tc>
      </w:tr>
      <w:tr>
        <w:trPr>
          <w:trHeight w:val="233"/>
        </w:trPr>
        <w:tc>
          <w:tcPr>
            <w:tcW w:w="70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4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280</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w:t>
            </w:r>
          </w:p>
        </w:tc>
      </w:tr>
      <w:tr>
        <w:trPr>
          <w:trHeight w:val="246"/>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506</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500</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(9,248)</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5,457</w:t>
            </w:r>
          </w:p>
        </w:tc>
      </w:tr>
      <w:tr>
        <w:trPr>
          <w:trHeight w:val="284"/>
        </w:trPr>
        <w:tc>
          <w:tcPr>
            <w:tcW w:w="7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3"/>
        </w:trPr>
        <w:tc>
          <w:tcPr>
            <w:tcW w:w="70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(5,384)</w:t>
            </w:r>
          </w:p>
        </w:tc>
        <w:tc>
          <w:tcPr>
            <w:tcW w:w="2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38,125</w:t>
            </w:r>
          </w:p>
        </w:tc>
        <w:tc>
          <w:tcPr>
            <w:tcW w:w="44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18,715</w:t>
            </w:r>
          </w:p>
        </w:tc>
      </w:tr>
      <w:tr>
        <w:trPr>
          <w:trHeight w:val="246"/>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74,691</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36,566</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17,851</w:t>
            </w:r>
          </w:p>
        </w:tc>
      </w:tr>
      <w:tr>
        <w:trPr>
          <w:trHeight w:val="280"/>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69,307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74,691</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36,566</w:t>
            </w:r>
          </w:p>
        </w:tc>
      </w:tr>
      <w:tr>
        <w:trPr>
          <w:trHeight w:val="267"/>
        </w:trPr>
        <w:tc>
          <w:tcPr>
            <w:tcW w:w="7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7040" w:type="dxa"/>
            <w:vAlign w:val="bottom"/>
          </w:tcPr>
          <w:p>
            <w:pPr>
              <w:ind w:left="40"/>
              <w:spacing w:after="0"/>
              <w:rPr>
                <w:sz w:val="20"/>
                <w:szCs w:val="20"/>
                <w:color w:val="auto"/>
              </w:rPr>
            </w:pPr>
            <w:r>
              <w:rPr>
                <w:rFonts w:ascii="Arial" w:cs="Arial" w:eastAsia="Arial" w:hAnsi="Arial"/>
                <w:sz w:val="16"/>
                <w:szCs w:val="16"/>
                <w:color w:val="auto"/>
              </w:rPr>
              <w:t>Supplement cash flow disclosure:</w:t>
            </w: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(refunded)</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1,703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(24,356)</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See notes to consolidated financial statements.</w:t>
      </w:r>
    </w:p>
    <w:p>
      <w:pPr>
        <w:sectPr>
          <w:pgSz w:w="11900" w:h="16838" w:orient="portrait"/>
          <w:cols w:equalWidth="0" w:num="1">
            <w:col w:w="11420"/>
          </w:cols>
          <w:pgMar w:left="240" w:top="141"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United States manufacturers of recreation vehicles. We sell motor homes through independent dealers, primarily throughout the United States and Canada, under the Winnebago, Itasca and Era brand names. We also sell travel trailer and fifth wheel towable products primarily throughout the United States and Canada under the SunnyBrook and Winnebago brand names. Other products manufactured by us consist primarily of original equipment manufacturing parts, including extruded aluminum and other component products for other manufacturers and commercial vehicles.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consolidated financial statements for Fiscal 2011 include the parent company and our new wholly-owned subsidiary, Winnebago of Indiana, LLC. See Note 2. All material intercompany balances and transactions with our subsidiary have been eliminated.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The financial statements presented are all 52-week periods.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5" w:lineRule="exact"/>
        <w:rPr>
          <w:sz w:val="20"/>
          <w:szCs w:val="20"/>
          <w:color w:val="auto"/>
        </w:rPr>
      </w:pPr>
    </w:p>
    <w:p>
      <w:pPr>
        <w:ind w:right="780"/>
        <w:spacing w:after="0" w:line="192" w:lineRule="exact"/>
        <w:rPr>
          <w:sz w:val="20"/>
          <w:szCs w:val="20"/>
          <w:color w:val="auto"/>
        </w:rPr>
      </w:pP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 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5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5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 years</w:t>
            </w:r>
          </w:p>
        </w:tc>
      </w:tr>
      <w:tr>
        <w:trPr>
          <w:trHeight w:val="233"/>
        </w:trPr>
        <w:tc>
          <w:tcPr>
            <w:tcW w:w="598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5440" w:type="dxa"/>
            <w:vAlign w:val="bottom"/>
          </w:tcPr>
          <w:p>
            <w:pPr>
              <w:jc w:val="right"/>
              <w:ind w:right="199"/>
              <w:spacing w:after="0"/>
              <w:rPr>
                <w:sz w:val="20"/>
                <w:szCs w:val="20"/>
                <w:color w:val="auto"/>
              </w:rPr>
            </w:pPr>
            <w:r>
              <w:rPr>
                <w:rFonts w:ascii="Arial" w:cs="Arial" w:eastAsia="Arial" w:hAnsi="Arial"/>
                <w:sz w:val="16"/>
                <w:szCs w:val="16"/>
                <w:color w:val="auto"/>
              </w:rPr>
              <w:t>3-10 years</w:t>
            </w:r>
          </w:p>
        </w:tc>
      </w:tr>
      <w:tr>
        <w:trPr>
          <w:trHeight w:val="25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 equipment</w:t>
            </w:r>
          </w:p>
        </w:tc>
        <w:tc>
          <w:tcPr>
            <w:tcW w:w="5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 years</w:t>
            </w:r>
          </w:p>
        </w:tc>
      </w:tr>
    </w:tbl>
    <w:p>
      <w:pPr>
        <w:spacing w:after="0" w:line="1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assessed the fair value of certain properties which were idled and are listed for sale (see Note 6). We also reviewed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long-lived depreciable assets for impairment, noting no impairment.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Amortizable Intangible Assets</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Goodwill represents costs in excess of the fair value of net tangible and identifiable net intangible assets acquired in a business combination. Amortizable intangible assets consist of dealer network, trademarks and non-compete agreements and are amortized using the straight-line method over seven to ten years. Goodwill assets are reviewed for impairment by applying a fair-value based test on an annual basis, or more frequently if circumstances indicate a potential impairment. Amortizable intangible assets are also subject to impairment test annually or whenever events or changes in circumstances indicate that the carrying value of an asset may not be recoverable from future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 self-insured retention (SIR) for product liability which varies annually based on market conditions and for at least the last five fiscal years was at $2.5 million per occurrence and $6.0 million in aggregate per policy year. In the event that the annual aggregate of the SIR is exhausted by payment of claims and defense expenses, a deductible of $1.0 million, excluding defense expenses, is applicable to each claim covered under this policy.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 part of the process of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accounting policy regarding litigation expense is to accrue for probable exposure including estimated defense costs if we are able to estimate the financial impact.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revenues for our recreation vehicles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by our dealers under floorplan financing arrangements with banks or finance companies.</w:t>
      </w:r>
    </w:p>
    <w:p>
      <w:pPr>
        <w:spacing w:after="0" w:line="14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Revenues of our OEM components and recreation vehicle related parts are recorded as the products are shipped from our location. The title of ownership transfers on these products as they leave our location due to the freight terms of F.O.B. - Shipper.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During Fiscal 2011, one of our dealer organizations, FreedomRoads, LLC, accounted for 18% of our consolidated net revenue, as they sold our products in 43 of their dealership locations across 23 U.S. states. The loss of this dealer organization could have a significant adverse effect on our business. In addition, deterioration in the liquidity or creditworthiness of FreedomRoads, LLC could negatively impact our sales and could trigger repurchase obligations under our repurchase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5"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It is customary practice for manufacturers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regulatory requirements that govern voluntary or involuntary relationship terminations.</w:t>
      </w:r>
    </w:p>
    <w:p>
      <w:pPr>
        <w:spacing w:after="0" w:line="19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as "Accrued loss of repurchases"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See Note 11.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Shipping Revenues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Shipping revenues for products shipped are included within sales, while shipping expenses are included within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Research and development expenditures are expensed as incurred. A portion of these expenditures qualify for state and federal tax benefits. Development activities generally relate to creating new products and improving or creating variations of existing products to meet new applications. During Fiscal 2011, 2010 and 2009, we spent approximately $3.3 million, $3.2 million and $3.3 million, respectively, on research and development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$3.4 million, $3.3 million, and $3.0 million in Fiscal 2011, 2010 and 2009, respectively. Advertising costs are included in selling expense and are expensed as incurred with the exception of trade shows which are expensed in the period in which the show occurs.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Per Common Share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Basic income (loss) per common share is computed by dividing net income (loss) by the weighted average common shares outstanding during the period.</w:t>
      </w:r>
    </w:p>
    <w:p>
      <w:pPr>
        <w:spacing w:after="0" w:line="16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Diluted income (loss) per common share is computed by dividing net income (loss) by the weighted average common shares outstanding plus the incremental shares that would have been outstanding upon the assumed exercise of dilutive stock awards and options (see Note 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reported in prior years in the statement of cash flows have been reclassified to conform to the current year financial statement presentation.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reclassifications had no impact on total operating, investing, or financing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5"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We evaluated events occurring between the end of our most recent fiscal year and the date the financial statements were issued. There were no material subsequent events, except those described in Note 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 xml:space="preserve">On June 16, 2011, the Financial Accounting Standards Board (FASB) issued Accounting Standards Update (ASU) 2011-05, </w:t>
      </w:r>
      <w:r>
        <w:rPr>
          <w:rFonts w:ascii="Arial" w:cs="Arial" w:eastAsia="Arial" w:hAnsi="Arial"/>
          <w:sz w:val="16"/>
          <w:szCs w:val="16"/>
          <w:i w:val="1"/>
          <w:iCs w:val="1"/>
          <w:color w:val="auto"/>
        </w:rPr>
        <w:t>Presentation of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w:t>
      </w:r>
      <w:r>
        <w:rPr>
          <w:rFonts w:ascii="Arial" w:cs="Arial" w:eastAsia="Arial" w:hAnsi="Arial"/>
          <w:sz w:val="16"/>
          <w:szCs w:val="16"/>
          <w:color w:val="auto"/>
        </w:rPr>
        <w:t>which revised the manner in which entities present comprehensive income in their financial statements. ASU 2011-05 will be effective starting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fiscal year beginning after December 15, 2011 (our Fiscal 2013). We are currently evaluating the impact this will have on our calculation and presentation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Acquisition</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December 29, 2010, through a newly formed, wholly-owned subsidiary, Winnebago of Indiana, LLC ("Towables"), we purchased substantially all of the assets of SunnyBrook, a manufacturer of travel trailer and fifth wheel recreation vehicles. The aggregate consideration paid was $4.7 million in cash, net of cash acquired, including the repayment of $3.3 million of SunnyBrook commercial and shareholder debt on the closing date. Towables will continue to manufacture products under the SunnyBrook brands. In addition, Towables has begun to diversify the product line by including Winnebago brand trailer and fifth wheel products. The assets acquired include inventory, equipment and other tangible and intangible property and are being used in connection with the operation of manufacturing towable recreation vehicles. Also on December 29, 2010, we entered into a five year operating lease agreement for the SunnyBrook facilities. See Note 19. The operations of Towables are included in our consolidated operating results from the date of its acquisition. The primary reason for the acquisition was diversification outside of the motorized market while utilizing the Winnebago brand strength in the towable market allowing for the potential of revenue and earnings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60"/>
          </w:cols>
          <w:pgMar w:left="240" w:top="141"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95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3"/>
        </w:trPr>
        <w:tc>
          <w:tcPr>
            <w:tcW w:w="9520" w:type="dxa"/>
            <w:vAlign w:val="bottom"/>
            <w:gridSpan w:val="2"/>
          </w:tcPr>
          <w:p>
            <w:pPr>
              <w:spacing w:after="0"/>
              <w:rPr>
                <w:sz w:val="20"/>
                <w:szCs w:val="20"/>
                <w:color w:val="auto"/>
              </w:rPr>
            </w:pPr>
            <w:r>
              <w:rPr>
                <w:rFonts w:ascii="Arial" w:cs="Arial" w:eastAsia="Arial" w:hAnsi="Arial"/>
                <w:sz w:val="16"/>
                <w:szCs w:val="16"/>
                <w:color w:val="auto"/>
              </w:rPr>
              <w:t>The following table summarizes the approximate fair value of the net assets acquired at the date of the closing:</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4"/>
        </w:trPr>
        <w:tc>
          <w:tcPr>
            <w:tcW w:w="95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29, 2010</w:t>
            </w:r>
          </w:p>
        </w:tc>
      </w:tr>
      <w:tr>
        <w:trPr>
          <w:trHeight w:val="243"/>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5,773</w:t>
            </w:r>
          </w:p>
        </w:tc>
      </w:tr>
      <w:tr>
        <w:trPr>
          <w:trHeight w:val="233"/>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337</w:t>
            </w:r>
          </w:p>
        </w:tc>
      </w:tr>
      <w:tr>
        <w:trPr>
          <w:trHeight w:val="253"/>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33"/>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535</w:t>
            </w:r>
          </w:p>
        </w:tc>
      </w:tr>
      <w:tr>
        <w:trPr>
          <w:trHeight w:val="253"/>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w:t>
            </w:r>
          </w:p>
        </w:tc>
      </w:tr>
      <w:tr>
        <w:trPr>
          <w:trHeight w:val="233"/>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Non-compete agreement</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40</w:t>
            </w:r>
          </w:p>
        </w:tc>
      </w:tr>
      <w:tr>
        <w:trPr>
          <w:trHeight w:val="246"/>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(2,513)</w:t>
            </w:r>
          </w:p>
        </w:tc>
      </w:tr>
      <w:tr>
        <w:trPr>
          <w:trHeight w:val="233"/>
        </w:trPr>
        <w:tc>
          <w:tcPr>
            <w:tcW w:w="9520" w:type="dxa"/>
            <w:vAlign w:val="bottom"/>
            <w:gridSpan w:val="2"/>
          </w:tcPr>
          <w:p>
            <w:pPr>
              <w:ind w:left="260"/>
              <w:spacing w:after="0"/>
              <w:rPr>
                <w:sz w:val="20"/>
                <w:szCs w:val="20"/>
                <w:color w:val="auto"/>
              </w:rPr>
            </w:pPr>
            <w:r>
              <w:rPr>
                <w:rFonts w:ascii="Arial" w:cs="Arial" w:eastAsia="Arial" w:hAnsi="Arial"/>
                <w:sz w:val="16"/>
                <w:szCs w:val="16"/>
                <w:color w:val="auto"/>
              </w:rPr>
              <w:t>Total fair value of net assets acquired</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5,596</w:t>
            </w:r>
          </w:p>
        </w:tc>
      </w:tr>
      <w:tr>
        <w:trPr>
          <w:trHeight w:val="246"/>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cash acquired</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(902)</w:t>
            </w:r>
          </w:p>
        </w:tc>
      </w:tr>
      <w:tr>
        <w:trPr>
          <w:trHeight w:val="240"/>
        </w:trPr>
        <w:tc>
          <w:tcPr>
            <w:tcW w:w="9520" w:type="dxa"/>
            <w:vAlign w:val="bottom"/>
            <w:gridSpan w:val="2"/>
          </w:tcPr>
          <w:p>
            <w:pPr>
              <w:ind w:left="260"/>
              <w:spacing w:after="0"/>
              <w:rPr>
                <w:sz w:val="20"/>
                <w:szCs w:val="20"/>
                <w:color w:val="auto"/>
              </w:rPr>
            </w:pPr>
            <w:r>
              <w:rPr>
                <w:rFonts w:ascii="Arial" w:cs="Arial" w:eastAsia="Arial" w:hAnsi="Arial"/>
                <w:sz w:val="16"/>
                <w:szCs w:val="16"/>
                <w:color w:val="auto"/>
              </w:rPr>
              <w:t>Total cash paid for acquisition less cash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4,694</w:t>
            </w:r>
          </w:p>
        </w:tc>
      </w:tr>
      <w:tr>
        <w:trPr>
          <w:trHeight w:val="20"/>
        </w:trPr>
        <w:tc>
          <w:tcPr>
            <w:tcW w:w="12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At December 29, 2010, the amortizable intangible assets had a weighted average useful life of 9.8 years. The dealer network was valued based on the Discounted Cash Flow Method and is being amortized on a straight line basis over 10 years. The trademarks were valued based on the Relief from Royalty Method and are being amortized on a straight line basis over 10 years. The non-compete agreement is being amortized on a straight line basis over 7 years. Goodwill is not subject to amortization and is tax deductible. Pro forma financial information has not been presented due to its insignificance.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7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0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The fair value hierarchy requires the use of observable market data when</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4"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August 27, 2011 and 8/28u/2010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0" w:type="dxa"/>
            <w:vAlign w:val="bottom"/>
            <w:gridSpan w:val="6"/>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tcPr>
          <w:p>
            <w:pPr>
              <w:spacing w:after="0"/>
              <w:rPr>
                <w:sz w:val="19"/>
                <w:szCs w:val="19"/>
                <w:color w:val="auto"/>
              </w:rPr>
            </w:pPr>
          </w:p>
        </w:tc>
        <w:tc>
          <w:tcPr>
            <w:tcW w:w="19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8"/>
          </w:tcPr>
          <w:p>
            <w:pPr>
              <w:jc w:val="center"/>
              <w:ind w:left="819"/>
              <w:spacing w:after="0"/>
              <w:rPr>
                <w:sz w:val="20"/>
                <w:szCs w:val="20"/>
                <w:color w:val="auto"/>
              </w:rPr>
            </w:pPr>
            <w:r>
              <w:rPr>
                <w:rFonts w:ascii="Arial" w:cs="Arial" w:eastAsia="Arial" w:hAnsi="Arial"/>
                <w:sz w:val="16"/>
                <w:szCs w:val="16"/>
                <w:b w:val="1"/>
                <w:bCs w:val="1"/>
                <w:color w:val="auto"/>
              </w:rPr>
              <w:t>Using Inputs Considered As</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580" w:type="dxa"/>
            <w:vAlign w:val="bottom"/>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27, 2011</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580" w:type="dxa"/>
            <w:vAlign w:val="bottom"/>
          </w:tcPr>
          <w:p>
            <w:pPr>
              <w:ind w:left="120"/>
              <w:spacing w:after="0"/>
              <w:rPr>
                <w:sz w:val="20"/>
                <w:szCs w:val="20"/>
                <w:color w:val="auto"/>
              </w:rPr>
            </w:pPr>
            <w:r>
              <w:rPr>
                <w:rFonts w:ascii="Arial" w:cs="Arial" w:eastAsia="Arial" w:hAnsi="Arial"/>
                <w:sz w:val="16"/>
                <w:szCs w:val="16"/>
                <w:color w:val="auto"/>
              </w:rPr>
              <w:t>Student loan ARS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10,627</w:t>
            </w:r>
          </w:p>
        </w:tc>
        <w:tc>
          <w:tcPr>
            <w:tcW w:w="24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10,627</w:t>
            </w:r>
          </w:p>
        </w:tc>
        <w:tc>
          <w:tcPr>
            <w:tcW w:w="0" w:type="dxa"/>
            <w:vAlign w:val="bottom"/>
          </w:tcPr>
          <w:p>
            <w:pPr>
              <w:spacing w:after="0"/>
              <w:rPr>
                <w:sz w:val="1"/>
                <w:szCs w:val="1"/>
                <w:color w:val="auto"/>
              </w:rPr>
            </w:pP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8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9,362</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9,362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1,441</w:t>
            </w: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22,079</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11,452</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3"/>
        </w:trPr>
        <w:tc>
          <w:tcPr>
            <w:tcW w:w="1260" w:type="dxa"/>
            <w:vAlign w:val="bottom"/>
            <w:tcBorders>
              <w:top w:val="single" w:sz="8" w:color="0000FF"/>
            </w:tcBorders>
          </w:tcPr>
          <w:p>
            <w:pPr>
              <w:spacing w:after="0"/>
              <w:rPr>
                <w:sz w:val="24"/>
                <w:szCs w:val="24"/>
                <w:color w:val="auto"/>
              </w:rPr>
            </w:pPr>
          </w:p>
        </w:tc>
        <w:tc>
          <w:tcPr>
            <w:tcW w:w="3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gridSpan w:val="6"/>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8"/>
          </w:tcPr>
          <w:p>
            <w:pPr>
              <w:jc w:val="center"/>
              <w:ind w:left="819"/>
              <w:spacing w:after="0"/>
              <w:rPr>
                <w:sz w:val="20"/>
                <w:szCs w:val="20"/>
                <w:color w:val="auto"/>
              </w:rPr>
            </w:pPr>
            <w:r>
              <w:rPr>
                <w:rFonts w:ascii="Arial" w:cs="Arial" w:eastAsia="Arial" w:hAnsi="Arial"/>
                <w:sz w:val="16"/>
                <w:szCs w:val="16"/>
                <w:b w:val="1"/>
                <w:bCs w:val="1"/>
                <w:color w:val="auto"/>
              </w:rPr>
              <w:t>Using Inputs Considered As</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2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28, 2010</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580" w:type="dxa"/>
            <w:vAlign w:val="bottom"/>
            <w:gridSpan w:val="2"/>
          </w:tcPr>
          <w:p>
            <w:pPr>
              <w:ind w:left="120"/>
              <w:spacing w:after="0"/>
              <w:rPr>
                <w:sz w:val="20"/>
                <w:szCs w:val="20"/>
                <w:color w:val="auto"/>
              </w:rPr>
            </w:pPr>
            <w:r>
              <w:rPr>
                <w:rFonts w:ascii="Arial" w:cs="Arial" w:eastAsia="Arial" w:hAnsi="Arial"/>
                <w:sz w:val="16"/>
                <w:szCs w:val="16"/>
                <w:color w:val="auto"/>
              </w:rPr>
              <w:t>Student loan ARS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17,785</w:t>
            </w:r>
          </w:p>
        </w:tc>
        <w:tc>
          <w:tcPr>
            <w:tcW w:w="24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17,785</w:t>
            </w:r>
          </w:p>
        </w:tc>
        <w:tc>
          <w:tcPr>
            <w:tcW w:w="0" w:type="dxa"/>
            <w:vAlign w:val="bottom"/>
          </w:tcPr>
          <w:p>
            <w:pPr>
              <w:spacing w:after="0"/>
              <w:rPr>
                <w:sz w:val="1"/>
                <w:szCs w:val="1"/>
                <w:color w:val="auto"/>
              </w:rPr>
            </w:pP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8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8,735</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8,735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1,569</w:t>
            </w: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650</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28,739</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17,785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27, 2011</w:t>
            </w:r>
          </w:p>
        </w:tc>
        <w:tc>
          <w:tcPr>
            <w:tcW w:w="5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August 28, 2010</w:t>
            </w:r>
          </w:p>
        </w:tc>
      </w:tr>
      <w:tr>
        <w:trPr>
          <w:trHeight w:val="243"/>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17,785</w:t>
            </w:r>
          </w:p>
        </w:tc>
        <w:tc>
          <w:tcPr>
            <w:tcW w:w="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33,294</w:t>
            </w:r>
          </w:p>
        </w:tc>
      </w:tr>
      <w:tr>
        <w:trPr>
          <w:trHeight w:val="233"/>
        </w:trPr>
        <w:tc>
          <w:tcPr>
            <w:tcW w:w="7040" w:type="dxa"/>
            <w:vAlign w:val="bottom"/>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30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20"/>
                <w:szCs w:val="20"/>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341</w:t>
            </w:r>
          </w:p>
        </w:tc>
      </w:tr>
      <w:tr>
        <w:trPr>
          <w:trHeight w:val="246"/>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w:t>
            </w:r>
          </w:p>
        </w:tc>
        <w:tc>
          <w:tcPr>
            <w:tcW w:w="3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(7,150)</w:t>
            </w:r>
          </w:p>
        </w:tc>
        <w:tc>
          <w:tcPr>
            <w:tcW w:w="50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(15,850)</w:t>
            </w:r>
          </w:p>
        </w:tc>
      </w:tr>
      <w:tr>
        <w:trPr>
          <w:trHeight w:val="240"/>
        </w:trPr>
        <w:tc>
          <w:tcPr>
            <w:tcW w:w="7040" w:type="dxa"/>
            <w:vAlign w:val="bottom"/>
          </w:tcPr>
          <w:p>
            <w:pPr>
              <w:ind w:left="40"/>
              <w:spacing w:after="0"/>
              <w:rPr>
                <w:sz w:val="20"/>
                <w:szCs w:val="20"/>
                <w:color w:val="auto"/>
              </w:rPr>
            </w:pPr>
            <w:r>
              <w:rPr>
                <w:rFonts w:ascii="Arial" w:cs="Arial" w:eastAsia="Arial" w:hAnsi="Arial"/>
                <w:sz w:val="16"/>
                <w:szCs w:val="16"/>
                <w:color w:val="auto"/>
              </w:rPr>
              <w:t>Balance at the end of year</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10,627</w:t>
            </w: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17,785</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Our long-term investments are comprised of our ARS as described in Note 4. Our ARS investments are classified as Level 3, as</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were unavailable due to events described in Note 4. Due to limited market information, we utilized a discounted cash flow (DCF) model to derive an estimate of fair value for the ARS at August 27, 2011.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323"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i w:val="1"/>
          <w:iCs w:val="1"/>
          <w:color w:val="auto"/>
        </w:rPr>
        <w:t>Assets that fund deferred compensation</w:t>
      </w:r>
      <w:r>
        <w:rPr>
          <w:rFonts w:ascii="Arial" w:cs="Arial" w:eastAsia="Arial" w:hAnsi="Arial"/>
          <w:sz w:val="16"/>
          <w:szCs w:val="16"/>
          <w:color w:val="auto"/>
        </w:rPr>
        <w:t>. Our assets that fund deferred compensation are marketable equity securities measured at fair value using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and primarily consist of equity-based mutual funds. They are classified as Level 1 as they are traded in an active market for which closing stock prices are readily available. These securities fund the Executive Share Option Plan (see Note 10), a deferred compensation program, and are presented as other assets in the accompanying balance sheets.</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i w:val="1"/>
          <w:iCs w:val="1"/>
          <w:color w:val="auto"/>
        </w:rPr>
        <w:t xml:space="preserve">Assets and Liabilities that are measured at Fair Value on a Nonrecurring Basis. </w:t>
      </w:r>
      <w:r>
        <w:rPr>
          <w:rFonts w:ascii="Arial" w:cs="Arial" w:eastAsia="Arial" w:hAnsi="Arial"/>
          <w:sz w:val="16"/>
          <w:szCs w:val="16"/>
          <w:color w:val="auto"/>
        </w:rPr>
        <w:t>Our non-financial assets, which include goodwill, intangible assets and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Using Level 2 inputs, we recorded an impairment of $605,000 for our idled fiberglass facility in Hampton, Iowa during the fiscal year ended August 27, 2011 (see Note 6). The fair value was determined through sales of comparable facilities.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At August 27, 2011, we held $10.7 million (par value)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are AAA/Aaa rated with most collateralized by student loans guaranteed by the U.S. Government under the Federal Family Education Loan Program.</w:t>
      </w:r>
    </w:p>
    <w:p>
      <w:pPr>
        <w:spacing w:after="0" w:line="6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Since February 2008, most ARS auctions have failed and there is no assurance that future auctions for our ARS will succeed and,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securing the ARS. However, redemption could take until final maturity of the ARS (up to 30 years) to realize the par value of our investments. Due to the changes and uncertainty in the ARS market, we believe the recovery period for these investments is likely to be longer than 12 months and as a result, we have classified these investments as long-term as of August 27, 2011.</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In November 2008, we elected to participate in a rights offering by UBS AG ("UBS"), one of our brokers, which provided us with</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rights (the “Put Rights”) to sell to them $13.5 million at par value of our ARS portfolio, purchased through UBS, at any time during a two-year sale period beginning June 30, 2010. The terms of the legal settlement agreement also allowed us to borrow on a portion of our portfolio at “no net cost” and as a result, we borrowed $9.1 million under this arrangement in Fiscal 2009. We had the ability to maintain the no net cost loans until the securities were liquidated or they reached the June 2010 put date. During Fiscal 2010 in advance of the put date, UBS elected to redeem securities that had a par value of $12.6 million. Terms of the settlement agreement required us to repay a portion of the outstanding borrowings of $8.5 million. On June 30, 2010, we elected to exercise our Put Rights thereby liquidating our remaining UBS portfolio of $900,000 and in accordance of the terms repaid the remaining $610,000 of short-term ARS borrowings.</w:t>
      </w:r>
    </w:p>
    <w:p>
      <w:pPr>
        <w:spacing w:after="0" w:line="25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At August 27, 2011, there was insufficient observable ARS market information available to determine the fair value of our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$73,000 related to our long-term ARS investments of $10.7 million (par value).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1"/>
        </w:trPr>
        <w:tc>
          <w:tcPr>
            <w:tcW w:w="628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9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27, 2011</w:t>
            </w:r>
          </w:p>
        </w:tc>
        <w:tc>
          <w:tcPr>
            <w:tcW w:w="380" w:type="dxa"/>
            <w:vAlign w:val="bottom"/>
          </w:tcPr>
          <w:p>
            <w:pPr>
              <w:spacing w:after="0"/>
              <w:rPr>
                <w:sz w:val="24"/>
                <w:szCs w:val="24"/>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28, 2010</w:t>
            </w:r>
          </w:p>
        </w:tc>
      </w:tr>
      <w:tr>
        <w:trPr>
          <w:trHeight w:val="257"/>
        </w:trPr>
        <w:tc>
          <w:tcPr>
            <w:tcW w:w="6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29,656</w:t>
            </w:r>
          </w:p>
        </w:tc>
        <w:tc>
          <w:tcPr>
            <w:tcW w:w="2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21,200</w:t>
            </w:r>
          </w:p>
        </w:tc>
      </w:tr>
      <w:tr>
        <w:trPr>
          <w:trHeight w:val="260"/>
        </w:trPr>
        <w:tc>
          <w:tcPr>
            <w:tcW w:w="62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6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31,966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24,897</w:t>
            </w:r>
          </w:p>
        </w:tc>
      </w:tr>
      <w:tr>
        <w:trPr>
          <w:trHeight w:val="273"/>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6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39,180</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26,992</w:t>
            </w:r>
          </w:p>
        </w:tc>
      </w:tr>
      <w:tr>
        <w:trPr>
          <w:trHeight w:val="247"/>
        </w:trPr>
        <w:tc>
          <w:tcPr>
            <w:tcW w:w="6280" w:type="dxa"/>
            <w:vAlign w:val="bottom"/>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100,802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73,089</w:t>
            </w:r>
          </w:p>
        </w:tc>
      </w:tr>
      <w:tr>
        <w:trPr>
          <w:trHeight w:val="273"/>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6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(31,637)</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(29,563)</w:t>
            </w:r>
          </w:p>
        </w:tc>
      </w:tr>
      <w:tr>
        <w:trPr>
          <w:trHeight w:val="240"/>
        </w:trPr>
        <w:tc>
          <w:tcPr>
            <w:tcW w:w="628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69,165</w:t>
            </w:r>
          </w:p>
        </w:tc>
        <w:tc>
          <w:tcPr>
            <w:tcW w:w="2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43,526</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Due to a liquidation of LIFO inventory values as a result of a reduction of inventory levels during Fiscal 2010, we recorded a reduction to LIFO reserves of $780,000, which is net of inflation. Of the $100.8 million inventory at August 27, 2011, $94.3 million is valued on a LIFO basis and the Towables inventory of $6.5 million is valued on a first-in, first-out (FIFO)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b w:val="1"/>
                <w:bCs w:val="1"/>
                <w:color w:val="auto"/>
              </w:rPr>
              <w:t>Note 6: Property, Plant and Equipment and Assets Held for Sale</w:t>
            </w: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620" w:type="dxa"/>
            <w:vAlign w:val="bottom"/>
            <w:gridSpan w:val="3"/>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August 27, 2011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August 28, 2010</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Buildings</w:t>
            </w:r>
          </w:p>
        </w:tc>
        <w:tc>
          <w:tcPr>
            <w:tcW w:w="60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49,226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color w:val="auto"/>
              </w:rPr>
              <w:t>49,309</w:t>
            </w:r>
          </w:p>
        </w:tc>
        <w:tc>
          <w:tcPr>
            <w:tcW w:w="0" w:type="dxa"/>
            <w:vAlign w:val="bottom"/>
          </w:tcPr>
          <w:p>
            <w:pPr>
              <w:spacing w:after="0"/>
              <w:rPr>
                <w:sz w:val="1"/>
                <w:szCs w:val="1"/>
                <w:color w:val="auto"/>
              </w:rPr>
            </w:pP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6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90,380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89,304</w:t>
            </w: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Transportation</w:t>
            </w: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8,837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9,109</w:t>
            </w: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149,210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148,494</w:t>
            </w: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w:t>
            </w: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(126,621)</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(122,817)</w:t>
            </w:r>
          </w:p>
        </w:tc>
        <w:tc>
          <w:tcPr>
            <w:tcW w:w="0" w:type="dxa"/>
            <w:vAlign w:val="bottom"/>
          </w:tcPr>
          <w:p>
            <w:pPr>
              <w:spacing w:after="0"/>
              <w:rPr>
                <w:sz w:val="1"/>
                <w:szCs w:val="1"/>
                <w:color w:val="auto"/>
              </w:rPr>
            </w:pPr>
          </w:p>
        </w:tc>
      </w:tr>
      <w:tr>
        <w:trPr>
          <w:trHeight w:val="24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22,589</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25,677</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Assets held for sale consist of the following:</w:t>
            </w:r>
          </w:p>
        </w:tc>
        <w:tc>
          <w:tcPr>
            <w:tcW w:w="6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62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27, 2011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28, 2010</w:t>
            </w: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Idled fiberglass facility in Hampton, Iowa</w:t>
            </w:r>
          </w:p>
        </w:tc>
        <w:tc>
          <w:tcPr>
            <w:tcW w:w="60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Idled assembly facility in Charles City, Iowa</w:t>
            </w:r>
          </w:p>
        </w:tc>
        <w:tc>
          <w:tcPr>
            <w:tcW w:w="6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3,049</w:t>
            </w:r>
          </w:p>
        </w:tc>
        <w:tc>
          <w:tcPr>
            <w:tcW w:w="0" w:type="dxa"/>
            <w:vAlign w:val="bottom"/>
          </w:tcPr>
          <w:p>
            <w:pPr>
              <w:spacing w:after="0"/>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During the first quarter of Fiscal 2011, the Charles City facility was sold to CGS TIRES US, INC. The sale was finalized on November 1, 2010 and generated $4.0 million in gross proceeds, selling costs of $256,000 and a gain of $644,000.</w:t>
      </w:r>
    </w:p>
    <w:p>
      <w:pPr>
        <w:spacing w:after="0" w:line="16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We recorded an impairment of $855,000 for the Hampton facility in the fourth quarter of Fiscal 2009 when the decision to close the facility was made and an additional impairment of $605,000 during the third quarter of Fiscal 2011 as a result of deteriorating real estate market conditions.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On October 14, 2011 we entered into a sale agreement for our Hampton manufacturing facility with PDM Distribution Services, Inc. for $725,000. We estimate that we will record a small gain on the sale when the transaction closes during the second quarter of Fiscal 2012. The sale transaction is subject to certain closing conditions and there is no assurance that they will be met.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20"/>
                <w:szCs w:val="20"/>
                <w:color w:val="auto"/>
              </w:rPr>
            </w:pPr>
            <w:r>
              <w:rPr>
                <w:rFonts w:ascii="Arial" w:cs="Arial" w:eastAsia="Arial" w:hAnsi="Arial"/>
                <w:sz w:val="16"/>
                <w:szCs w:val="16"/>
                <w:b w:val="1"/>
                <w:bCs w:val="1"/>
                <w:color w:val="auto"/>
              </w:rPr>
              <w:t>Note 7: Goodwill and Amortizable Intangible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78"/>
        </w:trPr>
        <w:tc>
          <w:tcPr>
            <w:tcW w:w="4800" w:type="dxa"/>
            <w:vAlign w:val="bottom"/>
          </w:tcPr>
          <w:p>
            <w:pPr>
              <w:spacing w:after="0"/>
              <w:rPr>
                <w:sz w:val="20"/>
                <w:szCs w:val="20"/>
                <w:color w:val="auto"/>
              </w:rPr>
            </w:pPr>
            <w:r>
              <w:rPr>
                <w:rFonts w:ascii="Arial" w:cs="Arial" w:eastAsia="Arial" w:hAnsi="Arial"/>
                <w:sz w:val="16"/>
                <w:szCs w:val="16"/>
                <w:color w:val="auto"/>
              </w:rPr>
              <w:t>Goodwill and other intangible assets consist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1"/>
        </w:trPr>
        <w:tc>
          <w:tcPr>
            <w:tcW w:w="4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6"/>
                <w:szCs w:val="16"/>
                <w:b w:val="1"/>
                <w:bCs w:val="1"/>
                <w:color w:val="auto"/>
              </w:rPr>
              <w:t>August 27, 2011</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August 28, 2010</w:t>
            </w:r>
          </w:p>
        </w:tc>
      </w:tr>
      <w:tr>
        <w:trPr>
          <w:trHeight w:val="198"/>
        </w:trPr>
        <w:tc>
          <w:tcPr>
            <w:tcW w:w="4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Cost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60"/>
        </w:trPr>
        <w:tc>
          <w:tcPr>
            <w:tcW w:w="4800" w:type="dxa"/>
            <w:vAlign w:val="bottom"/>
          </w:tcPr>
          <w:p>
            <w:pPr>
              <w:ind w:left="40"/>
              <w:spacing w:after="0"/>
              <w:rPr>
                <w:sz w:val="20"/>
                <w:szCs w:val="20"/>
                <w:color w:val="auto"/>
              </w:rPr>
            </w:pPr>
            <w:r>
              <w:rPr>
                <w:rFonts w:ascii="Arial" w:cs="Arial" w:eastAsia="Arial" w:hAnsi="Arial"/>
                <w:sz w:val="16"/>
                <w:szCs w:val="16"/>
                <w:color w:val="auto"/>
              </w:rPr>
              <w:t>Dealer network</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2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400" w:type="dxa"/>
            <w:vAlign w:val="bottom"/>
          </w:tcPr>
          <w:p>
            <w:pPr>
              <w:ind w:left="1120"/>
              <w:spacing w:after="0"/>
              <w:rPr>
                <w:sz w:val="20"/>
                <w:szCs w:val="20"/>
                <w:color w:val="auto"/>
              </w:rPr>
            </w:pPr>
            <w:r>
              <w:rPr>
                <w:rFonts w:ascii="Arial" w:cs="Arial" w:eastAsia="Arial" w:hAnsi="Arial"/>
                <w:sz w:val="16"/>
                <w:szCs w:val="16"/>
                <w:color w:val="auto"/>
              </w:rPr>
              <w:t>—</w:t>
            </w:r>
          </w:p>
        </w:tc>
      </w:tr>
      <w:tr>
        <w:trPr>
          <w:trHeight w:val="280"/>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Non-compete agreement</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4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Goodwill and other intangible assets are the result of the acquisition of SunnyBrook during the second quarter of Fiscal 2011, as more fully described in Note 2. Goodwill is not subject to amortization for financial statement purposes, but is amortizable for tax return purposes. Amortizable intangible assets are amortized on a straight-line basis. The weighted average remaining amortization period at August 27, 2011 is 9.2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$51,000 for Fiscal 2011. Estimated amortization expense of intangible assets for next five fiscal years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80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r>
      <w:tr>
        <w:trPr>
          <w:trHeight w:val="243"/>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4800" w:type="dxa"/>
            <w:vAlign w:val="bottom"/>
            <w:shd w:val="clear" w:color="auto" w:fill="CCEEFF"/>
          </w:tcPr>
          <w:p>
            <w:pPr>
              <w:jc w:val="right"/>
              <w:ind w:right="4059"/>
              <w:spacing w:after="0"/>
              <w:rPr>
                <w:sz w:val="20"/>
                <w:szCs w:val="20"/>
                <w:color w:val="auto"/>
              </w:rPr>
            </w:pPr>
            <w:r>
              <w:rPr>
                <w:rFonts w:ascii="Arial" w:cs="Arial" w:eastAsia="Arial" w:hAnsi="Arial"/>
                <w:sz w:val="16"/>
                <w:szCs w:val="16"/>
                <w:color w:val="auto"/>
              </w:rPr>
              <w:t>2012</w:t>
            </w:r>
          </w:p>
        </w:tc>
        <w:tc>
          <w:tcPr>
            <w:tcW w:w="4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60"/>
        </w:trPr>
        <w:tc>
          <w:tcPr>
            <w:tcW w:w="1460" w:type="dxa"/>
            <w:vAlign w:val="bottom"/>
          </w:tcPr>
          <w:p>
            <w:pPr>
              <w:spacing w:after="0"/>
              <w:rPr>
                <w:sz w:val="22"/>
                <w:szCs w:val="22"/>
                <w:color w:val="auto"/>
              </w:rPr>
            </w:pPr>
          </w:p>
        </w:tc>
        <w:tc>
          <w:tcPr>
            <w:tcW w:w="4800" w:type="dxa"/>
            <w:vAlign w:val="bottom"/>
          </w:tcPr>
          <w:p>
            <w:pPr>
              <w:jc w:val="right"/>
              <w:ind w:right="4059"/>
              <w:spacing w:after="0"/>
              <w:rPr>
                <w:sz w:val="20"/>
                <w:szCs w:val="20"/>
                <w:color w:val="auto"/>
              </w:rPr>
            </w:pPr>
            <w:r>
              <w:rPr>
                <w:rFonts w:ascii="Arial" w:cs="Arial" w:eastAsia="Arial" w:hAnsi="Arial"/>
                <w:sz w:val="16"/>
                <w:szCs w:val="16"/>
                <w:color w:val="auto"/>
              </w:rPr>
              <w:t>2013</w:t>
            </w:r>
          </w:p>
        </w:tc>
        <w:tc>
          <w:tcPr>
            <w:tcW w:w="43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80"/>
        </w:trPr>
        <w:tc>
          <w:tcPr>
            <w:tcW w:w="1460" w:type="dxa"/>
            <w:vAlign w:val="bottom"/>
            <w:shd w:val="clear" w:color="auto" w:fill="CCEEFF"/>
          </w:tcPr>
          <w:p>
            <w:pPr>
              <w:spacing w:after="0"/>
              <w:rPr>
                <w:sz w:val="24"/>
                <w:szCs w:val="24"/>
                <w:color w:val="auto"/>
              </w:rPr>
            </w:pPr>
          </w:p>
        </w:tc>
        <w:tc>
          <w:tcPr>
            <w:tcW w:w="4800" w:type="dxa"/>
            <w:vAlign w:val="bottom"/>
            <w:shd w:val="clear" w:color="auto" w:fill="CCEEFF"/>
          </w:tcPr>
          <w:p>
            <w:pPr>
              <w:jc w:val="right"/>
              <w:ind w:right="4059"/>
              <w:spacing w:after="0"/>
              <w:rPr>
                <w:sz w:val="20"/>
                <w:szCs w:val="20"/>
                <w:color w:val="auto"/>
              </w:rPr>
            </w:pPr>
            <w:r>
              <w:rPr>
                <w:rFonts w:ascii="Arial" w:cs="Arial" w:eastAsia="Arial" w:hAnsi="Arial"/>
                <w:sz w:val="16"/>
                <w:szCs w:val="16"/>
                <w:color w:val="auto"/>
              </w:rPr>
              <w:t>2014</w:t>
            </w:r>
          </w:p>
        </w:tc>
        <w:tc>
          <w:tcPr>
            <w:tcW w:w="4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60"/>
        </w:trPr>
        <w:tc>
          <w:tcPr>
            <w:tcW w:w="1460" w:type="dxa"/>
            <w:vAlign w:val="bottom"/>
          </w:tcPr>
          <w:p>
            <w:pPr>
              <w:spacing w:after="0"/>
              <w:rPr>
                <w:sz w:val="22"/>
                <w:szCs w:val="22"/>
                <w:color w:val="auto"/>
              </w:rPr>
            </w:pPr>
          </w:p>
        </w:tc>
        <w:tc>
          <w:tcPr>
            <w:tcW w:w="4800" w:type="dxa"/>
            <w:vAlign w:val="bottom"/>
          </w:tcPr>
          <w:p>
            <w:pPr>
              <w:jc w:val="right"/>
              <w:ind w:right="4059"/>
              <w:spacing w:after="0"/>
              <w:rPr>
                <w:sz w:val="20"/>
                <w:szCs w:val="20"/>
                <w:color w:val="auto"/>
              </w:rPr>
            </w:pPr>
            <w:r>
              <w:rPr>
                <w:rFonts w:ascii="Arial" w:cs="Arial" w:eastAsia="Arial" w:hAnsi="Arial"/>
                <w:sz w:val="16"/>
                <w:szCs w:val="16"/>
                <w:color w:val="auto"/>
              </w:rPr>
              <w:t>2015</w:t>
            </w:r>
          </w:p>
        </w:tc>
        <w:tc>
          <w:tcPr>
            <w:tcW w:w="43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80"/>
        </w:trPr>
        <w:tc>
          <w:tcPr>
            <w:tcW w:w="1460" w:type="dxa"/>
            <w:vAlign w:val="bottom"/>
            <w:shd w:val="clear" w:color="auto" w:fill="CCEEFF"/>
          </w:tcPr>
          <w:p>
            <w:pPr>
              <w:spacing w:after="0"/>
              <w:rPr>
                <w:sz w:val="24"/>
                <w:szCs w:val="24"/>
                <w:color w:val="auto"/>
              </w:rPr>
            </w:pPr>
          </w:p>
        </w:tc>
        <w:tc>
          <w:tcPr>
            <w:tcW w:w="4800" w:type="dxa"/>
            <w:vAlign w:val="bottom"/>
            <w:shd w:val="clear" w:color="auto" w:fill="CCEEFF"/>
          </w:tcPr>
          <w:p>
            <w:pPr>
              <w:jc w:val="right"/>
              <w:ind w:right="4059"/>
              <w:spacing w:after="0"/>
              <w:rPr>
                <w:sz w:val="20"/>
                <w:szCs w:val="20"/>
                <w:color w:val="auto"/>
              </w:rPr>
            </w:pPr>
            <w:r>
              <w:rPr>
                <w:rFonts w:ascii="Arial" w:cs="Arial" w:eastAsia="Arial" w:hAnsi="Arial"/>
                <w:sz w:val="16"/>
                <w:szCs w:val="16"/>
                <w:color w:val="auto"/>
              </w:rPr>
              <w:t>2016</w:t>
            </w:r>
          </w:p>
        </w:tc>
        <w:tc>
          <w:tcPr>
            <w:tcW w:w="4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Credit Facilities</w:t>
      </w:r>
    </w:p>
    <w:p>
      <w:pPr>
        <w:spacing w:after="0" w:line="18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September 17, 2008, we entered into a two-year $25.0 million credit and security agreement with Wells Fargo Bank, National Association. No borrowings were made under this agreement. On October 13, 2009, we terminated this agreement in accordance with its terms in order to enter into a new credit facility that would provide more financial flexibility over a longer period of time. As a result of the termination, as required pursuant to the agreement with Wells Fargo, a termination fee of 1.5% of the facility, or $375,000, was recorded as expense during the first quarter of Fiscal 2010.</w:t>
      </w:r>
    </w:p>
    <w:p>
      <w:pPr>
        <w:spacing w:after="0" w:line="14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October 13, 2009, we entered into a Loan and Security Agreement (the "Loan Agreement") with Burdale Capital Finance, Inc., as Agent (the "Agent"). The Loan Agreement provides for an initial $20.0 million revolving credit facility, based on the Company's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requires us to comply with certain financial covenants not yet established if we borrow more than $12.5 million up to $20.0 million, including minimum EBITDA and minimum liquidity as defined in the agreement and limitations on capital expenditures. The Loan Agreement also includes a framework to expand the size of the facility up to $50.0 million, based on mutually agreeable covenants to be determined at the time of the expansion. Interest on loans made under the credit facility will be based on the greater of LIBOR or 2.0% plus a margin of 4.0% or the greater of prime rate or 4.25% plus a margin of 3.0%. The unused line fee associated with this Loan Agreement is 1.25% per annum. Additionally, under certain circumstances, we will be required to pay an early termination fee of 1% of the maximum credit available under the Loan Agreement if we terminate the Loan Agreement prior to the expiration date of October 13, 2012. No borrowings have been made under the Loan Agreement through October 25, 2011.</w:t>
      </w:r>
    </w:p>
    <w:p>
      <w:pPr>
        <w:spacing w:after="0" w:line="151"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Loan Agreement contains typical affirmative representations and covenants for a credit agreement of this size and nature. Additionally, the Loan Agreement contains negative covenants limiting our ability, among other things, to incur debt, grant liens, make acquisitions, make certain investments, pay certain dividends and distributions (including stock repurchases), engage in mergers, consolidations or acquisitions and sell certain assets. The Loan Agreement expressly prohibits the payment of cash dividends without the consent of the Agent and the lenders thereunder in their sole discretion. Our obligations under the Loan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Warranty</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 home customers a comprehensive 12-month/15,000-mile warranty on our Class A, B and C motor 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during Fiscal 2011, Fiscal 2010 and Fiscal 2009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27, 2011</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August 28, 2010</w:t>
            </w:r>
          </w:p>
        </w:tc>
        <w:tc>
          <w:tcPr>
            <w:tcW w:w="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29, 2009</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7,634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6,408</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9,859</w:t>
            </w:r>
          </w:p>
        </w:tc>
        <w:tc>
          <w:tcPr>
            <w:tcW w:w="0" w:type="dxa"/>
            <w:vAlign w:val="bottom"/>
          </w:tcPr>
          <w:p>
            <w:pPr>
              <w:spacing w:after="0"/>
              <w:rPr>
                <w:sz w:val="1"/>
                <w:szCs w:val="1"/>
                <w:color w:val="auto"/>
              </w:rPr>
            </w:pPr>
          </w:p>
        </w:tc>
      </w:tr>
      <w:tr>
        <w:trPr>
          <w:trHeight w:val="233"/>
        </w:trPr>
        <w:tc>
          <w:tcPr>
            <w:tcW w:w="5240" w:type="dxa"/>
            <w:vAlign w:val="bottom"/>
          </w:tcPr>
          <w:p>
            <w:pPr>
              <w:ind w:left="40"/>
              <w:spacing w:after="0"/>
              <w:rPr>
                <w:sz w:val="20"/>
                <w:szCs w:val="20"/>
                <w:color w:val="auto"/>
              </w:rPr>
            </w:pPr>
            <w:r>
              <w:rPr>
                <w:rFonts w:ascii="Arial" w:cs="Arial" w:eastAsia="Arial" w:hAnsi="Arial"/>
                <w:sz w:val="16"/>
                <w:szCs w:val="16"/>
                <w:color w:val="auto"/>
              </w:rPr>
              <w:t>Provision</w:t>
            </w:r>
          </w:p>
        </w:tc>
        <w:tc>
          <w:tcPr>
            <w:tcW w:w="400" w:type="dxa"/>
            <w:vAlign w:val="bottom"/>
          </w:tcPr>
          <w:p>
            <w:pPr>
              <w:spacing w:after="0"/>
              <w:rPr>
                <w:sz w:val="20"/>
                <w:szCs w:val="20"/>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5,566</w:t>
            </w:r>
          </w:p>
        </w:tc>
        <w:tc>
          <w:tcPr>
            <w:tcW w:w="40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color w:val="auto"/>
              </w:rPr>
              <w:t>6,209</w:t>
            </w:r>
          </w:p>
        </w:tc>
        <w:tc>
          <w:tcPr>
            <w:tcW w:w="500" w:type="dxa"/>
            <w:vAlign w:val="bottom"/>
          </w:tcPr>
          <w:p>
            <w:pPr>
              <w:spacing w:after="0"/>
              <w:rPr>
                <w:sz w:val="20"/>
                <w:szCs w:val="20"/>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46"/>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4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(5,865)</w:t>
            </w:r>
          </w:p>
        </w:tc>
        <w:tc>
          <w:tcPr>
            <w:tcW w:w="4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(4,983)</w:t>
            </w:r>
          </w:p>
        </w:tc>
        <w:tc>
          <w:tcPr>
            <w:tcW w:w="5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(7,294)</w:t>
            </w:r>
          </w:p>
        </w:tc>
        <w:tc>
          <w:tcPr>
            <w:tcW w:w="0" w:type="dxa"/>
            <w:vAlign w:val="bottom"/>
          </w:tcPr>
          <w:p>
            <w:pPr>
              <w:spacing w:after="0"/>
              <w:rPr>
                <w:sz w:val="1"/>
                <w:szCs w:val="1"/>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7,335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7,634</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40" w:type="dxa"/>
            <w:vAlign w:val="bottom"/>
            <w:gridSpan w:val="2"/>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27, 2011</w:t>
            </w: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28, 2010</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41,370</w:t>
            </w:r>
          </w:p>
        </w:tc>
        <w:tc>
          <w:tcPr>
            <w:tcW w:w="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40,327</w:t>
            </w:r>
          </w:p>
        </w:tc>
        <w:tc>
          <w:tcPr>
            <w:tcW w:w="0" w:type="dxa"/>
            <w:vAlign w:val="bottom"/>
          </w:tcPr>
          <w:p>
            <w:pPr>
              <w:spacing w:after="0"/>
              <w:rPr>
                <w:sz w:val="1"/>
                <w:szCs w:val="1"/>
                <w:color w:val="auto"/>
              </w:rPr>
            </w:pPr>
          </w:p>
        </w:tc>
      </w:tr>
      <w:tr>
        <w:trPr>
          <w:trHeight w:val="233"/>
        </w:trPr>
        <w:tc>
          <w:tcPr>
            <w:tcW w:w="524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24,622</w:t>
            </w:r>
          </w:p>
        </w:tc>
        <w:tc>
          <w:tcPr>
            <w:tcW w:w="500" w:type="dxa"/>
            <w:vAlign w:val="bottom"/>
          </w:tcPr>
          <w:p>
            <w:pPr>
              <w:spacing w:after="0"/>
              <w:rPr>
                <w:sz w:val="20"/>
                <w:szCs w:val="20"/>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25,372</w:t>
            </w:r>
          </w:p>
        </w:tc>
        <w:tc>
          <w:tcPr>
            <w:tcW w:w="0" w:type="dxa"/>
            <w:vAlign w:val="bottom"/>
          </w:tcPr>
          <w:p>
            <w:pPr>
              <w:spacing w:after="0"/>
              <w:rPr>
                <w:sz w:val="1"/>
                <w:szCs w:val="1"/>
                <w:color w:val="auto"/>
              </w:rPr>
            </w:pPr>
          </w:p>
        </w:tc>
      </w:tr>
      <w:tr>
        <w:trPr>
          <w:trHeight w:val="253"/>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9,286</w:t>
            </w:r>
          </w:p>
        </w:tc>
        <w:tc>
          <w:tcPr>
            <w:tcW w:w="50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8,698</w:t>
            </w:r>
          </w:p>
        </w:tc>
        <w:tc>
          <w:tcPr>
            <w:tcW w:w="0" w:type="dxa"/>
            <w:vAlign w:val="bottom"/>
          </w:tcPr>
          <w:p>
            <w:pPr>
              <w:spacing w:after="0"/>
              <w:rPr>
                <w:sz w:val="1"/>
                <w:szCs w:val="1"/>
                <w:color w:val="auto"/>
              </w:rPr>
            </w:pPr>
          </w:p>
        </w:tc>
      </w:tr>
      <w:tr>
        <w:trPr>
          <w:trHeight w:val="233"/>
        </w:trPr>
        <w:tc>
          <w:tcPr>
            <w:tcW w:w="5240" w:type="dxa"/>
            <w:vAlign w:val="bottom"/>
          </w:tcPr>
          <w:p>
            <w:pPr>
              <w:ind w:left="40"/>
              <w:spacing w:after="0"/>
              <w:rPr>
                <w:sz w:val="20"/>
                <w:szCs w:val="20"/>
                <w:color w:val="auto"/>
              </w:rPr>
            </w:pPr>
            <w:r>
              <w:rPr>
                <w:rFonts w:ascii="Arial" w:cs="Arial" w:eastAsia="Arial" w:hAnsi="Arial"/>
                <w:sz w:val="16"/>
                <w:szCs w:val="16"/>
                <w:color w:val="auto"/>
              </w:rPr>
              <w:t>SERP benefit liability</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3,086</w:t>
            </w:r>
          </w:p>
        </w:tc>
        <w:tc>
          <w:tcPr>
            <w:tcW w:w="500" w:type="dxa"/>
            <w:vAlign w:val="bottom"/>
          </w:tcPr>
          <w:p>
            <w:pPr>
              <w:spacing w:after="0"/>
              <w:rPr>
                <w:sz w:val="20"/>
                <w:szCs w:val="20"/>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246"/>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93</w:t>
            </w:r>
          </w:p>
        </w:tc>
        <w:tc>
          <w:tcPr>
            <w:tcW w:w="5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3"/>
        </w:trPr>
        <w:tc>
          <w:tcPr>
            <w:tcW w:w="5240" w:type="dxa"/>
            <w:vAlign w:val="bottom"/>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78,457</w:t>
            </w:r>
          </w:p>
        </w:tc>
        <w:tc>
          <w:tcPr>
            <w:tcW w:w="500" w:type="dxa"/>
            <w:vAlign w:val="bottom"/>
          </w:tcPr>
          <w:p>
            <w:pPr>
              <w:spacing w:after="0"/>
              <w:rPr>
                <w:sz w:val="20"/>
                <w:szCs w:val="20"/>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77,578</w:t>
            </w:r>
          </w:p>
        </w:tc>
        <w:tc>
          <w:tcPr>
            <w:tcW w:w="0" w:type="dxa"/>
            <w:vAlign w:val="bottom"/>
          </w:tcPr>
          <w:p>
            <w:pPr>
              <w:spacing w:after="0"/>
              <w:rPr>
                <w:sz w:val="1"/>
                <w:szCs w:val="1"/>
                <w:color w:val="auto"/>
              </w:rPr>
            </w:pPr>
          </w:p>
        </w:tc>
      </w:tr>
      <w:tr>
        <w:trPr>
          <w:trHeight w:val="246"/>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(3,965)</w:t>
            </w:r>
          </w:p>
        </w:tc>
        <w:tc>
          <w:tcPr>
            <w:tcW w:w="5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40"/>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146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74,492</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73,581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Our postretirement health care plan currently is not funded. We use a September 1 measurement date for this plan.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60" w:type="dxa"/>
            <w:vAlign w:val="bottom"/>
          </w:tcPr>
          <w:p>
            <w:pPr>
              <w:spacing w:after="0"/>
              <w:rPr>
                <w:sz w:val="20"/>
                <w:szCs w:val="20"/>
                <w:color w:val="auto"/>
              </w:rPr>
            </w:pPr>
            <w:r>
              <w:rPr>
                <w:rFonts w:ascii="Arial" w:cs="Arial" w:eastAsia="Arial" w:hAnsi="Arial"/>
                <w:sz w:val="16"/>
                <w:szCs w:val="16"/>
                <w:color w:val="auto"/>
              </w:rPr>
              <w:t>Changes in our postretirement health care liability are as follows:</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6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27, 2011</w:t>
            </w: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28, 2010</w:t>
            </w:r>
          </w:p>
        </w:tc>
      </w:tr>
      <w:tr>
        <w:trPr>
          <w:trHeight w:val="24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40,327</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35,312</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1,905</w:t>
            </w:r>
          </w:p>
        </w:tc>
        <w:tc>
          <w:tcPr>
            <w:tcW w:w="460" w:type="dxa"/>
            <w:vAlign w:val="bottom"/>
          </w:tcPr>
          <w:p>
            <w:pPr>
              <w:spacing w:after="0"/>
              <w:rPr>
                <w:sz w:val="20"/>
                <w:szCs w:val="20"/>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1,979</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608</w:t>
            </w:r>
          </w:p>
        </w:tc>
        <w:tc>
          <w:tcPr>
            <w:tcW w:w="46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555</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Net benefits paid</w:t>
            </w:r>
          </w:p>
        </w:tc>
        <w:tc>
          <w:tcPr>
            <w:tcW w:w="280" w:type="dxa"/>
            <w:vAlign w:val="bottom"/>
          </w:tcPr>
          <w:p>
            <w:pPr>
              <w:spacing w:after="0"/>
              <w:rPr>
                <w:sz w:val="20"/>
                <w:szCs w:val="20"/>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(1,228)</w:t>
            </w:r>
          </w:p>
        </w:tc>
        <w:tc>
          <w:tcPr>
            <w:tcW w:w="460" w:type="dxa"/>
            <w:vAlign w:val="bottom"/>
          </w:tcPr>
          <w:p>
            <w:pPr>
              <w:spacing w:after="0"/>
              <w:rPr>
                <w:sz w:val="20"/>
                <w:szCs w:val="20"/>
                <w:color w:val="auto"/>
              </w:rPr>
            </w:pPr>
          </w:p>
        </w:tc>
        <w:tc>
          <w:tcPr>
            <w:tcW w:w="1800" w:type="dxa"/>
            <w:vAlign w:val="bottom"/>
          </w:tcPr>
          <w:p>
            <w:pPr>
              <w:jc w:val="right"/>
              <w:ind w:right="299"/>
              <w:spacing w:after="0"/>
              <w:rPr>
                <w:sz w:val="20"/>
                <w:szCs w:val="20"/>
                <w:color w:val="auto"/>
              </w:rPr>
            </w:pPr>
            <w:r>
              <w:rPr>
                <w:rFonts w:ascii="Arial" w:cs="Arial" w:eastAsia="Arial" w:hAnsi="Arial"/>
                <w:sz w:val="16"/>
                <w:szCs w:val="16"/>
                <w:color w:val="auto"/>
              </w:rPr>
              <w:t>(1,037)</w:t>
            </w:r>
          </w:p>
        </w:tc>
      </w:tr>
      <w:tr>
        <w:trPr>
          <w:trHeight w:val="246"/>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(gain) loss</w:t>
            </w:r>
          </w:p>
        </w:tc>
        <w:tc>
          <w:tcPr>
            <w:tcW w:w="2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(242)</w:t>
            </w:r>
          </w:p>
        </w:tc>
        <w:tc>
          <w:tcPr>
            <w:tcW w:w="4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3,518</w:t>
            </w:r>
          </w:p>
        </w:tc>
      </w:tr>
      <w:tr>
        <w:trPr>
          <w:trHeight w:val="240"/>
        </w:trPr>
        <w:tc>
          <w:tcPr>
            <w:tcW w:w="726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41,370</w:t>
            </w: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40,327</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discount rate used in determining the accumulated postretirement benefit obligation was 4.9% at August 27, 2011 and 4.8% at August 28, 2010. In Fiscal 2011, the increase in the discount rate resulted in an decrease to the benefit obligation, presented as an actuarial gain in the preceding table. Assumed health care cost trend rates do not have a significant effect in determining the accumulated postretirement benefit obligation due to employer caps established.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r>
      <w:tr>
        <w:trPr>
          <w:trHeight w:val="237"/>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27, 2011</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28, 2010</w:t>
            </w:r>
          </w:p>
        </w:tc>
        <w:tc>
          <w:tcPr>
            <w:tcW w:w="4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29, 2009</w:t>
            </w:r>
          </w:p>
        </w:tc>
      </w:tr>
      <w:tr>
        <w:trPr>
          <w:trHeight w:val="243"/>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1,905</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1,979</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2,119</w:t>
            </w:r>
          </w:p>
        </w:tc>
      </w:tr>
      <w:tr>
        <w:trPr>
          <w:trHeight w:val="233"/>
        </w:trPr>
        <w:tc>
          <w:tcPr>
            <w:tcW w:w="51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20"/>
                <w:szCs w:val="20"/>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608</w:t>
            </w:r>
          </w:p>
        </w:tc>
        <w:tc>
          <w:tcPr>
            <w:tcW w:w="480" w:type="dxa"/>
            <w:vAlign w:val="bottom"/>
          </w:tcPr>
          <w:p>
            <w:pPr>
              <w:spacing w:after="0"/>
              <w:rPr>
                <w:sz w:val="20"/>
                <w:szCs w:val="20"/>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555</w:t>
            </w:r>
          </w:p>
        </w:tc>
        <w:tc>
          <w:tcPr>
            <w:tcW w:w="480" w:type="dxa"/>
            <w:vAlign w:val="bottom"/>
          </w:tcPr>
          <w:p>
            <w:pPr>
              <w:spacing w:after="0"/>
              <w:rPr>
                <w:sz w:val="20"/>
                <w:szCs w:val="20"/>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590</w:t>
            </w:r>
          </w:p>
        </w:tc>
      </w:tr>
      <w:tr>
        <w:trPr>
          <w:trHeight w:val="246"/>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amortization and deferral</w:t>
            </w:r>
          </w:p>
        </w:tc>
        <w:tc>
          <w:tcPr>
            <w:tcW w:w="2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(3,104)</w:t>
            </w:r>
          </w:p>
        </w:tc>
        <w:tc>
          <w:tcPr>
            <w:tcW w:w="4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(3,324)</w:t>
            </w:r>
          </w:p>
        </w:tc>
        <w:tc>
          <w:tcPr>
            <w:tcW w:w="4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(3,498)</w:t>
            </w:r>
          </w:p>
        </w:tc>
      </w:tr>
      <w:tr>
        <w:trPr>
          <w:trHeight w:val="240"/>
        </w:trPr>
        <w:tc>
          <w:tcPr>
            <w:tcW w:w="5180" w:type="dxa"/>
            <w:vAlign w:val="bottom"/>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(591)</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(790)</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(789)</w:t>
            </w: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table above, due to the amortization of prior service credit associated with the establishment of caps on the employer portion of benefits in Fiscal 2005.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27, 2011</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28, 2010</w:t>
            </w:r>
          </w:p>
        </w:tc>
      </w:tr>
      <w:tr>
        <w:trPr>
          <w:trHeight w:val="24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(17,801)</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(22,001)</w:t>
            </w:r>
          </w:p>
        </w:tc>
      </w:tr>
      <w:tr>
        <w:trPr>
          <w:trHeight w:val="237"/>
        </w:trPr>
        <w:tc>
          <w:tcPr>
            <w:tcW w:w="7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15,918</w:t>
            </w: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17,257</w:t>
            </w:r>
          </w:p>
        </w:tc>
      </w:tr>
      <w:tr>
        <w:trPr>
          <w:trHeight w:val="24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(1,883)</w:t>
            </w:r>
          </w:p>
        </w:tc>
        <w:tc>
          <w:tcPr>
            <w:tcW w:w="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(4,744)</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estimated actuarial net loss and prior service credit that will be amortized from accumulated other comprehensive income as a reduction to net periodic benefit cost in Fiscal 2012 will be $3.2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benefit payments for postretirement health care for the next ten years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Amount</w:t>
            </w:r>
          </w:p>
        </w:tc>
      </w:tr>
      <w:tr>
        <w:trPr>
          <w:trHeight w:val="243"/>
        </w:trPr>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9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1,276</w:t>
            </w:r>
          </w:p>
        </w:tc>
      </w:tr>
      <w:tr>
        <w:trPr>
          <w:trHeight w:val="260"/>
        </w:trPr>
        <w:tc>
          <w:tcPr>
            <w:tcW w:w="680" w:type="dxa"/>
            <w:vAlign w:val="bottom"/>
          </w:tcPr>
          <w:p>
            <w:pPr>
              <w:spacing w:after="0"/>
              <w:rPr>
                <w:sz w:val="22"/>
                <w:szCs w:val="22"/>
                <w:color w:val="auto"/>
              </w:rPr>
            </w:pPr>
          </w:p>
        </w:tc>
        <w:tc>
          <w:tcPr>
            <w:tcW w:w="9040" w:type="dxa"/>
            <w:vAlign w:val="bottom"/>
          </w:tcPr>
          <w:p>
            <w:pPr>
              <w:ind w:left="280"/>
              <w:spacing w:after="0"/>
              <w:rPr>
                <w:sz w:val="20"/>
                <w:szCs w:val="20"/>
                <w:color w:val="auto"/>
              </w:rPr>
            </w:pPr>
            <w:r>
              <w:rPr>
                <w:rFonts w:ascii="Arial" w:cs="Arial" w:eastAsia="Arial" w:hAnsi="Arial"/>
                <w:sz w:val="16"/>
                <w:szCs w:val="16"/>
                <w:color w:val="auto"/>
              </w:rPr>
              <w:t>2013</w:t>
            </w: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1,501</w:t>
            </w:r>
          </w:p>
        </w:tc>
      </w:tr>
      <w:tr>
        <w:trPr>
          <w:trHeight w:val="280"/>
        </w:trPr>
        <w:tc>
          <w:tcPr>
            <w:tcW w:w="680" w:type="dxa"/>
            <w:vAlign w:val="bottom"/>
            <w:shd w:val="clear" w:color="auto" w:fill="CCEEFF"/>
          </w:tcPr>
          <w:p>
            <w:pPr>
              <w:spacing w:after="0"/>
              <w:rPr>
                <w:sz w:val="24"/>
                <w:szCs w:val="24"/>
                <w:color w:val="auto"/>
              </w:rPr>
            </w:pPr>
          </w:p>
        </w:tc>
        <w:tc>
          <w:tcPr>
            <w:tcW w:w="9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2014</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1,712</w:t>
            </w:r>
          </w:p>
        </w:tc>
      </w:tr>
      <w:tr>
        <w:trPr>
          <w:trHeight w:val="260"/>
        </w:trPr>
        <w:tc>
          <w:tcPr>
            <w:tcW w:w="680" w:type="dxa"/>
            <w:vAlign w:val="bottom"/>
          </w:tcPr>
          <w:p>
            <w:pPr>
              <w:spacing w:after="0"/>
              <w:rPr>
                <w:sz w:val="22"/>
                <w:szCs w:val="22"/>
                <w:color w:val="auto"/>
              </w:rPr>
            </w:pPr>
          </w:p>
        </w:tc>
        <w:tc>
          <w:tcPr>
            <w:tcW w:w="9040" w:type="dxa"/>
            <w:vAlign w:val="bottom"/>
          </w:tcPr>
          <w:p>
            <w:pPr>
              <w:ind w:left="280"/>
              <w:spacing w:after="0"/>
              <w:rPr>
                <w:sz w:val="20"/>
                <w:szCs w:val="20"/>
                <w:color w:val="auto"/>
              </w:rPr>
            </w:pPr>
            <w:r>
              <w:rPr>
                <w:rFonts w:ascii="Arial" w:cs="Arial" w:eastAsia="Arial" w:hAnsi="Arial"/>
                <w:sz w:val="16"/>
                <w:szCs w:val="16"/>
                <w:color w:val="auto"/>
              </w:rPr>
              <w:t>2015</w:t>
            </w: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1,904</w:t>
            </w:r>
          </w:p>
        </w:tc>
      </w:tr>
      <w:tr>
        <w:trPr>
          <w:trHeight w:val="280"/>
        </w:trPr>
        <w:tc>
          <w:tcPr>
            <w:tcW w:w="680" w:type="dxa"/>
            <w:vAlign w:val="bottom"/>
            <w:shd w:val="clear" w:color="auto" w:fill="CCEEFF"/>
          </w:tcPr>
          <w:p>
            <w:pPr>
              <w:spacing w:after="0"/>
              <w:rPr>
                <w:sz w:val="24"/>
                <w:szCs w:val="24"/>
                <w:color w:val="auto"/>
              </w:rPr>
            </w:pPr>
          </w:p>
        </w:tc>
        <w:tc>
          <w:tcPr>
            <w:tcW w:w="9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2016</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2,078</w:t>
            </w:r>
          </w:p>
        </w:tc>
      </w:tr>
      <w:tr>
        <w:trPr>
          <w:trHeight w:val="264"/>
        </w:trPr>
        <w:tc>
          <w:tcPr>
            <w:tcW w:w="680" w:type="dxa"/>
            <w:vAlign w:val="bottom"/>
            <w:tcBorders>
              <w:bottom w:val="single" w:sz="8" w:color="CCEEFF"/>
            </w:tcBorders>
          </w:tcPr>
          <w:p>
            <w:pPr>
              <w:spacing w:after="0"/>
              <w:rPr>
                <w:sz w:val="22"/>
                <w:szCs w:val="22"/>
                <w:color w:val="auto"/>
              </w:rPr>
            </w:pPr>
          </w:p>
        </w:tc>
        <w:tc>
          <w:tcPr>
            <w:tcW w:w="9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2017 - 2021</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12,728</w:t>
            </w:r>
          </w:p>
        </w:tc>
      </w:tr>
      <w:tr>
        <w:trPr>
          <w:trHeight w:val="240"/>
        </w:trPr>
        <w:tc>
          <w:tcPr>
            <w:tcW w:w="68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21,199</w:t>
            </w:r>
          </w:p>
        </w:tc>
      </w:tr>
      <w:tr>
        <w:trPr>
          <w:trHeight w:val="20"/>
        </w:trPr>
        <w:tc>
          <w:tcPr>
            <w:tcW w:w="68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expected benefits have been estimated based on the same assumptions used to measure our benefit obligation as of August 27, 2011 and include benefits attached to estimated current employees' future services.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2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five years of participation under the plan. For deferrals prior to December 1992, vesting occurs at the later of age 55 and five years of service from first deferral or 20 years of service. Deferred compensation expense was $1.8 million, $1.9 million and $1.9 million in Fiscal 2011, 2010 and 2009, respectively. Total deferred compensation liabilities were $24.6 million and $25.4 million at August 27, 2011 and August 28, 2010,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$3.1 million at both August 27, 2011 and August 28, 2010. This program remains closed to new employee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27, 2011</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28, 2010</w:t>
            </w:r>
          </w:p>
        </w:tc>
      </w:tr>
      <w:tr>
        <w:trPr>
          <w:trHeight w:val="24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53,650</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52,052</w:t>
            </w:r>
          </w:p>
        </w:tc>
      </w:tr>
      <w:tr>
        <w:trPr>
          <w:trHeight w:val="237"/>
        </w:trPr>
        <w:tc>
          <w:tcPr>
            <w:tcW w:w="7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Borrowings</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(29,981)</w:t>
            </w: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(28,802)</w:t>
            </w:r>
          </w:p>
        </w:tc>
      </w:tr>
      <w:tr>
        <w:trPr>
          <w:trHeight w:val="24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23,669</w:t>
            </w:r>
          </w:p>
        </w:tc>
        <w:tc>
          <w:tcPr>
            <w:tcW w:w="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23,250</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Total Executive Plan assets are included in other assets in the accompanying balance sheets. Such assets on August 27, 2011 and August 28, 2010 were $11.5 million and $11.0 million, respectively, and the liabilities were $9.3 million and $8.7 million, respectively. The difference between the asset and liability 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100%of their cash incentive awards. The assets are presented as other assets and the liabilities are presented as postretirement health care and deferred compensation benefits in the accompanying balance sheets. Such assets on August 27, 2011 and August 28, 2010 were $93,000 and $74,000, respectively, and liabilities were $93,000 and $74,000,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2011, 2010 and 2009 were $676,000, $685,000 and $859,000,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$133.4 million and $155.5 million at August 27, 2011 and August 28, 2010,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$5.7 million at August 27, 2011.</w:t>
      </w:r>
    </w:p>
    <w:p>
      <w:pPr>
        <w:spacing w:after="0" w:line="14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$1.2 million as of August 27, 2011 and $1.4 million as of August 28, 2010.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4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64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47"/>
        </w:trPr>
        <w:tc>
          <w:tcPr>
            <w:tcW w:w="6480" w:type="dxa"/>
            <w:vAlign w:val="bottom"/>
            <w:gridSpan w:val="2"/>
          </w:tcPr>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1"/>
        </w:trPr>
        <w:tc>
          <w:tcPr>
            <w:tcW w:w="64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Fiscal 2011</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Fiscal 2010</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Fiscal 2009</w:t>
            </w:r>
          </w:p>
        </w:tc>
      </w:tr>
      <w:tr>
        <w:trPr>
          <w:trHeight w:val="270"/>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4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648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460" w:type="dxa"/>
            <w:vAlign w:val="bottom"/>
          </w:tcPr>
          <w:p>
            <w:pPr>
              <w:spacing w:after="0"/>
              <w:rPr>
                <w:sz w:val="22"/>
                <w:szCs w:val="22"/>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280"/>
        </w:trPr>
        <w:tc>
          <w:tcPr>
            <w:tcW w:w="6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2,431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300</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12,664</w:t>
            </w:r>
          </w:p>
        </w:tc>
      </w:tr>
      <w:tr>
        <w:trPr>
          <w:trHeight w:val="260"/>
        </w:trPr>
        <w:tc>
          <w:tcPr>
            <w:tcW w:w="648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6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60"/>
        </w:trPr>
        <w:tc>
          <w:tcPr>
            <w:tcW w:w="648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2,144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328</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11,283</w:t>
            </w:r>
          </w:p>
        </w:tc>
      </w:tr>
      <w:tr>
        <w:trPr>
          <w:trHeight w:val="280"/>
        </w:trPr>
        <w:tc>
          <w:tcPr>
            <w:tcW w:w="6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287</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1,984</w:t>
            </w:r>
          </w:p>
        </w:tc>
      </w:tr>
      <w:tr>
        <w:trPr>
          <w:trHeight w:val="251"/>
        </w:trPr>
        <w:tc>
          <w:tcPr>
            <w:tcW w:w="648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460" w:type="dxa"/>
            <w:vAlign w:val="bottom"/>
          </w:tcPr>
          <w:p>
            <w:pPr>
              <w:spacing w:after="0"/>
              <w:rPr>
                <w:sz w:val="21"/>
                <w:szCs w:val="21"/>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are not able to estimate the ultimate legal and financial liability with respect to this litigation. We believe, however,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39"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color w:val="auto"/>
        </w:rPr>
        <w:t>We have operating leases for land, buildings and equipment. Lease expense was $642,000 for Fiscal 2011 (see Note 19), $220,000 for Fiscal 2010 and $263,000 for Fiscal 2009. Minimum future lease commitments under noncancelable lease agreements in excess of one year as of August 27, 2011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24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797</w:t>
            </w:r>
          </w:p>
        </w:tc>
      </w:tr>
      <w:tr>
        <w:trPr>
          <w:trHeight w:val="260"/>
        </w:trPr>
        <w:tc>
          <w:tcPr>
            <w:tcW w:w="1340" w:type="dxa"/>
            <w:vAlign w:val="bottom"/>
          </w:tcPr>
          <w:p>
            <w:pPr>
              <w:spacing w:after="0"/>
              <w:rPr>
                <w:sz w:val="22"/>
                <w:szCs w:val="22"/>
                <w:color w:val="auto"/>
              </w:rPr>
            </w:pPr>
          </w:p>
        </w:tc>
        <w:tc>
          <w:tcPr>
            <w:tcW w:w="8820" w:type="dxa"/>
            <w:vAlign w:val="bottom"/>
          </w:tcPr>
          <w:p>
            <w:pPr>
              <w:ind w:left="180"/>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702</w:t>
            </w:r>
          </w:p>
        </w:tc>
      </w:tr>
      <w:tr>
        <w:trPr>
          <w:trHeight w:val="280"/>
        </w:trPr>
        <w:tc>
          <w:tcPr>
            <w:tcW w:w="1340" w:type="dxa"/>
            <w:vAlign w:val="bottom"/>
            <w:shd w:val="clear" w:color="auto" w:fill="CCEEFF"/>
          </w:tcPr>
          <w:p>
            <w:pPr>
              <w:spacing w:after="0"/>
              <w:rPr>
                <w:sz w:val="24"/>
                <w:szCs w:val="24"/>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r>
      <w:tr>
        <w:trPr>
          <w:trHeight w:val="260"/>
        </w:trPr>
        <w:tc>
          <w:tcPr>
            <w:tcW w:w="1340" w:type="dxa"/>
            <w:vAlign w:val="bottom"/>
          </w:tcPr>
          <w:p>
            <w:pPr>
              <w:spacing w:after="0"/>
              <w:rPr>
                <w:sz w:val="22"/>
                <w:szCs w:val="22"/>
                <w:color w:val="auto"/>
              </w:rPr>
            </w:pPr>
          </w:p>
        </w:tc>
        <w:tc>
          <w:tcPr>
            <w:tcW w:w="8820" w:type="dxa"/>
            <w:vAlign w:val="bottom"/>
          </w:tcPr>
          <w:p>
            <w:pPr>
              <w:ind w:left="180"/>
              <w:spacing w:after="0"/>
              <w:rPr>
                <w:sz w:val="20"/>
                <w:szCs w:val="20"/>
                <w:color w:val="auto"/>
              </w:rPr>
            </w:pPr>
            <w:r>
              <w:rPr>
                <w:rFonts w:ascii="Arial" w:cs="Arial" w:eastAsia="Arial" w:hAnsi="Arial"/>
                <w:sz w:val="16"/>
                <w:szCs w:val="16"/>
                <w:color w:val="auto"/>
              </w:rPr>
              <w:t>2015</w:t>
            </w: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238</w:t>
            </w:r>
          </w:p>
        </w:tc>
      </w:tr>
      <w:tr>
        <w:trPr>
          <w:trHeight w:val="273"/>
        </w:trPr>
        <w:tc>
          <w:tcPr>
            <w:tcW w:w="1340" w:type="dxa"/>
            <w:vAlign w:val="bottom"/>
            <w:shd w:val="clear" w:color="auto" w:fill="CCEEFF"/>
          </w:tcPr>
          <w:p>
            <w:pPr>
              <w:spacing w:after="0"/>
              <w:rPr>
                <w:sz w:val="23"/>
                <w:szCs w:val="23"/>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340" w:type="dxa"/>
            <w:vAlign w:val="bottom"/>
          </w:tcPr>
          <w:p>
            <w:pPr>
              <w:spacing w:after="0"/>
              <w:rPr>
                <w:sz w:val="20"/>
                <w:szCs w:val="20"/>
                <w:color w:val="auto"/>
              </w:rPr>
            </w:pPr>
          </w:p>
        </w:tc>
        <w:tc>
          <w:tcPr>
            <w:tcW w:w="882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2,439</w:t>
            </w:r>
          </w:p>
        </w:tc>
      </w:tr>
      <w:tr>
        <w:trPr>
          <w:trHeight w:val="20"/>
        </w:trPr>
        <w:tc>
          <w:tcPr>
            <w:tcW w:w="13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(benefit) provision for income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64"/>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27, 2011</w:t>
            </w:r>
          </w:p>
        </w:tc>
        <w:tc>
          <w:tcPr>
            <w:tcW w:w="4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28, 2010</w:t>
            </w: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29, 2009</w:t>
            </w: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0"/>
        </w:trPr>
        <w:tc>
          <w:tcPr>
            <w:tcW w:w="5280" w:type="dxa"/>
            <w:vAlign w:val="bottom"/>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588</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(7,694)</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(17,882)</w:t>
            </w:r>
          </w:p>
        </w:tc>
      </w:tr>
      <w:tr>
        <w:trPr>
          <w:trHeight w:val="273"/>
        </w:trPr>
        <w:tc>
          <w:tcPr>
            <w:tcW w:w="5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(564)</w:t>
            </w:r>
          </w:p>
        </w:tc>
        <w:tc>
          <w:tcPr>
            <w:tcW w:w="4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(3,255)</w:t>
            </w:r>
          </w:p>
        </w:tc>
        <w:tc>
          <w:tcPr>
            <w:tcW w:w="5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(1,049)</w:t>
            </w:r>
          </w:p>
        </w:tc>
      </w:tr>
      <w:tr>
        <w:trPr>
          <w:trHeight w:val="264"/>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tax provision (benefit)</w:t>
            </w: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w:t>
            </w:r>
          </w:p>
        </w:tc>
        <w:tc>
          <w:tcPr>
            <w:tcW w:w="4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(10,949)</w:t>
            </w: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(18,931)</w:t>
            </w: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0"/>
        </w:trPr>
        <w:tc>
          <w:tcPr>
            <w:tcW w:w="5280" w:type="dxa"/>
            <w:vAlign w:val="bottom"/>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62</w:t>
            </w:r>
          </w:p>
        </w:tc>
        <w:tc>
          <w:tcPr>
            <w:tcW w:w="460" w:type="dxa"/>
            <w:vAlign w:val="bottom"/>
          </w:tcPr>
          <w:p>
            <w:pPr>
              <w:spacing w:after="0"/>
              <w:rPr>
                <w:sz w:val="22"/>
                <w:szCs w:val="22"/>
                <w:color w:val="auto"/>
              </w:rPr>
            </w:pPr>
          </w:p>
        </w:tc>
        <w:tc>
          <w:tcPr>
            <w:tcW w:w="1640" w:type="dxa"/>
            <w:vAlign w:val="bottom"/>
          </w:tcPr>
          <w:p>
            <w:pPr>
              <w:jc w:val="right"/>
              <w:ind w:right="299"/>
              <w:spacing w:after="0"/>
              <w:rPr>
                <w:sz w:val="20"/>
                <w:szCs w:val="20"/>
                <w:color w:val="auto"/>
              </w:rPr>
            </w:pPr>
            <w:r>
              <w:rPr>
                <w:rFonts w:ascii="Arial" w:cs="Arial" w:eastAsia="Arial" w:hAnsi="Arial"/>
                <w:sz w:val="16"/>
                <w:szCs w:val="16"/>
                <w:color w:val="auto"/>
              </w:rPr>
              <w:t>1,260</w:t>
            </w:r>
          </w:p>
        </w:tc>
        <w:tc>
          <w:tcPr>
            <w:tcW w:w="50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34,559</w:t>
            </w:r>
          </w:p>
        </w:tc>
      </w:tr>
      <w:tr>
        <w:trPr>
          <w:trHeight w:val="273"/>
        </w:trPr>
        <w:tc>
          <w:tcPr>
            <w:tcW w:w="5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w:t>
            </w:r>
          </w:p>
        </w:tc>
        <w:tc>
          <w:tcPr>
            <w:tcW w:w="4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184</w:t>
            </w:r>
          </w:p>
        </w:tc>
        <w:tc>
          <w:tcPr>
            <w:tcW w:w="5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5,075</w:t>
            </w:r>
          </w:p>
        </w:tc>
      </w:tr>
      <w:tr>
        <w:trPr>
          <w:trHeight w:val="264"/>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tax (benefit) provision</w:t>
            </w: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w:t>
            </w:r>
          </w:p>
        </w:tc>
        <w:tc>
          <w:tcPr>
            <w:tcW w:w="4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1,444</w:t>
            </w: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39,634</w:t>
            </w:r>
          </w:p>
        </w:tc>
      </w:tr>
      <w:tr>
        <w:trPr>
          <w:trHeight w:val="26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tax provision (benefit)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94</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(9,505)</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20,703</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Tax Provision (Benefit)</w:t>
      </w:r>
    </w:p>
    <w:p>
      <w:pPr>
        <w:spacing w:after="0" w:line="2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amount of current federal tax provision noted in the table above for Fiscal 2011 represents primarily the estimated federal tax payable for Fiscal 2011. Of the current federal benefit of $7.7 million for Fiscal 2010 reflected in the table above, $5.8 million relates to the carryback of our Fiscal 2009 losses and the remaining benefit relates to settlements of uncertain tax positions as a result of our federal audit. On November 6, 2009, the President of the United States signed into law the Worker, Homeownership, and Business Assistance Act of 2009, which expanded the NOL carryback period from two to five years, allowing us to carryback all Fiscal 2009 NOLs. As a result, we recorded a total tax benefit of $5.8 million in Fiscal 2010 related to the portion of the 2009 NOL that was previously not able to be carried back and reduced the associated valuation allowance. The current federal benefit recorded in Fiscal 2009 was primarily the amount of tax benefit that we were able to carryback under the then current legislation for taxable losses incurred during Fiscal 2009.</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state benefit recorded in Fiscal 2011, Fiscal 2010 and Fiscal 2009 is primarily a result of tax planning initiatives recorded during those years.</w:t>
      </w:r>
    </w:p>
    <w:p>
      <w:pPr>
        <w:sectPr>
          <w:pgSz w:w="11900" w:h="16838" w:orient="portrait"/>
          <w:cols w:equalWidth="0" w:num="1">
            <w:col w:w="11420"/>
          </w:cols>
          <w:pgMar w:left="240" w:top="118"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(Benefit) Provision</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deferred federal tax expense recorded during Fiscal 2010 is primarily the result of tax planning initiatives and changes in the valuation allowance recorded during the year. The deferred federal tax expense reported during Fiscal 2009 is primarily a result of establishing a full valuation allowance on all deferred tax assets during the year.</w:t>
      </w:r>
    </w:p>
    <w:p>
      <w:pPr>
        <w:spacing w:after="0" w:line="17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deferred state tax expense reported during Fiscal 2009 is primarily a result of recording a full valuation allowance on all deferred tax assets during the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U.S. statutory income tax rate to our effective tax rate: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Year Ended</w:t>
            </w: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64"/>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 percentage)</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August 27, 2011</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August 28, 2010</w:t>
            </w:r>
          </w:p>
        </w:tc>
        <w:tc>
          <w:tcPr>
            <w:tcW w:w="24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August 29, 2009</w:t>
            </w:r>
          </w:p>
        </w:tc>
      </w:t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34.0 %</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(35.0)%</w:t>
            </w: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State taxes, net of federal benefit</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(2.5)%</w:t>
            </w: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w:t>
            </w: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Income tax credits</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2"/>
              </w:rPr>
              <w:t>— %</w:t>
            </w: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(0.3)%</w:t>
            </w: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w:t>
            </w: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 %</w:t>
            </w: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Other permanent items</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187.2 %</w:t>
            </w: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(1.2)%</w:t>
            </w: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77.5 %</w:t>
            </w:r>
          </w:p>
        </w:tc>
      </w:tr>
      <w:tr>
        <w:trPr>
          <w:trHeight w:val="260"/>
        </w:trPr>
        <w:tc>
          <w:tcPr>
            <w:tcW w:w="3800" w:type="dxa"/>
            <w:vAlign w:val="bottom"/>
            <w:gridSpan w:val="2"/>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(430.6)%</w:t>
            </w: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(0.9)%</w:t>
            </w: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state returns</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 %</w:t>
            </w:r>
          </w:p>
        </w:tc>
      </w:tr>
      <w:tr>
        <w:trPr>
          <w:trHeight w:val="26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(11.6)%</w:t>
            </w:r>
          </w:p>
        </w:tc>
        <w:tc>
          <w:tcPr>
            <w:tcW w:w="1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6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tax provision (benefit) rate</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(1,281.0)%</w:t>
            </w:r>
          </w:p>
        </w:tc>
        <w:tc>
          <w:tcPr>
            <w:tcW w:w="1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35.6 %</w:t>
            </w:r>
          </w:p>
        </w:tc>
      </w:tr>
      <w:tr>
        <w:trPr>
          <w:trHeight w:val="20"/>
        </w:trPr>
        <w:tc>
          <w:tcPr>
            <w:tcW w:w="5100" w:type="dxa"/>
            <w:vAlign w:val="bottom"/>
            <w:gridSpan w:val="5"/>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69"/>
        </w:trPr>
        <w:tc>
          <w:tcPr>
            <w:tcW w:w="6060" w:type="dxa"/>
            <w:vAlign w:val="bottom"/>
            <w:gridSpan w:val="6"/>
          </w:tcPr>
          <w:p>
            <w:pPr>
              <w:spacing w:after="0"/>
              <w:rPr>
                <w:sz w:val="20"/>
                <w:szCs w:val="20"/>
                <w:color w:val="auto"/>
              </w:rPr>
            </w:pPr>
            <w:r>
              <w:rPr>
                <w:rFonts w:ascii="Arial" w:cs="Arial" w:eastAsia="Arial" w:hAnsi="Arial"/>
                <w:sz w:val="16"/>
                <w:szCs w:val="16"/>
                <w:color w:val="auto"/>
              </w:rPr>
              <w:t>Significant items comprising our net deferred tax assets are as follows: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1"/>
        </w:trPr>
        <w:tc>
          <w:tcPr>
            <w:tcW w:w="3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27, 2011</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August 28, 2010</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50"/>
        </w:trPr>
        <w:tc>
          <w:tcPr>
            <w:tcW w:w="34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Assets</w:t>
            </w:r>
          </w:p>
        </w:tc>
        <w:tc>
          <w:tcPr>
            <w:tcW w:w="280" w:type="dxa"/>
            <w:vAlign w:val="bottom"/>
          </w:tcPr>
          <w:p>
            <w:pPr>
              <w:spacing w:after="0"/>
              <w:rPr>
                <w:sz w:val="21"/>
                <w:szCs w:val="21"/>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21"/>
                <w:szCs w:val="21"/>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1"/>
                <w:szCs w:val="21"/>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Assets</w:t>
            </w:r>
          </w:p>
        </w:tc>
        <w:tc>
          <w:tcPr>
            <w:tcW w:w="420" w:type="dxa"/>
            <w:vAlign w:val="bottom"/>
          </w:tcPr>
          <w:p>
            <w:pPr>
              <w:spacing w:after="0"/>
              <w:rPr>
                <w:sz w:val="21"/>
                <w:szCs w:val="21"/>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21"/>
                <w:szCs w:val="21"/>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70"/>
        </w:trPr>
        <w:tc>
          <w:tcPr>
            <w:tcW w:w="3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0"/>
        </w:trPr>
        <w:tc>
          <w:tcPr>
            <w:tcW w:w="3420" w:type="dxa"/>
            <w:vAlign w:val="bottom"/>
          </w:tcPr>
          <w:p>
            <w:pPr>
              <w:ind w:left="180"/>
              <w:spacing w:after="0"/>
              <w:rPr>
                <w:sz w:val="20"/>
                <w:szCs w:val="20"/>
                <w:color w:val="auto"/>
              </w:rPr>
            </w:pPr>
            <w:r>
              <w:rPr>
                <w:rFonts w:ascii="Arial" w:cs="Arial" w:eastAsia="Arial" w:hAnsi="Arial"/>
                <w:sz w:val="16"/>
                <w:szCs w:val="16"/>
                <w:color w:val="auto"/>
              </w:rPr>
              <w:t>Warranty reserves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2,588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2,592</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2,592</w:t>
            </w:r>
          </w:p>
        </w:tc>
      </w:tr>
      <w:tr>
        <w:trPr>
          <w:trHeight w:val="280"/>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Self-insurance reserve</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1,204</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1,657</w:t>
            </w:r>
          </w:p>
        </w:tc>
      </w:tr>
      <w:tr>
        <w:trPr>
          <w:trHeight w:val="260"/>
        </w:trPr>
        <w:tc>
          <w:tcPr>
            <w:tcW w:w="3420" w:type="dxa"/>
            <w:vAlign w:val="bottom"/>
          </w:tcPr>
          <w:p>
            <w:pPr>
              <w:ind w:left="180"/>
              <w:spacing w:after="0"/>
              <w:rPr>
                <w:sz w:val="20"/>
                <w:szCs w:val="20"/>
                <w:color w:val="auto"/>
              </w:rPr>
            </w:pPr>
            <w:r>
              <w:rPr>
                <w:rFonts w:ascii="Arial" w:cs="Arial" w:eastAsia="Arial" w:hAnsi="Arial"/>
                <w:sz w:val="16"/>
                <w:szCs w:val="16"/>
                <w:color w:val="auto"/>
              </w:rPr>
              <w:t>Accrued vacation</w:t>
            </w:r>
          </w:p>
        </w:tc>
        <w:tc>
          <w:tcPr>
            <w:tcW w:w="3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1,625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1,658</w:t>
            </w:r>
          </w:p>
        </w:tc>
        <w:tc>
          <w:tcPr>
            <w:tcW w:w="420" w:type="dxa"/>
            <w:vAlign w:val="bottom"/>
          </w:tcPr>
          <w:p>
            <w:pPr>
              <w:spacing w:after="0"/>
              <w:rPr>
                <w:sz w:val="22"/>
                <w:szCs w:val="22"/>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1,658</w:t>
            </w:r>
          </w:p>
        </w:tc>
      </w:tr>
      <w:tr>
        <w:trPr>
          <w:trHeight w:val="273"/>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reserves</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3,691</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(651)</w:t>
            </w: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3,816</w:t>
            </w:r>
          </w:p>
        </w:tc>
        <w:tc>
          <w:tcPr>
            <w:tcW w:w="4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3,554</w:t>
            </w:r>
          </w:p>
        </w:tc>
      </w:tr>
      <w:tr>
        <w:trPr>
          <w:trHeight w:val="250"/>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current</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9,108</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(651)</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8,457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9,723</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(262)</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9,461</w:t>
            </w:r>
          </w:p>
        </w:tc>
      </w:t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0"/>
        </w:trPr>
        <w:tc>
          <w:tcPr>
            <w:tcW w:w="342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3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13,493</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13,493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13,879</w:t>
            </w:r>
          </w:p>
        </w:tc>
        <w:tc>
          <w:tcPr>
            <w:tcW w:w="420" w:type="dxa"/>
            <w:vAlign w:val="bottom"/>
          </w:tcPr>
          <w:p>
            <w:pPr>
              <w:spacing w:after="0"/>
              <w:rPr>
                <w:sz w:val="22"/>
                <w:szCs w:val="22"/>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13,879</w:t>
            </w:r>
          </w:p>
        </w:tc>
      </w:tr>
      <w:tr>
        <w:trPr>
          <w:trHeight w:val="280"/>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benefits</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15,087</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14,688</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14,688</w:t>
            </w:r>
          </w:p>
        </w:tc>
      </w:tr>
      <w:tr>
        <w:trPr>
          <w:trHeight w:val="260"/>
        </w:trPr>
        <w:tc>
          <w:tcPr>
            <w:tcW w:w="3420" w:type="dxa"/>
            <w:vAlign w:val="bottom"/>
          </w:tcPr>
          <w:p>
            <w:pPr>
              <w:ind w:left="180"/>
              <w:spacing w:after="0"/>
              <w:rPr>
                <w:sz w:val="20"/>
                <w:szCs w:val="20"/>
                <w:color w:val="auto"/>
              </w:rPr>
            </w:pPr>
            <w:r>
              <w:rPr>
                <w:rFonts w:ascii="Arial" w:cs="Arial" w:eastAsia="Arial" w:hAnsi="Arial"/>
                <w:sz w:val="16"/>
                <w:szCs w:val="16"/>
                <w:color w:val="auto"/>
              </w:rPr>
              <w:t>Unrecognized tax benefit</w:t>
            </w:r>
          </w:p>
        </w:tc>
        <w:tc>
          <w:tcPr>
            <w:tcW w:w="3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1,625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1,756</w:t>
            </w:r>
          </w:p>
        </w:tc>
        <w:tc>
          <w:tcPr>
            <w:tcW w:w="420" w:type="dxa"/>
            <w:vAlign w:val="bottom"/>
          </w:tcPr>
          <w:p>
            <w:pPr>
              <w:spacing w:after="0"/>
              <w:rPr>
                <w:sz w:val="22"/>
                <w:szCs w:val="22"/>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1,756</w:t>
            </w:r>
          </w:p>
        </w:tc>
      </w:tr>
      <w:tr>
        <w:trPr>
          <w:trHeight w:val="280"/>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 credits and NOL carryforwards</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2,755</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3,217</w:t>
            </w:r>
          </w:p>
        </w:tc>
      </w:tr>
      <w:tr>
        <w:trPr>
          <w:trHeight w:val="260"/>
        </w:trPr>
        <w:tc>
          <w:tcPr>
            <w:tcW w:w="34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3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(2,426)</w:t>
            </w:r>
          </w:p>
        </w:tc>
        <w:tc>
          <w:tcPr>
            <w:tcW w:w="14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(2,426)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(2,160)</w:t>
            </w:r>
          </w:p>
        </w:tc>
        <w:tc>
          <w:tcPr>
            <w:tcW w:w="2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(2,160)</w:t>
            </w:r>
          </w:p>
        </w:tc>
      </w:tr>
      <w:tr>
        <w:trPr>
          <w:trHeight w:val="273"/>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908</w:t>
            </w:r>
          </w:p>
        </w:tc>
        <w:tc>
          <w:tcPr>
            <w:tcW w:w="28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4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988</w:t>
            </w:r>
          </w:p>
        </w:tc>
      </w:tr>
      <w:tr>
        <w:trPr>
          <w:trHeight w:val="250"/>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noncurrent</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33,868</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(2,426)</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31,442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34,528</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(2,160)</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32,368</w:t>
            </w:r>
          </w:p>
        </w:tc>
      </w:tr>
      <w:tr>
        <w:trPr>
          <w:trHeight w:val="257"/>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gross deferred tax assets</w:t>
            </w: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42,976</w:t>
            </w: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(3,077)</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39,899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44,251</w:t>
            </w: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(2,422)</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41,829</w:t>
            </w:r>
          </w:p>
        </w:tc>
      </w:tr>
      <w:tr>
        <w:trPr>
          <w:trHeight w:val="26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Valuation allowance</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(42,327)</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3,077</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(39,250)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(44,251)</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2,422</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(41,829)</w:t>
            </w:r>
          </w:p>
        </w:tc>
      </w:tr>
      <w:tr>
        <w:trPr>
          <w:trHeight w:val="24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649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0"/>
        </w:trPr>
        <w:tc>
          <w:tcPr>
            <w:tcW w:w="3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At August 27, 2011, our deferred tax assets included $1.4 million of unused tax credits, which will expire in Fiscal 2014, and $1.4 million of state NOLs that will begin to expire in Fiscal 2013, if not otherwise used by us. A valuation allowance of $39.3 million has been recognized to offset the related deferred tax assets due to the uncertainty of realizing the deferred tax assets. We have re-established deferred tax assets of $649,000, primarily due to taxable earnings achieved in Fiscal 2011 which increased the likelihood of realizing a portion of gross deferred tax assets in the future.</w:t>
      </w:r>
    </w:p>
    <w:p>
      <w:pPr>
        <w:sectPr>
          <w:pgSz w:w="11900" w:h="16838" w:orient="portrait"/>
          <w:cols w:equalWidth="0" w:num="1">
            <w:col w:w="11420"/>
          </w:cols>
          <w:pgMar w:left="240" w:top="141"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41"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66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41"/>
        </w:trPr>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Unrecognized Tax Benefits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5"/>
        </w:trPr>
        <w:tc>
          <w:tcPr>
            <w:tcW w:w="6640" w:type="dxa"/>
            <w:vAlign w:val="bottom"/>
            <w:gridSpan w:val="2"/>
          </w:tcPr>
          <w:p>
            <w:pPr>
              <w:spacing w:after="0"/>
              <w:rPr>
                <w:sz w:val="20"/>
                <w:szCs w:val="20"/>
                <w:color w:val="auto"/>
              </w:rPr>
            </w:pPr>
            <w:r>
              <w:rPr>
                <w:rFonts w:ascii="Arial" w:cs="Arial" w:eastAsia="Arial" w:hAnsi="Arial"/>
                <w:sz w:val="16"/>
                <w:szCs w:val="16"/>
                <w:color w:val="auto"/>
              </w:rPr>
              <w:t>Changes in the unrecognized tax benefits are as follows: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64"/>
        </w:trPr>
        <w:tc>
          <w:tcPr>
            <w:tcW w:w="66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Fiscal 2011</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2010</w:t>
            </w: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Fiscal 2009</w:t>
            </w:r>
          </w:p>
        </w:tc>
      </w:tr>
      <w:tr>
        <w:trPr>
          <w:trHeight w:val="270"/>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Unrecognized tax benefits - beginning balance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(5,877)</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(9,012)</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(9,469)</w:t>
            </w:r>
          </w:p>
        </w:tc>
      </w:tr>
      <w:tr>
        <w:trPr>
          <w:trHeight w:val="260"/>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Gross increases - tax positions in a prior period</w:t>
            </w:r>
          </w:p>
        </w:tc>
        <w:tc>
          <w:tcPr>
            <w:tcW w:w="240" w:type="dxa"/>
            <w:vAlign w:val="bottom"/>
          </w:tcPr>
          <w:p>
            <w:pPr>
              <w:spacing w:after="0"/>
              <w:rPr>
                <w:sz w:val="22"/>
                <w:szCs w:val="22"/>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w:t>
            </w:r>
          </w:p>
        </w:tc>
        <w:tc>
          <w:tcPr>
            <w:tcW w:w="580" w:type="dxa"/>
            <w:vAlign w:val="bottom"/>
          </w:tcPr>
          <w:p>
            <w:pPr>
              <w:spacing w:after="0"/>
              <w:rPr>
                <w:sz w:val="22"/>
                <w:szCs w:val="22"/>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(57)</w:t>
            </w:r>
          </w:p>
        </w:tc>
      </w:tr>
      <w:tr>
        <w:trPr>
          <w:trHeight w:val="280"/>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decreases - tax positions in a prior period</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490</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2,900</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1"/>
                <w:szCs w:val="11"/>
                <w:color w:val="auto"/>
                <w:w w:val="88"/>
              </w:rPr>
              <w:t>(1)</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677</w:t>
            </w:r>
          </w:p>
        </w:tc>
      </w:tr>
      <w:tr>
        <w:trPr>
          <w:trHeight w:val="260"/>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Gross increases - current period tax positions</w:t>
            </w:r>
          </w:p>
        </w:tc>
        <w:tc>
          <w:tcPr>
            <w:tcW w:w="240" w:type="dxa"/>
            <w:vAlign w:val="bottom"/>
          </w:tcPr>
          <w:p>
            <w:pPr>
              <w:spacing w:after="0"/>
              <w:rPr>
                <w:sz w:val="22"/>
                <w:szCs w:val="22"/>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580" w:type="dxa"/>
            <w:vAlign w:val="bottom"/>
          </w:tcPr>
          <w:p>
            <w:pPr>
              <w:spacing w:after="0"/>
              <w:rPr>
                <w:sz w:val="22"/>
                <w:szCs w:val="22"/>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(163)</w:t>
            </w:r>
          </w:p>
        </w:tc>
      </w:tr>
      <w:tr>
        <w:trPr>
          <w:trHeight w:val="273"/>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Settlements</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1"/>
                <w:szCs w:val="11"/>
                <w:color w:val="auto"/>
                <w:w w:val="88"/>
              </w:rPr>
              <w:t>(2)</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307"/>
        </w:trPr>
        <w:tc>
          <w:tcPr>
            <w:tcW w:w="6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Unrecognized tax benefits - ending balance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(5,387)</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(9,012)</w:t>
            </w:r>
          </w:p>
        </w:tc>
      </w:tr>
      <w:tr>
        <w:trPr>
          <w:trHeight w:val="267"/>
        </w:trPr>
        <w:tc>
          <w:tcPr>
            <w:tcW w:w="1260" w:type="dxa"/>
            <w:vAlign w:val="bottom"/>
            <w:shd w:val="clear" w:color="auto" w:fill="CCEEFF"/>
          </w:tcPr>
          <w:p>
            <w:pPr>
              <w:spacing w:after="0"/>
              <w:rPr>
                <w:sz w:val="23"/>
                <w:szCs w:val="23"/>
                <w:color w:val="auto"/>
              </w:rPr>
            </w:pPr>
          </w:p>
        </w:tc>
        <w:tc>
          <w:tcPr>
            <w:tcW w:w="5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51"/>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Accrued interest and penalties (included in unrecognized tax benefits)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(2,398)</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(2,509)</w:t>
            </w:r>
          </w:p>
        </w:tc>
        <w:tc>
          <w:tcPr>
            <w:tcW w:w="580" w:type="dxa"/>
            <w:vAlign w:val="bottom"/>
          </w:tcPr>
          <w:p>
            <w:pPr>
              <w:jc w:val="right"/>
              <w:ind w:right="7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(2,889)</w:t>
            </w:r>
          </w:p>
        </w:tc>
      </w:tr>
    </w:tbl>
    <w:p>
      <w:pPr>
        <w:spacing w:after="0" w:line="38" w:lineRule="exact"/>
        <w:rPr>
          <w:sz w:val="20"/>
          <w:szCs w:val="20"/>
          <w:color w:val="auto"/>
        </w:rPr>
      </w:pPr>
    </w:p>
    <w:p>
      <w:pPr>
        <w:ind w:left="340" w:right="240" w:hanging="332"/>
        <w:spacing w:after="0" w:line="209"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The $2.9 million decrease in unrecognized benefit reserves is primarily a reduction of reserves associated with positive settlements of uncertain tax positions related to the finalization of the IRS examination of our federal income tax returns for Fiscal 2006 through Fiscal 2008.</w:t>
      </w:r>
    </w:p>
    <w:p>
      <w:pPr>
        <w:ind w:left="340" w:hanging="332"/>
        <w:spacing w:after="0" w:line="187" w:lineRule="auto"/>
        <w:tabs>
          <w:tab w:leader="none" w:pos="340" w:val="left"/>
        </w:tabs>
        <w:numPr>
          <w:ilvl w:val="0"/>
          <w:numId w:val="27"/>
        </w:numPr>
        <w:rPr>
          <w:rFonts w:ascii="Arial" w:cs="Arial" w:eastAsia="Arial" w:hAnsi="Arial"/>
          <w:sz w:val="21"/>
          <w:szCs w:val="21"/>
          <w:color w:val="auto"/>
          <w:vertAlign w:val="superscript"/>
        </w:rPr>
      </w:pPr>
      <w:r>
        <w:rPr>
          <w:rFonts w:ascii="Arial" w:cs="Arial" w:eastAsia="Arial" w:hAnsi="Arial"/>
          <w:sz w:val="14"/>
          <w:szCs w:val="14"/>
          <w:color w:val="auto"/>
        </w:rPr>
        <w:t>The $546,000 reduction in reserves is actual cash payments as a result of settlements of uncertain tax positions in various taxing jurisdictions.</w:t>
      </w:r>
    </w:p>
    <w:p>
      <w:pPr>
        <w:spacing w:after="0" w:line="190"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If the remaining uncertain positions are ultimately resolved, all of the $5.4 million of unrecognized benefits could have a positive impact on our effective tax rate, as the deferred tax assets associated with these positions have a full valuation allowance established against them. It is our policy to recognize interest and penalties accrued relative to unrecognized tax benefits into tax expense.</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income tax return for Fiscal 2009, with source years 2004 and 2005 as a result of carryback claims, were under examination by the IRS and finalized during Fiscal 2011. This examination was concluded during the fourth quarter of Fiscal 2011, resulting with no changes being recommended by the IRS.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within the next twelve months there will be a significant change in the total amount of unrecognized tax benefits as of August 27, 2011.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20"/>
                <w:szCs w:val="20"/>
                <w:color w:val="auto"/>
              </w:rPr>
            </w:pPr>
            <w:r>
              <w:rPr>
                <w:rFonts w:ascii="Arial" w:cs="Arial" w:eastAsia="Arial" w:hAnsi="Arial"/>
                <w:sz w:val="16"/>
                <w:szCs w:val="16"/>
                <w:b w:val="1"/>
                <w:bCs w:val="1"/>
                <w:color w:val="auto"/>
              </w:rPr>
              <w:t>Note 13: Non-Operating Income and Expense</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8"/>
        </w:trPr>
        <w:tc>
          <w:tcPr>
            <w:tcW w:w="5660" w:type="dxa"/>
            <w:vAlign w:val="bottom"/>
          </w:tcPr>
          <w:p>
            <w:pPr>
              <w:spacing w:after="0"/>
              <w:rPr>
                <w:sz w:val="20"/>
                <w:szCs w:val="20"/>
                <w:color w:val="auto"/>
              </w:rPr>
            </w:pPr>
            <w:r>
              <w:rPr>
                <w:rFonts w:ascii="Arial" w:cs="Arial" w:eastAsia="Arial" w:hAnsi="Arial"/>
                <w:sz w:val="16"/>
                <w:szCs w:val="16"/>
                <w:color w:val="auto"/>
              </w:rPr>
              <w:t>Non-operating income consists of:</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37"/>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August 27, 2011</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August 28, 2010</w:t>
            </w: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29, 2009</w:t>
            </w: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 appreciation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3,045</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3,308</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3,021</w:t>
            </w:r>
          </w:p>
        </w:tc>
      </w:tr>
      <w:tr>
        <w:trPr>
          <w:trHeight w:val="233"/>
        </w:trPr>
        <w:tc>
          <w:tcPr>
            <w:tcW w:w="5660" w:type="dxa"/>
            <w:vAlign w:val="bottom"/>
          </w:tcPr>
          <w:p>
            <w:pPr>
              <w:ind w:left="40"/>
              <w:spacing w:after="0"/>
              <w:rPr>
                <w:sz w:val="20"/>
                <w:szCs w:val="20"/>
                <w:color w:val="auto"/>
              </w:rPr>
            </w:pPr>
            <w:r>
              <w:rPr>
                <w:rFonts w:ascii="Arial" w:cs="Arial" w:eastAsia="Arial" w:hAnsi="Arial"/>
                <w:sz w:val="16"/>
                <w:szCs w:val="16"/>
                <w:color w:val="auto"/>
              </w:rPr>
              <w:t>COLI death benefits</w:t>
            </w:r>
          </w:p>
        </w:tc>
        <w:tc>
          <w:tcPr>
            <w:tcW w:w="240" w:type="dxa"/>
            <w:vAlign w:val="bottom"/>
          </w:tcPr>
          <w:p>
            <w:pPr>
              <w:spacing w:after="0"/>
              <w:rPr>
                <w:sz w:val="20"/>
                <w:szCs w:val="20"/>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372</w:t>
            </w:r>
          </w:p>
        </w:tc>
        <w:tc>
          <w:tcPr>
            <w:tcW w:w="400" w:type="dxa"/>
            <w:vAlign w:val="bottom"/>
          </w:tcPr>
          <w:p>
            <w:pPr>
              <w:spacing w:after="0"/>
              <w:rPr>
                <w:sz w:val="20"/>
                <w:szCs w:val="20"/>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59</w:t>
            </w:r>
          </w:p>
        </w:tc>
      </w:tr>
      <w:tr>
        <w:trPr>
          <w:trHeight w:val="253"/>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 premiums</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(564)</w:t>
            </w:r>
          </w:p>
        </w:tc>
        <w:tc>
          <w:tcPr>
            <w:tcW w:w="4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(571)</w:t>
            </w: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(623)</w:t>
            </w:r>
          </w:p>
        </w:tc>
      </w:tr>
      <w:tr>
        <w:trPr>
          <w:trHeight w:val="237"/>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COLI interest expense</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(1,821)</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(1,957)</w:t>
            </w: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(1,875)</w:t>
            </w:r>
          </w:p>
        </w:tc>
      </w:tr>
      <w:tr>
        <w:trPr>
          <w:trHeight w:val="237"/>
        </w:trPr>
        <w:tc>
          <w:tcPr>
            <w:tcW w:w="5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COLI</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1,032</w:t>
            </w:r>
          </w:p>
        </w:tc>
        <w:tc>
          <w:tcPr>
            <w:tcW w:w="4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780</w:t>
            </w:r>
          </w:p>
        </w:tc>
        <w:tc>
          <w:tcPr>
            <w:tcW w:w="4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582</w:t>
            </w:r>
          </w:p>
        </w:tc>
      </w:tr>
      <w:tr>
        <w:trPr>
          <w:trHeight w:val="233"/>
        </w:trPr>
        <w:tc>
          <w:tcPr>
            <w:tcW w:w="5660" w:type="dxa"/>
            <w:vAlign w:val="bottom"/>
          </w:tcPr>
          <w:p>
            <w:pPr>
              <w:ind w:left="40"/>
              <w:spacing w:after="0"/>
              <w:rPr>
                <w:sz w:val="20"/>
                <w:szCs w:val="20"/>
                <w:color w:val="auto"/>
              </w:rPr>
            </w:pPr>
            <w:r>
              <w:rPr>
                <w:rFonts w:ascii="Arial" w:cs="Arial" w:eastAsia="Arial" w:hAnsi="Arial"/>
                <w:sz w:val="16"/>
                <w:szCs w:val="16"/>
                <w:color w:val="auto"/>
              </w:rPr>
              <w:t>Wells Fargo termination fee</w:t>
            </w:r>
          </w:p>
        </w:tc>
        <w:tc>
          <w:tcPr>
            <w:tcW w:w="240" w:type="dxa"/>
            <w:vAlign w:val="bottom"/>
          </w:tcPr>
          <w:p>
            <w:pPr>
              <w:spacing w:after="0"/>
              <w:rPr>
                <w:sz w:val="20"/>
                <w:szCs w:val="20"/>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(375)</w:t>
            </w:r>
          </w:p>
        </w:tc>
        <w:tc>
          <w:tcPr>
            <w:tcW w:w="400" w:type="dxa"/>
            <w:vAlign w:val="bottom"/>
          </w:tcPr>
          <w:p>
            <w:pPr>
              <w:spacing w:after="0"/>
              <w:rPr>
                <w:sz w:val="20"/>
                <w:szCs w:val="20"/>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46"/>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Line of credit expenses (e.g. commitment fee, unused fee)</w:t>
            </w: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(564)</w:t>
            </w:r>
          </w:p>
        </w:tc>
        <w:tc>
          <w:tcPr>
            <w:tcW w:w="4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(592)</w:t>
            </w:r>
          </w:p>
        </w:tc>
        <w:tc>
          <w:tcPr>
            <w:tcW w:w="4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(165)</w:t>
            </w:r>
          </w:p>
        </w:tc>
      </w:tr>
      <w:tr>
        <w:trPr>
          <w:trHeight w:val="237"/>
        </w:trPr>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line of credit expense</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(564)</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(967)</w:t>
            </w: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(165)</w:t>
            </w: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194</w:t>
            </w:r>
          </w:p>
        </w:tc>
        <w:tc>
          <w:tcPr>
            <w:tcW w:w="4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420</w:t>
            </w: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1,023</w:t>
            </w:r>
          </w:p>
        </w:tc>
      </w:tr>
      <w:tr>
        <w:trPr>
          <w:trHeight w:val="237"/>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 gain on foreign currency transactions</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w:t>
            </w:r>
          </w:p>
        </w:tc>
      </w:tr>
      <w:tr>
        <w:trPr>
          <w:trHeight w:val="24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non-operating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658</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222</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1,452</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 Plans</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a 2004 Incentive Compensation Plan approved by shareholders (as amended, the "Plan") in place which allows us to grant or issue non-qualified stock options, incentive stock options, share awards and other equity compensation to key employees and to non-employee directors. No more than 4.0 million shares of common stock may be issued under the Plan and no more than 2.0 million of those shares may be used for awards other than stock options or stock appreciation rights. Shares subject to awards that are forfeited, terminated, expire unexercised, settled in cash, exchanged for other awards, tendered to satisfy the purchase price of an award, withheld to satisfy tax obligations or otherwise lapse again become available for awards.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stock options, the Plan replaced the 1997 Stock Option Plan. Any stock options previously granted under the 1997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Stock Option Plan continue to be exercisable in accordance with their original terms and conditions.</w:t>
      </w:r>
    </w:p>
    <w:p>
      <w:pPr>
        <w:spacing w:after="0" w:line="16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term of any options granted under the Plan may not exceed ten years from the date of the grant. Stock options are granted at the closing market price on the date of grant. Options issued to key employees generally vest over a three-year period in equal annual installment, beginning one year after the date of grant, with immediate vesting upon retirement or upon a change of control (as defined in the Plan), if earlier. Historically, options issued to directors vested six months after grant. Share awards vest based either upon continued employment, beginning one year after the date of grant, with immediate vesting upon retirement or upon a change of control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Prior to Fiscal 2007, stock-based compensation generally consisted only of stock options. In Fiscal 2007 and Fiscal 2008, we granted restricted time-based share awards to key employees and directors instead of stock options. No stock options or restricted share awards were granted in Fiscal 2009 or Fiscal 2010. In Fiscal 2011 we again granted restricted time-based stock awards to key employees and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During Fiscal 2009, Fiscal 2010 and Fiscal 2011, the Human Resources Committee of our Board of Directors established annual incentive plans for the officers that were in part payable in restricted stock. Certain diluted EPS and return on invested capital targets had to be met to achieve payment under these plans; these targets were not met for any of the past three fiscal years and no stock-based compensation has been recognized for these plans.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During Fiscal 2009, Fiscal 2010 and Fiscal 2011, the Human Resources Committee of our Board of Directors established three different three-year restricted stock plans (Officers Long-Term Incentive Plan Fiscal 2009-2011, 2010-2012 and 2011-2013) to serve as an incentive to our senior management team to achieve certain return on equity ("ROE") targets. If the ROE target is met, restricted stock will be awarded at the end of each three year period with a one-year restriction on sale upon award. In the event that we do not achieve the required ROE targets, no restricted stock will be granted.</w:t>
      </w:r>
    </w:p>
    <w:p>
      <w:pPr>
        <w:spacing w:after="0" w:line="31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Based on our performance for the past three fiscal years, no stock-based compensation expense has been recognized for these plans. If it becomes probable that certain of the ROE performance targets will be achieved, the corresponding estimated cost of the grant will be recorded as compensation expense over the performance period. The probability of reaching the targets is evaluated each reporting period. If it becomes probable that certain of the target performance levels will be achieved, a cumulative adjustment will be recorded and future compensation expense will increase based on the currently projected performance levels. If we later determine that it is not probable that the minimum ROE performance threshold for the grants will be met, no further compensation cost will be recognized and any previously recognized compensation cost related to these plans will be reversed.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Awards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 directors are restricted from selling these shares until their retirement. During Fiscal 2011, there were 17,040 stock units awarded to our non-employee directors in lieu of cash compensation. The aggregate intrinsic value of these awards as of August 27, 2011 was $856,000 with 119,896 stock units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27, 2011</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28, 2010</w:t>
            </w: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29, 2009</w:t>
            </w: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Option expense</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0"/>
        </w:trPr>
        <w:tc>
          <w:tcPr>
            <w:tcW w:w="4260" w:type="dxa"/>
            <w:vAlign w:val="bottom"/>
          </w:tcPr>
          <w:p>
            <w:pPr>
              <w:ind w:left="40"/>
              <w:spacing w:after="0"/>
              <w:rPr>
                <w:sz w:val="20"/>
                <w:szCs w:val="20"/>
                <w:color w:val="auto"/>
              </w:rPr>
            </w:pPr>
            <w:r>
              <w:rPr>
                <w:rFonts w:ascii="Arial" w:cs="Arial" w:eastAsia="Arial" w:hAnsi="Arial"/>
                <w:sz w:val="16"/>
                <w:szCs w:val="16"/>
                <w:color w:val="auto"/>
              </w:rPr>
              <w:t>Share awards:</w:t>
            </w: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Time-based employee award expense</w:t>
            </w:r>
          </w:p>
        </w:tc>
        <w:tc>
          <w:tcPr>
            <w:tcW w:w="1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33"/>
        </w:trPr>
        <w:tc>
          <w:tcPr>
            <w:tcW w:w="4260" w:type="dxa"/>
            <w:vAlign w:val="bottom"/>
          </w:tcPr>
          <w:p>
            <w:pPr>
              <w:ind w:left="120"/>
              <w:spacing w:after="0"/>
              <w:rPr>
                <w:sz w:val="20"/>
                <w:szCs w:val="20"/>
                <w:color w:val="auto"/>
              </w:rPr>
            </w:pPr>
            <w:r>
              <w:rPr>
                <w:rFonts w:ascii="Arial" w:cs="Arial" w:eastAsia="Arial" w:hAnsi="Arial"/>
                <w:sz w:val="16"/>
                <w:szCs w:val="16"/>
                <w:color w:val="auto"/>
              </w:rPr>
              <w:t>Time-based directors award expense</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Directors stock unit expense</w:t>
            </w:r>
          </w:p>
        </w:tc>
        <w:tc>
          <w:tcPr>
            <w:tcW w:w="17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6"/>
                <w:szCs w:val="16"/>
                <w:color w:val="auto"/>
              </w:rPr>
              <w:t>Total stock-based compensation</w:t>
            </w:r>
          </w:p>
        </w:tc>
        <w:tc>
          <w:tcPr>
            <w:tcW w:w="1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00" w:type="dxa"/>
            <w:vAlign w:val="bottom"/>
            <w:vMerge w:val="restart"/>
          </w:tcPr>
          <w:p>
            <w:pPr>
              <w:jc w:val="right"/>
              <w:ind w:right="79"/>
              <w:spacing w:after="0"/>
              <w:rPr>
                <w:sz w:val="20"/>
                <w:szCs w:val="20"/>
                <w:color w:val="auto"/>
              </w:rPr>
            </w:pPr>
            <w:r>
              <w:rPr>
                <w:rFonts w:ascii="Arial" w:cs="Arial" w:eastAsia="Arial" w:hAnsi="Arial"/>
                <w:sz w:val="16"/>
                <w:szCs w:val="16"/>
                <w:color w:val="auto"/>
              </w:rPr>
              <w:t>43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2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for Fiscal 2011, 2010 and 2009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64"/>
        </w:trPr>
        <w:tc>
          <w:tcPr>
            <w:tcW w:w="3300" w:type="dxa"/>
            <w:vAlign w:val="bottom"/>
          </w:tcPr>
          <w:p>
            <w:pPr>
              <w:spacing w:after="0"/>
              <w:rPr>
                <w:sz w:val="22"/>
                <w:szCs w:val="22"/>
                <w:color w:val="auto"/>
              </w:rPr>
            </w:pPr>
          </w:p>
        </w:tc>
        <w:tc>
          <w:tcPr>
            <w:tcW w:w="1940" w:type="dxa"/>
            <w:vAlign w:val="bottom"/>
            <w:tcBorders>
              <w:bottom w:val="single" w:sz="8" w:color="auto"/>
            </w:tcBorders>
            <w:gridSpan w:val="4"/>
          </w:tcPr>
          <w:p>
            <w:pPr>
              <w:jc w:val="center"/>
              <w:ind w:left="688"/>
              <w:spacing w:after="0"/>
              <w:rPr>
                <w:sz w:val="20"/>
                <w:szCs w:val="20"/>
                <w:color w:val="auto"/>
              </w:rPr>
            </w:pPr>
            <w:r>
              <w:rPr>
                <w:rFonts w:ascii="Arial" w:cs="Arial" w:eastAsia="Arial" w:hAnsi="Arial"/>
                <w:sz w:val="14"/>
                <w:szCs w:val="14"/>
                <w:b w:val="1"/>
                <w:bCs w:val="1"/>
                <w:color w:val="auto"/>
              </w:rPr>
              <w:t>August 27, 2011</w:t>
            </w:r>
          </w:p>
        </w:tc>
        <w:tc>
          <w:tcPr>
            <w:tcW w:w="8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rPr>
              <w:t>August 28, 2010</w:t>
            </w:r>
          </w:p>
        </w:tc>
        <w:tc>
          <w:tcPr>
            <w:tcW w:w="8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August 29, 2009</w:t>
            </w:r>
          </w:p>
        </w:tc>
      </w:tr>
      <w:tr>
        <w:trPr>
          <w:trHeight w:val="175"/>
        </w:trPr>
        <w:tc>
          <w:tcPr>
            <w:tcW w:w="3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Wtd. Avg.</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Wtd. Avg.</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rPr>
              <w:t>Wtd. Avg.</w:t>
            </w:r>
          </w:p>
        </w:tc>
      </w:tr>
      <w:tr>
        <w:trPr>
          <w:trHeight w:val="162"/>
        </w:trPr>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Exercise</w:t>
            </w:r>
          </w:p>
        </w:tc>
        <w:tc>
          <w:tcPr>
            <w:tcW w:w="860" w:type="dxa"/>
            <w:vAlign w:val="bottom"/>
          </w:tcPr>
          <w:p>
            <w:pPr>
              <w:spacing w:after="0"/>
              <w:rPr>
                <w:sz w:val="14"/>
                <w:szCs w:val="14"/>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Exercise</w:t>
            </w:r>
          </w:p>
        </w:tc>
        <w:tc>
          <w:tcPr>
            <w:tcW w:w="9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Share</w:t>
            </w: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Price/Share</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Price/Share</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Price/Share</w:t>
            </w:r>
          </w:p>
        </w:tc>
      </w:tr>
      <w:tr>
        <w:trPr>
          <w:trHeight w:val="27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beginning of year</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940,815</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$36</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27.82</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1,010,224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 $36</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27.31</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1,044,899</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$7 - $36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27.10</w:t>
            </w: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color w:val="auto"/>
              </w:rPr>
              <w:t>Options granted</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 exercised</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(9,000)</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4"/>
              </w:rPr>
              <w:t>9 - 11</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9 - 11</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9.2</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r>
      <w:tr>
        <w:trPr>
          <w:trHeight w:val="264"/>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Options cancelled</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(118,832)</w:t>
            </w:r>
          </w:p>
        </w:tc>
        <w:tc>
          <w:tcPr>
            <w:tcW w:w="3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9 - 32</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(38,909)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9 - 36</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29.18</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(33,675)</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7 - 32</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21.29</w:t>
            </w:r>
          </w:p>
        </w:tc>
      </w:tr>
      <w:tr>
        <w:trPr>
          <w:trHeight w:val="264"/>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end of year</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812,983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$36</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28.84</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940,815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 $36</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27.82</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1,010,224</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$9 - $36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27.31</w:t>
            </w: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color w:val="auto"/>
              </w:rPr>
              <w:t>Exercisable at end of year</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812,983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$36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28.84</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940,815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 $36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27.82</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1,010,224</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$9 - $36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27.31</w:t>
            </w:r>
          </w:p>
        </w:tc>
      </w:tr>
    </w:tbl>
    <w:p>
      <w:pPr>
        <w:spacing w:after="0" w:line="19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weighted average remaining contractual life for options outstanding and exercisable at August 27, 2011 was 3.06 years. There was no aggregate intrinsic value for the options outstanding and exercisable at August 27, 2011. Other values related to options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2009</w:t>
            </w:r>
          </w:p>
        </w:tc>
      </w:tr>
      <w:tr>
        <w:trPr>
          <w:trHeight w:val="243"/>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Aggregate intrinsic value of options exercised </w:t>
            </w:r>
            <w:r>
              <w:rPr>
                <w:rFonts w:ascii="Arial" w:cs="Arial" w:eastAsia="Arial" w:hAnsi="Arial"/>
                <w:sz w:val="21"/>
                <w:szCs w:val="21"/>
                <w:color w:val="auto"/>
                <w:vertAlign w:val="superscript"/>
              </w:rPr>
              <w:t>(1)</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24"/>
        </w:trPr>
        <w:tc>
          <w:tcPr>
            <w:tcW w:w="5400" w:type="dxa"/>
            <w:vAlign w:val="bottom"/>
          </w:tcPr>
          <w:p>
            <w:pPr>
              <w:ind w:left="40"/>
              <w:spacing w:after="0"/>
              <w:rPr>
                <w:sz w:val="20"/>
                <w:szCs w:val="20"/>
                <w:color w:val="auto"/>
              </w:rPr>
            </w:pPr>
            <w:r>
              <w:rPr>
                <w:rFonts w:ascii="Arial" w:cs="Arial" w:eastAsia="Arial" w:hAnsi="Arial"/>
                <w:sz w:val="16"/>
                <w:szCs w:val="16"/>
                <w:color w:val="auto"/>
              </w:rPr>
              <w:t>Net cash proceeds from the exercise of stock options</w:t>
            </w:r>
          </w:p>
        </w:tc>
        <w:tc>
          <w:tcPr>
            <w:tcW w:w="1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281</w:t>
            </w:r>
          </w:p>
        </w:tc>
        <w:tc>
          <w:tcPr>
            <w:tcW w:w="4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43"/>
        </w:trPr>
        <w:tc>
          <w:tcPr>
            <w:tcW w:w="5400" w:type="dxa"/>
            <w:vAlign w:val="bottom"/>
          </w:tcPr>
          <w:p>
            <w:pPr>
              <w:ind w:left="40"/>
              <w:spacing w:after="0"/>
              <w:rPr>
                <w:sz w:val="20"/>
                <w:szCs w:val="20"/>
                <w:color w:val="auto"/>
              </w:rPr>
            </w:pPr>
            <w:r>
              <w:rPr>
                <w:rFonts w:ascii="Arial" w:cs="Arial" w:eastAsia="Arial" w:hAnsi="Arial"/>
                <w:sz w:val="16"/>
                <w:szCs w:val="16"/>
                <w:color w:val="auto"/>
              </w:rPr>
              <w:t>Actual income tax benefit realized from stock option exercises</w:t>
            </w:r>
          </w:p>
        </w:tc>
        <w:tc>
          <w:tcPr>
            <w:tcW w:w="1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44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260" w:hanging="238"/>
        <w:spacing w:after="0" w:line="199" w:lineRule="auto"/>
        <w:tabs>
          <w:tab w:leader="none" w:pos="26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The amount by which the closing price of our stock on the date of exercise exceeded the exercise price.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share award activity for Fiscal 2011, 2010 and 2009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right"/>
              <w:ind w:right="1199"/>
              <w:spacing w:after="0"/>
              <w:rPr>
                <w:sz w:val="20"/>
                <w:szCs w:val="20"/>
                <w:color w:val="auto"/>
              </w:rPr>
            </w:pPr>
            <w:r>
              <w:rPr>
                <w:rFonts w:ascii="Arial" w:cs="Arial" w:eastAsia="Arial" w:hAnsi="Arial"/>
                <w:sz w:val="16"/>
                <w:szCs w:val="16"/>
                <w:b w:val="1"/>
                <w:bCs w:val="1"/>
                <w:color w:val="auto"/>
              </w:rPr>
              <w:t>Year Ended</w:t>
            </w:r>
          </w:p>
        </w:tc>
        <w:tc>
          <w:tcPr>
            <w:tcW w:w="1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50"/>
        </w:trPr>
        <w:tc>
          <w:tcPr>
            <w:tcW w:w="2320" w:type="dxa"/>
            <w:vAlign w:val="bottom"/>
          </w:tcPr>
          <w:p>
            <w:pPr>
              <w:spacing w:after="0"/>
              <w:rPr>
                <w:sz w:val="21"/>
                <w:szCs w:val="21"/>
                <w:color w:val="auto"/>
              </w:rPr>
            </w:pPr>
          </w:p>
        </w:tc>
        <w:tc>
          <w:tcPr>
            <w:tcW w:w="324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6"/>
                <w:szCs w:val="16"/>
                <w:b w:val="1"/>
                <w:bCs w:val="1"/>
                <w:color w:val="auto"/>
              </w:rPr>
              <w:t>August 27, 2011</w:t>
            </w:r>
          </w:p>
        </w:tc>
        <w:tc>
          <w:tcPr>
            <w:tcW w:w="304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6"/>
                <w:szCs w:val="16"/>
                <w:b w:val="1"/>
                <w:bCs w:val="1"/>
                <w:color w:val="auto"/>
              </w:rPr>
              <w:t>August 28, 2010</w:t>
            </w:r>
          </w:p>
        </w:tc>
        <w:tc>
          <w:tcPr>
            <w:tcW w:w="282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August 29, 2009</w:t>
            </w:r>
          </w:p>
        </w:tc>
      </w:tr>
      <w:tr>
        <w:trPr>
          <w:trHeight w:val="198"/>
        </w:trPr>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39"/>
              <w:spacing w:after="0"/>
              <w:rPr>
                <w:sz w:val="20"/>
                <w:szCs w:val="20"/>
                <w:color w:val="auto"/>
              </w:rPr>
            </w:pPr>
            <w:r>
              <w:rPr>
                <w:rFonts w:ascii="Arial" w:cs="Arial" w:eastAsia="Arial" w:hAnsi="Arial"/>
                <w:sz w:val="16"/>
                <w:szCs w:val="16"/>
                <w:b w:val="1"/>
                <w:bCs w:val="1"/>
                <w:color w:val="auto"/>
                <w:w w:val="99"/>
              </w:rPr>
              <w:t>Weighted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59"/>
              <w:spacing w:after="0"/>
              <w:rPr>
                <w:sz w:val="20"/>
                <w:szCs w:val="20"/>
                <w:color w:val="auto"/>
              </w:rPr>
            </w:pPr>
            <w:r>
              <w:rPr>
                <w:rFonts w:ascii="Arial" w:cs="Arial" w:eastAsia="Arial" w:hAnsi="Arial"/>
                <w:sz w:val="16"/>
                <w:szCs w:val="16"/>
                <w:b w:val="1"/>
                <w:bCs w:val="1"/>
                <w:color w:val="auto"/>
              </w:rPr>
              <w:t>Weighted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2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center"/>
              <w:ind w:right="259"/>
              <w:spacing w:after="0"/>
              <w:rPr>
                <w:sz w:val="20"/>
                <w:szCs w:val="20"/>
                <w:color w:val="auto"/>
              </w:rPr>
            </w:pPr>
            <w:r>
              <w:rPr>
                <w:rFonts w:ascii="Arial" w:cs="Arial" w:eastAsia="Arial" w:hAnsi="Arial"/>
                <w:sz w:val="16"/>
                <w:szCs w:val="16"/>
                <w:b w:val="1"/>
                <w:bCs w:val="1"/>
                <w:color w:val="auto"/>
                <w:w w:val="99"/>
              </w:rPr>
              <w:t>Average Grant</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center"/>
              <w:ind w:right="259"/>
              <w:spacing w:after="0"/>
              <w:rPr>
                <w:sz w:val="20"/>
                <w:szCs w:val="20"/>
                <w:color w:val="auto"/>
              </w:rPr>
            </w:pPr>
            <w:r>
              <w:rPr>
                <w:rFonts w:ascii="Arial" w:cs="Arial" w:eastAsia="Arial" w:hAnsi="Arial"/>
                <w:sz w:val="16"/>
                <w:szCs w:val="16"/>
                <w:b w:val="1"/>
                <w:bCs w:val="1"/>
                <w:color w:val="auto"/>
                <w:w w:val="99"/>
              </w:rPr>
              <w:t>Average Grant</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Average Grant</w:t>
            </w:r>
          </w:p>
        </w:tc>
      </w:tr>
      <w:tr>
        <w:trPr>
          <w:trHeight w:val="228"/>
        </w:trPr>
        <w:tc>
          <w:tcPr>
            <w:tcW w:w="2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Date Fair Value</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Date Fair Value</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Date Fair Value</w:t>
            </w: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28,110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28.21</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82,240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29.97</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138,112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30.36</w:t>
            </w:r>
          </w:p>
        </w:tc>
      </w:tr>
      <w:tr>
        <w:trPr>
          <w:trHeight w:val="233"/>
        </w:trPr>
        <w:tc>
          <w:tcPr>
            <w:tcW w:w="2320" w:type="dxa"/>
            <w:vAlign w:val="bottom"/>
          </w:tcPr>
          <w:p>
            <w:pPr>
              <w:ind w:left="4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151,000</w:t>
            </w:r>
          </w:p>
        </w:tc>
        <w:tc>
          <w:tcPr>
            <w:tcW w:w="240" w:type="dxa"/>
            <w:vAlign w:val="bottom"/>
          </w:tcPr>
          <w:p>
            <w:pPr>
              <w:spacing w:after="0"/>
              <w:rPr>
                <w:sz w:val="20"/>
                <w:szCs w:val="20"/>
                <w:color w:val="auto"/>
              </w:rPr>
            </w:pPr>
          </w:p>
        </w:tc>
        <w:tc>
          <w:tcPr>
            <w:tcW w:w="1520" w:type="dxa"/>
            <w:vAlign w:val="bottom"/>
          </w:tcPr>
          <w:p>
            <w:pPr>
              <w:jc w:val="right"/>
              <w:ind w:right="239"/>
              <w:spacing w:after="0"/>
              <w:rPr>
                <w:sz w:val="20"/>
                <w:szCs w:val="20"/>
                <w:color w:val="auto"/>
              </w:rPr>
            </w:pPr>
            <w:r>
              <w:rPr>
                <w:rFonts w:ascii="Arial" w:cs="Arial" w:eastAsia="Arial" w:hAnsi="Arial"/>
                <w:sz w:val="16"/>
                <w:szCs w:val="16"/>
                <w:color w:val="auto"/>
              </w:rPr>
              <w:t>13.49</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(30,610)</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27.01</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(53,930)</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30.90</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(54,672)</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30.95</w:t>
            </w:r>
          </w:p>
        </w:tc>
      </w:tr>
      <w:tr>
        <w:trPr>
          <w:trHeight w:val="237"/>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Cancelled</w:t>
            </w: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(200)</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28.21</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(1,200)</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30.26</w:t>
            </w:r>
          </w:p>
        </w:tc>
      </w:tr>
      <w:tr>
        <w:trPr>
          <w:trHeight w:val="24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148,500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13.49</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28,110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28.21</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82,240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29.97</w:t>
            </w:r>
          </w:p>
        </w:tc>
      </w:tr>
      <w:tr>
        <w:trPr>
          <w:trHeight w:val="20"/>
        </w:trPr>
        <w:tc>
          <w:tcPr>
            <w:tcW w:w="2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awards outstanding at August 27, 2011 was $1.1 million.</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As of August 27, 2011, there was $949,000 of unrecognized compensation expense related to restricted stock awards that is expected to be recognized over a weighted average period of 2.37 years. The total fair value of awards vested during Fiscal 2011, 2010 and 2009 was $582,000, $1.7 million and $1.7 million,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20"/>
                <w:szCs w:val="20"/>
                <w:color w:val="auto"/>
              </w:rPr>
            </w:pPr>
            <w:r>
              <w:rPr>
                <w:rFonts w:ascii="Arial" w:cs="Arial" w:eastAsia="Arial" w:hAnsi="Arial"/>
                <w:sz w:val="16"/>
                <w:szCs w:val="16"/>
                <w:b w:val="1"/>
                <w:bCs w:val="1"/>
                <w:color w:val="auto"/>
              </w:rPr>
              <w:t>Note 15: Net Revenues Classifications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51"/>
        </w:trPr>
        <w:tc>
          <w:tcPr>
            <w:tcW w:w="4000" w:type="dxa"/>
            <w:vAlign w:val="bottom"/>
          </w:tcPr>
          <w:p>
            <w:pPr>
              <w:spacing w:after="0"/>
              <w:rPr>
                <w:sz w:val="20"/>
                <w:szCs w:val="20"/>
                <w:color w:val="auto"/>
              </w:rPr>
            </w:pPr>
            <w:r>
              <w:rPr>
                <w:rFonts w:ascii="Arial" w:cs="Arial" w:eastAsia="Arial" w:hAnsi="Arial"/>
                <w:sz w:val="16"/>
                <w:szCs w:val="16"/>
                <w:color w:val="auto"/>
              </w:rPr>
              <w:t>Net revenue by product class: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1"/>
        </w:trPr>
        <w:tc>
          <w:tcPr>
            <w:tcW w:w="4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August 27, 2011</w:t>
            </w:r>
          </w:p>
        </w:tc>
        <w:tc>
          <w:tcPr>
            <w:tcW w:w="4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August 28, 2010</w:t>
            </w:r>
          </w:p>
        </w:tc>
        <w:tc>
          <w:tcPr>
            <w:tcW w:w="4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August 29, 2009</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443,232</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89.3%</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415,277</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92.4%</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178,619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Towables</w:t>
            </w:r>
          </w:p>
        </w:tc>
        <w:tc>
          <w:tcPr>
            <w:tcW w:w="340" w:type="dxa"/>
            <w:vAlign w:val="bottom"/>
          </w:tcPr>
          <w:p>
            <w:pPr>
              <w:spacing w:after="0"/>
              <w:rPr>
                <w:sz w:val="22"/>
                <w:szCs w:val="22"/>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16,712</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44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13,105</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13,655</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12,559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23,369</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20,552</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20,341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6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496,418</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449,484</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211,519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41"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47"/>
        </w:trPr>
        <w:tc>
          <w:tcPr>
            <w:tcW w:w="4000" w:type="dxa"/>
            <w:vAlign w:val="bottom"/>
            <w:gridSpan w:val="2"/>
          </w:tcPr>
          <w:p>
            <w:pPr>
              <w:spacing w:after="0"/>
              <w:rPr>
                <w:sz w:val="20"/>
                <w:szCs w:val="20"/>
                <w:color w:val="auto"/>
              </w:rPr>
            </w:pPr>
            <w:r>
              <w:rPr>
                <w:rFonts w:ascii="Arial" w:cs="Arial" w:eastAsia="Arial" w:hAnsi="Arial"/>
                <w:sz w:val="16"/>
                <w:szCs w:val="16"/>
                <w:color w:val="auto"/>
              </w:rPr>
              <w:t>Net revenue by geographic area:</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4"/>
        </w:trPr>
        <w:tc>
          <w:tcPr>
            <w:tcW w:w="4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August 27, 2011</w:t>
            </w:r>
          </w:p>
        </w:tc>
        <w:tc>
          <w:tcPr>
            <w:tcW w:w="4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August 28, 2010</w:t>
            </w:r>
          </w:p>
        </w:tc>
        <w:tc>
          <w:tcPr>
            <w:tcW w:w="4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August 29, 2009</w:t>
            </w: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446,616</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413,154</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91.9%</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199,579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264"/>
        </w:trPr>
        <w:tc>
          <w:tcPr>
            <w:tcW w:w="4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49,802</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36,330</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11,940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6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496,418</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449,484</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211,519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Income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23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August 27, 2011</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August 28, 2010</w:t>
            </w: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August 29, 2009</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per share - basic</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3"/>
        </w:trPr>
        <w:tc>
          <w:tcPr>
            <w:tcW w:w="63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11,843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10,247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99"/>
              <w:spacing w:after="0"/>
              <w:rPr>
                <w:sz w:val="20"/>
                <w:szCs w:val="20"/>
                <w:color w:val="auto"/>
              </w:rPr>
            </w:pPr>
            <w:r>
              <w:rPr>
                <w:rFonts w:ascii="Arial" w:cs="Arial" w:eastAsia="Arial" w:hAnsi="Arial"/>
                <w:sz w:val="16"/>
                <w:szCs w:val="16"/>
                <w:color w:val="auto"/>
              </w:rPr>
              <w:t>(78,766)</w:t>
            </w:r>
          </w:p>
        </w:tc>
      </w:tr>
      <w:tr>
        <w:trPr>
          <w:trHeight w:val="25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29,121</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29,091</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29,040</w:t>
            </w:r>
          </w:p>
        </w:tc>
      </w:tr>
      <w:tr>
        <w:trPr>
          <w:trHeight w:val="233"/>
        </w:trPr>
        <w:tc>
          <w:tcPr>
            <w:tcW w:w="6360" w:type="dxa"/>
            <w:vAlign w:val="bottom"/>
          </w:tcPr>
          <w:p>
            <w:pPr>
              <w:ind w:left="40"/>
              <w:spacing w:after="0"/>
              <w:rPr>
                <w:sz w:val="20"/>
                <w:szCs w:val="20"/>
                <w:color w:val="auto"/>
              </w:rPr>
            </w:pPr>
            <w:r>
              <w:rPr>
                <w:rFonts w:ascii="Arial" w:cs="Arial" w:eastAsia="Arial" w:hAnsi="Arial"/>
                <w:sz w:val="16"/>
                <w:szCs w:val="16"/>
                <w:color w:val="auto"/>
              </w:rPr>
              <w:t>Net income (loss) per share - basic</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0.41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0.35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99"/>
              <w:spacing w:after="0"/>
              <w:rPr>
                <w:sz w:val="20"/>
                <w:szCs w:val="20"/>
                <w:color w:val="auto"/>
              </w:rPr>
            </w:pPr>
            <w:r>
              <w:rPr>
                <w:rFonts w:ascii="Arial" w:cs="Arial" w:eastAsia="Arial" w:hAnsi="Arial"/>
                <w:sz w:val="16"/>
                <w:szCs w:val="16"/>
                <w:color w:val="auto"/>
              </w:rPr>
              <w:t>(2.71)</w:t>
            </w:r>
          </w:p>
        </w:tc>
      </w:tr>
      <w:tr>
        <w:trPr>
          <w:trHeight w:val="293"/>
        </w:trPr>
        <w:tc>
          <w:tcPr>
            <w:tcW w:w="6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Income (loss) per share - assuming dilution</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(78,766)</w:t>
            </w:r>
          </w:p>
        </w:tc>
      </w:tr>
      <w:tr>
        <w:trPr>
          <w:trHeight w:val="233"/>
        </w:trPr>
        <w:tc>
          <w:tcPr>
            <w:tcW w:w="636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29,121</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29,091</w:t>
            </w:r>
          </w:p>
        </w:tc>
        <w:tc>
          <w:tcPr>
            <w:tcW w:w="280" w:type="dxa"/>
            <w:vAlign w:val="bottom"/>
          </w:tcPr>
          <w:p>
            <w:pPr>
              <w:spacing w:after="0"/>
              <w:rPr>
                <w:sz w:val="20"/>
                <w:szCs w:val="20"/>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29,040</w:t>
            </w:r>
          </w:p>
        </w:tc>
      </w:tr>
      <w:tr>
        <w:trPr>
          <w:trHeight w:val="25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w:t>
            </w:r>
          </w:p>
        </w:tc>
      </w:tr>
      <w:tr>
        <w:trPr>
          <w:trHeight w:val="233"/>
        </w:trPr>
        <w:tc>
          <w:tcPr>
            <w:tcW w:w="636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29,148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29,101</w:t>
            </w:r>
          </w:p>
        </w:tc>
        <w:tc>
          <w:tcPr>
            <w:tcW w:w="280" w:type="dxa"/>
            <w:vAlign w:val="bottom"/>
          </w:tcPr>
          <w:p>
            <w:pPr>
              <w:spacing w:after="0"/>
              <w:rPr>
                <w:sz w:val="20"/>
                <w:szCs w:val="20"/>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29,051</w:t>
            </w:r>
          </w:p>
        </w:tc>
      </w:tr>
      <w:tr>
        <w:trPr>
          <w:trHeight w:val="25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share - assuming dilution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(2.71)</w:t>
            </w:r>
          </w:p>
        </w:tc>
      </w:tr>
    </w:tbl>
    <w:p>
      <w:pPr>
        <w:spacing w:after="0" w:line="191"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 xml:space="preserve">For the fiscal years ended August 27, 2011, August 28, 2010 and August 29, 2009, there were options outstanding to purchase 812,983 shares, 927,815 shares and 1,010,224 shares, respectively, of common stock at an average price of $28.84, $28.08 and $27.31,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20"/>
                <w:szCs w:val="20"/>
                <w:color w:val="auto"/>
              </w:rPr>
            </w:pPr>
            <w:r>
              <w:rPr>
                <w:rFonts w:ascii="Arial" w:cs="Arial" w:eastAsia="Arial" w:hAnsi="Arial"/>
                <w:sz w:val="16"/>
                <w:szCs w:val="16"/>
                <w:b w:val="1"/>
                <w:bCs w:val="1"/>
                <w:color w:val="auto"/>
              </w:rPr>
              <w:t>Note 17: Interim Financial Information (Unaudited)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526"/>
        </w:trPr>
        <w:tc>
          <w:tcPr>
            <w:tcW w:w="4760" w:type="dxa"/>
            <w:vAlign w:val="bottom"/>
          </w:tcPr>
          <w:p>
            <w:pPr>
              <w:ind w:left="40"/>
              <w:spacing w:after="0"/>
              <w:rPr>
                <w:sz w:val="20"/>
                <w:szCs w:val="20"/>
                <w:color w:val="auto"/>
              </w:rPr>
            </w:pPr>
            <w:r>
              <w:rPr>
                <w:rFonts w:ascii="Arial" w:cs="Arial" w:eastAsia="Arial" w:hAnsi="Arial"/>
                <w:sz w:val="16"/>
                <w:szCs w:val="16"/>
                <w:b w:val="1"/>
                <w:bCs w:val="1"/>
                <w:color w:val="auto"/>
              </w:rPr>
              <w:t>Fiscal 2011</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8"/>
        </w:trPr>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27,</w:t>
            </w:r>
          </w:p>
        </w:tc>
        <w:tc>
          <w:tcPr>
            <w:tcW w:w="30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26,</w:t>
            </w:r>
          </w:p>
        </w:tc>
        <w:tc>
          <w:tcPr>
            <w:tcW w:w="500" w:type="dxa"/>
            <w:vAlign w:val="bottom"/>
          </w:tcPr>
          <w:p>
            <w:pPr>
              <w:spacing w:after="0"/>
              <w:rPr>
                <w:sz w:val="17"/>
                <w:szCs w:val="17"/>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28,</w:t>
            </w:r>
          </w:p>
        </w:tc>
        <w:tc>
          <w:tcPr>
            <w:tcW w:w="280" w:type="dxa"/>
            <w:vAlign w:val="bottom"/>
          </w:tcPr>
          <w:p>
            <w:pPr>
              <w:spacing w:after="0"/>
              <w:rPr>
                <w:sz w:val="17"/>
                <w:szCs w:val="17"/>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2010</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2011</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43"/>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123,711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106,593</w:t>
            </w: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135,568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130,546</w:t>
            </w:r>
          </w:p>
        </w:tc>
      </w:tr>
      <w:tr>
        <w:trPr>
          <w:trHeight w:val="233"/>
        </w:trPr>
        <w:tc>
          <w:tcPr>
            <w:tcW w:w="47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11,199</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11,324</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8,703</w:t>
            </w:r>
          </w:p>
        </w:tc>
        <w:tc>
          <w:tcPr>
            <w:tcW w:w="2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8,528</w:t>
            </w:r>
          </w:p>
        </w:tc>
      </w:tr>
      <w:tr>
        <w:trPr>
          <w:trHeight w:val="253"/>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1,766</w:t>
            </w:r>
          </w:p>
        </w:tc>
      </w:tr>
      <w:tr>
        <w:trPr>
          <w:trHeight w:val="233"/>
        </w:trPr>
        <w:tc>
          <w:tcPr>
            <w:tcW w:w="47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3,786</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3,315</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1,195</w:t>
            </w:r>
          </w:p>
        </w:tc>
        <w:tc>
          <w:tcPr>
            <w:tcW w:w="2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3,547</w:t>
            </w:r>
          </w:p>
        </w:tc>
      </w:tr>
      <w:tr>
        <w:trPr>
          <w:trHeight w:val="253"/>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Net income per share (diluted)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0.13</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0.11</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0.04</w:t>
            </w:r>
          </w:p>
        </w:tc>
        <w:tc>
          <w:tcPr>
            <w:tcW w:w="28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0.12</w:t>
            </w:r>
          </w:p>
        </w:tc>
      </w:tr>
      <w:tr>
        <w:trPr>
          <w:trHeight w:val="391"/>
        </w:trPr>
        <w:tc>
          <w:tcPr>
            <w:tcW w:w="4760" w:type="dxa"/>
            <w:vAlign w:val="bottom"/>
          </w:tcPr>
          <w:p>
            <w:pPr>
              <w:ind w:left="40"/>
              <w:spacing w:after="0"/>
              <w:rPr>
                <w:sz w:val="20"/>
                <w:szCs w:val="20"/>
                <w:color w:val="auto"/>
              </w:rPr>
            </w:pPr>
            <w:r>
              <w:rPr>
                <w:rFonts w:ascii="Arial" w:cs="Arial" w:eastAsia="Arial" w:hAnsi="Arial"/>
                <w:sz w:val="16"/>
                <w:szCs w:val="16"/>
                <w:b w:val="1"/>
                <w:bCs w:val="1"/>
                <w:color w:val="auto"/>
              </w:rPr>
              <w:t>Fiscal 2010</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Quarter Ended</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8"/>
        </w:trPr>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November 28,</w:t>
            </w:r>
          </w:p>
        </w:tc>
        <w:tc>
          <w:tcPr>
            <w:tcW w:w="300" w:type="dxa"/>
            <w:vAlign w:val="bottom"/>
          </w:tcPr>
          <w:p>
            <w:pPr>
              <w:spacing w:after="0"/>
              <w:rPr>
                <w:sz w:val="17"/>
                <w:szCs w:val="17"/>
                <w:color w:val="auto"/>
              </w:rPr>
            </w:pPr>
          </w:p>
        </w:tc>
        <w:tc>
          <w:tcPr>
            <w:tcW w:w="136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27,</w:t>
            </w:r>
          </w:p>
        </w:tc>
        <w:tc>
          <w:tcPr>
            <w:tcW w:w="50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29,</w:t>
            </w:r>
          </w:p>
        </w:tc>
        <w:tc>
          <w:tcPr>
            <w:tcW w:w="280" w:type="dxa"/>
            <w:vAlign w:val="bottom"/>
          </w:tcPr>
          <w:p>
            <w:pPr>
              <w:spacing w:after="0"/>
              <w:rPr>
                <w:sz w:val="17"/>
                <w:szCs w:val="17"/>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r>
      <w:tr>
        <w:trPr>
          <w:trHeight w:val="22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2009</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2010</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2010</w:t>
            </w:r>
          </w:p>
        </w:tc>
      </w:tr>
      <w:tr>
        <w:trPr>
          <w:trHeight w:val="243"/>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81,017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110,529</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134,813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123,125</w:t>
            </w:r>
          </w:p>
        </w:tc>
      </w:tr>
      <w:tr>
        <w:trPr>
          <w:trHeight w:val="233"/>
        </w:trPr>
        <w:tc>
          <w:tcPr>
            <w:tcW w:w="47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524</w:t>
            </w:r>
          </w:p>
        </w:tc>
        <w:tc>
          <w:tcPr>
            <w:tcW w:w="3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4,784</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9,755</w:t>
            </w:r>
          </w:p>
        </w:tc>
        <w:tc>
          <w:tcPr>
            <w:tcW w:w="2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11,204</w:t>
            </w:r>
          </w:p>
        </w:tc>
      </w:tr>
      <w:tr>
        <w:trPr>
          <w:trHeight w:val="253"/>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(5,977)</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(1,858)</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4,951</w:t>
            </w:r>
          </w:p>
        </w:tc>
      </w:tr>
      <w:tr>
        <w:trPr>
          <w:trHeight w:val="233"/>
        </w:trPr>
        <w:tc>
          <w:tcPr>
            <w:tcW w:w="476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(1,344)</w:t>
            </w:r>
          </w:p>
        </w:tc>
        <w:tc>
          <w:tcPr>
            <w:tcW w:w="3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706</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5,992</w:t>
            </w:r>
          </w:p>
        </w:tc>
        <w:tc>
          <w:tcPr>
            <w:tcW w:w="2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4,893</w:t>
            </w:r>
          </w:p>
        </w:tc>
      </w:tr>
      <w:tr>
        <w:trPr>
          <w:trHeight w:val="253"/>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 per share (basic)</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(0.05)</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0.02</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0.17</w:t>
            </w:r>
          </w:p>
        </w:tc>
      </w:tr>
      <w:tr>
        <w:trPr>
          <w:trHeight w:val="224"/>
        </w:trPr>
        <w:tc>
          <w:tcPr>
            <w:tcW w:w="4760" w:type="dxa"/>
            <w:vAlign w:val="bottom"/>
          </w:tcPr>
          <w:p>
            <w:pPr>
              <w:ind w:left="40"/>
              <w:spacing w:after="0"/>
              <w:rPr>
                <w:sz w:val="20"/>
                <w:szCs w:val="20"/>
                <w:color w:val="auto"/>
              </w:rPr>
            </w:pPr>
            <w:r>
              <w:rPr>
                <w:rFonts w:ascii="Arial" w:cs="Arial" w:eastAsia="Arial" w:hAnsi="Arial"/>
                <w:sz w:val="16"/>
                <w:szCs w:val="16"/>
                <w:color w:val="auto"/>
              </w:rPr>
              <w:t>Net (loss) income per share (diluted)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(0.05)</w:t>
            </w:r>
          </w:p>
        </w:tc>
        <w:tc>
          <w:tcPr>
            <w:tcW w:w="30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0.02</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0.21</w:t>
            </w:r>
          </w:p>
        </w:tc>
        <w:tc>
          <w:tcPr>
            <w:tcW w:w="28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0.17</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18"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56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47"/>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Note 18: Comprehensive Income</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5"/>
        </w:trPr>
        <w:tc>
          <w:tcPr>
            <w:tcW w:w="5660" w:type="dxa"/>
            <w:vAlign w:val="bottom"/>
            <w:gridSpan w:val="2"/>
          </w:tcPr>
          <w:p>
            <w:pPr>
              <w:spacing w:after="0"/>
              <w:rPr>
                <w:sz w:val="20"/>
                <w:szCs w:val="20"/>
                <w:color w:val="auto"/>
              </w:rPr>
            </w:pPr>
            <w:r>
              <w:rPr>
                <w:rFonts w:ascii="Arial" w:cs="Arial" w:eastAsia="Arial" w:hAnsi="Arial"/>
                <w:sz w:val="16"/>
                <w:szCs w:val="16"/>
                <w:color w:val="auto"/>
              </w:rPr>
              <w:t>Comprehensive income, net of tax, consists of:</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37"/>
        </w:trPr>
        <w:tc>
          <w:tcPr>
            <w:tcW w:w="5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August 27, 2011</w:t>
            </w: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August 28, 2010</w:t>
            </w: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August 29, 2009</w:t>
            </w:r>
          </w:p>
        </w:tc>
      </w:tr>
      <w:tr>
        <w:trPr>
          <w:trHeight w:val="243"/>
        </w:trPr>
        <w:tc>
          <w:tcPr>
            <w:tcW w:w="5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11,843</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10,247</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(78,766)</w:t>
            </w:r>
          </w:p>
        </w:tc>
      </w:tr>
      <w:tr>
        <w:trPr>
          <w:trHeight w:val="233"/>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Unrealized (depreciation) appreciation of investments</w:t>
            </w:r>
          </w:p>
        </w:tc>
        <w:tc>
          <w:tcPr>
            <w:tcW w:w="280" w:type="dxa"/>
            <w:vAlign w:val="bottom"/>
          </w:tcPr>
          <w:p>
            <w:pPr>
              <w:spacing w:after="0"/>
              <w:rPr>
                <w:sz w:val="20"/>
                <w:szCs w:val="20"/>
                <w:color w:val="auto"/>
              </w:rPr>
            </w:pPr>
          </w:p>
        </w:tc>
        <w:tc>
          <w:tcPr>
            <w:tcW w:w="1480" w:type="dxa"/>
            <w:vAlign w:val="bottom"/>
            <w:gridSpan w:val="2"/>
          </w:tcPr>
          <w:p>
            <w:pPr>
              <w:jc w:val="right"/>
              <w:ind w:right="139"/>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213</w:t>
            </w:r>
          </w:p>
        </w:tc>
        <w:tc>
          <w:tcPr>
            <w:tcW w:w="360" w:type="dxa"/>
            <w:vAlign w:val="bottom"/>
          </w:tcPr>
          <w:p>
            <w:pPr>
              <w:spacing w:after="0"/>
              <w:rPr>
                <w:sz w:val="20"/>
                <w:szCs w:val="20"/>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970</w:t>
            </w:r>
          </w:p>
        </w:tc>
      </w:tr>
      <w:tr>
        <w:trPr>
          <w:trHeight w:val="253"/>
        </w:trPr>
        <w:tc>
          <w:tcPr>
            <w:tcW w:w="5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actuarial loss</w:t>
            </w:r>
          </w:p>
        </w:tc>
        <w:tc>
          <w:tcPr>
            <w:tcW w:w="2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685</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548</w:t>
            </w:r>
          </w:p>
        </w:tc>
        <w:tc>
          <w:tcPr>
            <w:tcW w:w="3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438</w:t>
            </w:r>
          </w:p>
        </w:tc>
      </w:tr>
      <w:tr>
        <w:trPr>
          <w:trHeight w:val="233"/>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Decrease (increase) in actuarial loss</w:t>
            </w:r>
          </w:p>
        </w:tc>
        <w:tc>
          <w:tcPr>
            <w:tcW w:w="280" w:type="dxa"/>
            <w:vAlign w:val="bottom"/>
          </w:tcPr>
          <w:p>
            <w:pPr>
              <w:spacing w:after="0"/>
              <w:rPr>
                <w:sz w:val="20"/>
                <w:szCs w:val="20"/>
                <w:color w:val="auto"/>
              </w:rPr>
            </w:pP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245</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(3,451)</w:t>
            </w:r>
          </w:p>
        </w:tc>
        <w:tc>
          <w:tcPr>
            <w:tcW w:w="360" w:type="dxa"/>
            <w:vAlign w:val="bottom"/>
          </w:tcPr>
          <w:p>
            <w:pPr>
              <w:spacing w:after="0"/>
              <w:rPr>
                <w:sz w:val="20"/>
                <w:szCs w:val="20"/>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(1,988)</w:t>
            </w:r>
          </w:p>
        </w:tc>
      </w:tr>
      <w:tr>
        <w:trPr>
          <w:trHeight w:val="246"/>
        </w:trPr>
        <w:tc>
          <w:tcPr>
            <w:tcW w:w="5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(2,621)</w:t>
            </w: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(2,608)</w:t>
            </w:r>
          </w:p>
        </w:tc>
        <w:tc>
          <w:tcPr>
            <w:tcW w:w="3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(2,693)</w:t>
            </w:r>
          </w:p>
        </w:tc>
      </w:tr>
      <w:tr>
        <w:trPr>
          <w:trHeight w:val="240"/>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10,147</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4,949</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(82,039)</w:t>
            </w:r>
          </w:p>
        </w:tc>
      </w:tr>
      <w:tr>
        <w:trPr>
          <w:trHeight w:val="20"/>
        </w:trPr>
        <w:tc>
          <w:tcPr>
            <w:tcW w:w="1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69"/>
        </w:trPr>
        <w:tc>
          <w:tcPr>
            <w:tcW w:w="5940" w:type="dxa"/>
            <w:vAlign w:val="bottom"/>
            <w:gridSpan w:val="3"/>
          </w:tcPr>
          <w:p>
            <w:pPr>
              <w:spacing w:after="0"/>
              <w:rPr>
                <w:sz w:val="20"/>
                <w:szCs w:val="20"/>
                <w:color w:val="auto"/>
              </w:rPr>
            </w:pPr>
            <w:r>
              <w:rPr>
                <w:rFonts w:ascii="Arial" w:cs="Arial" w:eastAsia="Arial" w:hAnsi="Arial"/>
                <w:sz w:val="16"/>
                <w:szCs w:val="16"/>
                <w:color w:val="auto"/>
              </w:rPr>
              <w:t>Components of accumulated other comprehensive (loss) income, net of tax, were:</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As Of</w:t>
            </w: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37"/>
        </w:trPr>
        <w:tc>
          <w:tcPr>
            <w:tcW w:w="5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August 27, 2011</w:t>
            </w:r>
          </w:p>
        </w:tc>
        <w:tc>
          <w:tcPr>
            <w:tcW w:w="8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August 28, 2010</w:t>
            </w:r>
          </w:p>
        </w:tc>
      </w:tr>
      <w:tr>
        <w:trPr>
          <w:trHeight w:val="243"/>
        </w:trPr>
        <w:tc>
          <w:tcPr>
            <w:tcW w:w="5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 of investments</w:t>
            </w:r>
          </w:p>
        </w:tc>
        <w:tc>
          <w:tcPr>
            <w:tcW w:w="2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(41)</w:t>
            </w:r>
          </w:p>
        </w:tc>
      </w:tr>
      <w:tr>
        <w:trPr>
          <w:trHeight w:val="233"/>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Actuarial loss</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(11,452)</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jc w:val="right"/>
              <w:ind w:right="399"/>
              <w:spacing w:after="0"/>
              <w:rPr>
                <w:sz w:val="20"/>
                <w:szCs w:val="20"/>
                <w:color w:val="auto"/>
              </w:rPr>
            </w:pPr>
            <w:r>
              <w:rPr>
                <w:rFonts w:ascii="Arial" w:cs="Arial" w:eastAsia="Arial" w:hAnsi="Arial"/>
                <w:sz w:val="16"/>
                <w:szCs w:val="16"/>
                <w:color w:val="auto"/>
              </w:rPr>
              <w:t>(12,382)</w:t>
            </w:r>
          </w:p>
        </w:tc>
      </w:tr>
      <w:tr>
        <w:trPr>
          <w:trHeight w:val="246"/>
        </w:trPr>
        <w:tc>
          <w:tcPr>
            <w:tcW w:w="5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Prior service benefit</w:t>
            </w: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11,044</w:t>
            </w:r>
          </w:p>
        </w:tc>
        <w:tc>
          <w:tcPr>
            <w:tcW w:w="8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13,665</w:t>
            </w:r>
          </w:p>
        </w:tc>
      </w:tr>
      <w:tr>
        <w:trPr>
          <w:trHeight w:val="240"/>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Accumulated other comprehensive (loss) income</w:t>
            </w:r>
          </w:p>
        </w:tc>
        <w:tc>
          <w:tcPr>
            <w:tcW w:w="280" w:type="dxa"/>
            <w:vAlign w:val="bottom"/>
          </w:tcPr>
          <w:p>
            <w:pPr>
              <w:spacing w:after="0"/>
              <w:rPr>
                <w:sz w:val="20"/>
                <w:szCs w:val="20"/>
                <w:color w:val="auto"/>
              </w:rPr>
            </w:pPr>
          </w:p>
        </w:tc>
        <w:tc>
          <w:tcPr>
            <w:tcW w:w="148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(454)</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1,242</w:t>
            </w:r>
          </w:p>
        </w:tc>
      </w:tr>
      <w:tr>
        <w:trPr>
          <w:trHeight w:val="20"/>
        </w:trPr>
        <w:tc>
          <w:tcPr>
            <w:tcW w:w="1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Related Party Transactions</w:t>
      </w:r>
    </w:p>
    <w:p>
      <w:pPr>
        <w:spacing w:after="0" w:line="21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president of our Towables operation and former majority owner of SunnyBrook is a majority owner of FFT Land Management which leased manufacturing and office space to us in Middlebury, Indiana from January 1, 2011 to December 31, 2015 with annual payments of $660,000. For the eight months ended August 27, 2011, we recorded rent expense associated with the lease of $440,000. We believe that the lease agreement terms are similar to those that would result from arm's-length negotiations between unrelated parties.</w:t>
      </w:r>
    </w:p>
    <w:p>
      <w:pPr>
        <w:spacing w:after="0" w:line="156" w:lineRule="exact"/>
        <w:rPr>
          <w:sz w:val="20"/>
          <w:szCs w:val="20"/>
          <w:color w:val="auto"/>
        </w:rPr>
      </w:pPr>
    </w:p>
    <w:p>
      <w:pPr>
        <w:ind w:right="4440"/>
        <w:spacing w:after="0" w:line="475" w:lineRule="auto"/>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color w:val="auto"/>
        </w:rPr>
        <w:t>Changes in and Disagreements with Accountants on Accounting and Financial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Management's report on internal control over financial reporting as of August 27, 2011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color w:val="auto"/>
        </w:rPr>
        <w:t>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color w:val="auto"/>
        </w:rPr>
        <w:t>Directors, Executive Officers and Corporate Governance</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"Board of Directors, Committees of the Board and Corporate Governance", "Section 16(a) Beneficial Ownership Reporting Compliance", "Election of Directors" and "Fiscal Year 2012 Shareholder Proposals" in our Proxy Statement for the Annual Meeting of Shareholders scheduled to be held December 13, 2011, which information is incorporated by reference herein.</w:t>
      </w:r>
    </w:p>
    <w:p>
      <w:pPr>
        <w:spacing w:after="0" w:line="14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We have adopted a written code of ethics, the "Code of Ethics for CEO and Senior Financial Officers" (the "Code") which is applicable to our Chief Executive Officer, Chief Financial Officer, and Treasurer (collectively, the "Senior Officers"). In accordance with the rules and regulations of the SEC, a copy of the Code has been filed as an exhibit to this Form 10-K and is posted on our website.</w:t>
      </w:r>
    </w:p>
    <w:p>
      <w:pPr>
        <w:spacing w:after="0" w:line="14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color w:val="auto"/>
        </w:rPr>
        <w:t>Executive Compensation</w:t>
      </w:r>
    </w:p>
    <w:p>
      <w:pPr>
        <w:spacing w:after="0" w:line="18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13, 2011,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color w:val="auto"/>
        </w:rPr>
        <w:t>Security Ownership of Certain Beneficial Owners and Management and Related Stockholder Matters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13, 2011, which information is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color w:val="auto"/>
        </w:rPr>
        <w:t>Certain Relationships and Related Transactions, and Director Independence</w:t>
      </w:r>
    </w:p>
    <w:p>
      <w:pPr>
        <w:spacing w:after="0" w:line="18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13, 2011,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color w:val="auto"/>
        </w:rPr>
        <w:t>Principal Accounting Fees and Services</w:t>
      </w:r>
    </w:p>
    <w:p>
      <w:pPr>
        <w:spacing w:after="0" w:line="18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13, 2011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Schedules</w:t>
      </w:r>
    </w:p>
    <w:p>
      <w:pPr>
        <w:spacing w:after="0" w:line="18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consolidated financial statements are included in Item 8 and an index to financial statements appears on page 22 of this report.</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167" w:lineRule="exact"/>
        <w:rPr>
          <w:rFonts w:ascii="Arial" w:cs="Arial" w:eastAsia="Arial" w:hAnsi="Arial"/>
          <w:sz w:val="16"/>
          <w:szCs w:val="16"/>
          <w:color w:val="auto"/>
        </w:rPr>
      </w:pPr>
    </w:p>
    <w:p>
      <w:pPr>
        <w:ind w:left="340" w:right="340"/>
        <w:spacing w:after="0" w:line="260" w:lineRule="auto"/>
        <w:rPr>
          <w:rFonts w:ascii="Arial" w:cs="Arial" w:eastAsia="Arial" w:hAnsi="Arial"/>
          <w:sz w:val="16"/>
          <w:szCs w:val="16"/>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Exhibits: See Exhibit Index on pages 49-51.</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141" w:right="27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WINNEBAGO INDUSTRIES, INC.</w:t>
      </w:r>
    </w:p>
    <w:p>
      <w:pPr>
        <w:spacing w:after="0" w:line="370"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19050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6"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Randy J. Potts</w:t>
      </w:r>
    </w:p>
    <w:p>
      <w:pPr>
        <w:spacing w:after="0" w:line="370"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Chief Executive Officer and President</w:t>
      </w:r>
    </w:p>
    <w:p>
      <w:pPr>
        <w:spacing w:after="0" w:line="86"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(Principal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25, 2011</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25, 2011, by the following persons on behalf of the Registrant and in the capacities indicated.</w:t>
      </w:r>
    </w:p>
    <w:p>
      <w:pPr>
        <w:sectPr>
          <w:pgSz w:w="11900" w:h="16838" w:orient="portrait"/>
          <w:cols w:equalWidth="0" w:num="1">
            <w:col w:w="11080"/>
          </w:cols>
          <w:pgMar w:left="240" w:top="141" w:right="579" w:bottom="1440" w:gutter="0" w:footer="0" w:header="0"/>
        </w:sectPr>
      </w:pPr>
    </w:p>
    <w:p>
      <w:pPr>
        <w:spacing w:after="0" w:line="149" w:lineRule="exact"/>
        <w:rPr>
          <w:sz w:val="20"/>
          <w:szCs w:val="20"/>
          <w:color w:val="auto"/>
        </w:rPr>
      </w:pPr>
    </w:p>
    <w:p>
      <w:pPr>
        <w:jc w:val="right"/>
        <w:ind w:right="2200"/>
        <w:spacing w:after="0"/>
        <w:rPr>
          <w:sz w:val="20"/>
          <w:szCs w:val="20"/>
          <w:color w:val="auto"/>
        </w:rPr>
      </w:pPr>
      <w:r>
        <w:rPr>
          <w:rFonts w:ascii="Arial" w:cs="Arial" w:eastAsia="Arial" w:hAnsi="Arial"/>
          <w:sz w:val="16"/>
          <w:szCs w:val="16"/>
          <w:b w:val="1"/>
          <w:bCs w:val="1"/>
          <w:u w:val="single" w:color="auto"/>
          <w:color w:val="auto"/>
        </w:rPr>
        <w:t>Signature</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Randy J. Potts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Sarah N. Nielsen</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J. Olson</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Irvin E. 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Irvin E. Aal</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M. Chiusano</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Jerry N.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Jerry N. Currie</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W.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W. England</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Lawrence A. Erickson</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John V.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V. Hanson</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Gerald C. Kitch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Gerald C. Kitch</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 (Chairman)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ectPr>
          <w:pgSz w:w="11900" w:h="16838" w:orient="portrait"/>
          <w:cols w:equalWidth="0" w:num="2">
            <w:col w:w="4920" w:space="720"/>
            <w:col w:w="5440"/>
          </w:cols>
          <w:pgMar w:left="240" w:top="141" w:right="579" w:bottom="1440" w:gutter="0" w:footer="0" w:header="0"/>
          <w:type w:val="continuous"/>
        </w:sectPr>
      </w:pPr>
    </w:p>
    <w:p>
      <w:pPr>
        <w:spacing w:after="0" w:line="7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080"/>
          </w:cols>
          <w:pgMar w:left="240" w:top="141" w:right="57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187" w:lineRule="exact"/>
        <w:rPr>
          <w:sz w:val="20"/>
          <w:szCs w:val="20"/>
          <w:color w:val="auto"/>
        </w:rPr>
      </w:pPr>
    </w:p>
    <w:p>
      <w:pPr>
        <w:ind w:left="500" w:right="420" w:hanging="499"/>
        <w:spacing w:after="0" w:line="260" w:lineRule="auto"/>
        <w:tabs>
          <w:tab w:leader="none" w:pos="480" w:val="left"/>
        </w:tabs>
        <w:rPr>
          <w:sz w:val="20"/>
          <w:szCs w:val="20"/>
          <w:color w:val="auto"/>
        </w:rPr>
      </w:pPr>
      <w:r>
        <w:rPr>
          <w:rFonts w:ascii="Arial" w:cs="Arial" w:eastAsia="Arial" w:hAnsi="Arial"/>
          <w:sz w:val="16"/>
          <w:szCs w:val="16"/>
          <w:color w:val="auto"/>
        </w:rPr>
        <w:t>3a.</w:t>
        <w:tab/>
        <w:t>Articles of Incorporation previously filed with the Registrant's Quarterly Report on Form 10-Q for the quarter ended May 27, 2000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3b.</w:t>
        <w:tab/>
        <w:t>Amended By-Laws of the Registrant previously filed with the Registrant's Current Report on Form 8-K dated March 24, 2010 (Commission File Number</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001-06403) and incorporated by reference herein.</w:t>
      </w:r>
    </w:p>
    <w:p>
      <w:pPr>
        <w:spacing w:after="0" w:line="167" w:lineRule="exact"/>
        <w:rPr>
          <w:sz w:val="20"/>
          <w:szCs w:val="20"/>
          <w:color w:val="auto"/>
        </w:rPr>
      </w:pPr>
    </w:p>
    <w:p>
      <w:pPr>
        <w:ind w:left="500" w:right="260" w:hanging="499"/>
        <w:spacing w:after="0" w:line="253" w:lineRule="auto"/>
        <w:tabs>
          <w:tab w:leader="none" w:pos="480" w:val="left"/>
        </w:tabs>
        <w:rPr>
          <w:sz w:val="20"/>
          <w:szCs w:val="20"/>
          <w:color w:val="auto"/>
        </w:rPr>
      </w:pPr>
      <w:r>
        <w:rPr>
          <w:rFonts w:ascii="Arial" w:cs="Arial" w:eastAsia="Arial" w:hAnsi="Arial"/>
          <w:sz w:val="16"/>
          <w:szCs w:val="16"/>
          <w:color w:val="auto"/>
        </w:rPr>
        <w:t>4a.</w:t>
        <w:tab/>
        <w:t>Loan and Security Agreement between Burdale Capital Finance, Inc. and Winnebago Industries, Inc. dated October 13, 2009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80" w:hanging="499"/>
        <w:spacing w:after="0" w:line="251" w:lineRule="auto"/>
        <w:tabs>
          <w:tab w:leader="none" w:pos="480" w:val="left"/>
        </w:tabs>
        <w:rPr>
          <w:sz w:val="20"/>
          <w:szCs w:val="20"/>
          <w:color w:val="auto"/>
        </w:rPr>
      </w:pPr>
      <w:r>
        <w:rPr>
          <w:rFonts w:ascii="Arial" w:cs="Arial" w:eastAsia="Arial" w:hAnsi="Arial"/>
          <w:sz w:val="16"/>
          <w:szCs w:val="16"/>
          <w:color w:val="auto"/>
        </w:rPr>
        <w:t>10a.</w:t>
        <w:tab/>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10b.</w:t>
        <w:tab/>
        <w:t>Winnebago Industries, Inc. 1997 Stock Option Plan previously filed with the Registrant's Annual Report on Form 10-K for the fiscal year ended August</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30, 1997 (Commission File Number 001-06403) and incorporated by reference herein.*</w:t>
      </w:r>
    </w:p>
    <w:p>
      <w:pPr>
        <w:spacing w:after="0" w:line="167" w:lineRule="exact"/>
        <w:rPr>
          <w:sz w:val="20"/>
          <w:szCs w:val="20"/>
          <w:color w:val="auto"/>
        </w:rPr>
      </w:pPr>
    </w:p>
    <w:p>
      <w:pPr>
        <w:ind w:left="500" w:right="120" w:hanging="499"/>
        <w:spacing w:after="0" w:line="250" w:lineRule="auto"/>
        <w:tabs>
          <w:tab w:leader="none" w:pos="480" w:val="left"/>
        </w:tabs>
        <w:rPr>
          <w:sz w:val="20"/>
          <w:szCs w:val="20"/>
          <w:color w:val="auto"/>
        </w:rPr>
      </w:pPr>
      <w:r>
        <w:rPr>
          <w:rFonts w:ascii="Arial" w:cs="Arial" w:eastAsia="Arial" w:hAnsi="Arial"/>
          <w:sz w:val="16"/>
          <w:szCs w:val="16"/>
          <w:color w:val="auto"/>
        </w:rPr>
        <w:t>10c.</w:t>
        <w:tab/>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49" w:lineRule="exact"/>
        <w:rPr>
          <w:sz w:val="20"/>
          <w:szCs w:val="20"/>
          <w:color w:val="auto"/>
        </w:rPr>
      </w:pPr>
    </w:p>
    <w:p>
      <w:pPr>
        <w:ind w:left="500" w:right="120" w:hanging="499"/>
        <w:spacing w:after="0" w:line="253" w:lineRule="auto"/>
        <w:tabs>
          <w:tab w:leader="none" w:pos="480" w:val="left"/>
        </w:tabs>
        <w:rPr>
          <w:sz w:val="20"/>
          <w:szCs w:val="20"/>
          <w:color w:val="auto"/>
        </w:rPr>
      </w:pPr>
      <w:r>
        <w:rPr>
          <w:rFonts w:ascii="Arial" w:cs="Arial" w:eastAsia="Arial" w:hAnsi="Arial"/>
          <w:sz w:val="16"/>
          <w:szCs w:val="16"/>
          <w:color w:val="auto"/>
        </w:rPr>
        <w:t>10d.</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47" w:lineRule="exact"/>
        <w:rPr>
          <w:sz w:val="20"/>
          <w:szCs w:val="20"/>
          <w:color w:val="auto"/>
        </w:rPr>
      </w:pPr>
    </w:p>
    <w:p>
      <w:pPr>
        <w:ind w:left="500" w:right="560" w:hanging="499"/>
        <w:spacing w:after="0" w:line="253" w:lineRule="auto"/>
        <w:tabs>
          <w:tab w:leader="none" w:pos="480" w:val="left"/>
        </w:tabs>
        <w:rPr>
          <w:sz w:val="20"/>
          <w:szCs w:val="20"/>
          <w:color w:val="auto"/>
        </w:rPr>
      </w:pPr>
      <w:r>
        <w:rPr>
          <w:rFonts w:ascii="Arial" w:cs="Arial" w:eastAsia="Arial" w:hAnsi="Arial"/>
          <w:sz w:val="16"/>
          <w:szCs w:val="16"/>
          <w:color w:val="auto"/>
        </w:rPr>
        <w:t>10e.</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147" w:lineRule="exact"/>
        <w:rPr>
          <w:sz w:val="20"/>
          <w:szCs w:val="20"/>
          <w:color w:val="auto"/>
        </w:rPr>
      </w:pPr>
    </w:p>
    <w:p>
      <w:pPr>
        <w:ind w:left="500" w:right="80" w:hanging="499"/>
        <w:spacing w:after="0" w:line="260" w:lineRule="auto"/>
        <w:tabs>
          <w:tab w:leader="none" w:pos="480" w:val="left"/>
        </w:tabs>
        <w:rPr>
          <w:sz w:val="20"/>
          <w:szCs w:val="20"/>
          <w:color w:val="auto"/>
        </w:rPr>
      </w:pPr>
      <w:r>
        <w:rPr>
          <w:rFonts w:ascii="Arial" w:cs="Arial" w:eastAsia="Arial" w:hAnsi="Arial"/>
          <w:sz w:val="16"/>
          <w:szCs w:val="16"/>
          <w:color w:val="auto"/>
        </w:rPr>
        <w:t>10f.</w:t>
        <w:tab/>
        <w:t>Winnebago Industries, Inc. Restricted Stock Grant Award Agreement under the 2004 Incentive Compensation Plan previously filed with the Registrant's Current Report on Form 8-K dated October 11, 2006 (Commission File Number 001-06403) and incorporated by reference herein.*</w:t>
      </w:r>
    </w:p>
    <w:p>
      <w:pPr>
        <w:spacing w:after="0" w:line="142" w:lineRule="exact"/>
        <w:rPr>
          <w:sz w:val="20"/>
          <w:szCs w:val="20"/>
          <w:color w:val="auto"/>
        </w:rPr>
      </w:pPr>
    </w:p>
    <w:p>
      <w:pPr>
        <w:ind w:left="500" w:right="140" w:hanging="499"/>
        <w:spacing w:after="0" w:line="260" w:lineRule="auto"/>
        <w:tabs>
          <w:tab w:leader="none" w:pos="480" w:val="left"/>
        </w:tabs>
        <w:rPr>
          <w:sz w:val="20"/>
          <w:szCs w:val="20"/>
          <w:color w:val="auto"/>
        </w:rPr>
      </w:pPr>
      <w:r>
        <w:rPr>
          <w:rFonts w:ascii="Arial" w:cs="Arial" w:eastAsia="Arial" w:hAnsi="Arial"/>
          <w:sz w:val="16"/>
          <w:szCs w:val="16"/>
          <w:color w:val="auto"/>
        </w:rPr>
        <w:t>10g.</w:t>
        <w:tab/>
        <w:t>Winnebago Industries, Inc. Executive Deferred Compensation Plan previously filed with the Registrant's Quarterly Report on Form 10-Q for the quarter ended November 25, 2006 (Commission File Number 001-06403) and incorporated by reference herein.*</w:t>
      </w:r>
    </w:p>
    <w:p>
      <w:pPr>
        <w:spacing w:after="0" w:line="142" w:lineRule="exact"/>
        <w:rPr>
          <w:sz w:val="20"/>
          <w:szCs w:val="20"/>
          <w:color w:val="auto"/>
        </w:rPr>
      </w:pPr>
    </w:p>
    <w:p>
      <w:pPr>
        <w:ind w:left="500" w:right="20" w:hanging="499"/>
        <w:spacing w:after="0" w:line="250" w:lineRule="auto"/>
        <w:tabs>
          <w:tab w:leader="none" w:pos="480" w:val="left"/>
        </w:tabs>
        <w:rPr>
          <w:sz w:val="20"/>
          <w:szCs w:val="20"/>
          <w:color w:val="auto"/>
        </w:rPr>
      </w:pPr>
      <w:r>
        <w:rPr>
          <w:rFonts w:ascii="Arial" w:cs="Arial" w:eastAsia="Arial" w:hAnsi="Arial"/>
          <w:sz w:val="16"/>
          <w:szCs w:val="16"/>
          <w:color w:val="auto"/>
        </w:rPr>
        <w:t>10h.</w:t>
        <w:tab/>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 and the Amendment dated March 23, 2011 previously filed with the Registrant's Quarterly Report on Form 10-Q for the quarter ended May 28, 2011 (Commission File Number 001-06403) and incorporated by reference herein.*</w:t>
      </w:r>
    </w:p>
    <w:p>
      <w:pPr>
        <w:spacing w:after="0" w:line="149" w:lineRule="exact"/>
        <w:rPr>
          <w:sz w:val="20"/>
          <w:szCs w:val="20"/>
          <w:color w:val="auto"/>
        </w:rPr>
      </w:pPr>
    </w:p>
    <w:p>
      <w:pPr>
        <w:ind w:left="500" w:right="100" w:hanging="499"/>
        <w:spacing w:after="0" w:line="250" w:lineRule="auto"/>
        <w:tabs>
          <w:tab w:leader="none" w:pos="480" w:val="left"/>
        </w:tabs>
        <w:rPr>
          <w:sz w:val="20"/>
          <w:szCs w:val="20"/>
          <w:color w:val="auto"/>
        </w:rPr>
      </w:pPr>
      <w:r>
        <w:rPr>
          <w:rFonts w:ascii="Arial" w:cs="Arial" w:eastAsia="Arial" w:hAnsi="Arial"/>
          <w:sz w:val="16"/>
          <w:szCs w:val="16"/>
          <w:color w:val="auto"/>
        </w:rPr>
        <w:t>10i.</w:t>
        <w:tab/>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49" w:lineRule="exact"/>
        <w:rPr>
          <w:sz w:val="20"/>
          <w:szCs w:val="20"/>
          <w:color w:val="auto"/>
        </w:rPr>
      </w:pPr>
    </w:p>
    <w:p>
      <w:pPr>
        <w:ind w:left="500" w:right="60" w:hanging="499"/>
        <w:spacing w:after="0" w:line="250" w:lineRule="auto"/>
        <w:tabs>
          <w:tab w:leader="none" w:pos="480" w:val="left"/>
        </w:tabs>
        <w:rPr>
          <w:sz w:val="20"/>
          <w:szCs w:val="20"/>
          <w:color w:val="auto"/>
        </w:rPr>
      </w:pPr>
      <w:r>
        <w:rPr>
          <w:rFonts w:ascii="Arial" w:cs="Arial" w:eastAsia="Arial" w:hAnsi="Arial"/>
          <w:sz w:val="16"/>
          <w:szCs w:val="16"/>
          <w:color w:val="auto"/>
        </w:rPr>
        <w:t>10j.</w:t>
        <w:tab/>
        <w:t>Winnebago Industries, Inc. Profit Sharing and Deferred Savings Investment Plan previously filed with the Registrant's Annual Report on Form 10-K for the fiscal year ended August 31, 1985 (Commission File Number 001-06403), and incorporated by reference herein,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49"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10k.</w:t>
        <w:tab/>
        <w:t>Winnebago Industries, Inc. Officers' Long-Term Incentive Plan, fiscal three-year period 2009, 2010 and 2011 previously filed with the Registrant's Current Report on Form 8-K dated June 24, 2008 (Commission File Number 001-06403) and incorporated by reference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10l.</w:t>
        <w:tab/>
        <w:t>Winnebago Industries, Inc. Officers' Long-Term Incentive Plan, fiscal three-year period 2010, 2011 and 2012 previously filed with the Registrant's Current Report on Form 8-K dated June 24, 2009 (Commission File Number 001-06403) and incorporated by reference herein.*</w:t>
      </w:r>
    </w:p>
    <w:p>
      <w:pPr>
        <w:spacing w:after="0" w:line="142" w:lineRule="exact"/>
        <w:rPr>
          <w:sz w:val="20"/>
          <w:szCs w:val="20"/>
          <w:color w:val="auto"/>
        </w:rPr>
      </w:pPr>
    </w:p>
    <w:p>
      <w:pPr>
        <w:jc w:val="both"/>
        <w:ind w:left="500" w:right="60" w:hanging="485"/>
        <w:spacing w:after="0" w:line="260" w:lineRule="auto"/>
        <w:rPr>
          <w:sz w:val="20"/>
          <w:szCs w:val="20"/>
          <w:color w:val="auto"/>
        </w:rPr>
      </w:pPr>
      <w:r>
        <w:rPr>
          <w:rFonts w:ascii="Arial" w:cs="Arial" w:eastAsia="Arial" w:hAnsi="Arial"/>
          <w:sz w:val="16"/>
          <w:szCs w:val="16"/>
          <w:color w:val="auto"/>
        </w:rPr>
        <w:t>10m. Winnebago Industries, Inc. Officers' Long-Term Incentive Plan, fiscal three-year period 2011, 2012 and 2013 previously filed with the Registrant's Current Report on Form 8-K dated July 22, 2010 (Commission File Number 001-06403) and incorporated by reference herein.*</w:t>
      </w:r>
    </w:p>
    <w:p>
      <w:pPr>
        <w:spacing w:after="0" w:line="142" w:lineRule="exact"/>
        <w:rPr>
          <w:sz w:val="20"/>
          <w:szCs w:val="20"/>
          <w:color w:val="auto"/>
        </w:rPr>
      </w:pPr>
    </w:p>
    <w:p>
      <w:pPr>
        <w:ind w:left="500" w:right="100" w:hanging="485"/>
        <w:spacing w:after="0" w:line="260" w:lineRule="auto"/>
        <w:rPr>
          <w:sz w:val="20"/>
          <w:szCs w:val="20"/>
          <w:color w:val="auto"/>
        </w:rPr>
      </w:pPr>
      <w:r>
        <w:rPr>
          <w:rFonts w:ascii="Arial" w:cs="Arial" w:eastAsia="Arial" w:hAnsi="Arial"/>
          <w:sz w:val="16"/>
          <w:szCs w:val="16"/>
          <w:color w:val="auto"/>
        </w:rPr>
        <w:t>10n. Winnebago Industries, Inc. Officers' Long-Term Incentive Plan, fiscal three-year period 2012, 2013 and 2014 previously filed with the Registrant's Current Report on Form 8-K dated June 21, 2011 (Commission File Number 001-06403) and incorporated by reference herein.*</w:t>
      </w:r>
    </w:p>
    <w:p>
      <w:pPr>
        <w:spacing w:after="0" w:line="142" w:lineRule="exact"/>
        <w:rPr>
          <w:sz w:val="20"/>
          <w:szCs w:val="20"/>
          <w:color w:val="auto"/>
        </w:rPr>
      </w:pPr>
    </w:p>
    <w:p>
      <w:pPr>
        <w:jc w:val="both"/>
        <w:ind w:left="500" w:right="80" w:hanging="485"/>
        <w:spacing w:after="0" w:line="253" w:lineRule="auto"/>
        <w:rPr>
          <w:sz w:val="20"/>
          <w:szCs w:val="20"/>
          <w:color w:val="auto"/>
        </w:rPr>
      </w:pPr>
      <w:r>
        <w:rPr>
          <w:rFonts w:ascii="Arial" w:cs="Arial" w:eastAsia="Arial" w:hAnsi="Arial"/>
          <w:sz w:val="16"/>
          <w:szCs w:val="16"/>
          <w:color w:val="auto"/>
        </w:rPr>
        <w:t>10o. Amended and Restated Executive Change of Control Agreement dated December 17, 2008 between Winnebago Industries, Inc. and Raymond M. Beebe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100" w:hanging="499"/>
        <w:spacing w:after="0" w:line="253" w:lineRule="auto"/>
        <w:tabs>
          <w:tab w:leader="none" w:pos="480" w:val="left"/>
        </w:tabs>
        <w:rPr>
          <w:sz w:val="20"/>
          <w:szCs w:val="20"/>
          <w:color w:val="auto"/>
        </w:rPr>
      </w:pPr>
      <w:r>
        <w:rPr>
          <w:rFonts w:ascii="Arial" w:cs="Arial" w:eastAsia="Arial" w:hAnsi="Arial"/>
          <w:sz w:val="16"/>
          <w:szCs w:val="16"/>
          <w:color w:val="auto"/>
        </w:rPr>
        <w:t>10p.</w:t>
        <w:tab/>
        <w:t>Amended and Restated Executive Change of Control Agreement dated December 17, 2008 between Winnebago Industries, Inc. and Robert L. Gossett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10q.</w:t>
        <w:tab/>
        <w:t>Amended and Restated Executive Change of Control Agreement dated December 17, 2008 between Winnebago Industries, Inc. and Robert J. Olson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80" w:hanging="499"/>
        <w:spacing w:after="0" w:line="253" w:lineRule="auto"/>
        <w:tabs>
          <w:tab w:leader="none" w:pos="480" w:val="left"/>
        </w:tabs>
        <w:rPr>
          <w:sz w:val="20"/>
          <w:szCs w:val="20"/>
          <w:color w:val="auto"/>
        </w:rPr>
      </w:pPr>
      <w:r>
        <w:rPr>
          <w:rFonts w:ascii="Arial" w:cs="Arial" w:eastAsia="Arial" w:hAnsi="Arial"/>
          <w:sz w:val="16"/>
          <w:szCs w:val="16"/>
          <w:color w:val="auto"/>
        </w:rPr>
        <w:t>10r.</w:t>
        <w:tab/>
        <w:t>Amended and Restated Executive Change of Control Agreement dated December 17, 2008 between Winnebago Industries, Inc. and William J. O'Leary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10s.</w:t>
        <w:tab/>
        <w:t>Amended and Restated Executive Change of Control Agreement dated December 17, 2008 between Winnebago Industries, Inc. and Sarah N. Nielsen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10t.</w:t>
        <w:tab/>
        <w:t>Amended and Restated Executive Change of Control Agreement dated December 17, 2008 between Winnebago Industries, Inc. and Roger W. Martin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10u.</w:t>
        <w:tab/>
        <w:t>Amended and Restated Executive Change of Control Agreement dated December 17, 2008 between Winnebago Industries, Inc. and Randy J. Potts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200" w:hanging="499"/>
        <w:spacing w:after="0" w:line="253" w:lineRule="auto"/>
        <w:tabs>
          <w:tab w:leader="none" w:pos="480" w:val="left"/>
        </w:tabs>
        <w:rPr>
          <w:sz w:val="20"/>
          <w:szCs w:val="20"/>
          <w:color w:val="auto"/>
        </w:rPr>
      </w:pPr>
      <w:r>
        <w:rPr>
          <w:rFonts w:ascii="Arial" w:cs="Arial" w:eastAsia="Arial" w:hAnsi="Arial"/>
          <w:sz w:val="16"/>
          <w:szCs w:val="16"/>
          <w:color w:val="auto"/>
        </w:rPr>
        <w:t>10v.</w:t>
        <w:tab/>
        <w:t>Executive Change of Control Agreement dated May 3, 2010 between Winnebago Industries, Inc. and Daryl W. Krieger previously filed with the Registrant's Quarterly Report on Form 10-Q for the quarter ended May 29, 2010 (Commission File Number 001-06403) and incorporated by reference herein.*</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10w.</w:t>
        <w:tab/>
        <w:t>Executive Change of Control between Winnebago Industries, Inc. and Donald L. Heidemann dated August 1, 2011.*</w:t>
      </w:r>
    </w:p>
    <w:p>
      <w:pPr>
        <w:spacing w:after="0" w:line="167" w:lineRule="exact"/>
        <w:rPr>
          <w:sz w:val="20"/>
          <w:szCs w:val="20"/>
          <w:color w:val="auto"/>
        </w:rPr>
      </w:pPr>
    </w:p>
    <w:p>
      <w:pPr>
        <w:ind w:left="500" w:hanging="499"/>
        <w:spacing w:after="0" w:line="260" w:lineRule="auto"/>
        <w:tabs>
          <w:tab w:leader="none" w:pos="480" w:val="left"/>
        </w:tabs>
        <w:rPr>
          <w:sz w:val="20"/>
          <w:szCs w:val="20"/>
          <w:color w:val="auto"/>
        </w:rPr>
      </w:pPr>
      <w:r>
        <w:rPr>
          <w:rFonts w:ascii="Arial" w:cs="Arial" w:eastAsia="Arial" w:hAnsi="Arial"/>
          <w:sz w:val="16"/>
          <w:szCs w:val="16"/>
          <w:color w:val="auto"/>
        </w:rPr>
        <w:t>10x.</w:t>
        <w:tab/>
        <w:t>Winnebago Industries, Inc. Supplemental Executive Retirement Plan previously filed with the Registrant's Annual Report on Form 10-K for the fiscal year ended August 29, 2009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10y.</w:t>
        <w:tab/>
        <w:t>Winnebago Industries, Inc. Officers' Incentive Compensation Plan for Fiscal 2011 previously filed with the Registrant's Current Report on Form 8-K dated July 23, 2010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10z.</w:t>
        <w:tab/>
        <w:t>Winnebago Industries, Inc. Officers' Incentive Compensation Plan for Fiscal 2012 previously filed with the Registrant's Current Report on Form 8-K dated June 21, 2011 (Commission File Number 001-06403) and incorporated by reference herein.*</w:t>
      </w:r>
    </w:p>
    <w:p>
      <w:pPr>
        <w:spacing w:after="0" w:line="142" w:lineRule="exact"/>
        <w:rPr>
          <w:sz w:val="20"/>
          <w:szCs w:val="20"/>
          <w:color w:val="auto"/>
        </w:rPr>
      </w:pPr>
    </w:p>
    <w:p>
      <w:pPr>
        <w:jc w:val="both"/>
        <w:ind w:left="500" w:right="640" w:hanging="485"/>
        <w:spacing w:after="0" w:line="253" w:lineRule="auto"/>
        <w:rPr>
          <w:sz w:val="20"/>
          <w:szCs w:val="20"/>
          <w:color w:val="auto"/>
        </w:rPr>
      </w:pPr>
      <w:r>
        <w:rPr>
          <w:rFonts w:ascii="Arial" w:cs="Arial" w:eastAsia="Arial" w:hAnsi="Arial"/>
          <w:sz w:val="16"/>
          <w:szCs w:val="16"/>
          <w:color w:val="auto"/>
        </w:rPr>
        <w:t>10aa. Agreement of Purchase and Sale between CGS TIRES US, INC. and Winnebago Industries, Inc. dated August 30, 2010 previously filed with the Registrant's Annual Report on Form 10-K for the fiscal year ended August 28, 2010 (Commission File Number 001-06403) and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10bb. First Amended and Restated Executive Deferred Compensation Plan dated June 21, 2011.*</w:t>
      </w:r>
    </w:p>
    <w:p>
      <w:pPr>
        <w:spacing w:after="0" w:line="167" w:lineRule="exact"/>
        <w:rPr>
          <w:sz w:val="20"/>
          <w:szCs w:val="20"/>
          <w:color w:val="auto"/>
        </w:rPr>
      </w:pPr>
    </w:p>
    <w:p>
      <w:pPr>
        <w:ind w:left="500" w:right="180" w:hanging="485"/>
        <w:spacing w:after="0" w:line="260" w:lineRule="auto"/>
        <w:tabs>
          <w:tab w:leader="none" w:pos="480" w:val="left"/>
        </w:tabs>
        <w:rPr>
          <w:sz w:val="20"/>
          <w:szCs w:val="20"/>
          <w:color w:val="auto"/>
        </w:rPr>
      </w:pPr>
      <w:r>
        <w:rPr>
          <w:rFonts w:ascii="Arial" w:cs="Arial" w:eastAsia="Arial" w:hAnsi="Arial"/>
          <w:sz w:val="16"/>
          <w:szCs w:val="16"/>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42" w:lineRule="exact"/>
        <w:rPr>
          <w:sz w:val="20"/>
          <w:szCs w:val="20"/>
          <w:color w:val="auto"/>
        </w:rPr>
      </w:pPr>
    </w:p>
    <w:p>
      <w:pPr>
        <w:ind w:left="500" w:hanging="478"/>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List of Subsidiaries.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500" w:hanging="478"/>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October 25, 2011.</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October 25, 2011.</w:t>
      </w:r>
    </w:p>
    <w:p>
      <w:pPr>
        <w:spacing w:after="0" w:line="167" w:lineRule="exact"/>
        <w:rPr>
          <w:sz w:val="20"/>
          <w:szCs w:val="20"/>
          <w:color w:val="auto"/>
        </w:rPr>
      </w:pPr>
    </w:p>
    <w:p>
      <w:pPr>
        <w:ind w:left="50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October 25, 2011.</w:t>
      </w:r>
    </w:p>
    <w:p>
      <w:pPr>
        <w:spacing w:after="0" w:line="142" w:lineRule="exact"/>
        <w:rPr>
          <w:sz w:val="20"/>
          <w:szCs w:val="20"/>
          <w:color w:val="auto"/>
        </w:rPr>
      </w:pPr>
    </w:p>
    <w:p>
      <w:pPr>
        <w:ind w:left="500" w:right="60" w:hanging="485"/>
        <w:spacing w:after="0" w:line="260"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October 25, 2011.</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contract or compensation plan or arrangement.</w:t>
      </w:r>
    </w:p>
    <w:p>
      <w:pPr>
        <w:spacing w:after="0" w:line="200" w:lineRule="exact"/>
        <w:rPr>
          <w:sz w:val="20"/>
          <w:szCs w:val="20"/>
          <w:color w:val="auto"/>
        </w:rPr>
      </w:pPr>
    </w:p>
    <w:p>
      <w:pPr>
        <w:spacing w:after="0" w:line="39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000"/>
          </w:cols>
          <w:pgMar w:left="240" w:top="141" w:right="6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56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100" w:type="dxa"/>
            <w:vAlign w:val="bottom"/>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b w:val="1"/>
                <w:bCs w:val="1"/>
                <w:color w:val="auto"/>
              </w:rPr>
              <w:t>ITEM 6. 11-Year Selected Financial Data</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2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Aug 27,</w:t>
            </w:r>
          </w:p>
        </w:tc>
        <w:tc>
          <w:tcPr>
            <w:tcW w:w="360" w:type="dxa"/>
            <w:vAlign w:val="bottom"/>
          </w:tcPr>
          <w:p>
            <w:pPr>
              <w:spacing w:after="0"/>
              <w:rPr>
                <w:sz w:val="18"/>
                <w:szCs w:val="18"/>
                <w:color w:val="auto"/>
              </w:rPr>
            </w:pPr>
          </w:p>
        </w:tc>
        <w:tc>
          <w:tcPr>
            <w:tcW w:w="1140" w:type="dxa"/>
            <w:vAlign w:val="bottom"/>
          </w:tcPr>
          <w:p>
            <w:pPr>
              <w:jc w:val="right"/>
              <w:ind w:right="359"/>
              <w:spacing w:after="0"/>
              <w:rPr>
                <w:sz w:val="20"/>
                <w:szCs w:val="20"/>
                <w:color w:val="auto"/>
              </w:rPr>
            </w:pPr>
            <w:r>
              <w:rPr>
                <w:rFonts w:ascii="Arial" w:cs="Arial" w:eastAsia="Arial" w:hAnsi="Arial"/>
                <w:sz w:val="16"/>
                <w:szCs w:val="16"/>
                <w:b w:val="1"/>
                <w:bCs w:val="1"/>
                <w:color w:val="auto"/>
              </w:rPr>
              <w:t>Aug 28,</w:t>
            </w:r>
          </w:p>
        </w:tc>
        <w:tc>
          <w:tcPr>
            <w:tcW w:w="30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Aug 29,</w:t>
            </w:r>
          </w:p>
        </w:tc>
        <w:tc>
          <w:tcPr>
            <w:tcW w:w="3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Aug 28,</w:t>
            </w: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(Adjusted for the 2-for-1 stock split on March 5, 2004)</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2009</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9"/>
              <w:spacing w:after="0" w:line="234" w:lineRule="exact"/>
              <w:rPr>
                <w:sz w:val="20"/>
                <w:szCs w:val="20"/>
                <w:color w:val="auto"/>
              </w:rPr>
            </w:pPr>
            <w:r>
              <w:rPr>
                <w:rFonts w:ascii="Arial" w:cs="Arial" w:eastAsia="Arial" w:hAnsi="Arial"/>
                <w:sz w:val="16"/>
                <w:szCs w:val="16"/>
                <w:b w:val="1"/>
                <w:bCs w:val="1"/>
                <w:color w:val="auto"/>
              </w:rPr>
              <w:t xml:space="preserve">2008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496,418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449,484</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211,519</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604,352</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Income (loss) before taxes</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11,937</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742</w:t>
            </w:r>
          </w:p>
        </w:tc>
        <w:tc>
          <w:tcPr>
            <w:tcW w:w="30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(58,063)</w:t>
            </w:r>
          </w:p>
        </w:tc>
        <w:tc>
          <w:tcPr>
            <w:tcW w:w="3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(5,441)</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Pretax profit (loss) percent of revenue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0.2 %</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94</w:t>
            </w:r>
          </w:p>
        </w:tc>
        <w:tc>
          <w:tcPr>
            <w:tcW w:w="36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(9,505)</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20,703</w:t>
            </w:r>
          </w:p>
        </w:tc>
        <w:tc>
          <w:tcPr>
            <w:tcW w:w="3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(8,225)</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 rate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(1,281.0)%</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35.7 %</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11,843</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10,247</w:t>
            </w:r>
          </w:p>
        </w:tc>
        <w:tc>
          <w:tcPr>
            <w:tcW w:w="30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(78,766)</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347"/>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Income from discontinued operations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4"/>
                <w:szCs w:val="24"/>
                <w:color w:val="auto"/>
              </w:rPr>
            </w:pPr>
          </w:p>
        </w:tc>
        <w:tc>
          <w:tcPr>
            <w:tcW w:w="11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11,843</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10,247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(78,766)</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Income (loss) per share</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Continuing operations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0.41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0.35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(2.71)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0.35</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5520" w:type="dxa"/>
            <w:vAlign w:val="bottom"/>
            <w:gridSpan w:val="2"/>
          </w:tcPr>
          <w:p>
            <w:pPr>
              <w:ind w:left="260"/>
              <w:spacing w:after="0"/>
              <w:rPr>
                <w:sz w:val="20"/>
                <w:szCs w:val="20"/>
                <w:color w:val="auto"/>
              </w:rPr>
            </w:pPr>
            <w:r>
              <w:rPr>
                <w:rFonts w:ascii="Arial" w:cs="Arial" w:eastAsia="Arial" w:hAnsi="Arial"/>
                <w:sz w:val="16"/>
                <w:szCs w:val="16"/>
                <w:color w:val="auto"/>
              </w:rPr>
              <w:t>Net (loss) income per share</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0.35</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(2.71)</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0.41</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(2.71)</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(in thousands)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29,121</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29,091</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29,040</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29,093</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29,148</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29,101</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29,051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29,144</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Cash dividends paid per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0.12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Book value per share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3.73</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3.35</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3.17</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 xml:space="preserve">Return on assets (ROA) </w:t>
            </w:r>
            <w:r>
              <w:rPr>
                <w:rFonts w:ascii="Arial" w:cs="Arial" w:eastAsia="Arial" w:hAnsi="Arial"/>
                <w:sz w:val="21"/>
                <w:szCs w:val="21"/>
                <w:color w:val="auto"/>
                <w:vertAlign w:val="superscript"/>
              </w:rPr>
              <w:t>(4)</w:t>
            </w:r>
          </w:p>
        </w:tc>
        <w:tc>
          <w:tcPr>
            <w:tcW w:w="220" w:type="dxa"/>
            <w:vAlign w:val="bottom"/>
          </w:tcPr>
          <w:p>
            <w:pPr>
              <w:spacing w:after="0"/>
              <w:rPr>
                <w:sz w:val="24"/>
                <w:szCs w:val="2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5.1%</w:t>
            </w:r>
          </w:p>
        </w:tc>
        <w:tc>
          <w:tcPr>
            <w:tcW w:w="360" w:type="dxa"/>
            <w:vAlign w:val="bottom"/>
          </w:tcPr>
          <w:p>
            <w:pPr>
              <w:spacing w:after="0"/>
              <w:rPr>
                <w:sz w:val="24"/>
                <w:szCs w:val="24"/>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color w:val="auto"/>
              </w:rPr>
              <w:t>4.6 %</w:t>
            </w:r>
          </w:p>
        </w:tc>
        <w:tc>
          <w:tcPr>
            <w:tcW w:w="30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3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Return on equity (ROE)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4"/>
                <w:szCs w:val="24"/>
                <w:color w:val="auto"/>
              </w:rPr>
            </w:pPr>
          </w:p>
        </w:tc>
        <w:tc>
          <w:tcPr>
            <w:tcW w:w="11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36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10.8 %</w:t>
            </w:r>
          </w:p>
        </w:tc>
        <w:tc>
          <w:tcPr>
            <w:tcW w:w="3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3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 xml:space="preserve">Return on invested capital (ROIC) </w:t>
            </w:r>
            <w:r>
              <w:rPr>
                <w:rFonts w:ascii="Arial" w:cs="Arial" w:eastAsia="Arial" w:hAnsi="Arial"/>
                <w:sz w:val="21"/>
                <w:szCs w:val="21"/>
                <w:color w:val="auto"/>
                <w:vertAlign w:val="superscript"/>
              </w:rPr>
              <w:t>(6)</w:t>
            </w:r>
          </w:p>
        </w:tc>
        <w:tc>
          <w:tcPr>
            <w:tcW w:w="220" w:type="dxa"/>
            <w:vAlign w:val="bottom"/>
          </w:tcPr>
          <w:p>
            <w:pPr>
              <w:spacing w:after="0"/>
              <w:rPr>
                <w:sz w:val="24"/>
                <w:szCs w:val="2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10.7%</w:t>
            </w:r>
          </w:p>
        </w:tc>
        <w:tc>
          <w:tcPr>
            <w:tcW w:w="360" w:type="dxa"/>
            <w:vAlign w:val="bottom"/>
          </w:tcPr>
          <w:p>
            <w:pPr>
              <w:spacing w:after="0"/>
              <w:rPr>
                <w:sz w:val="24"/>
                <w:szCs w:val="24"/>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color w:val="auto"/>
              </w:rPr>
              <w:t>8.4 %</w:t>
            </w:r>
          </w:p>
        </w:tc>
        <w:tc>
          <w:tcPr>
            <w:tcW w:w="30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(41.9)%</w:t>
            </w:r>
          </w:p>
        </w:tc>
        <w:tc>
          <w:tcPr>
            <w:tcW w:w="3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 sales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6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2,436</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2,452</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822</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149</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1,856</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1,745</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1,225</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motor homes</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4,395</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4,433</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2,196</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6,407</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60"/>
              <w:spacing w:after="0"/>
              <w:rPr>
                <w:sz w:val="20"/>
                <w:szCs w:val="20"/>
                <w:color w:val="auto"/>
              </w:rPr>
            </w:pPr>
            <w:r>
              <w:rPr>
                <w:rFonts w:ascii="Arial" w:cs="Arial" w:eastAsia="Arial" w:hAnsi="Arial"/>
                <w:sz w:val="16"/>
                <w:szCs w:val="16"/>
                <w:color w:val="auto"/>
              </w:rPr>
              <w:t>Travel trailers</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575</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100" w:type="dxa"/>
            <w:vAlign w:val="bottom"/>
          </w:tcPr>
          <w:p>
            <w:pPr>
              <w:spacing w:after="0"/>
              <w:rPr>
                <w:sz w:val="23"/>
                <w:szCs w:val="23"/>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Fifth wheels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194</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Total towables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769</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At Year End</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239,927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227,357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220,466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305,455</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108,730</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97,527</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92,331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173,924</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Market capitalization</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208,027</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263,492</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337,991</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329,956</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Working capital</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113,536</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91,345</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79,460</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108,548</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Current ratio</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3.2 to 1</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2.8 to 1</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2.6 to 1</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3.0 to 1</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Number of employees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2,130</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1,950</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1,630</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Motor home dealer inventory</w:t>
            </w:r>
          </w:p>
        </w:tc>
        <w:tc>
          <w:tcPr>
            <w:tcW w:w="220" w:type="dxa"/>
            <w:vAlign w:val="bottom"/>
          </w:tcPr>
          <w:p>
            <w:pPr>
              <w:spacing w:after="0"/>
              <w:rPr>
                <w:sz w:val="22"/>
                <w:szCs w:val="22"/>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1,958</w:t>
            </w:r>
          </w:p>
        </w:tc>
        <w:tc>
          <w:tcPr>
            <w:tcW w:w="36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2,044</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1,694</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3,551</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Towables dealer inventory</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966</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9"/>
          <w:szCs w:val="9"/>
          <w:i w:val="1"/>
          <w:iCs w:val="1"/>
          <w:color w:val="auto"/>
        </w:rPr>
      </w:pPr>
      <w:r>
        <w:rPr>
          <w:rFonts w:ascii="Arial" w:cs="Arial" w:eastAsia="Arial" w:hAnsi="Arial"/>
          <w:sz w:val="13"/>
          <w:szCs w:val="13"/>
          <w:i w:val="1"/>
          <w:iCs w:val="1"/>
          <w:color w:val="auto"/>
        </w:rPr>
        <w:t>The fiscal years ended August 31, 2002 and August 30, 2008 contained 53 weeks; all other fiscal years contained 52 weeks.</w:t>
      </w:r>
    </w:p>
    <w:p>
      <w:pPr>
        <w:spacing w:after="0" w:line="11" w:lineRule="exact"/>
        <w:rPr>
          <w:rFonts w:ascii="Arial" w:cs="Arial" w:eastAsia="Arial" w:hAnsi="Arial"/>
          <w:sz w:val="9"/>
          <w:szCs w:val="9"/>
          <w:i w:val="1"/>
          <w:iCs w:val="1"/>
          <w:color w:val="auto"/>
        </w:rPr>
      </w:pPr>
    </w:p>
    <w:p>
      <w:pPr>
        <w:ind w:left="340" w:right="220" w:hanging="332"/>
        <w:spacing w:after="0" w:line="236" w:lineRule="auto"/>
        <w:tabs>
          <w:tab w:leader="none" w:pos="340" w:val="left"/>
        </w:tabs>
        <w:numPr>
          <w:ilvl w:val="0"/>
          <w:numId w:val="32"/>
        </w:numPr>
        <w:rPr>
          <w:rFonts w:ascii="Arial" w:cs="Arial" w:eastAsia="Arial" w:hAnsi="Arial"/>
          <w:sz w:val="9"/>
          <w:szCs w:val="9"/>
          <w:i w:val="1"/>
          <w:iCs w:val="1"/>
          <w:color w:val="auto"/>
        </w:rPr>
      </w:pPr>
      <w:r>
        <w:rPr>
          <w:rFonts w:ascii="Arial" w:cs="Arial" w:eastAsia="Arial" w:hAnsi="Arial"/>
          <w:sz w:val="13"/>
          <w:szCs w:val="13"/>
          <w:i w:val="1"/>
          <w:iCs w:val="1"/>
          <w:color w:val="auto"/>
        </w:rPr>
        <w:t>Includes a noncash after-tax cumulative effect of change in accounting principle of $1.1 million expense or $0.05 per share due to the adoption of SAB No. 101, Revenue Recognition in Financial Statements.</w:t>
      </w:r>
    </w:p>
    <w:p>
      <w:pPr>
        <w:spacing w:after="0"/>
        <w:rPr>
          <w:sz w:val="20"/>
          <w:szCs w:val="20"/>
          <w:color w:val="auto"/>
        </w:rPr>
      </w:pPr>
      <w:r>
        <w:rPr>
          <w:rFonts w:ascii="Arial" w:cs="Arial" w:eastAsia="Arial" w:hAnsi="Arial"/>
          <w:sz w:val="17"/>
          <w:szCs w:val="17"/>
          <w:i w:val="1"/>
          <w:iCs w:val="1"/>
          <w:color w:val="auto"/>
          <w:vertAlign w:val="superscript"/>
        </w:rPr>
        <w:t>(3)</w:t>
      </w:r>
      <w:r>
        <w:rPr>
          <w:rFonts w:ascii="Arial" w:cs="Arial" w:eastAsia="Arial" w:hAnsi="Arial"/>
          <w:sz w:val="13"/>
          <w:szCs w:val="13"/>
          <w:i w:val="1"/>
          <w:iCs w:val="1"/>
          <w:color w:val="auto"/>
        </w:rPr>
        <w:t>Includes discontinued operations of Winnebago Acceptance Corporation for all years presented</w:t>
      </w:r>
      <w:r>
        <w:rPr>
          <w:rFonts w:ascii="Arial" w:cs="Arial" w:eastAsia="Arial" w:hAnsi="Arial"/>
          <w:sz w:val="14"/>
          <w:szCs w:val="14"/>
          <w:i w:val="1"/>
          <w:iCs w:val="1"/>
          <w:color w:val="auto"/>
        </w:rPr>
        <w:t>.</w:t>
      </w:r>
    </w:p>
    <w:p>
      <w:pPr>
        <w:sectPr>
          <w:pgSz w:w="11900" w:h="16838" w:orient="portrait"/>
          <w:cols w:equalWidth="0" w:num="1">
            <w:col w:w="11340"/>
          </w:cols>
          <w:pgMar w:left="240" w:top="118" w:right="319" w:bottom="160" w:gutter="0" w:footer="0" w:header="0"/>
        </w:sect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40"/>
          </w:cols>
          <w:pgMar w:left="240" w:top="118" w:right="319" w:bottom="160" w:gutter="0" w:footer="0" w:header="0"/>
          <w:type w:val="continuous"/>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180" w:type="dxa"/>
            <w:vAlign w:val="bottom"/>
          </w:tcPr>
          <w:p>
            <w:pPr>
              <w:spacing w:after="0"/>
              <w:rPr>
                <w:sz w:val="16"/>
                <w:szCs w:val="16"/>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25</w:t>
            </w:r>
          </w:p>
        </w:tc>
        <w:tc>
          <w:tcPr>
            <w:tcW w:w="400" w:type="dxa"/>
            <w:vAlign w:val="bottom"/>
          </w:tcPr>
          <w:p>
            <w:pPr>
              <w:spacing w:after="0"/>
              <w:rPr>
                <w:sz w:val="16"/>
                <w:szCs w:val="16"/>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Aug 26,</w:t>
            </w:r>
          </w:p>
        </w:tc>
        <w:tc>
          <w:tcPr>
            <w:tcW w:w="400" w:type="dxa"/>
            <w:vAlign w:val="bottom"/>
          </w:tcPr>
          <w:p>
            <w:pPr>
              <w:spacing w:after="0"/>
              <w:rPr>
                <w:sz w:val="16"/>
                <w:szCs w:val="16"/>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 27,</w:t>
            </w:r>
          </w:p>
        </w:tc>
        <w:tc>
          <w:tcPr>
            <w:tcW w:w="42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Aug 28,</w:t>
            </w:r>
          </w:p>
        </w:tc>
        <w:tc>
          <w:tcPr>
            <w:tcW w:w="400" w:type="dxa"/>
            <w:vAlign w:val="bottom"/>
          </w:tcPr>
          <w:p>
            <w:pPr>
              <w:spacing w:after="0"/>
              <w:rPr>
                <w:sz w:val="16"/>
                <w:szCs w:val="16"/>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 30,</w:t>
            </w:r>
          </w:p>
        </w:tc>
        <w:tc>
          <w:tcPr>
            <w:tcW w:w="440" w:type="dxa"/>
            <w:vAlign w:val="bottom"/>
          </w:tcPr>
          <w:p>
            <w:pPr>
              <w:spacing w:after="0"/>
              <w:rPr>
                <w:sz w:val="16"/>
                <w:szCs w:val="16"/>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Aug 2,</w:t>
            </w:r>
          </w:p>
        </w:tc>
        <w:tc>
          <w:tcPr>
            <w:tcW w:w="420" w:type="dxa"/>
            <w:vAlign w:val="bottom"/>
          </w:tcPr>
          <w:p>
            <w:pPr>
              <w:spacing w:after="0"/>
              <w:rPr>
                <w:sz w:val="16"/>
                <w:szCs w:val="16"/>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Aug 25,</w:t>
            </w:r>
          </w:p>
        </w:tc>
      </w:tr>
      <w:tr>
        <w:trPr>
          <w:trHeight w:val="241"/>
        </w:trPr>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2007</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2006</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2005</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2004</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2003</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9"/>
              <w:spacing w:after="0" w:line="234" w:lineRule="exact"/>
              <w:rPr>
                <w:sz w:val="20"/>
                <w:szCs w:val="20"/>
                <w:color w:val="auto"/>
              </w:rPr>
            </w:pPr>
            <w:r>
              <w:rPr>
                <w:rFonts w:ascii="Arial" w:cs="Arial" w:eastAsia="Arial" w:hAnsi="Arial"/>
                <w:sz w:val="16"/>
                <w:szCs w:val="16"/>
                <w:b w:val="1"/>
                <w:bCs w:val="1"/>
                <w:color w:val="auto"/>
              </w:rPr>
              <w:t>2002</w:t>
            </w:r>
            <w:r>
              <w:rPr>
                <w:rFonts w:ascii="Arial" w:cs="Arial" w:eastAsia="Arial" w:hAnsi="Arial"/>
                <w:sz w:val="21"/>
                <w:szCs w:val="21"/>
                <w:b w:val="1"/>
                <w:bCs w:val="1"/>
                <w:color w:val="auto"/>
                <w:vertAlign w:val="superscript"/>
              </w:rPr>
              <w:t>(1)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9"/>
              <w:spacing w:after="0" w:line="234" w:lineRule="exact"/>
              <w:rPr>
                <w:sz w:val="20"/>
                <w:szCs w:val="20"/>
                <w:color w:val="auto"/>
              </w:rPr>
            </w:pPr>
            <w:r>
              <w:rPr>
                <w:rFonts w:ascii="Arial" w:cs="Arial" w:eastAsia="Arial" w:hAnsi="Arial"/>
                <w:sz w:val="16"/>
                <w:szCs w:val="16"/>
                <w:b w:val="1"/>
                <w:bCs w:val="1"/>
                <w:color w:val="auto"/>
              </w:rPr>
              <w:t xml:space="preserve">2001 </w:t>
            </w:r>
            <w:r>
              <w:rPr>
                <w:rFonts w:ascii="Arial" w:cs="Arial" w:eastAsia="Arial" w:hAnsi="Arial"/>
                <w:sz w:val="21"/>
                <w:szCs w:val="21"/>
                <w:b w:val="1"/>
                <w:bCs w:val="1"/>
                <w:color w:val="auto"/>
                <w:vertAlign w:val="superscript"/>
              </w:rPr>
              <w:t>(2)</w:t>
            </w:r>
          </w:p>
        </w:tc>
      </w:tr>
      <w:tr>
        <w:trPr>
          <w:trHeight w:val="270"/>
        </w:trPr>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870,152</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864,403</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991,975</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1,114,154</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845,210</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825,269</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671,686</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61,409</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68,195</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100,890</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112,234</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78,693</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81,324</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55,754</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19,845</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23,451</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35,817</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41,593</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29,961</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28,431</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14,258</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32.3%</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34.4%</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35.5%</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37.1%</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38.1%</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25.6%</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41,564</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44,744</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65,073</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70,641</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48,732</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52,893</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41,496</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1,152</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1,778</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2,258</w:t>
            </w:r>
          </w:p>
        </w:tc>
      </w:tr>
      <w:tr>
        <w:trPr>
          <w:trHeight w:val="264"/>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(1,050)</w:t>
            </w:r>
          </w:p>
        </w:tc>
      </w:tr>
      <w:tr>
        <w:trPr>
          <w:trHeight w:val="270"/>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41,564</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44,744</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65,073</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70,641</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49,884</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54,671</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42,704</w:t>
            </w:r>
          </w:p>
        </w:tc>
      </w:tr>
      <w:tr>
        <w:trPr>
          <w:trHeight w:val="270"/>
        </w:trPr>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1.33</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1.39</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1.95</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2.06</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1.35</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1.37</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1.03</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1.32</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1.37</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1.92</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2.03</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1.33</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1.34</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w:t>
            </w:r>
          </w:p>
        </w:tc>
      </w:tr>
      <w:tr>
        <w:trPr>
          <w:trHeight w:val="270"/>
        </w:trPr>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0.03</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0.04</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0.05</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0.03</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0.04</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0.05</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(0.02)</w:t>
            </w:r>
          </w:p>
        </w:tc>
      </w:tr>
      <w:tr>
        <w:trPr>
          <w:trHeight w:val="273"/>
        </w:trPr>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(0.02)</w:t>
            </w:r>
          </w:p>
        </w:tc>
      </w:tr>
      <w:tr>
        <w:trPr>
          <w:trHeight w:val="270"/>
        </w:trPr>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1.33</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1.39</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1.95</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2.06</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1.38</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1.41</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1.06</w:t>
            </w:r>
          </w:p>
        </w:tc>
      </w:tr>
      <w:tr>
        <w:trPr>
          <w:trHeight w:val="264"/>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1.32</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1.37</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1.92</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2.03</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1.36</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1.38</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1.04</w:t>
            </w:r>
          </w:p>
        </w:tc>
      </w:tr>
      <w:tr>
        <w:trPr>
          <w:trHeight w:val="270"/>
        </w:trPr>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31,162</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32,265</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33,382</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34,214</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36,974</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39,898</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41,470</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31,415</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32,550</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33,812</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34,789</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37,636</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40,768</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42,080</w:t>
            </w:r>
          </w:p>
        </w:tc>
      </w:tr>
      <w:tr>
        <w:trPr>
          <w:trHeight w:val="26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0.4</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0.36</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0.28</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0.20</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0.10</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0.10</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7.05</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7.01</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7.15</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6.01</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5.78</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4.81</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11.1%</w:t>
            </w:r>
          </w:p>
        </w:tc>
        <w:tc>
          <w:tcPr>
            <w:tcW w:w="40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11.2%</w:t>
            </w:r>
          </w:p>
        </w:tc>
        <w:tc>
          <w:tcPr>
            <w:tcW w:w="40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16.1%</w:t>
            </w:r>
          </w:p>
        </w:tc>
        <w:tc>
          <w:tcPr>
            <w:tcW w:w="42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18.3%</w:t>
            </w:r>
          </w:p>
        </w:tc>
        <w:tc>
          <w:tcPr>
            <w:tcW w:w="40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15.9%</w:t>
            </w:r>
          </w:p>
        </w:tc>
        <w:tc>
          <w:tcPr>
            <w:tcW w:w="42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12.9%</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19.7%</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29.7%</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34.4%</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25.6%</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28.2%</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22.3%</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15.1%</w:t>
            </w:r>
          </w:p>
        </w:tc>
        <w:tc>
          <w:tcPr>
            <w:tcW w:w="40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15.4%</w:t>
            </w:r>
          </w:p>
        </w:tc>
        <w:tc>
          <w:tcPr>
            <w:tcW w:w="40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23.0%</w:t>
            </w:r>
          </w:p>
        </w:tc>
        <w:tc>
          <w:tcPr>
            <w:tcW w:w="42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31.4%</w:t>
            </w:r>
          </w:p>
        </w:tc>
        <w:tc>
          <w:tcPr>
            <w:tcW w:w="40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25.5%</w:t>
            </w:r>
          </w:p>
        </w:tc>
        <w:tc>
          <w:tcPr>
            <w:tcW w:w="44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29.1%</w:t>
            </w:r>
          </w:p>
        </w:tc>
        <w:tc>
          <w:tcPr>
            <w:tcW w:w="42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25.2%</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5,031</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4,455</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6,674</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8,108</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6,705</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6,725</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5,666</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308</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763</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703</w:t>
            </w:r>
          </w:p>
        </w:tc>
      </w:tr>
      <w:tr>
        <w:trPr>
          <w:trHeight w:val="264"/>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4,438</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5,388</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3,963</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4,408</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4,021</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4,329</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3,410</w:t>
            </w:r>
          </w:p>
        </w:tc>
      </w:tr>
      <w:tr>
        <w:trPr>
          <w:trHeight w:val="264"/>
        </w:trPr>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9,469</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9,843</w:t>
            </w: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10,637</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12,516</w:t>
            </w:r>
          </w:p>
        </w:tc>
        <w:tc>
          <w:tcPr>
            <w:tcW w:w="4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11,034</w:t>
            </w:r>
          </w:p>
        </w:tc>
        <w:tc>
          <w:tcPr>
            <w:tcW w:w="4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11,817</w:t>
            </w:r>
          </w:p>
        </w:tc>
        <w:tc>
          <w:tcPr>
            <w:tcW w:w="4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9,779</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366,510</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384,715</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412,960</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394,556</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377,462</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337,077</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351,922</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208,354</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218,322</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235,887</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201,875</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210,626</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179,815</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207,464</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821,282</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884,789</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1,073,165</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1,071,570</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898,010</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713,500</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581,779</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168,863</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187,038</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197,469</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164,175</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164,017</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144,303</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173,677</w:t>
            </w:r>
          </w:p>
        </w:tc>
      </w:tr>
      <w:tr>
        <w:trPr>
          <w:trHeight w:val="260"/>
        </w:trPr>
        <w:tc>
          <w:tcPr>
            <w:tcW w:w="180" w:type="dxa"/>
            <w:vAlign w:val="bottom"/>
          </w:tcPr>
          <w:p>
            <w:pPr>
              <w:spacing w:after="0"/>
              <w:rPr>
                <w:sz w:val="22"/>
                <w:szCs w:val="22"/>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rPr>
              <w:t>2.9 to 1</w:t>
            </w:r>
          </w:p>
        </w:tc>
        <w:tc>
          <w:tcPr>
            <w:tcW w:w="400" w:type="dxa"/>
            <w:vAlign w:val="bottom"/>
          </w:tcPr>
          <w:p>
            <w:pPr>
              <w:spacing w:after="0"/>
              <w:rPr>
                <w:sz w:val="22"/>
                <w:szCs w:val="22"/>
                <w:color w:val="auto"/>
              </w:rPr>
            </w:pPr>
          </w:p>
        </w:tc>
        <w:tc>
          <w:tcPr>
            <w:tcW w:w="1120" w:type="dxa"/>
            <w:vAlign w:val="bottom"/>
          </w:tcPr>
          <w:p>
            <w:pPr>
              <w:ind w:left="260"/>
              <w:spacing w:after="0"/>
              <w:rPr>
                <w:sz w:val="20"/>
                <w:szCs w:val="20"/>
                <w:color w:val="auto"/>
              </w:rPr>
            </w:pPr>
            <w:r>
              <w:rPr>
                <w:rFonts w:ascii="Arial" w:cs="Arial" w:eastAsia="Arial" w:hAnsi="Arial"/>
                <w:sz w:val="16"/>
                <w:szCs w:val="16"/>
                <w:color w:val="auto"/>
              </w:rPr>
              <w:t>3.3 to 1</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3.2 to 1</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2.6 to 1</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2.8 to 1</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2.6 to 1</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3.2 to 1</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3,310</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3,150</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3,610</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4,220</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3,750</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3,685</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3,325</w:t>
            </w:r>
          </w:p>
        </w:tc>
      </w:tr>
      <w:tr>
        <w:trPr>
          <w:trHeight w:val="260"/>
        </w:trPr>
        <w:tc>
          <w:tcPr>
            <w:tcW w:w="18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4,471</w:t>
            </w:r>
          </w:p>
        </w:tc>
        <w:tc>
          <w:tcPr>
            <w:tcW w:w="4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4,733</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4,794</w:t>
            </w:r>
          </w:p>
        </w:tc>
        <w:tc>
          <w:tcPr>
            <w:tcW w:w="420" w:type="dxa"/>
            <w:vAlign w:val="bottom"/>
          </w:tcPr>
          <w:p>
            <w:pPr>
              <w:spacing w:after="0"/>
              <w:rPr>
                <w:sz w:val="22"/>
                <w:szCs w:val="22"/>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4,978</w:t>
            </w:r>
          </w:p>
        </w:tc>
        <w:tc>
          <w:tcPr>
            <w:tcW w:w="40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3,945</w:t>
            </w:r>
          </w:p>
        </w:tc>
        <w:tc>
          <w:tcPr>
            <w:tcW w:w="440" w:type="dxa"/>
            <w:vAlign w:val="bottom"/>
          </w:tcPr>
          <w:p>
            <w:pPr>
              <w:spacing w:after="0"/>
              <w:rPr>
                <w:sz w:val="22"/>
                <w:szCs w:val="22"/>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4,000</w:t>
            </w:r>
          </w:p>
        </w:tc>
        <w:tc>
          <w:tcPr>
            <w:tcW w:w="42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3,549</w:t>
            </w:r>
          </w:p>
        </w:tc>
      </w:tr>
      <w:tr>
        <w:trPr>
          <w:trHeight w:val="280"/>
        </w:trPr>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bl>
    <w:p>
      <w:pPr>
        <w:spacing w:after="0" w:line="14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9"/>
          <w:szCs w:val="9"/>
          <w:i w:val="1"/>
          <w:iCs w:val="1"/>
          <w:color w:val="auto"/>
        </w:rPr>
      </w:pPr>
      <w:r>
        <w:rPr>
          <w:rFonts w:ascii="Arial" w:cs="Arial" w:eastAsia="Arial" w:hAnsi="Arial"/>
          <w:sz w:val="13"/>
          <w:szCs w:val="13"/>
          <w:i w:val="1"/>
          <w:iCs w:val="1"/>
          <w:color w:val="auto"/>
        </w:rPr>
        <w:t>Includes discontinued operations of Winnebago Acceptance Corporation for all years presented.</w:t>
      </w:r>
    </w:p>
    <w:p>
      <w:pPr>
        <w:spacing w:after="0" w:line="11" w:lineRule="exact"/>
        <w:rPr>
          <w:rFonts w:ascii="Arial" w:cs="Arial" w:eastAsia="Arial" w:hAnsi="Arial"/>
          <w:sz w:val="9"/>
          <w:szCs w:val="9"/>
          <w:i w:val="1"/>
          <w:iCs w:val="1"/>
          <w:color w:val="auto"/>
        </w:rPr>
      </w:pPr>
    </w:p>
    <w:p>
      <w:pPr>
        <w:ind w:left="340" w:hanging="332"/>
        <w:spacing w:after="0"/>
        <w:tabs>
          <w:tab w:leader="none" w:pos="340" w:val="left"/>
        </w:tabs>
        <w:numPr>
          <w:ilvl w:val="0"/>
          <w:numId w:val="33"/>
        </w:numPr>
        <w:rPr>
          <w:rFonts w:ascii="Arial" w:cs="Arial" w:eastAsia="Arial" w:hAnsi="Arial"/>
          <w:sz w:val="9"/>
          <w:szCs w:val="9"/>
          <w:i w:val="1"/>
          <w:iCs w:val="1"/>
          <w:color w:val="auto"/>
        </w:rPr>
      </w:pPr>
      <w:r>
        <w:rPr>
          <w:rFonts w:ascii="Arial" w:cs="Arial" w:eastAsia="Arial" w:hAnsi="Arial"/>
          <w:sz w:val="13"/>
          <w:szCs w:val="13"/>
          <w:i w:val="1"/>
          <w:iCs w:val="1"/>
          <w:color w:val="auto"/>
        </w:rPr>
        <w:t>ROE - Current period net income divided by average equity balance using current and previous ending periods.</w:t>
      </w:r>
    </w:p>
    <w:p>
      <w:pPr>
        <w:ind w:left="340" w:hanging="332"/>
        <w:spacing w:after="0"/>
        <w:tabs>
          <w:tab w:leader="none" w:pos="340" w:val="left"/>
        </w:tabs>
        <w:numPr>
          <w:ilvl w:val="0"/>
          <w:numId w:val="33"/>
        </w:numPr>
        <w:rPr>
          <w:rFonts w:ascii="Arial" w:cs="Arial" w:eastAsia="Arial" w:hAnsi="Arial"/>
          <w:sz w:val="9"/>
          <w:szCs w:val="9"/>
          <w:i w:val="1"/>
          <w:iCs w:val="1"/>
          <w:color w:val="auto"/>
        </w:rPr>
      </w:pPr>
      <w:r>
        <w:rPr>
          <w:rFonts w:ascii="Arial" w:cs="Arial" w:eastAsia="Arial" w:hAnsi="Arial"/>
          <w:sz w:val="13"/>
          <w:szCs w:val="13"/>
          <w:i w:val="1"/>
          <w:iCs w:val="1"/>
          <w:color w:val="auto"/>
        </w:rPr>
        <w:t>ROIC - Current period net income divided by average invested capital (total assets minus cash and noninterest liabilities) using current ending periods.</w:t>
      </w:r>
    </w:p>
    <w:p>
      <w:pPr>
        <w:sectPr>
          <w:pgSz w:w="11900" w:h="16838" w:orient="portrait"/>
          <w:cols w:equalWidth="0" w:num="1">
            <w:col w:w="10860"/>
          </w:cols>
          <w:pgMar w:left="240" w:top="141" w:right="799" w:bottom="606" w:gutter="0" w:footer="0" w:header="0"/>
        </w:sect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860"/>
          </w:cols>
          <w:pgMar w:left="240" w:top="141" w:right="799" w:bottom="606" w:gutter="0" w:footer="0" w:header="0"/>
          <w:type w:val="continuous"/>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6"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BOARD OF DIRECTORS</w:t>
      </w:r>
    </w:p>
    <w:p>
      <w:pPr>
        <w:ind w:left="280"/>
        <w:spacing w:after="0" w:line="219" w:lineRule="auto"/>
        <w:rPr>
          <w:sz w:val="20"/>
          <w:szCs w:val="20"/>
          <w:color w:val="auto"/>
        </w:rPr>
      </w:pPr>
      <w:r>
        <w:rPr>
          <w:rFonts w:ascii="Arial" w:cs="Arial" w:eastAsia="Arial" w:hAnsi="Arial"/>
          <w:sz w:val="13"/>
          <w:szCs w:val="13"/>
          <w:color w:val="auto"/>
        </w:rPr>
        <w:t>Robert J. Olson (60)</w:t>
      </w:r>
    </w:p>
    <w:p>
      <w:pPr>
        <w:ind w:left="280"/>
        <w:spacing w:after="0" w:line="217" w:lineRule="auto"/>
        <w:rPr>
          <w:sz w:val="20"/>
          <w:szCs w:val="20"/>
          <w:color w:val="auto"/>
        </w:rPr>
      </w:pPr>
      <w:r>
        <w:rPr>
          <w:rFonts w:ascii="Arial" w:cs="Arial" w:eastAsia="Arial" w:hAnsi="Arial"/>
          <w:sz w:val="13"/>
          <w:szCs w:val="13"/>
          <w:color w:val="auto"/>
        </w:rPr>
        <w:t>Chairman of the Board</w:t>
      </w:r>
    </w:p>
    <w:p>
      <w:pPr>
        <w:ind w:left="280"/>
        <w:spacing w:after="0"/>
        <w:rPr>
          <w:sz w:val="20"/>
          <w:szCs w:val="20"/>
          <w:color w:val="auto"/>
        </w:rPr>
      </w:pPr>
      <w:r>
        <w:rPr>
          <w:rFonts w:ascii="Arial" w:cs="Arial" w:eastAsia="Arial" w:hAnsi="Arial"/>
          <w:sz w:val="13"/>
          <w:szCs w:val="13"/>
          <w:color w:val="auto"/>
        </w:rPr>
        <w:t>Winnebago Industries, Inc.</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Irvin E. Aal (72) 1,2</w:t>
      </w:r>
    </w:p>
    <w:p>
      <w:pPr>
        <w:ind w:left="280"/>
        <w:spacing w:after="0" w:line="216" w:lineRule="auto"/>
        <w:rPr>
          <w:sz w:val="20"/>
          <w:szCs w:val="20"/>
          <w:color w:val="auto"/>
        </w:rPr>
      </w:pPr>
      <w:r>
        <w:rPr>
          <w:rFonts w:ascii="Arial" w:cs="Arial" w:eastAsia="Arial" w:hAnsi="Arial"/>
          <w:sz w:val="13"/>
          <w:szCs w:val="13"/>
          <w:color w:val="auto"/>
        </w:rPr>
        <w:t>Former General Manager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Case Tyler Business Unit of CNH Global</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Robert M. Chiusano (60) 1,2</w:t>
      </w:r>
    </w:p>
    <w:p>
      <w:pPr>
        <w:ind w:left="280"/>
        <w:spacing w:after="0" w:line="216" w:lineRule="auto"/>
        <w:rPr>
          <w:sz w:val="20"/>
          <w:szCs w:val="20"/>
          <w:color w:val="auto"/>
        </w:rPr>
      </w:pPr>
      <w:r>
        <w:rPr>
          <w:rFonts w:ascii="Arial" w:cs="Arial" w:eastAsia="Arial" w:hAnsi="Arial"/>
          <w:sz w:val="13"/>
          <w:szCs w:val="13"/>
          <w:color w:val="auto"/>
        </w:rPr>
        <w:t>Former Executive Vice President and Chief</w:t>
      </w:r>
    </w:p>
    <w:p>
      <w:pPr>
        <w:ind w:left="280"/>
        <w:spacing w:after="0" w:line="217" w:lineRule="auto"/>
        <w:rPr>
          <w:sz w:val="20"/>
          <w:szCs w:val="20"/>
          <w:color w:val="auto"/>
        </w:rPr>
      </w:pPr>
      <w:r>
        <w:rPr>
          <w:rFonts w:ascii="Arial" w:cs="Arial" w:eastAsia="Arial" w:hAnsi="Arial"/>
          <w:sz w:val="13"/>
          <w:szCs w:val="13"/>
          <w:color w:val="auto"/>
        </w:rPr>
        <w:t>Operating Officer - Commercial Systems</w:t>
      </w:r>
    </w:p>
    <w:p>
      <w:pPr>
        <w:ind w:left="280"/>
        <w:spacing w:after="0"/>
        <w:rPr>
          <w:sz w:val="20"/>
          <w:szCs w:val="20"/>
          <w:color w:val="auto"/>
        </w:rPr>
      </w:pPr>
      <w:r>
        <w:rPr>
          <w:rFonts w:ascii="Arial" w:cs="Arial" w:eastAsia="Arial" w:hAnsi="Arial"/>
          <w:sz w:val="13"/>
          <w:szCs w:val="13"/>
          <w:color w:val="auto"/>
        </w:rPr>
        <w:t>Rockwell Collins, Inc.</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Jerry N. Currie (66) 3</w:t>
      </w:r>
    </w:p>
    <w:p>
      <w:pPr>
        <w:ind w:left="280"/>
        <w:spacing w:after="0" w:line="216" w:lineRule="auto"/>
        <w:rPr>
          <w:sz w:val="20"/>
          <w:szCs w:val="20"/>
          <w:color w:val="auto"/>
        </w:rPr>
      </w:pPr>
      <w:r>
        <w:rPr>
          <w:rFonts w:ascii="Arial" w:cs="Arial" w:eastAsia="Arial" w:hAnsi="Arial"/>
          <w:sz w:val="13"/>
          <w:szCs w:val="13"/>
          <w:color w:val="auto"/>
        </w:rPr>
        <w:t>President and Chief Executive Officer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CURRIES Company</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Joseph W. England (71) 1</w:t>
      </w:r>
    </w:p>
    <w:p>
      <w:pPr>
        <w:ind w:left="280"/>
        <w:spacing w:after="0" w:line="216" w:lineRule="auto"/>
        <w:rPr>
          <w:sz w:val="20"/>
          <w:szCs w:val="20"/>
          <w:color w:val="auto"/>
        </w:rPr>
      </w:pPr>
      <w:r>
        <w:rPr>
          <w:rFonts w:ascii="Arial" w:cs="Arial" w:eastAsia="Arial" w:hAnsi="Arial"/>
          <w:sz w:val="13"/>
          <w:szCs w:val="13"/>
          <w:color w:val="auto"/>
        </w:rPr>
        <w:t>Former Senior Vice President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Deere &amp; Company</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Lawrence A. Erickson (62) 1*,2</w:t>
      </w:r>
    </w:p>
    <w:p>
      <w:pPr>
        <w:ind w:left="280"/>
        <w:spacing w:after="0" w:line="216" w:lineRule="auto"/>
        <w:rPr>
          <w:sz w:val="20"/>
          <w:szCs w:val="20"/>
          <w:color w:val="auto"/>
        </w:rPr>
      </w:pPr>
      <w:r>
        <w:rPr>
          <w:rFonts w:ascii="Arial" w:cs="Arial" w:eastAsia="Arial" w:hAnsi="Arial"/>
          <w:sz w:val="13"/>
          <w:szCs w:val="13"/>
          <w:color w:val="auto"/>
        </w:rPr>
        <w:t>Former Senior Vice President and Chief</w:t>
      </w:r>
    </w:p>
    <w:p>
      <w:pPr>
        <w:ind w:left="460"/>
        <w:spacing w:after="0" w:line="217" w:lineRule="auto"/>
        <w:rPr>
          <w:sz w:val="20"/>
          <w:szCs w:val="20"/>
          <w:color w:val="auto"/>
        </w:rPr>
      </w:pPr>
      <w:r>
        <w:rPr>
          <w:rFonts w:ascii="Arial" w:cs="Arial" w:eastAsia="Arial" w:hAnsi="Arial"/>
          <w:sz w:val="13"/>
          <w:szCs w:val="13"/>
          <w:color w:val="auto"/>
        </w:rPr>
        <w:t>Financial Officer</w:t>
      </w:r>
    </w:p>
    <w:p>
      <w:pPr>
        <w:ind w:left="280"/>
        <w:spacing w:after="0"/>
        <w:rPr>
          <w:sz w:val="20"/>
          <w:szCs w:val="20"/>
          <w:color w:val="auto"/>
        </w:rPr>
      </w:pPr>
      <w:r>
        <w:rPr>
          <w:rFonts w:ascii="Arial" w:cs="Arial" w:eastAsia="Arial" w:hAnsi="Arial"/>
          <w:sz w:val="13"/>
          <w:szCs w:val="13"/>
          <w:color w:val="auto"/>
        </w:rPr>
        <w:t>Rockwell Collins, Inc.</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John V. Hanson (69) 3*</w:t>
      </w:r>
    </w:p>
    <w:p>
      <w:pPr>
        <w:ind w:left="280"/>
        <w:spacing w:after="0" w:line="216" w:lineRule="auto"/>
        <w:rPr>
          <w:sz w:val="20"/>
          <w:szCs w:val="20"/>
          <w:color w:val="auto"/>
        </w:rPr>
      </w:pPr>
      <w:r>
        <w:rPr>
          <w:rFonts w:ascii="Arial" w:cs="Arial" w:eastAsia="Arial" w:hAnsi="Arial"/>
          <w:sz w:val="13"/>
          <w:szCs w:val="13"/>
          <w:color w:val="auto"/>
        </w:rPr>
        <w:t>Former Deputy Chairman of the Board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Winnebago Industries, Inc.</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Gerald C. Kitch (73) **,2*,3</w:t>
      </w:r>
    </w:p>
    <w:p>
      <w:pPr>
        <w:ind w:left="280"/>
        <w:spacing w:after="0" w:line="216" w:lineRule="auto"/>
        <w:rPr>
          <w:sz w:val="20"/>
          <w:szCs w:val="20"/>
          <w:color w:val="auto"/>
        </w:rPr>
      </w:pPr>
      <w:r>
        <w:rPr>
          <w:rFonts w:ascii="Arial" w:cs="Arial" w:eastAsia="Arial" w:hAnsi="Arial"/>
          <w:sz w:val="13"/>
          <w:szCs w:val="13"/>
          <w:color w:val="auto"/>
        </w:rPr>
        <w:t>Former Executive Vice President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Pentair, Inc.</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Board Committee/Members</w:t>
      </w:r>
    </w:p>
    <w:p>
      <w:pPr>
        <w:ind w:left="420" w:hanging="135"/>
        <w:spacing w:after="0" w:line="216" w:lineRule="auto"/>
        <w:tabs>
          <w:tab w:leader="none" w:pos="4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Audit</w:t>
      </w:r>
    </w:p>
    <w:p>
      <w:pPr>
        <w:ind w:left="420" w:hanging="135"/>
        <w:spacing w:after="0" w:line="216" w:lineRule="auto"/>
        <w:tabs>
          <w:tab w:leader="none" w:pos="4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Human Resources</w:t>
      </w:r>
    </w:p>
    <w:p>
      <w:pPr>
        <w:ind w:left="280" w:right="1320" w:firstLine="5"/>
        <w:spacing w:after="0" w:line="234" w:lineRule="auto"/>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Nominating and Governance * Committee Chairman</w:t>
      </w:r>
    </w:p>
    <w:p>
      <w:pPr>
        <w:spacing w:after="0" w:line="1" w:lineRule="exact"/>
        <w:rPr>
          <w:rFonts w:ascii="Arial" w:cs="Arial" w:eastAsia="Arial" w:hAnsi="Arial"/>
          <w:sz w:val="12"/>
          <w:szCs w:val="12"/>
          <w:color w:val="auto"/>
        </w:rPr>
      </w:pPr>
    </w:p>
    <w:p>
      <w:pPr>
        <w:ind w:left="280"/>
        <w:spacing w:after="0"/>
        <w:rPr>
          <w:rFonts w:ascii="Arial" w:cs="Arial" w:eastAsia="Arial" w:hAnsi="Arial"/>
          <w:sz w:val="12"/>
          <w:szCs w:val="12"/>
          <w:color w:val="auto"/>
        </w:rPr>
      </w:pPr>
      <w:r>
        <w:rPr>
          <w:rFonts w:ascii="Arial" w:cs="Arial" w:eastAsia="Arial" w:hAnsi="Arial"/>
          <w:sz w:val="13"/>
          <w:szCs w:val="13"/>
          <w:color w:val="auto"/>
        </w:rPr>
        <w:t>** Lead Independent Director</w:t>
      </w:r>
    </w:p>
    <w:p>
      <w:pPr>
        <w:spacing w:after="0" w:line="200" w:lineRule="exact"/>
        <w:rPr>
          <w:sz w:val="20"/>
          <w:szCs w:val="20"/>
          <w:color w:val="auto"/>
        </w:rPr>
      </w:pPr>
    </w:p>
    <w:p>
      <w:pPr>
        <w:spacing w:after="0" w:line="202"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OFFICERS</w:t>
      </w:r>
    </w:p>
    <w:p>
      <w:pPr>
        <w:ind w:left="280"/>
        <w:spacing w:after="0" w:line="219" w:lineRule="auto"/>
        <w:rPr>
          <w:sz w:val="20"/>
          <w:szCs w:val="20"/>
          <w:color w:val="auto"/>
        </w:rPr>
      </w:pPr>
      <w:r>
        <w:rPr>
          <w:rFonts w:ascii="Arial" w:cs="Arial" w:eastAsia="Arial" w:hAnsi="Arial"/>
          <w:sz w:val="13"/>
          <w:szCs w:val="13"/>
          <w:color w:val="auto"/>
        </w:rPr>
        <w:t>Robert J. Olson (60)</w:t>
      </w:r>
    </w:p>
    <w:p>
      <w:pPr>
        <w:ind w:left="280"/>
        <w:spacing w:after="0"/>
        <w:rPr>
          <w:sz w:val="20"/>
          <w:szCs w:val="20"/>
          <w:color w:val="auto"/>
        </w:rPr>
      </w:pPr>
      <w:r>
        <w:rPr>
          <w:rFonts w:ascii="Arial" w:cs="Arial" w:eastAsia="Arial" w:hAnsi="Arial"/>
          <w:sz w:val="13"/>
          <w:szCs w:val="13"/>
          <w:color w:val="auto"/>
        </w:rPr>
        <w:t>Chairman of the Board</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Randy J. Potts (52)</w:t>
      </w:r>
    </w:p>
    <w:p>
      <w:pPr>
        <w:ind w:left="280"/>
        <w:spacing w:after="0"/>
        <w:rPr>
          <w:sz w:val="20"/>
          <w:szCs w:val="20"/>
          <w:color w:val="auto"/>
        </w:rPr>
      </w:pPr>
      <w:r>
        <w:rPr>
          <w:rFonts w:ascii="Arial" w:cs="Arial" w:eastAsia="Arial" w:hAnsi="Arial"/>
          <w:sz w:val="13"/>
          <w:szCs w:val="13"/>
          <w:color w:val="auto"/>
        </w:rPr>
        <w:t>Cheif Executive Officer and President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Raymond M. Beebe (69)</w:t>
      </w:r>
    </w:p>
    <w:p>
      <w:pPr>
        <w:ind w:left="280"/>
        <w:spacing w:after="0"/>
        <w:rPr>
          <w:sz w:val="20"/>
          <w:szCs w:val="20"/>
          <w:color w:val="auto"/>
        </w:rPr>
      </w:pPr>
      <w:r>
        <w:rPr>
          <w:rFonts w:ascii="Arial" w:cs="Arial" w:eastAsia="Arial" w:hAnsi="Arial"/>
          <w:sz w:val="12"/>
          <w:szCs w:val="12"/>
          <w:color w:val="auto"/>
        </w:rPr>
        <w:t>Vice President, General Counsel and Secretary</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Robert J. Gossett (60)</w:t>
      </w:r>
    </w:p>
    <w:p>
      <w:pPr>
        <w:ind w:left="280"/>
        <w:spacing w:after="0"/>
        <w:rPr>
          <w:sz w:val="20"/>
          <w:szCs w:val="20"/>
          <w:color w:val="auto"/>
        </w:rPr>
      </w:pPr>
      <w:r>
        <w:rPr>
          <w:rFonts w:ascii="Arial" w:cs="Arial" w:eastAsia="Arial" w:hAnsi="Arial"/>
          <w:sz w:val="13"/>
          <w:szCs w:val="13"/>
          <w:color w:val="auto"/>
        </w:rPr>
        <w:t>Vice President, Administration</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Daryl W. Krieger (48)</w:t>
      </w:r>
    </w:p>
    <w:p>
      <w:pPr>
        <w:ind w:left="280"/>
        <w:spacing w:after="0"/>
        <w:rPr>
          <w:sz w:val="20"/>
          <w:szCs w:val="20"/>
          <w:color w:val="auto"/>
        </w:rPr>
      </w:pPr>
      <w:r>
        <w:rPr>
          <w:rFonts w:ascii="Arial" w:cs="Arial" w:eastAsia="Arial" w:hAnsi="Arial"/>
          <w:sz w:val="13"/>
          <w:szCs w:val="13"/>
          <w:color w:val="auto"/>
        </w:rPr>
        <w:t>Vice President, Manufacturing</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Roger W. Martin (51)</w:t>
      </w:r>
    </w:p>
    <w:p>
      <w:pPr>
        <w:ind w:left="280"/>
        <w:spacing w:after="0"/>
        <w:rPr>
          <w:sz w:val="20"/>
          <w:szCs w:val="20"/>
          <w:color w:val="auto"/>
        </w:rPr>
      </w:pPr>
      <w:r>
        <w:rPr>
          <w:rFonts w:ascii="Arial" w:cs="Arial" w:eastAsia="Arial" w:hAnsi="Arial"/>
          <w:sz w:val="13"/>
          <w:szCs w:val="13"/>
          <w:color w:val="auto"/>
        </w:rPr>
        <w:t>Vice President, Sales and Marketing</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Sarah N. Nielsen (38)</w:t>
      </w:r>
    </w:p>
    <w:p>
      <w:pPr>
        <w:ind w:left="280"/>
        <w:spacing w:after="0"/>
        <w:rPr>
          <w:sz w:val="20"/>
          <w:szCs w:val="20"/>
          <w:color w:val="auto"/>
        </w:rPr>
      </w:pPr>
      <w:r>
        <w:rPr>
          <w:rFonts w:ascii="Arial" w:cs="Arial" w:eastAsia="Arial" w:hAnsi="Arial"/>
          <w:sz w:val="13"/>
          <w:szCs w:val="13"/>
          <w:color w:val="auto"/>
        </w:rPr>
        <w:t>Vice President, Chief Financial Officer</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William J. O'Leary (62)</w:t>
      </w:r>
    </w:p>
    <w:p>
      <w:pPr>
        <w:ind w:left="280"/>
        <w:spacing w:after="0"/>
        <w:rPr>
          <w:sz w:val="20"/>
          <w:szCs w:val="20"/>
          <w:color w:val="auto"/>
        </w:rPr>
      </w:pPr>
      <w:r>
        <w:rPr>
          <w:rFonts w:ascii="Arial" w:cs="Arial" w:eastAsia="Arial" w:hAnsi="Arial"/>
          <w:sz w:val="13"/>
          <w:szCs w:val="13"/>
          <w:color w:val="auto"/>
        </w:rPr>
        <w:t>Vice President, Product Development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Donald L. Heidemann (39)</w:t>
      </w:r>
    </w:p>
    <w:p>
      <w:pPr>
        <w:ind w:left="280"/>
        <w:spacing w:after="0"/>
        <w:rPr>
          <w:sz w:val="20"/>
          <w:szCs w:val="20"/>
          <w:color w:val="auto"/>
        </w:rPr>
      </w:pPr>
      <w:r>
        <w:rPr>
          <w:rFonts w:ascii="Arial" w:cs="Arial" w:eastAsia="Arial" w:hAnsi="Arial"/>
          <w:sz w:val="13"/>
          <w:szCs w:val="13"/>
          <w:color w:val="auto"/>
        </w:rPr>
        <w:t>Treasurer/Director of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Publications</w:t>
      </w:r>
    </w:p>
    <w:p>
      <w:pPr>
        <w:spacing w:after="0" w:line="2" w:lineRule="exact"/>
        <w:rPr>
          <w:sz w:val="20"/>
          <w:szCs w:val="20"/>
          <w:color w:val="auto"/>
        </w:rPr>
      </w:pPr>
    </w:p>
    <w:p>
      <w:pPr>
        <w:jc w:val="both"/>
        <w:ind w:right="360"/>
        <w:spacing w:after="0" w:line="225" w:lineRule="auto"/>
        <w:rPr>
          <w:sz w:val="20"/>
          <w:szCs w:val="20"/>
          <w:color w:val="auto"/>
        </w:rPr>
      </w:pPr>
      <w:r>
        <w:rPr>
          <w:rFonts w:ascii="Arial" w:cs="Arial" w:eastAsia="Arial" w:hAnsi="Arial"/>
          <w:sz w:val="13"/>
          <w:szCs w:val="13"/>
          <w:color w:val="auto"/>
        </w:rPr>
        <w:t>A notice of Annual Meeting of Shareholders and Proxy Statement is furnished to shareholders upon request in advance of the annual meeting.</w:t>
      </w:r>
    </w:p>
    <w:p>
      <w:pPr>
        <w:spacing w:after="0" w:line="120" w:lineRule="exact"/>
        <w:rPr>
          <w:sz w:val="20"/>
          <w:szCs w:val="20"/>
          <w:color w:val="auto"/>
        </w:rPr>
      </w:pPr>
    </w:p>
    <w:p>
      <w:pPr>
        <w:ind w:right="120"/>
        <w:spacing w:after="0" w:line="239" w:lineRule="auto"/>
        <w:rPr>
          <w:sz w:val="20"/>
          <w:szCs w:val="20"/>
          <w:color w:val="auto"/>
        </w:rPr>
      </w:pPr>
      <w:r>
        <w:rPr>
          <w:rFonts w:ascii="Arial" w:cs="Arial" w:eastAsia="Arial" w:hAnsi="Arial"/>
          <w:sz w:val="12"/>
          <w:szCs w:val="12"/>
          <w:color w:val="auto"/>
        </w:rPr>
        <w:t>Copies of our quarterly financial earnings releases, the annual report on Form 10-K (without exhibits), the quarterly reports on Form 10-Q (without exhibits) and current reports on Form 8-K (without exhibits) as filed by us with the Securities and Exchange Commission, may be obtained without charge from the corporate offices as follows: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Sheila Davis, PR/IR Manager</w:t>
      </w:r>
    </w:p>
    <w:p>
      <w:pPr>
        <w:spacing w:after="0" w:line="216" w:lineRule="auto"/>
        <w:rPr>
          <w:sz w:val="20"/>
          <w:szCs w:val="20"/>
          <w:color w:val="auto"/>
        </w:rPr>
      </w:pPr>
      <w:r>
        <w:rPr>
          <w:rFonts w:ascii="Arial" w:cs="Arial" w:eastAsia="Arial" w:hAnsi="Arial"/>
          <w:sz w:val="13"/>
          <w:szCs w:val="13"/>
          <w:color w:val="auto"/>
        </w:rPr>
        <w:t>Winnebago Industries, Inc.</w:t>
      </w:r>
    </w:p>
    <w:p>
      <w:pPr>
        <w:spacing w:after="0" w:line="217" w:lineRule="auto"/>
        <w:rPr>
          <w:sz w:val="20"/>
          <w:szCs w:val="20"/>
          <w:color w:val="auto"/>
        </w:rPr>
      </w:pPr>
      <w:r>
        <w:rPr>
          <w:rFonts w:ascii="Arial" w:cs="Arial" w:eastAsia="Arial" w:hAnsi="Arial"/>
          <w:sz w:val="13"/>
          <w:szCs w:val="13"/>
          <w:color w:val="auto"/>
        </w:rPr>
        <w:t>605 W. Crystal Lake Road</w:t>
      </w:r>
    </w:p>
    <w:p>
      <w:pPr>
        <w:spacing w:after="0" w:line="217" w:lineRule="auto"/>
        <w:rPr>
          <w:sz w:val="20"/>
          <w:szCs w:val="20"/>
          <w:color w:val="auto"/>
        </w:rPr>
      </w:pPr>
      <w:r>
        <w:rPr>
          <w:rFonts w:ascii="Arial" w:cs="Arial" w:eastAsia="Arial" w:hAnsi="Arial"/>
          <w:sz w:val="13"/>
          <w:szCs w:val="13"/>
          <w:color w:val="auto"/>
        </w:rPr>
        <w:t>P.O. Box 152</w:t>
      </w:r>
    </w:p>
    <w:p>
      <w:pPr>
        <w:spacing w:after="0" w:line="217" w:lineRule="auto"/>
        <w:rPr>
          <w:sz w:val="20"/>
          <w:szCs w:val="20"/>
          <w:color w:val="auto"/>
        </w:rPr>
      </w:pPr>
      <w:r>
        <w:rPr>
          <w:rFonts w:ascii="Arial" w:cs="Arial" w:eastAsia="Arial" w:hAnsi="Arial"/>
          <w:sz w:val="13"/>
          <w:szCs w:val="13"/>
          <w:color w:val="auto"/>
        </w:rPr>
        <w:t>Forest City, Iowa 50436-0152</w:t>
      </w:r>
    </w:p>
    <w:p>
      <w:pPr>
        <w:spacing w:after="0" w:line="217" w:lineRule="auto"/>
        <w:rPr>
          <w:sz w:val="20"/>
          <w:szCs w:val="20"/>
          <w:color w:val="auto"/>
        </w:rPr>
      </w:pPr>
      <w:r>
        <w:rPr>
          <w:rFonts w:ascii="Arial" w:cs="Arial" w:eastAsia="Arial" w:hAnsi="Arial"/>
          <w:sz w:val="13"/>
          <w:szCs w:val="13"/>
          <w:color w:val="auto"/>
        </w:rPr>
        <w:t>Telephone: (641) 585-3535</w:t>
      </w:r>
    </w:p>
    <w:p>
      <w:pPr>
        <w:spacing w:after="0" w:line="216" w:lineRule="auto"/>
        <w:rPr>
          <w:sz w:val="20"/>
          <w:szCs w:val="20"/>
          <w:color w:val="auto"/>
        </w:rPr>
      </w:pPr>
      <w:r>
        <w:rPr>
          <w:rFonts w:ascii="Arial" w:cs="Arial" w:eastAsia="Arial" w:hAnsi="Arial"/>
          <w:sz w:val="13"/>
          <w:szCs w:val="13"/>
          <w:color w:val="auto"/>
        </w:rPr>
        <w:t>Fax: (641) 585-6966</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ir@winnebagoind.com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34" w:lineRule="auto"/>
        <w:rPr>
          <w:sz w:val="20"/>
          <w:szCs w:val="20"/>
          <w:color w:val="auto"/>
        </w:rPr>
      </w:pPr>
      <w:r>
        <w:rPr>
          <w:rFonts w:ascii="Arial" w:cs="Arial" w:eastAsia="Arial" w:hAnsi="Arial"/>
          <w:sz w:val="12"/>
          <w:szCs w:val="12"/>
          <w:color w:val="auto"/>
        </w:rPr>
        <w:t>All news releases issued by us, reports filed by us with the Securities and Exchange Commission (including exhibits) and information on our Corporate Governance Policies and Procedures may also be viewed at the Winnebago Industries'</w:t>
      </w:r>
    </w:p>
    <w:p>
      <w:pPr>
        <w:spacing w:after="0" w:line="2" w:lineRule="exact"/>
        <w:rPr>
          <w:sz w:val="20"/>
          <w:szCs w:val="20"/>
          <w:color w:val="auto"/>
        </w:rPr>
      </w:pPr>
    </w:p>
    <w:p>
      <w:pPr>
        <w:ind w:right="100"/>
        <w:spacing w:after="0" w:line="229" w:lineRule="auto"/>
        <w:rPr>
          <w:sz w:val="20"/>
          <w:szCs w:val="20"/>
          <w:color w:val="auto"/>
        </w:rPr>
      </w:pPr>
      <w:r>
        <w:rPr>
          <w:rFonts w:ascii="Arial" w:cs="Arial" w:eastAsia="Arial" w:hAnsi="Arial"/>
          <w:sz w:val="13"/>
          <w:szCs w:val="13"/>
          <w:color w:val="auto"/>
        </w:rPr>
        <w:t xml:space="preserve">website: </w:t>
      </w:r>
      <w:r>
        <w:rPr>
          <w:rFonts w:ascii="Arial" w:cs="Arial" w:eastAsia="Arial" w:hAnsi="Arial"/>
          <w:sz w:val="13"/>
          <w:szCs w:val="13"/>
          <w:u w:val="single" w:color="auto"/>
          <w:color w:val="auto"/>
        </w:rPr>
        <w:t>http://winnebagoind.com/investor.html.</w:t>
      </w:r>
      <w:r>
        <w:rPr>
          <w:rFonts w:ascii="Arial" w:cs="Arial" w:eastAsia="Arial" w:hAnsi="Arial"/>
          <w:sz w:val="13"/>
          <w:szCs w:val="13"/>
          <w:color w:val="auto"/>
        </w:rPr>
        <w:t xml:space="preserve"> Information contained on Winnebago Industries' website is not incorporated into this Annual Report or other securities filings.</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 Shareholders of Record</w:t>
      </w:r>
    </w:p>
    <w:p>
      <w:pPr>
        <w:spacing w:after="0" w:line="2" w:lineRule="exact"/>
        <w:rPr>
          <w:sz w:val="20"/>
          <w:szCs w:val="20"/>
          <w:color w:val="auto"/>
        </w:rPr>
      </w:pPr>
    </w:p>
    <w:p>
      <w:pPr>
        <w:ind w:right="300"/>
        <w:spacing w:after="0" w:line="230" w:lineRule="auto"/>
        <w:rPr>
          <w:sz w:val="20"/>
          <w:szCs w:val="20"/>
          <w:color w:val="auto"/>
        </w:rPr>
      </w:pPr>
      <w:r>
        <w:rPr>
          <w:rFonts w:ascii="Arial" w:cs="Arial" w:eastAsia="Arial" w:hAnsi="Arial"/>
          <w:sz w:val="13"/>
          <w:szCs w:val="13"/>
          <w:color w:val="auto"/>
        </w:rPr>
        <w:t>As of October 4, 2011, Winnebago Industries had 3,479 shareholders of record.</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 Paid</w:t>
      </w:r>
    </w:p>
    <w:p>
      <w:pPr>
        <w:spacing w:after="0" w:line="2" w:lineRule="exact"/>
        <w:rPr>
          <w:sz w:val="20"/>
          <w:szCs w:val="20"/>
          <w:color w:val="auto"/>
        </w:rPr>
      </w:pPr>
    </w:p>
    <w:p>
      <w:pPr>
        <w:ind w:right="120"/>
        <w:spacing w:after="0" w:line="225" w:lineRule="auto"/>
        <w:rPr>
          <w:sz w:val="20"/>
          <w:szCs w:val="20"/>
          <w:color w:val="auto"/>
        </w:rPr>
      </w:pPr>
      <w:r>
        <w:rPr>
          <w:rFonts w:ascii="Arial" w:cs="Arial" w:eastAsia="Arial" w:hAnsi="Arial"/>
          <w:sz w:val="13"/>
          <w:szCs w:val="13"/>
          <w:color w:val="auto"/>
        </w:rPr>
        <w:t>No dividends were paid in Fiscal 2011. Cash dividend payments were suspended starting with the second quarter of Fiscal 2009.</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Account Assistance</w:t>
      </w:r>
    </w:p>
    <w:p>
      <w:pPr>
        <w:spacing w:after="0" w:line="2" w:lineRule="exact"/>
        <w:rPr>
          <w:sz w:val="20"/>
          <w:szCs w:val="20"/>
          <w:color w:val="auto"/>
        </w:rPr>
      </w:pPr>
    </w:p>
    <w:p>
      <w:pPr>
        <w:ind w:right="320"/>
        <w:spacing w:after="0" w:line="230" w:lineRule="auto"/>
        <w:rPr>
          <w:sz w:val="20"/>
          <w:szCs w:val="20"/>
          <w:color w:val="auto"/>
        </w:rPr>
      </w:pPr>
      <w:r>
        <w:rPr>
          <w:rFonts w:ascii="Arial" w:cs="Arial" w:eastAsia="Arial" w:hAnsi="Arial"/>
          <w:sz w:val="13"/>
          <w:szCs w:val="13"/>
          <w:color w:val="auto"/>
        </w:rPr>
        <w:t>Transfer Agent to contact for address changes, account certificates and stock holdings: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Wells Fargo Shareowner Services</w:t>
      </w:r>
    </w:p>
    <w:p>
      <w:pPr>
        <w:spacing w:after="0" w:line="216" w:lineRule="auto"/>
        <w:rPr>
          <w:sz w:val="20"/>
          <w:szCs w:val="20"/>
          <w:color w:val="auto"/>
        </w:rPr>
      </w:pPr>
      <w:r>
        <w:rPr>
          <w:rFonts w:ascii="Arial" w:cs="Arial" w:eastAsia="Arial" w:hAnsi="Arial"/>
          <w:sz w:val="13"/>
          <w:szCs w:val="13"/>
          <w:color w:val="auto"/>
        </w:rPr>
        <w:t>P.O. Box 64854</w:t>
      </w:r>
    </w:p>
    <w:p>
      <w:pPr>
        <w:spacing w:after="0" w:line="217" w:lineRule="auto"/>
        <w:rPr>
          <w:sz w:val="20"/>
          <w:szCs w:val="20"/>
          <w:color w:val="auto"/>
        </w:rPr>
      </w:pPr>
      <w:r>
        <w:rPr>
          <w:rFonts w:ascii="Arial" w:cs="Arial" w:eastAsia="Arial" w:hAnsi="Arial"/>
          <w:sz w:val="13"/>
          <w:szCs w:val="13"/>
          <w:color w:val="auto"/>
        </w:rPr>
        <w:t>St. Paul, Minnesota 55164-0854 or</w:t>
      </w:r>
    </w:p>
    <w:p>
      <w:pPr>
        <w:spacing w:after="0" w:line="217" w:lineRule="auto"/>
        <w:rPr>
          <w:sz w:val="20"/>
          <w:szCs w:val="20"/>
          <w:color w:val="auto"/>
        </w:rPr>
      </w:pPr>
      <w:r>
        <w:rPr>
          <w:rFonts w:ascii="Arial" w:cs="Arial" w:eastAsia="Arial" w:hAnsi="Arial"/>
          <w:sz w:val="13"/>
          <w:szCs w:val="13"/>
          <w:color w:val="auto"/>
        </w:rPr>
        <w:t>161 North Concord Exchange</w:t>
      </w:r>
    </w:p>
    <w:p>
      <w:pPr>
        <w:ind w:right="580"/>
        <w:spacing w:after="0" w:line="247" w:lineRule="auto"/>
        <w:rPr>
          <w:sz w:val="20"/>
          <w:szCs w:val="20"/>
          <w:color w:val="auto"/>
        </w:rPr>
      </w:pPr>
      <w:r>
        <w:rPr>
          <w:rFonts w:ascii="Arial" w:cs="Arial" w:eastAsia="Arial" w:hAnsi="Arial"/>
          <w:sz w:val="12"/>
          <w:szCs w:val="12"/>
          <w:color w:val="auto"/>
        </w:rPr>
        <w:t>South St. Paul, Minnesota 55075-1139 Telephone: (800) 468-9716 or (651) 450-4064 Inquiries: www.wellsfargo.com/shareownerservices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Meeting</w:t>
      </w:r>
    </w:p>
    <w:p>
      <w:pPr>
        <w:spacing w:after="0" w:line="2" w:lineRule="exact"/>
        <w:rPr>
          <w:sz w:val="20"/>
          <w:szCs w:val="20"/>
          <w:color w:val="auto"/>
        </w:rPr>
      </w:pPr>
    </w:p>
    <w:p>
      <w:pPr>
        <w:ind w:right="40"/>
        <w:spacing w:after="0" w:line="223" w:lineRule="auto"/>
        <w:rPr>
          <w:sz w:val="20"/>
          <w:szCs w:val="20"/>
          <w:color w:val="auto"/>
        </w:rPr>
      </w:pPr>
      <w:r>
        <w:rPr>
          <w:rFonts w:ascii="Arial" w:cs="Arial" w:eastAsia="Arial" w:hAnsi="Arial"/>
          <w:sz w:val="13"/>
          <w:szCs w:val="13"/>
          <w:color w:val="auto"/>
        </w:rPr>
        <w:t>The Annual Meeting of Shareholders is scheduled to be held on Tuesday, December 13, 2011, at 4:00 p.m. (CST) in Winnebago Industries' South Office Complex Theater, 605 W. Crystal Lake Road, Forest City, Iowa.</w:t>
      </w:r>
    </w:p>
    <w:p>
      <w:pPr>
        <w:spacing w:after="0" w:line="263"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Auditors</w:t>
      </w:r>
    </w:p>
    <w:p>
      <w:pPr>
        <w:spacing w:after="0" w:line="219" w:lineRule="auto"/>
        <w:rPr>
          <w:sz w:val="20"/>
          <w:szCs w:val="20"/>
          <w:color w:val="auto"/>
        </w:rPr>
      </w:pPr>
      <w:r>
        <w:rPr>
          <w:rFonts w:ascii="Arial" w:cs="Arial" w:eastAsia="Arial" w:hAnsi="Arial"/>
          <w:sz w:val="13"/>
          <w:szCs w:val="13"/>
          <w:color w:val="auto"/>
        </w:rPr>
        <w:t>Deloitte &amp; Touche LLP</w:t>
      </w:r>
    </w:p>
    <w:p>
      <w:pPr>
        <w:spacing w:after="0" w:line="217" w:lineRule="auto"/>
        <w:rPr>
          <w:sz w:val="20"/>
          <w:szCs w:val="20"/>
          <w:color w:val="auto"/>
        </w:rPr>
      </w:pPr>
      <w:r>
        <w:rPr>
          <w:rFonts w:ascii="Arial" w:cs="Arial" w:eastAsia="Arial" w:hAnsi="Arial"/>
          <w:sz w:val="13"/>
          <w:szCs w:val="13"/>
          <w:color w:val="auto"/>
        </w:rPr>
        <w:t>400 One Financial Plaza</w:t>
      </w:r>
    </w:p>
    <w:p>
      <w:pPr>
        <w:ind w:right="1340"/>
        <w:spacing w:after="0" w:line="225" w:lineRule="auto"/>
        <w:rPr>
          <w:sz w:val="20"/>
          <w:szCs w:val="20"/>
          <w:color w:val="auto"/>
        </w:rPr>
      </w:pPr>
      <w:r>
        <w:rPr>
          <w:rFonts w:ascii="Arial" w:cs="Arial" w:eastAsia="Arial" w:hAnsi="Arial"/>
          <w:sz w:val="13"/>
          <w:szCs w:val="13"/>
          <w:color w:val="auto"/>
        </w:rPr>
        <w:t>120 South Sixth Street Minneapolis, Minnesota 55402-1844 (612) 397-4000</w:t>
      </w:r>
    </w:p>
    <w:p>
      <w:pPr>
        <w:spacing w:after="0" w:line="104" w:lineRule="exact"/>
        <w:rPr>
          <w:sz w:val="20"/>
          <w:szCs w:val="20"/>
          <w:color w:val="auto"/>
        </w:rPr>
      </w:pPr>
    </w:p>
    <w:p>
      <w:pPr>
        <w:ind w:right="580"/>
        <w:spacing w:after="0" w:line="229" w:lineRule="auto"/>
        <w:rPr>
          <w:sz w:val="20"/>
          <w:szCs w:val="20"/>
          <w:color w:val="auto"/>
        </w:rPr>
      </w:pPr>
      <w:r>
        <w:rPr>
          <w:rFonts w:ascii="Arial" w:cs="Arial" w:eastAsia="Arial" w:hAnsi="Arial"/>
          <w:sz w:val="13"/>
          <w:szCs w:val="13"/>
          <w:b w:val="1"/>
          <w:bCs w:val="1"/>
          <w:color w:val="auto"/>
        </w:rPr>
        <w:t>NYSE Annual CEO Certification and Sarbanes-Oxley Section 302 Certifications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3"/>
          <w:szCs w:val="13"/>
          <w:color w:val="auto"/>
        </w:rPr>
        <w:t>We submitted the annual Chief Executive Officer Certification to the New York Stock Exchange (NYSE) as required under the corporate governance rules of the NYSE. We also filed as exhibits to our 2011 Annual Report on Form 10-K, the Chief Executive Officer and Chief Financial Officer certifications required under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1400810</wp:posOffset>
            </wp:positionV>
            <wp:extent cx="737235" cy="754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20" w:lineRule="auto"/>
        <w:rPr>
          <w:sz w:val="20"/>
          <w:szCs w:val="20"/>
          <w:color w:val="auto"/>
        </w:rPr>
      </w:pPr>
      <w:r>
        <w:rPr>
          <w:rFonts w:ascii="Arial" w:cs="Arial" w:eastAsia="Arial" w:hAnsi="Arial"/>
          <w:sz w:val="13"/>
          <w:szCs w:val="13"/>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w:t>
      </w:r>
    </w:p>
    <w:p>
      <w:pPr>
        <w:sectPr>
          <w:pgSz w:w="11900" w:h="16838" w:orient="portrait"/>
          <w:cols w:equalWidth="0" w:num="3">
            <w:col w:w="3340" w:space="720"/>
            <w:col w:w="3420" w:space="400"/>
            <w:col w:w="3360"/>
          </w:cols>
          <w:pgMar w:left="240" w:top="141" w:right="4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00" w:lineRule="exact"/>
        <w:rPr>
          <w:sz w:val="20"/>
          <w:szCs w:val="20"/>
          <w:color w:val="auto"/>
        </w:rPr>
      </w:pPr>
    </w:p>
    <w:p>
      <w:pPr>
        <w:spacing w:after="0" w:line="21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This EXECUTIVE CHANGE OF CONTROL AGREEMENT is made as of August 1, 2011, by and between </w:t>
      </w:r>
      <w:r>
        <w:rPr>
          <w:rFonts w:ascii="Arial" w:cs="Arial" w:eastAsia="Arial" w:hAnsi="Arial"/>
          <w:sz w:val="16"/>
          <w:szCs w:val="16"/>
          <w:b w:val="1"/>
          <w:bCs w:val="1"/>
          <w:color w:val="auto"/>
        </w:rPr>
        <w:t>WINNEBAGO INDUSTRIES, INC.</w:t>
      </w:r>
      <w:r>
        <w:rPr>
          <w:rFonts w:ascii="Arial" w:cs="Arial" w:eastAsia="Arial" w:hAnsi="Arial"/>
          <w:sz w:val="16"/>
          <w:szCs w:val="16"/>
          <w:color w:val="auto"/>
        </w:rPr>
        <w:t>, an Iowa corporation (the "Company"), and Donald L. Heidemann (the "Executive").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 E C I T A L S :</w:t>
      </w:r>
    </w:p>
    <w:p>
      <w:pPr>
        <w:spacing w:after="0" w:line="19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Executive is a senior executive and officer of the Company and has made and is expected to continue to make major contributions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profitability, growth and financial strength of the Company;</w:t>
      </w:r>
    </w:p>
    <w:p>
      <w:pPr>
        <w:spacing w:after="0" w:line="129" w:lineRule="exact"/>
        <w:rPr>
          <w:sz w:val="20"/>
          <w:szCs w:val="20"/>
          <w:color w:val="auto"/>
        </w:rPr>
      </w:pPr>
    </w:p>
    <w:p>
      <w:pPr>
        <w:ind w:right="540" w:firstLine="648"/>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recognizes that, as is the case for most publicly held companies, the possibility of a Change of Control (as hereafter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exists;</w:t>
      </w:r>
    </w:p>
    <w:p>
      <w:pPr>
        <w:spacing w:after="0" w:line="1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it is in the best interests of the Company, considering the past and future services of the Executive, to improve the security and climate</w:t>
      </w:r>
      <w:r>
        <w:rPr>
          <w:rFonts w:ascii="Arial" w:cs="Arial" w:eastAsia="Arial" w:hAnsi="Arial"/>
          <w:sz w:val="16"/>
          <w:szCs w:val="16"/>
          <w:b w:val="1"/>
          <w:bCs w:val="1"/>
          <w:color w:val="auto"/>
        </w:rPr>
        <w:t xml:space="preserve"> </w:t>
      </w:r>
      <w:r>
        <w:rPr>
          <w:rFonts w:ascii="Arial" w:cs="Arial" w:eastAsia="Arial" w:hAnsi="Arial"/>
          <w:sz w:val="16"/>
          <w:szCs w:val="16"/>
          <w:color w:val="auto"/>
        </w:rPr>
        <w:t>for objective decision making by providing for the personal security of the Executive upon a Change of Control.</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premises and the past and future services rendered and to be rendered by the Executive to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Company and of the mutual covenants and agreements hereinafter set forth, the parties agree as follows: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 G R E E M E N T :</w:t>
      </w:r>
    </w:p>
    <w:p>
      <w:pPr>
        <w:spacing w:after="0" w:line="194" w:lineRule="exact"/>
        <w:rPr>
          <w:sz w:val="20"/>
          <w:szCs w:val="20"/>
          <w:color w:val="auto"/>
        </w:rPr>
      </w:pPr>
    </w:p>
    <w:p>
      <w:pPr>
        <w:jc w:val="both"/>
        <w:ind w:right="180" w:firstLine="656"/>
        <w:spacing w:after="0" w:line="259" w:lineRule="auto"/>
        <w:tabs>
          <w:tab w:leader="none" w:pos="82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Service by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 person or entity, in order to effect a Change of Control, commences a tender or exchange offer,</w:t>
      </w:r>
      <w:r>
        <w:rPr>
          <w:rFonts w:ascii="Arial" w:cs="Arial" w:eastAsia="Arial" w:hAnsi="Arial"/>
          <w:sz w:val="16"/>
          <w:szCs w:val="16"/>
          <w:b w:val="1"/>
          <w:bCs w:val="1"/>
          <w:color w:val="auto"/>
        </w:rPr>
        <w:t xml:space="preserve"> </w:t>
      </w:r>
      <w:r>
        <w:rPr>
          <w:rFonts w:ascii="Arial" w:cs="Arial" w:eastAsia="Arial" w:hAnsi="Arial"/>
          <w:sz w:val="16"/>
          <w:szCs w:val="16"/>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51" w:lineRule="exact"/>
        <w:rPr>
          <w:rFonts w:ascii="Arial" w:cs="Arial" w:eastAsia="Arial" w:hAnsi="Arial"/>
          <w:sz w:val="16"/>
          <w:szCs w:val="16"/>
          <w:b w:val="1"/>
          <w:bCs w:val="1"/>
          <w:color w:val="auto"/>
        </w:rPr>
      </w:pPr>
    </w:p>
    <w:p>
      <w:pPr>
        <w:ind w:right="140" w:firstLine="656"/>
        <w:spacing w:after="0" w:line="252" w:lineRule="auto"/>
        <w:tabs>
          <w:tab w:leader="none" w:pos="82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purpose of the foregoing definition of “Change of Control”, the capitalized terms shall have the following meanings:</w:t>
      </w:r>
    </w:p>
    <w:p>
      <w:pPr>
        <w:spacing w:after="0" w:line="194" w:lineRule="exact"/>
        <w:rPr>
          <w:sz w:val="20"/>
          <w:szCs w:val="20"/>
          <w:color w:val="auto"/>
        </w:rPr>
      </w:pPr>
    </w:p>
    <w:p>
      <w:pPr>
        <w:ind w:firstLine="656"/>
        <w:spacing w:after="0" w:line="250" w:lineRule="auto"/>
        <w:tabs>
          <w:tab w:leader="none" w:pos="8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76" w:lineRule="exact"/>
        <w:rPr>
          <w:rFonts w:ascii="Arial" w:cs="Arial" w:eastAsia="Arial" w:hAnsi="Arial"/>
          <w:sz w:val="16"/>
          <w:szCs w:val="16"/>
          <w:color w:val="auto"/>
        </w:rPr>
      </w:pPr>
    </w:p>
    <w:p>
      <w:pPr>
        <w:ind w:right="360" w:firstLine="656"/>
        <w:spacing w:after="0" w:line="253" w:lineRule="auto"/>
        <w:tabs>
          <w:tab w:leader="none" w:pos="8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74" w:lineRule="exact"/>
        <w:rPr>
          <w:rFonts w:ascii="Arial" w:cs="Arial" w:eastAsia="Arial" w:hAnsi="Arial"/>
          <w:sz w:val="16"/>
          <w:szCs w:val="16"/>
          <w:color w:val="auto"/>
        </w:rPr>
      </w:pPr>
    </w:p>
    <w:p>
      <w:pPr>
        <w:ind w:right="260" w:firstLine="656"/>
        <w:spacing w:after="0" w:line="260" w:lineRule="auto"/>
        <w:tabs>
          <w:tab w:leader="none" w:pos="8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“Affiliate” means a Person that directly or indirectly through one or more intermediaries, controls, or is controlled by, or is under common control with, the person specified.</w:t>
      </w:r>
    </w:p>
    <w:p>
      <w:pPr>
        <w:spacing w:after="0" w:line="168" w:lineRule="exact"/>
        <w:rPr>
          <w:rFonts w:ascii="Arial" w:cs="Arial" w:eastAsia="Arial" w:hAnsi="Arial"/>
          <w:sz w:val="16"/>
          <w:szCs w:val="16"/>
          <w:color w:val="auto"/>
        </w:rPr>
      </w:pPr>
    </w:p>
    <w:p>
      <w:pPr>
        <w:ind w:right="60" w:firstLine="656"/>
        <w:spacing w:after="0" w:line="250" w:lineRule="auto"/>
        <w:tabs>
          <w:tab w:leader="none" w:pos="8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576" w:right="259" w:bottom="1440" w:gutter="0" w:footer="0" w:header="0"/>
        </w:sectPr>
      </w:pPr>
    </w:p>
    <w:bookmarkStart w:id="57" w:name="page58"/>
    <w:bookmarkEnd w:id="57"/>
    <w:p>
      <w:pPr>
        <w:ind w:left="-8" w:right="840" w:firstLine="656"/>
        <w:spacing w:after="0" w:line="260" w:lineRule="auto"/>
        <w:tabs>
          <w:tab w:leader="none" w:pos="8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“Person” means an individual, corporation, limited liability company, partnership, association, joint stock company, trust, unincorporated organization or government or political subdivision thereof.</w:t>
      </w:r>
    </w:p>
    <w:p>
      <w:pPr>
        <w:spacing w:after="0" w:line="149" w:lineRule="exact"/>
        <w:rPr>
          <w:sz w:val="20"/>
          <w:szCs w:val="20"/>
          <w:color w:val="auto"/>
        </w:rPr>
      </w:pPr>
    </w:p>
    <w:p>
      <w:pPr>
        <w:jc w:val="both"/>
        <w:ind w:left="-8" w:right="40" w:firstLine="656"/>
        <w:spacing w:after="0" w:line="256" w:lineRule="auto"/>
        <w:tabs>
          <w:tab w:leader="none" w:pos="82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57" w:lineRule="exact"/>
        <w:rPr>
          <w:sz w:val="20"/>
          <w:szCs w:val="20"/>
          <w:color w:val="auto"/>
        </w:rPr>
      </w:pPr>
    </w:p>
    <w:p>
      <w:pPr>
        <w:jc w:val="both"/>
        <w:ind w:left="-8" w:right="220" w:firstLine="656"/>
        <w:spacing w:after="0" w:line="264" w:lineRule="auto"/>
        <w:tabs>
          <w:tab w:leader="none" w:pos="883"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49" w:lineRule="exact"/>
        <w:rPr>
          <w:rFonts w:ascii="Arial" w:cs="Arial" w:eastAsia="Arial" w:hAnsi="Arial"/>
          <w:sz w:val="16"/>
          <w:szCs w:val="16"/>
          <w:color w:val="auto"/>
        </w:rPr>
      </w:pPr>
    </w:p>
    <w:p>
      <w:pPr>
        <w:jc w:val="both"/>
        <w:ind w:left="-8" w:right="640" w:firstLine="656"/>
        <w:spacing w:after="0" w:line="264" w:lineRule="auto"/>
        <w:tabs>
          <w:tab w:leader="none" w:pos="883"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The term “Retirement” as used in this Agreement shall mean termination by the Company or the Executive of the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based on the Executive having attained the age of 65 or such other age as shall have been fixed in any arrangement established with the Executive's consent with respect to the Executive.</w:t>
      </w:r>
    </w:p>
    <w:p>
      <w:pPr>
        <w:spacing w:after="0" w:line="149" w:lineRule="exact"/>
        <w:rPr>
          <w:rFonts w:ascii="Arial" w:cs="Arial" w:eastAsia="Arial" w:hAnsi="Arial"/>
          <w:sz w:val="16"/>
          <w:szCs w:val="16"/>
          <w:color w:val="auto"/>
        </w:rPr>
      </w:pPr>
    </w:p>
    <w:p>
      <w:pPr>
        <w:ind w:left="-8" w:right="200" w:firstLine="656"/>
        <w:spacing w:after="0" w:line="257" w:lineRule="auto"/>
        <w:tabs>
          <w:tab w:leader="none" w:pos="874"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w:t>
      </w:r>
    </w:p>
    <w:p>
      <w:pPr>
        <w:ind w:left="-8" w:right="40" w:firstLine="8"/>
        <w:spacing w:after="0" w:line="248" w:lineRule="auto"/>
        <w:tabs>
          <w:tab w:leader="none" w:pos="2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354" w:lineRule="exact"/>
        <w:rPr>
          <w:rFonts w:ascii="Arial" w:cs="Arial" w:eastAsia="Arial" w:hAnsi="Arial"/>
          <w:sz w:val="16"/>
          <w:szCs w:val="16"/>
          <w:color w:val="auto"/>
        </w:rPr>
      </w:pPr>
    </w:p>
    <w:p>
      <w:pPr>
        <w:ind w:left="-8" w:right="360" w:firstLine="656"/>
        <w:spacing w:after="0" w:line="281" w:lineRule="auto"/>
        <w:tabs>
          <w:tab w:leader="none" w:pos="883"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“Good Reason” shall mean any of the following (without the Executive's express written consent):</w:t>
      </w:r>
    </w:p>
    <w:p>
      <w:pPr>
        <w:spacing w:after="0" w:line="152" w:lineRule="exact"/>
        <w:rPr>
          <w:rFonts w:ascii="Arial" w:cs="Arial" w:eastAsia="Arial" w:hAnsi="Arial"/>
          <w:sz w:val="16"/>
          <w:szCs w:val="16"/>
          <w:color w:val="auto"/>
        </w:rPr>
      </w:pPr>
    </w:p>
    <w:p>
      <w:pPr>
        <w:ind w:left="652" w:right="260" w:firstLine="645"/>
        <w:spacing w:after="0" w:line="250" w:lineRule="auto"/>
        <w:tabs>
          <w:tab w:leader="none" w:pos="1489"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76" w:lineRule="exact"/>
        <w:rPr>
          <w:rFonts w:ascii="Arial" w:cs="Arial" w:eastAsia="Arial" w:hAnsi="Arial"/>
          <w:sz w:val="16"/>
          <w:szCs w:val="16"/>
          <w:color w:val="auto"/>
        </w:rPr>
      </w:pPr>
    </w:p>
    <w:p>
      <w:pPr>
        <w:ind w:left="652" w:firstLine="645"/>
        <w:spacing w:after="0" w:line="251" w:lineRule="auto"/>
        <w:tabs>
          <w:tab w:leader="none" w:pos="1525" w:val="left"/>
        </w:tabs>
        <w:numPr>
          <w:ilvl w:val="2"/>
          <w:numId w:val="40"/>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75" w:lineRule="exact"/>
        <w:rPr>
          <w:rFonts w:ascii="Arial" w:cs="Arial" w:eastAsia="Arial" w:hAnsi="Arial"/>
          <w:sz w:val="16"/>
          <w:szCs w:val="16"/>
          <w:color w:val="auto"/>
        </w:rPr>
      </w:pPr>
    </w:p>
    <w:p>
      <w:pPr>
        <w:ind w:left="652" w:right="60" w:firstLine="645"/>
        <w:spacing w:after="0" w:line="249" w:lineRule="auto"/>
        <w:tabs>
          <w:tab w:leader="none" w:pos="1561" w:val="left"/>
        </w:tabs>
        <w:numPr>
          <w:ilvl w:val="2"/>
          <w:numId w:val="40"/>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78" w:lineRule="exact"/>
        <w:rPr>
          <w:rFonts w:ascii="Arial" w:cs="Arial" w:eastAsia="Arial" w:hAnsi="Arial"/>
          <w:sz w:val="16"/>
          <w:szCs w:val="16"/>
          <w:color w:val="auto"/>
        </w:rPr>
      </w:pPr>
    </w:p>
    <w:p>
      <w:pPr>
        <w:ind w:left="652" w:right="120" w:firstLine="645"/>
        <w:spacing w:after="0" w:line="249" w:lineRule="auto"/>
        <w:tabs>
          <w:tab w:leader="none" w:pos="1570" w:val="left"/>
        </w:tabs>
        <w:numPr>
          <w:ilvl w:val="2"/>
          <w:numId w:val="40"/>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w:t>
      </w: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92"/>
          </w:cols>
          <w:pgMar w:left="248" w:top="601" w:right="259" w:bottom="1440" w:gutter="0" w:footer="0" w:header="0"/>
        </w:sectPr>
      </w:pPr>
    </w:p>
    <w:bookmarkStart w:id="58" w:name="page59"/>
    <w:bookmarkEnd w:id="58"/>
    <w:p>
      <w:pPr>
        <w:ind w:left="640"/>
        <w:spacing w:after="0"/>
        <w:rPr>
          <w:sz w:val="20"/>
          <w:szCs w:val="20"/>
          <w:color w:val="auto"/>
        </w:rPr>
      </w:pPr>
      <w:r>
        <w:rPr>
          <w:rFonts w:ascii="Arial" w:cs="Arial" w:eastAsia="Arial" w:hAnsi="Arial"/>
          <w:sz w:val="16"/>
          <w:szCs w:val="16"/>
          <w:color w:val="auto"/>
        </w:rPr>
        <w:t>base salary, by more than 10 percentage points in any fiscal year as compared to the immediately preceding fiscal year;</w:t>
      </w:r>
    </w:p>
    <w:p>
      <w:pPr>
        <w:spacing w:after="0" w:line="194" w:lineRule="exact"/>
        <w:rPr>
          <w:sz w:val="20"/>
          <w:szCs w:val="20"/>
          <w:color w:val="auto"/>
        </w:rPr>
      </w:pPr>
    </w:p>
    <w:p>
      <w:pPr>
        <w:jc w:val="both"/>
        <w:ind w:left="640" w:right="160" w:firstLine="645"/>
        <w:spacing w:after="0" w:line="251" w:lineRule="auto"/>
        <w:tabs>
          <w:tab w:leader="none" w:pos="152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75" w:lineRule="exact"/>
        <w:rPr>
          <w:rFonts w:ascii="Arial" w:cs="Arial" w:eastAsia="Arial" w:hAnsi="Arial"/>
          <w:sz w:val="16"/>
          <w:szCs w:val="16"/>
          <w:color w:val="auto"/>
        </w:rPr>
      </w:pPr>
    </w:p>
    <w:p>
      <w:pPr>
        <w:ind w:left="640" w:right="20" w:firstLine="645"/>
        <w:spacing w:after="0" w:line="251" w:lineRule="auto"/>
        <w:tabs>
          <w:tab w:leader="none" w:pos="1558"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75" w:lineRule="exact"/>
        <w:rPr>
          <w:rFonts w:ascii="Arial" w:cs="Arial" w:eastAsia="Arial" w:hAnsi="Arial"/>
          <w:sz w:val="16"/>
          <w:szCs w:val="16"/>
          <w:color w:val="auto"/>
        </w:rPr>
      </w:pPr>
    </w:p>
    <w:p>
      <w:pPr>
        <w:ind w:left="640" w:right="100" w:firstLine="645"/>
        <w:spacing w:after="0" w:line="260" w:lineRule="auto"/>
        <w:tabs>
          <w:tab w:leader="none" w:pos="15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failure by the Company to provide the Executive with the number of paid vacation days to which the Executive is entitled at the time of a Change in Control of the Company;</w:t>
      </w:r>
    </w:p>
    <w:p>
      <w:pPr>
        <w:spacing w:after="0" w:line="168" w:lineRule="exact"/>
        <w:rPr>
          <w:rFonts w:ascii="Arial" w:cs="Arial" w:eastAsia="Arial" w:hAnsi="Arial"/>
          <w:sz w:val="16"/>
          <w:szCs w:val="16"/>
          <w:color w:val="auto"/>
        </w:rPr>
      </w:pPr>
    </w:p>
    <w:p>
      <w:pPr>
        <w:ind w:left="1620" w:hanging="335"/>
        <w:spacing w:after="0"/>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material breach by the Company of any provision of this Agreement;</w:t>
      </w:r>
    </w:p>
    <w:p>
      <w:pPr>
        <w:spacing w:after="0" w:line="194" w:lineRule="exact"/>
        <w:rPr>
          <w:rFonts w:ascii="Arial" w:cs="Arial" w:eastAsia="Arial" w:hAnsi="Arial"/>
          <w:sz w:val="16"/>
          <w:szCs w:val="16"/>
          <w:color w:val="auto"/>
        </w:rPr>
      </w:pPr>
    </w:p>
    <w:p>
      <w:pPr>
        <w:ind w:left="1560" w:hanging="275"/>
        <w:spacing w:after="0"/>
        <w:tabs>
          <w:tab w:leader="none" w:pos="15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failure by the Company to obtain the assumption of this Agreement by any successor or assign of the Company; or</w:t>
      </w:r>
    </w:p>
    <w:p>
      <w:pPr>
        <w:spacing w:after="0" w:line="194" w:lineRule="exact"/>
        <w:rPr>
          <w:rFonts w:ascii="Arial" w:cs="Arial" w:eastAsia="Arial" w:hAnsi="Arial"/>
          <w:sz w:val="16"/>
          <w:szCs w:val="16"/>
          <w:color w:val="auto"/>
        </w:rPr>
      </w:pPr>
    </w:p>
    <w:p>
      <w:pPr>
        <w:ind w:left="640" w:right="740" w:firstLine="645"/>
        <w:spacing w:after="0" w:line="260" w:lineRule="auto"/>
        <w:tabs>
          <w:tab w:leader="none" w:pos="152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purported termination of the Executive's employment which is not effected pursuant to a Notice of Termination satisfying the requirements of Section 3(e) below.</w:t>
      </w:r>
    </w:p>
    <w:p>
      <w:pPr>
        <w:spacing w:after="0" w:line="152" w:lineRule="exact"/>
        <w:rPr>
          <w:rFonts w:ascii="Arial" w:cs="Arial" w:eastAsia="Arial" w:hAnsi="Arial"/>
          <w:sz w:val="16"/>
          <w:szCs w:val="16"/>
          <w:color w:val="auto"/>
        </w:rPr>
      </w:pPr>
    </w:p>
    <w:p>
      <w:pPr>
        <w:ind w:left="-20" w:right="120" w:firstLine="656"/>
        <w:spacing w:after="0" w:line="255" w:lineRule="auto"/>
        <w:tabs>
          <w:tab w:leader="none" w:pos="871"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Notice of Termination. </w:t>
      </w:r>
      <w:r>
        <w:rPr>
          <w:rFonts w:ascii="Arial" w:cs="Arial" w:eastAsia="Arial" w:hAnsi="Arial"/>
          <w:sz w:val="16"/>
          <w:szCs w:val="16"/>
          <w:color w:val="auto"/>
        </w:rPr>
        <w:t>Any termination by the Company pursuant to Section 3(a), (b) or (c) shall be communicated by a Notice of Termination.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57" w:lineRule="exact"/>
        <w:rPr>
          <w:rFonts w:ascii="Arial" w:cs="Arial" w:eastAsia="Arial" w:hAnsi="Arial"/>
          <w:sz w:val="16"/>
          <w:szCs w:val="16"/>
          <w:color w:val="auto"/>
        </w:rPr>
      </w:pPr>
    </w:p>
    <w:p>
      <w:pPr>
        <w:ind w:left="-20" w:right="120" w:firstLine="656"/>
        <w:spacing w:after="0" w:line="252" w:lineRule="auto"/>
        <w:tabs>
          <w:tab w:leader="none" w:pos="826"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56" w:lineRule="exact"/>
        <w:rPr>
          <w:sz w:val="20"/>
          <w:szCs w:val="20"/>
          <w:color w:val="auto"/>
        </w:rPr>
      </w:pPr>
    </w:p>
    <w:p>
      <w:pPr>
        <w:ind w:left="-20" w:firstLine="656"/>
        <w:spacing w:after="0" w:line="255" w:lineRule="auto"/>
        <w:tabs>
          <w:tab w:leader="none" w:pos="808"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Severance Compensation upon Termination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shall terminate the Executive's employment other than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346" w:lineRule="exact"/>
        <w:rPr>
          <w:rFonts w:ascii="Arial" w:cs="Arial" w:eastAsia="Arial" w:hAnsi="Arial"/>
          <w:sz w:val="16"/>
          <w:szCs w:val="16"/>
          <w:b w:val="1"/>
          <w:bCs w:val="1"/>
          <w:color w:val="auto"/>
        </w:rPr>
      </w:pPr>
    </w:p>
    <w:p>
      <w:pPr>
        <w:ind w:left="820" w:hanging="184"/>
        <w:spacing w:after="0"/>
        <w:tabs>
          <w:tab w:leader="none" w:pos="8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Excise Tax-Additional Payment.</w:t>
      </w:r>
    </w:p>
    <w:p>
      <w:pPr>
        <w:spacing w:after="0" w:line="214" w:lineRule="exact"/>
        <w:rPr>
          <w:sz w:val="20"/>
          <w:szCs w:val="20"/>
          <w:color w:val="auto"/>
        </w:rPr>
      </w:pPr>
    </w:p>
    <w:p>
      <w:pPr>
        <w:ind w:left="-20" w:right="60" w:firstLine="656"/>
        <w:spacing w:after="0" w:line="248" w:lineRule="auto"/>
        <w:tabs>
          <w:tab w:leader="none" w:pos="8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80" w:lineRule="exact"/>
        <w:rPr>
          <w:rFonts w:ascii="Arial" w:cs="Arial" w:eastAsia="Arial" w:hAnsi="Arial"/>
          <w:sz w:val="16"/>
          <w:szCs w:val="16"/>
          <w:color w:val="auto"/>
        </w:rPr>
      </w:pPr>
    </w:p>
    <w:p>
      <w:pPr>
        <w:ind w:left="-20" w:right="20" w:firstLine="656"/>
        <w:spacing w:after="0" w:line="251" w:lineRule="auto"/>
        <w:tabs>
          <w:tab w:leader="none" w:pos="8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determinations and computations required to be made under this Section 5, including whether a Gross-Up Payment is required under clause (ii) 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60" w:top="601" w:right="239" w:bottom="1440" w:gutter="0" w:footer="0" w:header="0"/>
        </w:sectPr>
      </w:pPr>
    </w:p>
    <w:bookmarkStart w:id="59" w:name="page60"/>
    <w:bookmarkEnd w:id="59"/>
    <w:p>
      <w:pPr>
        <w:ind w:right="20"/>
        <w:spacing w:after="0" w:line="248" w:lineRule="auto"/>
        <w:rPr>
          <w:sz w:val="20"/>
          <w:szCs w:val="20"/>
          <w:color w:val="auto"/>
        </w:rPr>
      </w:pPr>
      <w:r>
        <w:rPr>
          <w:rFonts w:ascii="Arial" w:cs="Arial" w:eastAsia="Arial" w:hAnsi="Arial"/>
          <w:sz w:val="16"/>
          <w:szCs w:val="16"/>
          <w:color w:val="auto"/>
        </w:rPr>
        <w:t>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 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79" w:lineRule="exact"/>
        <w:rPr>
          <w:sz w:val="20"/>
          <w:szCs w:val="20"/>
          <w:color w:val="auto"/>
        </w:rPr>
      </w:pPr>
    </w:p>
    <w:p>
      <w:pPr>
        <w:ind w:right="80" w:firstLine="656"/>
        <w:spacing w:after="0" w:line="249" w:lineRule="auto"/>
        <w:tabs>
          <w:tab w:leader="none" w:pos="88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78" w:lineRule="exact"/>
        <w:rPr>
          <w:rFonts w:ascii="Arial" w:cs="Arial" w:eastAsia="Arial" w:hAnsi="Arial"/>
          <w:sz w:val="16"/>
          <w:szCs w:val="16"/>
          <w:color w:val="auto"/>
        </w:rPr>
      </w:pPr>
    </w:p>
    <w:p>
      <w:pPr>
        <w:ind w:left="1500" w:hanging="195"/>
        <w:spacing w:after="0"/>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give the Company any information reasonably requested relating to such claim,</w:t>
      </w:r>
    </w:p>
    <w:p>
      <w:pPr>
        <w:spacing w:after="0" w:line="194" w:lineRule="exact"/>
        <w:rPr>
          <w:rFonts w:ascii="Arial" w:cs="Arial" w:eastAsia="Arial" w:hAnsi="Arial"/>
          <w:sz w:val="16"/>
          <w:szCs w:val="16"/>
          <w:color w:val="auto"/>
        </w:rPr>
      </w:pPr>
    </w:p>
    <w:p>
      <w:pPr>
        <w:ind w:left="660" w:right="40" w:firstLine="645"/>
        <w:spacing w:after="0" w:line="260" w:lineRule="auto"/>
        <w:tabs>
          <w:tab w:leader="none" w:pos="1533" w:val="left"/>
        </w:tabs>
        <w:numPr>
          <w:ilvl w:val="1"/>
          <w:numId w:val="45"/>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8" w:lineRule="exact"/>
        <w:rPr>
          <w:rFonts w:ascii="Arial" w:cs="Arial" w:eastAsia="Arial" w:hAnsi="Arial"/>
          <w:sz w:val="16"/>
          <w:szCs w:val="16"/>
          <w:color w:val="auto"/>
        </w:rPr>
      </w:pPr>
    </w:p>
    <w:p>
      <w:pPr>
        <w:ind w:left="1560" w:hanging="255"/>
        <w:spacing w:after="0"/>
        <w:tabs>
          <w:tab w:leader="none" w:pos="15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cooperate with the Company in good faith in order effectively to contest such claim, and</w:t>
      </w:r>
    </w:p>
    <w:p>
      <w:pPr>
        <w:spacing w:after="0" w:line="194" w:lineRule="exact"/>
        <w:rPr>
          <w:rFonts w:ascii="Arial" w:cs="Arial" w:eastAsia="Arial" w:hAnsi="Arial"/>
          <w:sz w:val="16"/>
          <w:szCs w:val="16"/>
          <w:color w:val="auto"/>
        </w:rPr>
      </w:pPr>
    </w:p>
    <w:p>
      <w:pPr>
        <w:ind w:left="1580" w:hanging="275"/>
        <w:spacing w:after="0"/>
        <w:tabs>
          <w:tab w:leader="none" w:pos="15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permit the Company to participate in any proceedings relating to such claim;</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0" w:lineRule="exact"/>
        <w:rPr>
          <w:sz w:val="20"/>
          <w:szCs w:val="20"/>
          <w:color w:val="auto"/>
        </w:rPr>
      </w:pPr>
    </w:p>
    <w:p>
      <w:pPr>
        <w:ind w:right="40" w:firstLine="656"/>
        <w:spacing w:after="0" w:line="248" w:lineRule="auto"/>
        <w:tabs>
          <w:tab w:leader="none" w:pos="891"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81" w:lineRule="exact"/>
        <w:rPr>
          <w:rFonts w:ascii="Arial" w:cs="Arial" w:eastAsia="Arial" w:hAnsi="Arial"/>
          <w:sz w:val="16"/>
          <w:szCs w:val="16"/>
          <w:color w:val="auto"/>
        </w:rPr>
      </w:pPr>
    </w:p>
    <w:p>
      <w:pPr>
        <w:ind w:right="100" w:firstLine="656"/>
        <w:spacing w:after="0" w:line="253" w:lineRule="auto"/>
        <w:tabs>
          <w:tab w:leader="none" w:pos="891" w:val="left"/>
        </w:tabs>
        <w:numPr>
          <w:ilvl w:val="0"/>
          <w:numId w:val="46"/>
        </w:numPr>
        <w:rPr>
          <w:rFonts w:ascii="Arial" w:cs="Arial" w:eastAsia="Arial" w:hAnsi="Arial"/>
          <w:sz w:val="16"/>
          <w:szCs w:val="16"/>
          <w:color w:val="auto"/>
        </w:rPr>
      </w:pPr>
      <w:r>
        <w:rPr>
          <w:rFonts w:ascii="Arial" w:cs="Arial" w:eastAsia="Arial" w:hAnsi="Arial"/>
          <w:sz w:val="16"/>
          <w:szCs w:val="16"/>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601" w:right="259" w:bottom="1440" w:gutter="0" w:footer="0" w:header="0"/>
        </w:sectPr>
      </w:pPr>
    </w:p>
    <w:bookmarkStart w:id="60" w:name="page61"/>
    <w:bookmarkEnd w:id="60"/>
    <w:p>
      <w:pPr>
        <w:ind w:left="180" w:hanging="172"/>
        <w:spacing w:after="0"/>
        <w:tabs>
          <w:tab w:leader="none" w:pos="18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Obligation To Mitigate Damages; No Effect on Other Contractual Rights</w:t>
      </w:r>
      <w:r>
        <w:rPr>
          <w:rFonts w:ascii="Arial" w:cs="Arial" w:eastAsia="Arial" w:hAnsi="Arial"/>
          <w:sz w:val="16"/>
          <w:szCs w:val="16"/>
          <w:color w:val="auto"/>
        </w:rPr>
        <w:t>.</w:t>
      </w:r>
    </w:p>
    <w:p>
      <w:pPr>
        <w:spacing w:after="0" w:line="214" w:lineRule="exact"/>
        <w:rPr>
          <w:rFonts w:ascii="Arial" w:cs="Arial" w:eastAsia="Arial" w:hAnsi="Arial"/>
          <w:sz w:val="16"/>
          <w:szCs w:val="16"/>
          <w:b w:val="1"/>
          <w:bCs w:val="1"/>
          <w:color w:val="auto"/>
        </w:rPr>
      </w:pPr>
    </w:p>
    <w:p>
      <w:pPr>
        <w:ind w:right="140" w:firstLine="656"/>
        <w:spacing w:after="0" w:line="253" w:lineRule="auto"/>
        <w:tabs>
          <w:tab w:leader="none" w:pos="8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74" w:lineRule="exact"/>
        <w:rPr>
          <w:rFonts w:ascii="Arial" w:cs="Arial" w:eastAsia="Arial" w:hAnsi="Arial"/>
          <w:sz w:val="16"/>
          <w:szCs w:val="16"/>
          <w:color w:val="auto"/>
        </w:rPr>
      </w:pPr>
    </w:p>
    <w:p>
      <w:pPr>
        <w:ind w:right="500" w:firstLine="656"/>
        <w:spacing w:after="0" w:line="253" w:lineRule="auto"/>
        <w:tabs>
          <w:tab w:leader="none" w:pos="8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54" w:lineRule="exact"/>
        <w:rPr>
          <w:sz w:val="20"/>
          <w:szCs w:val="20"/>
          <w:color w:val="auto"/>
        </w:rPr>
      </w:pPr>
    </w:p>
    <w:p>
      <w:pPr>
        <w:ind w:left="840" w:hanging="184"/>
        <w:spacing w:after="0"/>
        <w:tabs>
          <w:tab w:leader="none" w:pos="84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 to the Company</w:t>
      </w:r>
      <w:r>
        <w:rPr>
          <w:rFonts w:ascii="Arial" w:cs="Arial" w:eastAsia="Arial" w:hAnsi="Arial"/>
          <w:sz w:val="16"/>
          <w:szCs w:val="16"/>
          <w:b w:val="1"/>
          <w:bCs w:val="1"/>
          <w:i w:val="1"/>
          <w:iCs w:val="1"/>
          <w:color w:val="auto"/>
        </w:rPr>
        <w:t>.</w:t>
      </w:r>
    </w:p>
    <w:p>
      <w:pPr>
        <w:spacing w:after="0" w:line="214" w:lineRule="exact"/>
        <w:rPr>
          <w:sz w:val="20"/>
          <w:szCs w:val="20"/>
          <w:color w:val="auto"/>
        </w:rPr>
      </w:pPr>
    </w:p>
    <w:p>
      <w:pPr>
        <w:ind w:right="40" w:firstLine="656"/>
        <w:spacing w:after="0" w:line="248" w:lineRule="auto"/>
        <w:tabs>
          <w:tab w:leader="none" w:pos="8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80" w:lineRule="exact"/>
        <w:rPr>
          <w:rFonts w:ascii="Arial" w:cs="Arial" w:eastAsia="Arial" w:hAnsi="Arial"/>
          <w:sz w:val="16"/>
          <w:szCs w:val="16"/>
          <w:color w:val="auto"/>
        </w:rPr>
      </w:pPr>
    </w:p>
    <w:p>
      <w:pPr>
        <w:ind w:right="140" w:firstLine="656"/>
        <w:spacing w:after="0" w:line="251" w:lineRule="auto"/>
        <w:tabs>
          <w:tab w:leader="none" w:pos="8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56" w:lineRule="exact"/>
        <w:rPr>
          <w:sz w:val="20"/>
          <w:szCs w:val="20"/>
          <w:color w:val="auto"/>
        </w:rPr>
      </w:pPr>
    </w:p>
    <w:p>
      <w:pPr>
        <w:ind w:right="100" w:firstLine="656"/>
        <w:spacing w:after="0" w:line="266" w:lineRule="auto"/>
        <w:tabs>
          <w:tab w:leader="none" w:pos="828"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Guaranty of Employment</w:t>
      </w:r>
      <w:r>
        <w:rPr>
          <w:rFonts w:ascii="Arial" w:cs="Arial" w:eastAsia="Arial" w:hAnsi="Arial"/>
          <w:sz w:val="16"/>
          <w:szCs w:val="16"/>
          <w:color w:val="auto"/>
        </w:rPr>
        <w:t>. Nothing in this Agreement shall be deemed to entitle the Executive to continued employment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a Change of Control, and the rights of the Company to terminate the employment of the Executive, prior to a Change of Control, shall continue as fully as if this Agreement were not in effect.</w:t>
      </w:r>
    </w:p>
    <w:p>
      <w:pPr>
        <w:spacing w:after="0" w:line="144" w:lineRule="exact"/>
        <w:rPr>
          <w:rFonts w:ascii="Arial" w:cs="Arial" w:eastAsia="Arial" w:hAnsi="Arial"/>
          <w:sz w:val="16"/>
          <w:szCs w:val="16"/>
          <w:b w:val="1"/>
          <w:bCs w:val="1"/>
          <w:color w:val="auto"/>
        </w:rPr>
      </w:pPr>
    </w:p>
    <w:p>
      <w:pPr>
        <w:ind w:right="540" w:firstLine="656"/>
        <w:spacing w:after="0" w:line="286" w:lineRule="auto"/>
        <w:tabs>
          <w:tab w:leader="none" w:pos="828"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For purposes of this Agreement, notices and all other communications provided for in the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have been duly given when delivered or mailed by United States registered mail, return receipt registered, postage prepaid, as follows: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Company:</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Attn: General Counsel</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605 W. Crystal Lake Road</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Forest City, Iowa 50436</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Executive: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Donald L. Heidemann</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101 Fair Meadows Lane</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Forest City, IA 50436</w:t>
      </w:r>
    </w:p>
    <w:p>
      <w:pPr>
        <w:spacing w:after="0" w:line="19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or such other address as either party may have furnished to the other in writing in accordance herewith, except that notices of change of address shall be effective only upon receipt.</w:t>
      </w:r>
    </w:p>
    <w:p>
      <w:pPr>
        <w:spacing w:after="0" w:line="149" w:lineRule="exact"/>
        <w:rPr>
          <w:sz w:val="20"/>
          <w:szCs w:val="20"/>
          <w:color w:val="auto"/>
        </w:rPr>
      </w:pPr>
    </w:p>
    <w:p>
      <w:pPr>
        <w:ind w:firstLine="656"/>
        <w:spacing w:after="0" w:line="254" w:lineRule="auto"/>
        <w:tabs>
          <w:tab w:leader="none" w:pos="919"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No provisions of this Agreement may be modified, waived or discharged unless such waiver, modification or discharge is agreed</w:t>
      </w:r>
      <w:r>
        <w:rPr>
          <w:rFonts w:ascii="Arial" w:cs="Arial" w:eastAsia="Arial" w:hAnsi="Arial"/>
          <w:sz w:val="16"/>
          <w:szCs w:val="16"/>
          <w:b w:val="1"/>
          <w:bCs w:val="1"/>
          <w:color w:val="auto"/>
        </w:rPr>
        <w:t xml:space="preserve"> </w:t>
      </w:r>
      <w:r>
        <w:rPr>
          <w:rFonts w:ascii="Arial" w:cs="Arial" w:eastAsia="Arial" w:hAnsi="Arial"/>
          <w:sz w:val="16"/>
          <w:szCs w:val="16"/>
          <w:color w:val="auto"/>
        </w:rPr>
        <w:t>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55" w:lineRule="exact"/>
        <w:rPr>
          <w:rFonts w:ascii="Arial" w:cs="Arial" w:eastAsia="Arial" w:hAnsi="Arial"/>
          <w:sz w:val="16"/>
          <w:szCs w:val="16"/>
          <w:b w:val="1"/>
          <w:bCs w:val="1"/>
          <w:color w:val="auto"/>
        </w:rPr>
      </w:pPr>
    </w:p>
    <w:p>
      <w:pPr>
        <w:ind w:right="40" w:firstLine="656"/>
        <w:spacing w:after="0" w:line="286" w:lineRule="auto"/>
        <w:tabs>
          <w:tab w:leader="none" w:pos="919"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Validity</w:t>
      </w:r>
      <w:r>
        <w:rPr>
          <w:rFonts w:ascii="Arial" w:cs="Arial" w:eastAsia="Arial" w:hAnsi="Arial"/>
          <w:sz w:val="16"/>
          <w:szCs w:val="16"/>
          <w:color w:val="auto"/>
        </w:rPr>
        <w:t>. The invalidity or unenforceability of any provisions of this Agreement shall not affect the validity or enforceability of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shall remain in full force and effect.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581" w:right="279" w:bottom="1440" w:gutter="0" w:footer="0" w:header="0"/>
        </w:sectPr>
      </w:pPr>
    </w:p>
    <w:bookmarkStart w:id="61" w:name="page62"/>
    <w:bookmarkEnd w:id="61"/>
    <w:p>
      <w:pPr>
        <w:ind w:right="300" w:firstLine="656"/>
        <w:spacing w:after="0" w:line="286" w:lineRule="auto"/>
        <w:tabs>
          <w:tab w:leader="none" w:pos="919"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one or more counterparts, each of which shall be deemed to be an original but all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will constitute one and the same instrument.</w:t>
      </w:r>
    </w:p>
    <w:p>
      <w:pPr>
        <w:spacing w:after="0" w:line="128" w:lineRule="exact"/>
        <w:rPr>
          <w:rFonts w:ascii="Arial" w:cs="Arial" w:eastAsia="Arial" w:hAnsi="Arial"/>
          <w:sz w:val="16"/>
          <w:szCs w:val="16"/>
          <w:b w:val="1"/>
          <w:bCs w:val="1"/>
          <w:color w:val="auto"/>
        </w:rPr>
      </w:pPr>
    </w:p>
    <w:p>
      <w:pPr>
        <w:ind w:right="420" w:firstLine="656"/>
        <w:spacing w:after="0" w:line="286" w:lineRule="auto"/>
        <w:tabs>
          <w:tab w:leader="none" w:pos="919"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Legal Fees and Expenses</w:t>
      </w:r>
      <w:r>
        <w:rPr>
          <w:rFonts w:ascii="Arial" w:cs="Arial" w:eastAsia="Arial" w:hAnsi="Arial"/>
          <w:sz w:val="16"/>
          <w:szCs w:val="16"/>
          <w:color w:val="auto"/>
        </w:rPr>
        <w:t>. The Company shall pay all legal fees and expenses which the Executive may incur as a result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contesting the validity, enforceability or the Executive's interpretation of, or determinations under, this Agreement.</w:t>
      </w:r>
    </w:p>
    <w:p>
      <w:pPr>
        <w:spacing w:after="0" w:line="128" w:lineRule="exact"/>
        <w:rPr>
          <w:rFonts w:ascii="Arial" w:cs="Arial" w:eastAsia="Arial" w:hAnsi="Arial"/>
          <w:sz w:val="16"/>
          <w:szCs w:val="16"/>
          <w:b w:val="1"/>
          <w:bCs w:val="1"/>
          <w:color w:val="auto"/>
        </w:rPr>
      </w:pPr>
    </w:p>
    <w:p>
      <w:pPr>
        <w:ind w:firstLine="656"/>
        <w:spacing w:after="0" w:line="286" w:lineRule="auto"/>
        <w:tabs>
          <w:tab w:leader="none" w:pos="919"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The Executive shall retain in confidence any and all confidential information known to the Executive concerning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business so long as such information is not otherwise publicly disclosed.</w:t>
      </w:r>
    </w:p>
    <w:p>
      <w:pPr>
        <w:spacing w:after="0" w:line="128" w:lineRule="exact"/>
        <w:rPr>
          <w:rFonts w:ascii="Arial" w:cs="Arial" w:eastAsia="Arial" w:hAnsi="Arial"/>
          <w:sz w:val="16"/>
          <w:szCs w:val="16"/>
          <w:b w:val="1"/>
          <w:bCs w:val="1"/>
          <w:color w:val="auto"/>
        </w:rPr>
      </w:pPr>
    </w:p>
    <w:p>
      <w:pPr>
        <w:ind w:right="60" w:firstLine="656"/>
        <w:spacing w:after="0" w:line="286" w:lineRule="auto"/>
        <w:tabs>
          <w:tab w:leader="none" w:pos="919"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satisfy the short-term deferral exception to Internal Revenue code Section 409A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thereunder. This Agreement shall be administered accordingly; and if necessary, amended to ensure satisfaction of the short-term deferral exception.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agreement on the date set out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tabs>
          <w:tab w:leader="none" w:pos="5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19050</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Chairman of the Board</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EXECUTIVE:</w:t>
      </w:r>
    </w:p>
    <w:p>
      <w:pPr>
        <w:spacing w:after="0" w:line="35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/s/ Donald L. Heidemann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19050</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Donald L. Heidemann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1" w:right="2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DEFERRED COMPENSATION PLAN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21, 2011</w:t>
      </w:r>
    </w:p>
    <w:p>
      <w:pPr>
        <w:sectPr>
          <w:pgSz w:w="11900" w:h="16838" w:orient="portrait"/>
          <w:cols w:equalWidth="0" w:num="1">
            <w:col w:w="9019"/>
          </w:cols>
          <w:pgMar w:left="1440" w:top="1440" w:right="1440"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DEFERRED COMPENSATION PLAN</w:t>
      </w:r>
    </w:p>
    <w:p>
      <w:pPr>
        <w:spacing w:after="0" w:line="363"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ARTICLE I</w:t>
      </w:r>
    </w:p>
    <w:p>
      <w:pPr>
        <w:spacing w:after="0" w:line="25"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PURPOSE</w:t>
      </w:r>
    </w:p>
    <w:p>
      <w:pPr>
        <w:spacing w:after="0" w:line="174"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 xml:space="preserve">The purpose of the Winnebago Industries, Inc. First Amended and Restated Executive Deferred Compensation Plan (the “ </w:t>
      </w:r>
      <w:r>
        <w:rPr>
          <w:rFonts w:ascii="Arial" w:cs="Arial" w:eastAsia="Arial" w:hAnsi="Arial"/>
          <w:sz w:val="16"/>
          <w:szCs w:val="16"/>
          <w:b w:val="1"/>
          <w:bCs w:val="1"/>
          <w:color w:val="auto"/>
        </w:rPr>
        <w:t>Plan</w:t>
      </w:r>
      <w:r>
        <w:rPr>
          <w:rFonts w:ascii="Arial" w:cs="Arial" w:eastAsia="Arial" w:hAnsi="Arial"/>
          <w:sz w:val="16"/>
          <w:szCs w:val="16"/>
          <w:color w:val="auto"/>
        </w:rPr>
        <w:t>”) is to provide an opportunity for certain officers, highly compensated, and management employees of Winnebago Industries, Inc. to defer the receipt of a portion of their annual cash compensation. It is expected that the Plan will aid in retaining and attracting individuals of exceptional ability by providing such individuals with a means to enhance their standard of living at retirement, and upon the occurrence of certain other events.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DEFINITIONS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purposes of this Plan, the following words and phrases shall have the meanings indicated, unless the context clearly indicates otherwise: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xml:space="preserve"> means the person appointed by the Compensation Committee to administer this Plan.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Applicant”</w:t>
      </w:r>
      <w:r>
        <w:rPr>
          <w:rFonts w:ascii="Arial" w:cs="Arial" w:eastAsia="Arial" w:hAnsi="Arial"/>
          <w:sz w:val="16"/>
          <w:szCs w:val="16"/>
          <w:color w:val="auto"/>
        </w:rPr>
        <w:t xml:space="preserve"> means the person(s) seeking administrative remedies under Article III.</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Available Investments”</w:t>
      </w:r>
      <w:r>
        <w:rPr>
          <w:rFonts w:ascii="Arial" w:cs="Arial" w:eastAsia="Arial" w:hAnsi="Arial"/>
          <w:sz w:val="16"/>
          <w:szCs w:val="16"/>
          <w:color w:val="auto"/>
        </w:rPr>
        <w:t xml:space="preserve"> shall be those investment alternatives selected by the Compensation Committee.</w:t>
      </w:r>
    </w:p>
    <w:p>
      <w:pPr>
        <w:spacing w:after="0" w:line="194" w:lineRule="exact"/>
        <w:rPr>
          <w:sz w:val="20"/>
          <w:szCs w:val="20"/>
          <w:color w:val="auto"/>
        </w:rPr>
      </w:pPr>
    </w:p>
    <w:p>
      <w:pPr>
        <w:ind w:right="20" w:firstLine="64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Beneficiary</w:t>
      </w:r>
      <w:r>
        <w:rPr>
          <w:rFonts w:ascii="Arial" w:cs="Arial" w:eastAsia="Arial" w:hAnsi="Arial"/>
          <w:sz w:val="16"/>
          <w:szCs w:val="16"/>
          <w:color w:val="auto"/>
        </w:rPr>
        <w:t>” means the person, persons or entity designated by the Participant to receive any benefits payable under this Plan in the event of the Participant's death. Any Participant Beneficiary designation shall be made on a Beneficiary Designated Form filed with the Administrator pursuant to Article VIII and shall become effective only when received in writing by the Administrator.</w:t>
      </w:r>
    </w:p>
    <w:p>
      <w:pPr>
        <w:spacing w:after="0" w:line="14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Beneficiary Designation Form”</w:t>
      </w:r>
      <w:r>
        <w:rPr>
          <w:rFonts w:ascii="Arial" w:cs="Arial" w:eastAsia="Arial" w:hAnsi="Arial"/>
          <w:sz w:val="16"/>
          <w:szCs w:val="16"/>
          <w:color w:val="auto"/>
        </w:rPr>
        <w:t xml:space="preserve"> means the form filed with the Administrator pursuant to Article VIII, which may take such form as the Administrator from time to time selects.</w:t>
      </w:r>
    </w:p>
    <w:p>
      <w:pPr>
        <w:spacing w:after="0" w:line="1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Bonus”</w:t>
      </w:r>
      <w:r>
        <w:rPr>
          <w:rFonts w:ascii="Arial" w:cs="Arial" w:eastAsia="Arial" w:hAnsi="Arial"/>
          <w:sz w:val="16"/>
          <w:szCs w:val="16"/>
          <w:color w:val="auto"/>
        </w:rPr>
        <w:t xml:space="preserve"> means any cash incentive compensation payable to a Participant in addition to the Participant's Salary prior to reduction for deferral contributions under this and other qualified and nonqualified plans maintained or otherwise sponsored by the Company, including (but not limited to) the Company's 401(k) plan. The Compensation Committee may, from time to time, establish minimum and maximum amounts of Bonus, which may be deferred under the Plan.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any event or series of events that would permit a distribution under Section 409A(a)(2)(A)(v) of the Code.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“Claims Administrator” </w:t>
      </w:r>
      <w:r>
        <w:rPr>
          <w:rFonts w:ascii="Arial" w:cs="Arial" w:eastAsia="Arial" w:hAnsi="Arial"/>
          <w:sz w:val="16"/>
          <w:szCs w:val="16"/>
          <w:color w:val="auto"/>
        </w:rPr>
        <w:t>has the meaning set forth in Article III of this Plan.</w:t>
      </w:r>
    </w:p>
    <w:p>
      <w:pPr>
        <w:spacing w:after="0" w:line="1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Compensation Committee</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persons selected by the Human Resources Committee of the Board of Directors of the Company to serve as members of the Compensation Committee.</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 xml:space="preserve">“Company” </w:t>
      </w:r>
      <w:r>
        <w:rPr>
          <w:rFonts w:ascii="Arial" w:cs="Arial" w:eastAsia="Arial" w:hAnsi="Arial"/>
          <w:sz w:val="16"/>
          <w:szCs w:val="16"/>
          <w:color w:val="auto"/>
        </w:rPr>
        <w:t>means Winnebago Industries, Inc., an Iowa corporation.</w:t>
      </w:r>
    </w:p>
    <w:p>
      <w:pPr>
        <w:spacing w:after="0" w:line="194" w:lineRule="exact"/>
        <w:rPr>
          <w:sz w:val="20"/>
          <w:szCs w:val="20"/>
          <w:color w:val="auto"/>
        </w:rPr>
      </w:pPr>
    </w:p>
    <w:p>
      <w:pPr>
        <w:ind w:right="460" w:firstLine="608"/>
        <w:spacing w:after="0" w:line="286" w:lineRule="auto"/>
        <w:rPr>
          <w:sz w:val="20"/>
          <w:szCs w:val="20"/>
          <w:color w:val="auto"/>
        </w:rPr>
      </w:pP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means all remuneration for services payable by the Company to a Participant in cash during a Plan Year (without reduction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deferred pursuant to the Plan), including (but not limited to) Salary and Bonus.</w:t>
      </w:r>
    </w:p>
    <w:p>
      <w:pPr>
        <w:spacing w:after="0" w:line="129" w:lineRule="exact"/>
        <w:rPr>
          <w:sz w:val="20"/>
          <w:szCs w:val="20"/>
          <w:color w:val="auto"/>
        </w:rPr>
      </w:pPr>
    </w:p>
    <w:p>
      <w:pPr>
        <w:ind w:right="340" w:firstLine="608"/>
        <w:spacing w:after="0" w:line="286" w:lineRule="auto"/>
        <w:rPr>
          <w:sz w:val="20"/>
          <w:szCs w:val="20"/>
          <w:color w:val="auto"/>
        </w:rPr>
      </w:pPr>
      <w:r>
        <w:rPr>
          <w:rFonts w:ascii="Arial" w:cs="Arial" w:eastAsia="Arial" w:hAnsi="Arial"/>
          <w:sz w:val="16"/>
          <w:szCs w:val="16"/>
          <w:b w:val="1"/>
          <w:bCs w:val="1"/>
          <w:i w:val="1"/>
          <w:iCs w:val="1"/>
          <w:color w:val="auto"/>
        </w:rPr>
        <w:t>“Deferred Benefit</w:t>
      </w:r>
      <w:r>
        <w:rPr>
          <w:rFonts w:ascii="Arial" w:cs="Arial" w:eastAsia="Arial" w:hAnsi="Arial"/>
          <w:sz w:val="16"/>
          <w:szCs w:val="16"/>
          <w:color w:val="auto"/>
        </w:rPr>
        <w:t>” means the benefit payable to a Participant or Participant's Beneficiary upon the Participants' death, Disability, Separation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upon a Change of Control, or date certain selected by a Participant in accordance with this Plan.</w:t>
      </w:r>
    </w:p>
    <w:p>
      <w:pPr>
        <w:spacing w:after="0" w:line="129" w:lineRule="exact"/>
        <w:rPr>
          <w:sz w:val="20"/>
          <w:szCs w:val="20"/>
          <w:color w:val="auto"/>
        </w:rPr>
      </w:pPr>
    </w:p>
    <w:p>
      <w:pPr>
        <w:ind w:right="120" w:firstLine="608"/>
        <w:spacing w:after="0" w:line="286" w:lineRule="auto"/>
        <w:rPr>
          <w:sz w:val="20"/>
          <w:szCs w:val="20"/>
          <w:color w:val="auto"/>
        </w:rPr>
      </w:pPr>
      <w:r>
        <w:rPr>
          <w:rFonts w:ascii="Arial" w:cs="Arial" w:eastAsia="Arial" w:hAnsi="Arial"/>
          <w:sz w:val="16"/>
          <w:szCs w:val="16"/>
          <w:b w:val="1"/>
          <w:bCs w:val="1"/>
          <w:i w:val="1"/>
          <w:iCs w:val="1"/>
          <w:color w:val="auto"/>
        </w:rPr>
        <w:t>“Deferred Benefit Account</w:t>
      </w:r>
      <w:r>
        <w:rPr>
          <w:rFonts w:ascii="Arial" w:cs="Arial" w:eastAsia="Arial" w:hAnsi="Arial"/>
          <w:sz w:val="16"/>
          <w:szCs w:val="16"/>
          <w:color w:val="auto"/>
        </w:rPr>
        <w:t>” means the accounts established and maintained on the books of account of the Company for each Participant pursuant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Article VI.</w:t>
      </w:r>
    </w:p>
    <w:p>
      <w:pPr>
        <w:spacing w:after="0" w:line="129" w:lineRule="exact"/>
        <w:rPr>
          <w:sz w:val="20"/>
          <w:szCs w:val="20"/>
          <w:color w:val="auto"/>
        </w:rPr>
      </w:pPr>
    </w:p>
    <w:p>
      <w:pPr>
        <w:jc w:val="both"/>
        <w:ind w:right="140" w:firstLine="608"/>
        <w:spacing w:after="0" w:line="266" w:lineRule="auto"/>
        <w:rPr>
          <w:sz w:val="20"/>
          <w:szCs w:val="20"/>
          <w:color w:val="auto"/>
        </w:rPr>
      </w:pPr>
      <w:r>
        <w:rPr>
          <w:rFonts w:ascii="Arial" w:cs="Arial" w:eastAsia="Arial" w:hAnsi="Arial"/>
          <w:sz w:val="16"/>
          <w:szCs w:val="16"/>
          <w:b w:val="1"/>
          <w:bCs w:val="1"/>
          <w:i w:val="1"/>
          <w:iCs w:val="1"/>
          <w:color w:val="auto"/>
        </w:rPr>
        <w:t xml:space="preserve">“Determination Date” </w:t>
      </w:r>
      <w:r>
        <w:rPr>
          <w:rFonts w:ascii="Arial" w:cs="Arial" w:eastAsia="Arial" w:hAnsi="Arial"/>
          <w:sz w:val="16"/>
          <w:szCs w:val="16"/>
          <w:color w:val="auto"/>
        </w:rPr>
        <w:t>means the last day of each Plan Year or such other date as determined by the compensation committee; provided, however,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date of the occurrence of an event entitling a Participant to a distribution under Article VII of the Plan shall be treated as a Determination Date for that Participant and only for that Participant.</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“Disability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disability as defined in Section 409A(a)(</w:t>
      </w:r>
      <w:r>
        <w:rPr>
          <w:rFonts w:ascii="Arial" w:cs="Arial" w:eastAsia="Arial" w:hAnsi="Arial"/>
          <w:sz w:val="16"/>
          <w:szCs w:val="16"/>
          <w:color w:val="0000FF"/>
        </w:rPr>
        <w:t>2</w:t>
      </w:r>
      <w:r>
        <w:rPr>
          <w:rFonts w:ascii="Arial" w:cs="Arial" w:eastAsia="Arial" w:hAnsi="Arial"/>
          <w:sz w:val="16"/>
          <w:szCs w:val="16"/>
          <w:color w:val="auto"/>
        </w:rPr>
        <w:t>)(C) of the Code.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770" w:right="259" w:bottom="1440" w:gutter="0" w:footer="0" w:header="0"/>
        </w:sectPr>
      </w:pPr>
    </w:p>
    <w:bookmarkStart w:id="64" w:name="page65"/>
    <w:bookmarkEnd w:id="64"/>
    <w:p>
      <w:pPr>
        <w:ind w:right="200" w:firstLine="608"/>
        <w:spacing w:after="0" w:line="286" w:lineRule="auto"/>
        <w:rPr>
          <w:sz w:val="20"/>
          <w:szCs w:val="20"/>
          <w:color w:val="auto"/>
        </w:rPr>
      </w:pPr>
      <w:r>
        <w:rPr>
          <w:rFonts w:ascii="Arial" w:cs="Arial" w:eastAsia="Arial" w:hAnsi="Arial"/>
          <w:sz w:val="16"/>
          <w:szCs w:val="16"/>
          <w:b w:val="1"/>
          <w:bCs w:val="1"/>
          <w:i w:val="1"/>
          <w:iCs w:val="1"/>
          <w:color w:val="auto"/>
        </w:rPr>
        <w:t xml:space="preserve">“Further Deferral Request” </w:t>
      </w:r>
      <w:r>
        <w:rPr>
          <w:rFonts w:ascii="Arial" w:cs="Arial" w:eastAsia="Arial" w:hAnsi="Arial"/>
          <w:sz w:val="16"/>
          <w:szCs w:val="16"/>
          <w:color w:val="auto"/>
        </w:rPr>
        <w:t>means the agreement filed by a Participant with the Administrator pursuant to Section 7.2.4, which may take such 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Administrator from time to time selects.</w:t>
      </w:r>
    </w:p>
    <w:p>
      <w:pPr>
        <w:spacing w:after="0" w:line="129" w:lineRule="exact"/>
        <w:rPr>
          <w:sz w:val="20"/>
          <w:szCs w:val="20"/>
          <w:color w:val="auto"/>
        </w:rPr>
      </w:pPr>
    </w:p>
    <w:p>
      <w:pPr>
        <w:ind w:right="100" w:firstLine="608"/>
        <w:spacing w:after="0" w:line="286" w:lineRule="auto"/>
        <w:rPr>
          <w:sz w:val="20"/>
          <w:szCs w:val="20"/>
          <w:color w:val="auto"/>
        </w:rPr>
      </w:pPr>
      <w:r>
        <w:rPr>
          <w:rFonts w:ascii="Arial" w:cs="Arial" w:eastAsia="Arial" w:hAnsi="Arial"/>
          <w:sz w:val="16"/>
          <w:szCs w:val="16"/>
          <w:b w:val="1"/>
          <w:bCs w:val="1"/>
          <w:i w:val="1"/>
          <w:iCs w:val="1"/>
          <w:color w:val="auto"/>
        </w:rPr>
        <w:t xml:space="preserve">“Investment Election Form” </w:t>
      </w:r>
      <w:r>
        <w:rPr>
          <w:rFonts w:ascii="Arial" w:cs="Arial" w:eastAsia="Arial" w:hAnsi="Arial"/>
          <w:sz w:val="16"/>
          <w:szCs w:val="16"/>
          <w:color w:val="auto"/>
        </w:rPr>
        <w:t>means the form filed with the Administrator pursuant to Article V. Investment Election Forms may take such form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from time to time selects.</w:t>
      </w:r>
    </w:p>
    <w:p>
      <w:pPr>
        <w:spacing w:after="0" w:line="129" w:lineRule="exact"/>
        <w:rPr>
          <w:sz w:val="20"/>
          <w:szCs w:val="20"/>
          <w:color w:val="auto"/>
        </w:rPr>
      </w:pPr>
    </w:p>
    <w:p>
      <w:pPr>
        <w:jc w:val="both"/>
        <w:ind w:right="700" w:firstLine="608"/>
        <w:spacing w:after="0" w:line="266" w:lineRule="auto"/>
        <w:rPr>
          <w:sz w:val="20"/>
          <w:szCs w:val="20"/>
          <w:color w:val="auto"/>
        </w:rPr>
      </w:pPr>
      <w:r>
        <w:rPr>
          <w:rFonts w:ascii="Arial" w:cs="Arial" w:eastAsia="Arial" w:hAnsi="Arial"/>
          <w:sz w:val="16"/>
          <w:szCs w:val="16"/>
          <w:b w:val="1"/>
          <w:bCs w:val="1"/>
          <w:i w:val="1"/>
          <w:iCs w:val="1"/>
          <w:color w:val="auto"/>
        </w:rPr>
        <w:t xml:space="preserve">“Investment Return” </w:t>
      </w:r>
      <w:r>
        <w:rPr>
          <w:rFonts w:ascii="Arial" w:cs="Arial" w:eastAsia="Arial" w:hAnsi="Arial"/>
          <w:sz w:val="16"/>
          <w:szCs w:val="16"/>
          <w:color w:val="auto"/>
        </w:rPr>
        <w:t>means the return on a Participant's deemed investment of his or her Deferred Benefit Account, determined as of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Date, or, if the Compensation Committee so elects, more frequently. The Compensation Committee shall use any reasonable method it determines appropriate to determine a Participant's Investment Return.</w:t>
      </w:r>
    </w:p>
    <w:p>
      <w:pPr>
        <w:spacing w:after="0" w:line="145" w:lineRule="exact"/>
        <w:rPr>
          <w:sz w:val="20"/>
          <w:szCs w:val="20"/>
          <w:color w:val="auto"/>
        </w:rPr>
      </w:pPr>
    </w:p>
    <w:p>
      <w:pPr>
        <w:ind w:right="480" w:firstLine="608"/>
        <w:spacing w:after="0" w:line="286" w:lineRule="auto"/>
        <w:rPr>
          <w:sz w:val="20"/>
          <w:szCs w:val="20"/>
          <w:color w:val="auto"/>
        </w:rPr>
      </w:pPr>
      <w:r>
        <w:rPr>
          <w:rFonts w:ascii="Arial" w:cs="Arial" w:eastAsia="Arial" w:hAnsi="Arial"/>
          <w:sz w:val="16"/>
          <w:szCs w:val="16"/>
          <w:b w:val="1"/>
          <w:bCs w:val="1"/>
          <w:i w:val="1"/>
          <w:iCs w:val="1"/>
          <w:color w:val="auto"/>
        </w:rPr>
        <w:t>“Participant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any director, officer, highly compensated or management employee who is designated by the Compensation Committee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participate in this Plan and who elects to participate by filing a Participation Agreement as provided in Article IV.</w:t>
      </w:r>
    </w:p>
    <w:p>
      <w:pPr>
        <w:spacing w:after="0" w:line="129" w:lineRule="exact"/>
        <w:rPr>
          <w:sz w:val="20"/>
          <w:szCs w:val="20"/>
          <w:color w:val="auto"/>
        </w:rPr>
      </w:pPr>
    </w:p>
    <w:p>
      <w:pPr>
        <w:ind w:right="20" w:firstLine="608"/>
        <w:spacing w:after="0" w:line="266" w:lineRule="auto"/>
        <w:rPr>
          <w:sz w:val="20"/>
          <w:szCs w:val="20"/>
          <w:color w:val="auto"/>
        </w:rPr>
      </w:pPr>
      <w:r>
        <w:rPr>
          <w:rFonts w:ascii="Arial" w:cs="Arial" w:eastAsia="Arial" w:hAnsi="Arial"/>
          <w:sz w:val="16"/>
          <w:szCs w:val="16"/>
          <w:b w:val="1"/>
          <w:bCs w:val="1"/>
          <w:i w:val="1"/>
          <w:iCs w:val="1"/>
          <w:color w:val="auto"/>
        </w:rPr>
        <w:t>“Participation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agreement filed by a Participant with the Administrator pursuant to Section 4.2, which may take such form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Administrator from time to time selects; provided, however, that Participation Agreements must, at a minimum, provide the Participant with a mechanism for identifying the percentage or amount of his or her Compensation that is to be deferred under this Plan.</w:t>
      </w:r>
    </w:p>
    <w:p>
      <w:pPr>
        <w:spacing w:after="0" w:line="145" w:lineRule="exact"/>
        <w:rPr>
          <w:sz w:val="20"/>
          <w:szCs w:val="20"/>
          <w:color w:val="auto"/>
        </w:rPr>
      </w:pPr>
    </w:p>
    <w:p>
      <w:pPr>
        <w:ind w:right="340" w:firstLine="608"/>
        <w:spacing w:after="0" w:line="286" w:lineRule="auto"/>
        <w:rPr>
          <w:sz w:val="20"/>
          <w:szCs w:val="20"/>
          <w:color w:val="auto"/>
        </w:rPr>
      </w:pPr>
      <w:r>
        <w:rPr>
          <w:rFonts w:ascii="Arial" w:cs="Arial" w:eastAsia="Arial" w:hAnsi="Arial"/>
          <w:sz w:val="16"/>
          <w:szCs w:val="16"/>
          <w:b w:val="1"/>
          <w:bCs w:val="1"/>
          <w:i w:val="1"/>
          <w:iCs w:val="1"/>
          <w:color w:val="auto"/>
        </w:rPr>
        <w:t xml:space="preserve">“Performance Based Compensation” </w:t>
      </w:r>
      <w:r>
        <w:rPr>
          <w:rFonts w:ascii="Arial" w:cs="Arial" w:eastAsia="Arial" w:hAnsi="Arial"/>
          <w:sz w:val="16"/>
          <w:szCs w:val="16"/>
          <w:color w:val="auto"/>
        </w:rPr>
        <w:t>has the meaning ascribed to it in the Treasury Regulations issued or proposed to be issued under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409A of the Code.</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 xml:space="preserve">“Performance Period” </w:t>
      </w:r>
      <w:r>
        <w:rPr>
          <w:rFonts w:ascii="Arial" w:cs="Arial" w:eastAsia="Arial" w:hAnsi="Arial"/>
          <w:sz w:val="16"/>
          <w:szCs w:val="16"/>
          <w:color w:val="auto"/>
        </w:rPr>
        <w:t>means the period for which Performance Based Compensation is earned.</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 xml:space="preserve">“Plan” </w:t>
      </w:r>
      <w:r>
        <w:rPr>
          <w:rFonts w:ascii="Arial" w:cs="Arial" w:eastAsia="Arial" w:hAnsi="Arial"/>
          <w:sz w:val="16"/>
          <w:szCs w:val="16"/>
          <w:color w:val="auto"/>
        </w:rPr>
        <w:t>has the meaning set forth in the introductory paragraph.</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“Plan Year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 twelve month period commencing on January 1 and ending the following December 31, or such part year in which the Plan is 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effect.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 xml:space="preserve">“Rules” </w:t>
      </w:r>
      <w:r>
        <w:rPr>
          <w:rFonts w:ascii="Arial" w:cs="Arial" w:eastAsia="Arial" w:hAnsi="Arial"/>
          <w:sz w:val="16"/>
          <w:szCs w:val="16"/>
          <w:color w:val="auto"/>
        </w:rPr>
        <w:t>means the Commercial Rules of Arbitration of the American Arbitration Association.</w:t>
      </w:r>
    </w:p>
    <w:p>
      <w:pPr>
        <w:spacing w:after="0" w:line="194" w:lineRule="exact"/>
        <w:rPr>
          <w:sz w:val="20"/>
          <w:szCs w:val="20"/>
          <w:color w:val="auto"/>
        </w:rPr>
      </w:pPr>
    </w:p>
    <w:p>
      <w:pPr>
        <w:ind w:right="620" w:firstLine="608"/>
        <w:spacing w:after="0" w:line="266" w:lineRule="auto"/>
        <w:rPr>
          <w:sz w:val="20"/>
          <w:szCs w:val="20"/>
          <w:color w:val="auto"/>
        </w:rPr>
      </w:pPr>
      <w:r>
        <w:rPr>
          <w:rFonts w:ascii="Arial" w:cs="Arial" w:eastAsia="Arial" w:hAnsi="Arial"/>
          <w:sz w:val="16"/>
          <w:szCs w:val="16"/>
          <w:b w:val="1"/>
          <w:bCs w:val="1"/>
          <w:i w:val="1"/>
          <w:iCs w:val="1"/>
          <w:color w:val="auto"/>
        </w:rPr>
        <w:t xml:space="preserve">“Salary” </w:t>
      </w:r>
      <w:r>
        <w:rPr>
          <w:rFonts w:ascii="Arial" w:cs="Arial" w:eastAsia="Arial" w:hAnsi="Arial"/>
          <w:sz w:val="16"/>
          <w:szCs w:val="16"/>
          <w:color w:val="auto"/>
        </w:rPr>
        <w:t>means the Participant's base cash compensation prior to reduction for salary deferral contributions under this and other qualified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nonqualified plans maintained or otherwise sponsored by the Company, including (but not limited to) the Company's 401(k) plan. The Compensation Committee may, from time to time, establish minimum and maximum amounts of Salary, which may be deferred under the Plan.</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means any event that would permit a distribution under Section 409A(a)(2)(A)(i) of the Code.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“Specified Employee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the meaning set forth in Section 409A(a)(2)(B)(i) of the Code.</w:t>
      </w:r>
    </w:p>
    <w:p>
      <w:pPr>
        <w:spacing w:after="0" w:line="194" w:lineRule="exact"/>
        <w:rPr>
          <w:sz w:val="20"/>
          <w:szCs w:val="20"/>
          <w:color w:val="auto"/>
        </w:rPr>
      </w:pPr>
    </w:p>
    <w:p>
      <w:pPr>
        <w:ind w:right="20" w:firstLine="608"/>
        <w:spacing w:after="0" w:line="286" w:lineRule="auto"/>
        <w:rPr>
          <w:sz w:val="20"/>
          <w:szCs w:val="20"/>
          <w:color w:val="auto"/>
        </w:rPr>
      </w:pPr>
      <w:r>
        <w:rPr>
          <w:rFonts w:ascii="Arial" w:cs="Arial" w:eastAsia="Arial" w:hAnsi="Arial"/>
          <w:sz w:val="16"/>
          <w:szCs w:val="16"/>
          <w:b w:val="1"/>
          <w:bCs w:val="1"/>
          <w:i w:val="1"/>
          <w:iCs w:val="1"/>
          <w:color w:val="auto"/>
        </w:rPr>
        <w:t>“Spouse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 Participant's wife or husband who was lawfully married to the Participant at the time of the Participant's death or a determination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incompetency.</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 xml:space="preserve">“Trigger Event” </w:t>
      </w:r>
      <w:r>
        <w:rPr>
          <w:rFonts w:ascii="Arial" w:cs="Arial" w:eastAsia="Arial" w:hAnsi="Arial"/>
          <w:sz w:val="16"/>
          <w:szCs w:val="16"/>
          <w:color w:val="auto"/>
        </w:rPr>
        <w:t>has the meaning set forth in Section 7.1.</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ADMINISTRATION</w:t>
      </w:r>
    </w:p>
    <w:p>
      <w:pPr>
        <w:spacing w:after="0" w:line="17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Generally</w:t>
      </w:r>
      <w:r>
        <w:rPr>
          <w:rFonts w:ascii="Arial" w:cs="Arial" w:eastAsia="Arial" w:hAnsi="Arial"/>
          <w:sz w:val="16"/>
          <w:szCs w:val="16"/>
          <w:color w:val="auto"/>
        </w:rPr>
        <w:t>. The Plan shall be administered by the Compensation Committee, which may establish such rules and regulations as it deems necessary, interpret the Plan, make factual findings and determinations, and otherwise make all determinations and take such action in connection with the Plan as it, in its sole discretion deems appropriate. The decisions of the Compensation Committee shall be final, conclusive and binding upon all parties and no member of the Compensation Committee shall be liable for any action or determination made in good faith with respect to the Plan and/or Deferred Benefits payable under the Plan. All actions of the Compensation Committee shall, except as otherwise provided herein, be made by a majority vote of the members of the Compensation Committee. The Compensation Committee shall appoint one member to serve as the Administrator of the Plan. The Administrator may be removed and replaced by a majority vote of the other members of the Compensation Committee at any time and for any reason. The Compensation Committee and each person to whom duties and responsibilities have been delegated by the Compensation Committee shall be indemnified and held harmless by the Company against all claims, liabilities, fines, and penalties, and expenses reasonably incurred by or imposed upon such individuals (including but not limited to reasonable attorneys' fees) which arise as a result of actions or failures to act in connection with the operation, administration and grant of Deferred Benefits under the Plan. Any person acting as or on behalf of the Compensation Committee who is a Participant in the Plan shall abstain from any determination under the Plan with respect to his or her own participation. Any determination required under the Plan with respect to members of the Compensation Committee shall be made by a majority of the disinterested members of the Compensation Committee and, if none, by the Board of Directors of the Company.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1" w:right="239" w:bottom="1440" w:gutter="0" w:footer="0" w:header="0"/>
        </w:sectPr>
      </w:pPr>
    </w:p>
    <w:bookmarkStart w:id="65" w:name="page66"/>
    <w:bookmarkEnd w:id="65"/>
    <w:p>
      <w:pPr>
        <w:spacing w:after="0"/>
        <w:tabs>
          <w:tab w:leader="none" w:pos="38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b w:val="1"/>
          <w:bCs w:val="1"/>
          <w:color w:val="auto"/>
        </w:rPr>
        <w:t>Claims Procedure; Arbitration.</w:t>
      </w:r>
    </w:p>
    <w:p>
      <w:pPr>
        <w:spacing w:after="0" w:line="214" w:lineRule="exact"/>
        <w:rPr>
          <w:sz w:val="20"/>
          <w:szCs w:val="20"/>
          <w:color w:val="auto"/>
        </w:rPr>
      </w:pPr>
    </w:p>
    <w:p>
      <w:pPr>
        <w:jc w:val="both"/>
        <w:ind w:left="620" w:right="540" w:hanging="620"/>
        <w:spacing w:after="0" w:line="253" w:lineRule="auto"/>
        <w:tabs>
          <w:tab w:leader="none" w:pos="600" w:val="left"/>
        </w:tabs>
        <w:rPr>
          <w:sz w:val="20"/>
          <w:szCs w:val="20"/>
          <w:color w:val="auto"/>
        </w:rPr>
      </w:pPr>
      <w:r>
        <w:rPr>
          <w:rFonts w:ascii="Arial" w:cs="Arial" w:eastAsia="Arial" w:hAnsi="Arial"/>
          <w:sz w:val="16"/>
          <w:szCs w:val="16"/>
          <w:color w:val="auto"/>
        </w:rPr>
        <w:t>3.2.1</w:t>
        <w:tab/>
        <w:t>Claims Administrator. The Claims Administrator shall be designated by the Compensation Committee. The Compensation Committee reserves the right to change the Claims Administrator from time to time and to designate a special Claims Administrator when deemed necessary to avoid a conflict of interest.</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3.2.2</w:t>
        <w:tab/>
        <w:t>Claims Denial.</w:t>
      </w:r>
    </w:p>
    <w:p>
      <w:pPr>
        <w:spacing w:after="0" w:line="194" w:lineRule="exact"/>
        <w:rPr>
          <w:sz w:val="20"/>
          <w:szCs w:val="20"/>
          <w:color w:val="auto"/>
        </w:rPr>
      </w:pPr>
    </w:p>
    <w:p>
      <w:pPr>
        <w:ind w:left="1300" w:right="60" w:hanging="688"/>
        <w:spacing w:after="0" w:line="251" w:lineRule="auto"/>
        <w:tabs>
          <w:tab w:leader="none" w:pos="1280" w:val="left"/>
        </w:tabs>
        <w:rPr>
          <w:sz w:val="20"/>
          <w:szCs w:val="20"/>
          <w:color w:val="auto"/>
        </w:rPr>
      </w:pPr>
      <w:r>
        <w:rPr>
          <w:rFonts w:ascii="Arial" w:cs="Arial" w:eastAsia="Arial" w:hAnsi="Arial"/>
          <w:sz w:val="16"/>
          <w:szCs w:val="16"/>
          <w:color w:val="auto"/>
        </w:rPr>
        <w:t>3.2.2.1</w:t>
        <w:tab/>
        <w:t>Claim for Benefits. If an Applicant does not receive timely payment of any Deferred Benefits that the Applicant believes are due and payable under the Plan, the Applicant may file a claim for benefits by notifying the Claims Administrator in writing. The Claims Administrator may require any Applicant to submit an application therefore in writing, together with such other documents and information as the Claims Administrator may require.</w:t>
      </w:r>
    </w:p>
    <w:p>
      <w:pPr>
        <w:spacing w:after="0" w:line="176" w:lineRule="exact"/>
        <w:rPr>
          <w:sz w:val="20"/>
          <w:szCs w:val="20"/>
          <w:color w:val="auto"/>
        </w:rPr>
      </w:pPr>
    </w:p>
    <w:p>
      <w:pPr>
        <w:ind w:left="1300" w:right="100" w:hanging="688"/>
        <w:spacing w:after="0" w:line="248" w:lineRule="auto"/>
        <w:tabs>
          <w:tab w:leader="none" w:pos="1280" w:val="left"/>
        </w:tabs>
        <w:rPr>
          <w:sz w:val="20"/>
          <w:szCs w:val="20"/>
          <w:color w:val="auto"/>
        </w:rPr>
      </w:pPr>
      <w:r>
        <w:rPr>
          <w:rFonts w:ascii="Arial" w:cs="Arial" w:eastAsia="Arial" w:hAnsi="Arial"/>
          <w:sz w:val="16"/>
          <w:szCs w:val="16"/>
          <w:color w:val="auto"/>
        </w:rPr>
        <w:t>3.2.2.2</w:t>
        <w:tab/>
        <w:t>Notification of Benefit Determination. The Claims Administrator will notify the Applicant of a benefit determination in writing within a reasonable time. Notification that a claim is wholly or partially denied will normally be given no later than ninety (90) days after receipt of the claim. The notice shall (1) specify the reasons for the adverse decision, (2) refer to the specific provisions of the Plan on which the decision is based, (3) describe any additional material necessary to complete the claim and the reasons that such material is necessary, (4) describe the appeal and review procedures and the applicable time limits, and (5) inform the Applicant of the right to bring an action following review in accordance with Section 3.2.4. Should special circumstances require an extension of time for processing the claim, written notice of the extension shall be furnished to the Applicant prior to the expiration of the initial ninety (90) day period. The notice shall indicate the special circumstances requiring an extension of time and the date by which a final decision is expected to be rendered. In no event shall the period of the extension exceed ninety (90) days from the end of the initial ninety (90) day period. Claims not acted upon within the time prescribed herein shall be deemed denied for purposes of proceeding to the review stage.</w:t>
      </w:r>
    </w:p>
    <w:p>
      <w:pPr>
        <w:spacing w:after="0" w:line="17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3.2.3</w:t>
        <w:tab/>
        <w:t>Appeal and Review of Denied Claims.</w:t>
      </w:r>
    </w:p>
    <w:p>
      <w:pPr>
        <w:spacing w:after="0" w:line="194" w:lineRule="exact"/>
        <w:rPr>
          <w:sz w:val="20"/>
          <w:szCs w:val="20"/>
          <w:color w:val="auto"/>
        </w:rPr>
      </w:pPr>
    </w:p>
    <w:p>
      <w:pPr>
        <w:ind w:left="1300" w:hanging="688"/>
        <w:spacing w:after="0" w:line="248" w:lineRule="auto"/>
        <w:tabs>
          <w:tab w:leader="none" w:pos="1280" w:val="left"/>
        </w:tabs>
        <w:rPr>
          <w:sz w:val="20"/>
          <w:szCs w:val="20"/>
          <w:color w:val="auto"/>
        </w:rPr>
      </w:pPr>
      <w:r>
        <w:rPr>
          <w:rFonts w:ascii="Arial" w:cs="Arial" w:eastAsia="Arial" w:hAnsi="Arial"/>
          <w:sz w:val="16"/>
          <w:szCs w:val="16"/>
          <w:color w:val="auto"/>
        </w:rPr>
        <w:t>3.2.3.1</w:t>
        <w:tab/>
        <w:t>Review. An Applicant is entitled to have an adverse benefit determination reviewed by the Compensation Committee. The request for review must be in writing and filed with the Claims Administrator no later than sixty (60) days following the Applicant's receipt of the adverse determination. The Applicant may submit written comments and other information and documents relating to the claim, and have reasonable access to and receive copies of all documents and information relevant to the claim. The Applicant may request a hearing. The Claims Administrator will promptly forward the request for review and the claim file to the Compensation Committee. The decision of the Compensation Committee shall be made promptly, and not later than sixty (60) days after the Compensation Committee's receipt of a request for review, unless special circumstances require an extension of time for processing. In such a case, a decision shall be rendered as soon as possible, but not later than one hundred twenty (120) days after receipt of the request for review.</w:t>
      </w:r>
    </w:p>
    <w:p>
      <w:pPr>
        <w:spacing w:after="0" w:line="180" w:lineRule="exact"/>
        <w:rPr>
          <w:sz w:val="20"/>
          <w:szCs w:val="20"/>
          <w:color w:val="auto"/>
        </w:rPr>
      </w:pPr>
    </w:p>
    <w:p>
      <w:pPr>
        <w:ind w:left="1300" w:right="80" w:hanging="688"/>
        <w:spacing w:after="0" w:line="260" w:lineRule="auto"/>
        <w:tabs>
          <w:tab w:leader="none" w:pos="1280" w:val="left"/>
        </w:tabs>
        <w:rPr>
          <w:sz w:val="20"/>
          <w:szCs w:val="20"/>
          <w:color w:val="auto"/>
        </w:rPr>
      </w:pPr>
      <w:r>
        <w:rPr>
          <w:rFonts w:ascii="Arial" w:cs="Arial" w:eastAsia="Arial" w:hAnsi="Arial"/>
          <w:sz w:val="16"/>
          <w:szCs w:val="16"/>
          <w:color w:val="auto"/>
        </w:rPr>
        <w:t>3.2.3.2</w:t>
        <w:tab/>
        <w:t xml:space="preserve">Review Procedure. The Compensation Committee has the discretion to decide whether a hearing shall be held. The Compensation Committee will afford no deference to the Claims Administrator's decision, and will ensure a full and fair review </w:t>
      </w:r>
      <w:r>
        <w:rPr>
          <w:rFonts w:ascii="Arial" w:cs="Arial" w:eastAsia="Arial" w:hAnsi="Arial"/>
          <w:sz w:val="16"/>
          <w:szCs w:val="16"/>
          <w:i w:val="1"/>
          <w:iCs w:val="1"/>
          <w:color w:val="auto"/>
        </w:rPr>
        <w:t>de novo</w:t>
      </w:r>
      <w:r>
        <w:rPr>
          <w:rFonts w:ascii="Arial" w:cs="Arial" w:eastAsia="Arial" w:hAnsi="Arial"/>
          <w:sz w:val="16"/>
          <w:szCs w:val="16"/>
          <w:color w:val="auto"/>
        </w:rPr>
        <w:t>.</w:t>
      </w:r>
    </w:p>
    <w:p>
      <w:pPr>
        <w:spacing w:after="0" w:line="169" w:lineRule="exact"/>
        <w:rPr>
          <w:sz w:val="20"/>
          <w:szCs w:val="20"/>
          <w:color w:val="auto"/>
        </w:rPr>
      </w:pPr>
    </w:p>
    <w:p>
      <w:pPr>
        <w:ind w:left="1300" w:hanging="688"/>
        <w:spacing w:after="0" w:line="246" w:lineRule="auto"/>
        <w:tabs>
          <w:tab w:leader="none" w:pos="1280" w:val="left"/>
        </w:tabs>
        <w:rPr>
          <w:sz w:val="20"/>
          <w:szCs w:val="20"/>
          <w:color w:val="auto"/>
        </w:rPr>
      </w:pPr>
      <w:r>
        <w:rPr>
          <w:rFonts w:ascii="Arial" w:cs="Arial" w:eastAsia="Arial" w:hAnsi="Arial"/>
          <w:sz w:val="16"/>
          <w:szCs w:val="16"/>
          <w:color w:val="auto"/>
        </w:rPr>
        <w:t>3.2.3.3</w:t>
        <w:tab/>
        <w:t>Notification of Benefit Determination on Review. The Compensation Committee's decision will be in writing and sent to the Claims Administrator. The Claims Administrator will then notify the Applicant either by hand delivery or by first class mail within a reasonable time, and normally not later than sixty (60) days after a determination has been made by the Compensation Committee. If the Compensation Committee issues an adverse benefit decision to the Participant or his Beneficiary, the decision shall (1) specify the reasons for the decision, (2) refer to specific plan provisions on which the decision was based, (3) inform the Applicant of the right to review all information reviewed by the Compensation Committee, even information not relied on in making the decision, and</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 inform the Applicant of the right to bring an action pursuant to the arbitration provisions of Section 3.2.4.</w:t>
      </w:r>
    </w:p>
    <w:p>
      <w:pPr>
        <w:spacing w:after="0" w:line="194" w:lineRule="exact"/>
        <w:rPr>
          <w:sz w:val="20"/>
          <w:szCs w:val="20"/>
          <w:color w:val="auto"/>
        </w:rPr>
      </w:pPr>
    </w:p>
    <w:p>
      <w:pPr>
        <w:ind w:left="620" w:right="120" w:hanging="620"/>
        <w:spacing w:after="0" w:line="251" w:lineRule="auto"/>
        <w:tabs>
          <w:tab w:leader="none" w:pos="600" w:val="left"/>
        </w:tabs>
        <w:rPr>
          <w:sz w:val="20"/>
          <w:szCs w:val="20"/>
          <w:color w:val="auto"/>
        </w:rPr>
      </w:pPr>
      <w:r>
        <w:rPr>
          <w:rFonts w:ascii="Arial" w:cs="Arial" w:eastAsia="Arial" w:hAnsi="Arial"/>
          <w:sz w:val="16"/>
          <w:szCs w:val="16"/>
          <w:color w:val="auto"/>
        </w:rPr>
        <w:t>3.2.4</w:t>
        <w:tab/>
        <w:t>Arbitration. Subject to prior completion of the claims procedure described above, any claim or controversy arising under the Plan shall be settled by arbitration before a single arbitrator to be held in Cerro Gordo County, Iowa in accordance with the Rules, and any judgment upon the award rendered by the arbitrator may be enforced in any court having competent jurisdiction thereof. The arbitrator shall be selected in accordance with the Rules.</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3.2.5</w:t>
        <w:tab/>
        <w:t>Exhaustion of Remedies. No legal action for benefits under the Plan may be brought unless and until the</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760"/>
          </w:cols>
          <w:pgMar w:left="900" w:top="959" w:right="239" w:bottom="1440" w:gutter="0" w:footer="0" w:header="0"/>
        </w:sectPr>
      </w:pPr>
    </w:p>
    <w:bookmarkStart w:id="66" w:name="page67"/>
    <w:bookmarkEnd w:id="66"/>
    <w:p>
      <w:pPr>
        <w:ind w:left="1280"/>
        <w:spacing w:after="0"/>
        <w:rPr>
          <w:sz w:val="20"/>
          <w:szCs w:val="20"/>
          <w:color w:val="auto"/>
        </w:rPr>
      </w:pPr>
      <w:r>
        <w:rPr>
          <w:rFonts w:ascii="Arial" w:cs="Arial" w:eastAsia="Arial" w:hAnsi="Arial"/>
          <w:sz w:val="16"/>
          <w:szCs w:val="16"/>
          <w:color w:val="auto"/>
        </w:rPr>
        <w:t>Applicant has exhausted his remedies under this Article III.</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IV</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PARTICIPATION - ELECTIONS TO DEFER</w:t>
      </w:r>
    </w:p>
    <w:p>
      <w:pPr>
        <w:spacing w:after="0" w:line="174" w:lineRule="exact"/>
        <w:rPr>
          <w:sz w:val="20"/>
          <w:szCs w:val="20"/>
          <w:color w:val="auto"/>
        </w:rPr>
      </w:pPr>
    </w:p>
    <w:p>
      <w:pPr>
        <w:ind w:right="240" w:firstLine="648"/>
        <w:spacing w:after="0" w:line="28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Participation</w:t>
      </w:r>
      <w:r>
        <w:rPr>
          <w:rFonts w:ascii="Arial" w:cs="Arial" w:eastAsia="Arial" w:hAnsi="Arial"/>
          <w:sz w:val="16"/>
          <w:szCs w:val="16"/>
          <w:color w:val="auto"/>
        </w:rPr>
        <w:t>. Participation in the Plan shall be limited to officers, highly compensated or management employees selected by the Compensation Committee who elect to participate in the Plan by filing a Participation Agreement with the Administrator after being notified of such selection.</w:t>
      </w:r>
    </w:p>
    <w:p>
      <w:pPr>
        <w:spacing w:after="0" w:line="129"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Participation Agreements</w:t>
      </w:r>
      <w:r>
        <w:rPr>
          <w:rFonts w:ascii="Arial" w:cs="Arial" w:eastAsia="Arial" w:hAnsi="Arial"/>
          <w:sz w:val="16"/>
          <w:szCs w:val="16"/>
          <w:color w:val="auto"/>
        </w:rPr>
        <w:t>. A Participation Agreement must be filed prior to the 31st day of December immediately preceding the Plan Year in which the Participant's participation will commence, or such earlier date as required by the Administrator. The election to participate shall be effective on the first day of the Plan Year following receipt by the Administrator of a properly completed and executed Participation Agreement. However, with respect to the first Plan Year of the Plan or with respect to an individual hired or promoted during the Plan Year who thereby becomes eligible to participate herein and who does not currently participate in another “account balance plan” (as defined in Section 409A of the Code and the guidance issued in connection therewith), an initial Participation Agreement may be filed within 30 days of notification to the Participant of his or her eligibility to participate. Such election to participate shall be effective on the first day of the month following the Administrator's receipt thereof, except that elections not received by the Administrator prior to the 15th day of any calendar month shall be effective no earlier than the first day of the second month following the month of receipt, and elections for any Compensation earned over a period longer than one month shall not be effective until the period subsequent to the one in which such election is filed. Participation Agreements shall be effective for one Plan Year; a new Participation Agreement must be filed by the 31st day of December immediately preceding each Plan Year that the Participant intends to defer his or her Salary or Bonus, or such earlier date as required by the Administrator.</w:t>
      </w:r>
    </w:p>
    <w:p>
      <w:pPr>
        <w:spacing w:after="0" w:line="161" w:lineRule="exact"/>
        <w:rPr>
          <w:sz w:val="20"/>
          <w:szCs w:val="20"/>
          <w:color w:val="auto"/>
        </w:rPr>
      </w:pPr>
    </w:p>
    <w:p>
      <w:pPr>
        <w:ind w:right="180" w:firstLine="648"/>
        <w:spacing w:after="0" w:line="26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Performance Based Pay</w:t>
      </w:r>
      <w:r>
        <w:rPr>
          <w:rFonts w:ascii="Arial" w:cs="Arial" w:eastAsia="Arial" w:hAnsi="Arial"/>
          <w:sz w:val="16"/>
          <w:szCs w:val="16"/>
          <w:color w:val="auto"/>
        </w:rPr>
        <w:t>. Notwithstanding anything in this Article IV to the contrary, Participation Agreements allowing for the deferral of Performance Based Compensation based upon a performance period of twelve (12) months or more shall not be effective unless filed no later than 6 months before the end of the Performance Period, or such earlier date as selected by the Administrator.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INVESTMENT ELECTIONS</w:t>
      </w:r>
    </w:p>
    <w:p>
      <w:pPr>
        <w:spacing w:after="0" w:line="174" w:lineRule="exact"/>
        <w:rPr>
          <w:sz w:val="20"/>
          <w:szCs w:val="20"/>
          <w:color w:val="auto"/>
        </w:rPr>
      </w:pPr>
    </w:p>
    <w:p>
      <w:pPr>
        <w:ind w:right="40" w:firstLine="648"/>
        <w:spacing w:after="0" w:line="25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Investment Designations.</w:t>
      </w:r>
      <w:r>
        <w:rPr>
          <w:rFonts w:ascii="Arial" w:cs="Arial" w:eastAsia="Arial" w:hAnsi="Arial"/>
          <w:sz w:val="16"/>
          <w:szCs w:val="16"/>
          <w:color w:val="auto"/>
        </w:rPr>
        <w:t xml:space="preserve"> Each Participant may designate, on an Investment Election Form,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 Such form must be filed with the Administrator. A Participant may change his or her investment designations by filing a new Investment Election Form with the Administrator. The Compensation Committee may, at any time and for any reason, limit the frequency in which Participants may change their investment designations. If no such limitations are imposed, investment designations may be changed daily. If a Participant fails to designate an Available Investment for all or a portion of the Participant's Deferred Benefit Account, his or her Deferred Benefit Account will be deemed invested in the JPMorgan Prime Money Market Fund or similar fund selected by the Compensation Committee in its sole and absolute discretion.</w:t>
      </w:r>
    </w:p>
    <w:p>
      <w:pPr>
        <w:spacing w:after="0" w:line="156"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Selection of Investment</w:t>
      </w:r>
      <w:r>
        <w:rPr>
          <w:rFonts w:ascii="Arial" w:cs="Arial" w:eastAsia="Arial" w:hAnsi="Arial"/>
          <w:sz w:val="16"/>
          <w:szCs w:val="16"/>
          <w:color w:val="auto"/>
        </w:rPr>
        <w:t>. The Compensation Committee may, from time to time and in its sole and absolute discretion, select the investments in which a Participant's Deferred Benefit Account may be deemed invested (“</w:t>
      </w:r>
      <w:r>
        <w:rPr>
          <w:rFonts w:ascii="Arial" w:cs="Arial" w:eastAsia="Arial" w:hAnsi="Arial"/>
          <w:sz w:val="16"/>
          <w:szCs w:val="16"/>
          <w:b w:val="1"/>
          <w:bCs w:val="1"/>
          <w:color w:val="auto"/>
        </w:rPr>
        <w:t>Available Investments</w:t>
      </w:r>
      <w:r>
        <w:rPr>
          <w:rFonts w:ascii="Arial" w:cs="Arial" w:eastAsia="Arial" w:hAnsi="Arial"/>
          <w:sz w:val="16"/>
          <w:szCs w:val="16"/>
          <w:color w:val="auto"/>
        </w:rPr>
        <w:t>”). If the Compensation Committee determines that an investment shall no longer be an Available Investment, it shall notify, in writing, all Participants that have all or a portion of their Deferred Benefit Account invested in such investment of the date that it will no longer be an Available Investment. If a Participant fails to redesignate that portion of his Deferred Benefit Account deemed invested in such investment by the date designated by the Compensation Committee, such portion will be deemed invested in the JPMorgan Prime Money Market Fund or similar fund selected by the Compensation Committee in its sole and absolute discretion.</w:t>
      </w:r>
    </w:p>
    <w:p>
      <w:pPr>
        <w:spacing w:after="0" w:line="15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Effect of Designation.</w:t>
      </w:r>
      <w:r>
        <w:rPr>
          <w:rFonts w:ascii="Arial" w:cs="Arial" w:eastAsia="Arial" w:hAnsi="Arial"/>
          <w:sz w:val="16"/>
          <w:szCs w:val="16"/>
          <w:color w:val="auto"/>
        </w:rPr>
        <w:t xml:space="preserve"> Although the Participants may designate the Available Investments in which his or her Deferred Benefit Account will be deemed invested, the Compensation Committee shall not be bound by such designation. The Available Investments are to be used only for purposes of crediting and debiting each Participant's Deferred Benefit Account with earnings and losses thereon, and shall not be considered or construed in any manner as an actual investment in such item or items.</w:t>
      </w:r>
    </w:p>
    <w:p>
      <w:pPr>
        <w:spacing w:after="0" w:line="151" w:lineRule="exact"/>
        <w:rPr>
          <w:sz w:val="20"/>
          <w:szCs w:val="20"/>
          <w:color w:val="auto"/>
        </w:rPr>
      </w:pPr>
    </w:p>
    <w:p>
      <w:pPr>
        <w:ind w:right="280" w:firstLine="648"/>
        <w:spacing w:after="0" w:line="26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color w:val="auto"/>
        </w:rPr>
        <w:t>Statement of Accounts</w:t>
      </w:r>
      <w:r>
        <w:rPr>
          <w:rFonts w:ascii="Arial" w:cs="Arial" w:eastAsia="Arial" w:hAnsi="Arial"/>
          <w:sz w:val="16"/>
          <w:szCs w:val="16"/>
          <w:color w:val="auto"/>
        </w:rPr>
        <w:t>. The Administrator shall submit to each Participant, as soon as administratively possible after each calendar quarter end, a statement in such form as the Administrator deems appropriate, setting forth the balance of each Participant's Deferred Benefit Account as such Determination Date.</w:t>
      </w:r>
    </w:p>
    <w:p>
      <w:pPr>
        <w:spacing w:after="0" w:line="14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b w:val="1"/>
          <w:bCs w:val="1"/>
          <w:color w:val="auto"/>
        </w:rPr>
        <w:t>No Guaranteed Return</w:t>
      </w:r>
      <w:r>
        <w:rPr>
          <w:rFonts w:ascii="Arial" w:cs="Arial" w:eastAsia="Arial" w:hAnsi="Arial"/>
          <w:sz w:val="16"/>
          <w:szCs w:val="16"/>
          <w:color w:val="auto"/>
        </w:rPr>
        <w:t>. Each Participant, by filing a Participation Agreement and/or an Investment Election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628" w:right="239" w:bottom="1440" w:gutter="0" w:footer="0" w:header="0"/>
        </w:sectPr>
      </w:pPr>
    </w:p>
    <w:bookmarkStart w:id="67" w:name="page68"/>
    <w:bookmarkEnd w:id="67"/>
    <w:p>
      <w:pPr>
        <w:jc w:val="both"/>
        <w:ind w:right="140"/>
        <w:spacing w:after="0" w:line="251" w:lineRule="auto"/>
        <w:rPr>
          <w:sz w:val="20"/>
          <w:szCs w:val="20"/>
          <w:color w:val="auto"/>
        </w:rPr>
      </w:pPr>
      <w:r>
        <w:rPr>
          <w:rFonts w:ascii="Arial" w:cs="Arial" w:eastAsia="Arial" w:hAnsi="Arial"/>
          <w:sz w:val="16"/>
          <w:szCs w:val="16"/>
          <w:color w:val="auto"/>
        </w:rPr>
        <w:t>Form, agrees and acknowledges that neither the Company, nor any agent of the Company vested with authority regarding the Plan or having responsibilities associated with the Plan has a duty to maximize or protect the Participant's deemed return on investment. Each Participant further acknowledges and agrees that neither the Company nor any agent of the Company vested with authority regarding the Plan or having responsibilities associated with the Plan shall be liable for any loss of Deferred Benefits by reason of their selection of investments.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VI</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DEFERRED BENEFIT ACCOUNT</w:t>
      </w:r>
    </w:p>
    <w:p>
      <w:pPr>
        <w:spacing w:after="0" w:line="363" w:lineRule="exact"/>
        <w:rPr>
          <w:sz w:val="20"/>
          <w:szCs w:val="20"/>
          <w:color w:val="auto"/>
        </w:rPr>
      </w:pPr>
    </w:p>
    <w:p>
      <w:pPr>
        <w:ind w:right="40" w:firstLine="648"/>
        <w:spacing w:after="0" w:line="25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Establishment of Account.</w:t>
      </w:r>
      <w:r>
        <w:rPr>
          <w:rFonts w:ascii="Arial" w:cs="Arial" w:eastAsia="Arial" w:hAnsi="Arial"/>
          <w:sz w:val="16"/>
          <w:szCs w:val="16"/>
          <w:color w:val="auto"/>
        </w:rPr>
        <w:t xml:space="preserve"> A separate Deferred Benefit Account shall be established and maintained for each Plan Year that a Participant participates in the Plan. If so desired, the Compensation Committee may, at any time, establish subaccounts within each Participant's Deferred Benefit Account. A Participant's Deferred Benefit Account and any subaccount thereof shall be utilized solely as a device for the measurement and determination of the amounts to be paid to the Participants pursuant to this Plan. A Participant's Deferred Benefit Account and any subaccount thereof shall not constitute or be treated as a trust fund of any kind or require the segregation of any assets of the Company.</w:t>
      </w:r>
    </w:p>
    <w:p>
      <w:pPr>
        <w:spacing w:after="0" w:line="15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b w:val="1"/>
          <w:bCs w:val="1"/>
          <w:color w:val="auto"/>
        </w:rPr>
        <w:t>Determination of Account</w:t>
      </w:r>
      <w:r>
        <w:rPr>
          <w:rFonts w:ascii="Arial" w:cs="Arial" w:eastAsia="Arial" w:hAnsi="Arial"/>
          <w:sz w:val="16"/>
          <w:szCs w:val="16"/>
          <w:color w:val="auto"/>
        </w:rPr>
        <w:t>. A Participant's Deferred Benefit Account shall be valued as of each Determination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VII</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BENEFITS</w:t>
      </w:r>
    </w:p>
    <w:p>
      <w:pPr>
        <w:spacing w:after="0" w:line="17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b w:val="1"/>
          <w:bCs w:val="1"/>
          <w:color w:val="auto"/>
        </w:rPr>
        <w:t xml:space="preserve">Generally. </w:t>
      </w:r>
      <w:r>
        <w:rPr>
          <w:rFonts w:ascii="Arial" w:cs="Arial" w:eastAsia="Arial" w:hAnsi="Arial"/>
          <w:sz w:val="16"/>
          <w:szCs w:val="16"/>
          <w:color w:val="auto"/>
        </w:rPr>
        <w:t>A Participant shall, upon the first to occur of the following events (a “</w:t>
      </w:r>
      <w:r>
        <w:rPr>
          <w:rFonts w:ascii="Arial" w:cs="Arial" w:eastAsia="Arial" w:hAnsi="Arial"/>
          <w:sz w:val="16"/>
          <w:szCs w:val="16"/>
          <w:b w:val="1"/>
          <w:bCs w:val="1"/>
          <w:color w:val="auto"/>
        </w:rPr>
        <w:t>Trigger Event</w:t>
      </w:r>
      <w:r>
        <w:rPr>
          <w:rFonts w:ascii="Arial" w:cs="Arial" w:eastAsia="Arial" w:hAnsi="Arial"/>
          <w:sz w:val="16"/>
          <w:szCs w:val="16"/>
          <w:color w:val="auto"/>
        </w:rPr>
        <w:t>”), be entitled to a payment (a "</w:t>
      </w:r>
      <w:r>
        <w:rPr>
          <w:rFonts w:ascii="Arial" w:cs="Arial" w:eastAsia="Arial" w:hAnsi="Arial"/>
          <w:sz w:val="16"/>
          <w:szCs w:val="16"/>
          <w:b w:val="1"/>
          <w:bCs w:val="1"/>
          <w:color w:val="auto"/>
        </w:rPr>
        <w:t>Deferred Benefit</w:t>
      </w:r>
      <w:r>
        <w:rPr>
          <w:rFonts w:ascii="Arial" w:cs="Arial" w:eastAsia="Arial" w:hAnsi="Arial"/>
          <w:sz w:val="16"/>
          <w:szCs w:val="16"/>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equal to the amount of his or her Deferred Benefit Accounts as of the Determination Date coincidental with such event:</w:t>
      </w:r>
    </w:p>
    <w:p>
      <w:pPr>
        <w:spacing w:after="0" w:line="19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6"/>
          <w:szCs w:val="16"/>
          <w:color w:val="auto"/>
        </w:rPr>
        <w:t>7.1.1</w:t>
        <w:tab/>
        <w:t>Date certain (which must be selected by the Participant in his or her Participation</w:t>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Agreement and which cannot be changed except as otherwise provided in subparagraph 7.2.4);</w:t>
      </w:r>
    </w:p>
    <w:p>
      <w:pPr>
        <w:spacing w:after="0" w:line="19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6"/>
          <w:szCs w:val="16"/>
          <w:color w:val="auto"/>
        </w:rPr>
        <w:t>7.1.2</w:t>
        <w:tab/>
        <w:t>Separation from Service;</w:t>
      </w:r>
    </w:p>
    <w:p>
      <w:pPr>
        <w:spacing w:after="0" w:line="19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6"/>
          <w:szCs w:val="16"/>
          <w:color w:val="auto"/>
        </w:rPr>
        <w:t>7.1.3</w:t>
      </w:r>
      <w:r>
        <w:rPr>
          <w:sz w:val="20"/>
          <w:szCs w:val="20"/>
          <w:color w:val="auto"/>
        </w:rPr>
        <w:tab/>
      </w:r>
      <w:r>
        <w:rPr>
          <w:rFonts w:ascii="Arial" w:cs="Arial" w:eastAsia="Arial" w:hAnsi="Arial"/>
          <w:sz w:val="15"/>
          <w:szCs w:val="15"/>
          <w:color w:val="auto"/>
        </w:rPr>
        <w:t>Disability;</w:t>
      </w:r>
    </w:p>
    <w:p>
      <w:pPr>
        <w:spacing w:after="0" w:line="19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6"/>
          <w:szCs w:val="16"/>
          <w:color w:val="auto"/>
        </w:rPr>
        <w:t>7.1.4</w:t>
        <w:tab/>
        <w:t>Death; or</w:t>
      </w:r>
    </w:p>
    <w:p>
      <w:pPr>
        <w:spacing w:after="0" w:line="19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6"/>
          <w:szCs w:val="16"/>
          <w:color w:val="auto"/>
        </w:rPr>
        <w:t>7.1.5</w:t>
        <w:tab/>
        <w:t>Change of Control.</w:t>
      </w:r>
    </w:p>
    <w:p>
      <w:pPr>
        <w:spacing w:after="0" w:line="174" w:lineRule="exact"/>
        <w:rPr>
          <w:sz w:val="20"/>
          <w:szCs w:val="20"/>
          <w:color w:val="auto"/>
        </w:rPr>
      </w:pPr>
    </w:p>
    <w:p>
      <w:pPr>
        <w:ind w:right="580" w:firstLine="608"/>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Payment of Benefit.</w:t>
      </w:r>
      <w:r>
        <w:rPr>
          <w:rFonts w:ascii="Arial" w:cs="Arial" w:eastAsia="Arial" w:hAnsi="Arial"/>
          <w:sz w:val="16"/>
          <w:szCs w:val="16"/>
          <w:color w:val="auto"/>
        </w:rPr>
        <w:t xml:space="preserve"> The Company shall pay to the Participant (or the Participant's Beneficiary), his or her Deferred Benefit in one of the following forms (as elected in the Participation Agreement filed by the Participant with the Administrator):</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7.2.1</w:t>
      </w:r>
      <w:r>
        <w:rPr>
          <w:sz w:val="20"/>
          <w:szCs w:val="20"/>
          <w:color w:val="auto"/>
        </w:rPr>
        <w:tab/>
      </w:r>
      <w:r>
        <w:rPr>
          <w:rFonts w:ascii="Arial" w:cs="Arial" w:eastAsia="Arial" w:hAnsi="Arial"/>
          <w:sz w:val="16"/>
          <w:szCs w:val="16"/>
          <w:color w:val="auto"/>
        </w:rPr>
        <w:t>A lump sum payment; or</w:t>
      </w:r>
    </w:p>
    <w:p>
      <w:pPr>
        <w:spacing w:after="0" w:line="194" w:lineRule="exact"/>
        <w:rPr>
          <w:sz w:val="20"/>
          <w:szCs w:val="20"/>
          <w:color w:val="auto"/>
        </w:rPr>
      </w:pPr>
    </w:p>
    <w:p>
      <w:pPr>
        <w:ind w:left="1300" w:right="20" w:hanging="647"/>
        <w:spacing w:after="0" w:line="260" w:lineRule="auto"/>
        <w:tabs>
          <w:tab w:leader="none" w:pos="1280" w:val="left"/>
        </w:tabs>
        <w:rPr>
          <w:sz w:val="20"/>
          <w:szCs w:val="20"/>
          <w:color w:val="auto"/>
        </w:rPr>
      </w:pPr>
      <w:r>
        <w:rPr>
          <w:rFonts w:ascii="Arial" w:cs="Arial" w:eastAsia="Arial" w:hAnsi="Arial"/>
          <w:sz w:val="16"/>
          <w:szCs w:val="16"/>
          <w:color w:val="auto"/>
        </w:rPr>
        <w:t>7.2.2</w:t>
      </w:r>
      <w:r>
        <w:rPr>
          <w:sz w:val="20"/>
          <w:szCs w:val="20"/>
          <w:color w:val="auto"/>
        </w:rPr>
        <w:tab/>
      </w:r>
      <w:r>
        <w:rPr>
          <w:rFonts w:ascii="Arial" w:cs="Arial" w:eastAsia="Arial" w:hAnsi="Arial"/>
          <w:sz w:val="16"/>
          <w:szCs w:val="16"/>
          <w:color w:val="auto"/>
        </w:rPr>
        <w:t>A monthly payment of a fixed amount which shall amortize the Participant's Deferred Benefit in equal monthly payments over a period from 2 to 120 months (as selected by the Participant on his or her Participation Agreement).</w:t>
      </w:r>
    </w:p>
    <w:p>
      <w:pPr>
        <w:spacing w:after="0" w:line="169" w:lineRule="exact"/>
        <w:rPr>
          <w:sz w:val="20"/>
          <w:szCs w:val="20"/>
          <w:color w:val="auto"/>
        </w:rPr>
      </w:pPr>
    </w:p>
    <w:p>
      <w:pPr>
        <w:jc w:val="right"/>
        <w:ind w:left="660" w:right="120"/>
        <w:spacing w:after="0" w:line="260" w:lineRule="auto"/>
        <w:rPr>
          <w:sz w:val="20"/>
          <w:szCs w:val="20"/>
          <w:color w:val="auto"/>
        </w:rPr>
      </w:pPr>
      <w:r>
        <w:rPr>
          <w:rFonts w:ascii="Arial" w:cs="Arial" w:eastAsia="Arial" w:hAnsi="Arial"/>
          <w:sz w:val="16"/>
          <w:szCs w:val="16"/>
          <w:color w:val="auto"/>
        </w:rPr>
        <w:t>7.2.3    In the event of a payment made pursuant to Sections 7.1.3, 7.1.4, or 7.1.5 of this Plan (i.e. upon death, Disability or Change in Control), the Company shall pay to the Participant (or the Participant's Beneficiary) the total value of his or her Deferred Benefit in a lump sum payment.</w:t>
      </w:r>
    </w:p>
    <w:p>
      <w:pPr>
        <w:spacing w:after="0" w:line="169"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In the absence of a Participant's election under this Section, a Participant's Deferred Benefit Account shall be paid over a 120 month period in the manner specified in subparagraph 7.2.2.</w:t>
      </w:r>
    </w:p>
    <w:p>
      <w:pPr>
        <w:spacing w:after="0" w:line="169" w:lineRule="exact"/>
        <w:rPr>
          <w:sz w:val="20"/>
          <w:szCs w:val="20"/>
          <w:color w:val="auto"/>
        </w:rPr>
      </w:pPr>
    </w:p>
    <w:p>
      <w:pPr>
        <w:ind w:left="1300" w:hanging="647"/>
        <w:spacing w:after="0" w:line="248" w:lineRule="auto"/>
        <w:tabs>
          <w:tab w:leader="none" w:pos="1280" w:val="left"/>
        </w:tabs>
        <w:rPr>
          <w:sz w:val="20"/>
          <w:szCs w:val="20"/>
          <w:color w:val="auto"/>
        </w:rPr>
      </w:pPr>
      <w:r>
        <w:rPr>
          <w:rFonts w:ascii="Arial" w:cs="Arial" w:eastAsia="Arial" w:hAnsi="Arial"/>
          <w:sz w:val="16"/>
          <w:szCs w:val="16"/>
          <w:color w:val="auto"/>
        </w:rPr>
        <w:t>7.2.4</w:t>
      </w:r>
      <w:r>
        <w:rPr>
          <w:sz w:val="20"/>
          <w:szCs w:val="20"/>
          <w:color w:val="auto"/>
        </w:rPr>
        <w:tab/>
      </w:r>
      <w:r>
        <w:rPr>
          <w:rFonts w:ascii="Arial" w:cs="Arial" w:eastAsia="Arial" w:hAnsi="Arial"/>
          <w:sz w:val="16"/>
          <w:szCs w:val="16"/>
          <w:color w:val="auto"/>
        </w:rPr>
        <w:t>Notwithstanding anything in this Article VII or Article IV to the contrary, a Participant may delay the payment of a Deferred Benefit or change the form of payment of a Deferred Benefit by filing a Further Deferral Request with the Administrator. Such request must be made not less than twelve (12) months prior to the date the payment is scheduled to be paid (or in the case of installment payments, twelve (12) months prior to the date the first payment was scheduled to be paid), and shall, if so filed, be effective twelve (12) months after the date on which it is filed with the Administrator. In the case of a Deferred Benefit payable under Sections 7.1.1, 7.1.2 and 7.1.5 of this Agreement, the requested delay for payment must be for a period of not less than five (5) years from the date that such payment would have been otherwise made (or in the case of an installment payment, five (5) years from the date the first payment was scheduled to be paid).</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601" w:right="279" w:bottom="1440" w:gutter="0" w:footer="0" w:header="0"/>
        </w:sectPr>
      </w:pPr>
    </w:p>
    <w:bookmarkStart w:id="68" w:name="page69"/>
    <w:bookmarkEnd w:id="68"/>
    <w:p>
      <w:pPr>
        <w:ind w:left="620"/>
        <w:spacing w:after="0"/>
        <w:tabs>
          <w:tab w:leader="none" w:pos="10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b w:val="1"/>
          <w:bCs w:val="1"/>
          <w:color w:val="auto"/>
        </w:rPr>
        <w:t>Commencement of Payments</w:t>
      </w:r>
      <w:r>
        <w:rPr>
          <w:rFonts w:ascii="Arial" w:cs="Arial" w:eastAsia="Arial" w:hAnsi="Arial"/>
          <w:sz w:val="16"/>
          <w:szCs w:val="16"/>
          <w:color w:val="auto"/>
        </w:rPr>
        <w:t>.</w:t>
      </w:r>
    </w:p>
    <w:p>
      <w:pPr>
        <w:spacing w:after="0" w:line="214" w:lineRule="exact"/>
        <w:rPr>
          <w:sz w:val="20"/>
          <w:szCs w:val="20"/>
          <w:color w:val="auto"/>
        </w:rPr>
      </w:pPr>
    </w:p>
    <w:p>
      <w:pPr>
        <w:ind w:left="1300" w:right="140" w:hanging="688"/>
        <w:spacing w:after="0" w:line="260" w:lineRule="auto"/>
        <w:tabs>
          <w:tab w:leader="none" w:pos="1280" w:val="left"/>
        </w:tabs>
        <w:rPr>
          <w:sz w:val="20"/>
          <w:szCs w:val="20"/>
          <w:color w:val="auto"/>
        </w:rPr>
      </w:pPr>
      <w:r>
        <w:rPr>
          <w:rFonts w:ascii="Arial" w:cs="Arial" w:eastAsia="Arial" w:hAnsi="Arial"/>
          <w:sz w:val="16"/>
          <w:szCs w:val="16"/>
          <w:color w:val="auto"/>
        </w:rPr>
        <w:t>7.3.1.</w:t>
      </w:r>
      <w:r>
        <w:rPr>
          <w:sz w:val="20"/>
          <w:szCs w:val="20"/>
          <w:color w:val="auto"/>
        </w:rPr>
        <w:tab/>
      </w:r>
      <w:r>
        <w:rPr>
          <w:rFonts w:ascii="Arial" w:cs="Arial" w:eastAsia="Arial" w:hAnsi="Arial"/>
          <w:sz w:val="16"/>
          <w:szCs w:val="16"/>
          <w:color w:val="auto"/>
        </w:rPr>
        <w:t>Payments of any Deferred Benefit in accordance with Section 7.1.1 shall be made during the month of January of the calendar year elected by the Participant;</w:t>
      </w:r>
    </w:p>
    <w:p>
      <w:pPr>
        <w:spacing w:after="0" w:line="169" w:lineRule="exact"/>
        <w:rPr>
          <w:sz w:val="20"/>
          <w:szCs w:val="20"/>
          <w:color w:val="auto"/>
        </w:rPr>
      </w:pPr>
    </w:p>
    <w:p>
      <w:pPr>
        <w:ind w:left="1300" w:right="40" w:hanging="688"/>
        <w:spacing w:after="0" w:line="251" w:lineRule="auto"/>
        <w:tabs>
          <w:tab w:leader="none" w:pos="1280" w:val="left"/>
        </w:tabs>
        <w:rPr>
          <w:sz w:val="20"/>
          <w:szCs w:val="20"/>
          <w:color w:val="auto"/>
        </w:rPr>
      </w:pPr>
      <w:r>
        <w:rPr>
          <w:rFonts w:ascii="Arial" w:cs="Arial" w:eastAsia="Arial" w:hAnsi="Arial"/>
          <w:sz w:val="16"/>
          <w:szCs w:val="16"/>
          <w:color w:val="auto"/>
        </w:rPr>
        <w:t>7.3.2.</w:t>
      </w:r>
      <w:r>
        <w:rPr>
          <w:sz w:val="20"/>
          <w:szCs w:val="20"/>
          <w:color w:val="auto"/>
        </w:rPr>
        <w:tab/>
      </w:r>
      <w:r>
        <w:rPr>
          <w:rFonts w:ascii="Arial" w:cs="Arial" w:eastAsia="Arial" w:hAnsi="Arial"/>
          <w:sz w:val="16"/>
          <w:szCs w:val="16"/>
          <w:color w:val="auto"/>
        </w:rPr>
        <w:t>Payments of any Deferred Benefit in accordance with Section 7.1.2 shall be made during the month of January of the calendar year following the year in which the Participant's Separation from Service occurred; provided, however, that in the event the Participant is a Specified Employee, their payment shall be made during the later of the following two periods: (a) during the month of January of the calendar year following the year in which their Separation from Service occurred or (b) the seventh month following their Separation from Service.</w:t>
      </w:r>
    </w:p>
    <w:p>
      <w:pPr>
        <w:spacing w:after="0" w:line="176" w:lineRule="exact"/>
        <w:rPr>
          <w:sz w:val="20"/>
          <w:szCs w:val="20"/>
          <w:color w:val="auto"/>
        </w:rPr>
      </w:pPr>
    </w:p>
    <w:p>
      <w:pPr>
        <w:ind w:left="1300" w:right="80" w:hanging="688"/>
        <w:spacing w:after="0" w:line="260" w:lineRule="auto"/>
        <w:tabs>
          <w:tab w:leader="none" w:pos="1280" w:val="left"/>
        </w:tabs>
        <w:rPr>
          <w:sz w:val="20"/>
          <w:szCs w:val="20"/>
          <w:color w:val="auto"/>
        </w:rPr>
      </w:pPr>
      <w:r>
        <w:rPr>
          <w:rFonts w:ascii="Arial" w:cs="Arial" w:eastAsia="Arial" w:hAnsi="Arial"/>
          <w:sz w:val="16"/>
          <w:szCs w:val="16"/>
          <w:color w:val="auto"/>
        </w:rPr>
        <w:t>7.3.3</w:t>
      </w:r>
      <w:r>
        <w:rPr>
          <w:sz w:val="20"/>
          <w:szCs w:val="20"/>
          <w:color w:val="auto"/>
        </w:rPr>
        <w:tab/>
      </w:r>
      <w:r>
        <w:rPr>
          <w:rFonts w:ascii="Arial" w:cs="Arial" w:eastAsia="Arial" w:hAnsi="Arial"/>
          <w:sz w:val="16"/>
          <w:szCs w:val="16"/>
          <w:color w:val="auto"/>
        </w:rPr>
        <w:t>Payments of any Deferred Benefit in accordance with Sections 7.1.3 and 7.1.4 shall be made within sixty (60) days of the Participant's death or Disability.</w:t>
      </w:r>
    </w:p>
    <w:p>
      <w:pPr>
        <w:spacing w:after="0" w:line="169"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6"/>
          <w:szCs w:val="16"/>
          <w:color w:val="auto"/>
        </w:rPr>
        <w:t>7.3.3</w:t>
      </w:r>
      <w:r>
        <w:rPr>
          <w:sz w:val="20"/>
          <w:szCs w:val="20"/>
          <w:color w:val="auto"/>
        </w:rPr>
        <w:tab/>
      </w:r>
      <w:r>
        <w:rPr>
          <w:rFonts w:ascii="Arial" w:cs="Arial" w:eastAsia="Arial" w:hAnsi="Arial"/>
          <w:sz w:val="16"/>
          <w:szCs w:val="16"/>
          <w:color w:val="auto"/>
        </w:rPr>
        <w:t>Payments of any Deferred Benefit in accordance with Section 7.1.5 shall be made within sixty (60) days of the Change of Control.</w:t>
      </w:r>
    </w:p>
    <w:p>
      <w:pPr>
        <w:spacing w:after="0" w:line="174" w:lineRule="exact"/>
        <w:rPr>
          <w:sz w:val="20"/>
          <w:szCs w:val="20"/>
          <w:color w:val="auto"/>
        </w:rPr>
      </w:pPr>
    </w:p>
    <w:p>
      <w:pPr>
        <w:ind w:right="240" w:firstLine="608"/>
        <w:spacing w:after="0" w:line="25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Withholding; Payroll Taxes</w:t>
      </w:r>
      <w:r>
        <w:rPr>
          <w:rFonts w:ascii="Arial" w:cs="Arial" w:eastAsia="Arial" w:hAnsi="Arial"/>
          <w:sz w:val="16"/>
          <w:szCs w:val="16"/>
          <w:color w:val="auto"/>
        </w:rPr>
        <w:t>. To the extent required by the law in effect at the time deferrals are made, the Company shall withhold from a Participant's Compensation any federal, state or local taxes it is required to withhold. To the extent required by law in effect at the time payments of Deferred Benefits are made, the Company shall withhold from a Participant's Deferred Benefit any federal, state or local taxes it is required to withhold. A Beneficiary, however, may (to the extent allowed by § 3405(a)(2) of the Code, or any successor provision thereto) elect not to have withholding of federal income tax be made on any Deferred Benefits payable under the Plan.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VIII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BENEFICIARY DESIGNATION</w:t>
      </w:r>
    </w:p>
    <w:p>
      <w:pPr>
        <w:spacing w:after="0" w:line="174" w:lineRule="exact"/>
        <w:rPr>
          <w:sz w:val="20"/>
          <w:szCs w:val="20"/>
          <w:color w:val="auto"/>
        </w:rPr>
      </w:pPr>
    </w:p>
    <w:p>
      <w:pPr>
        <w:ind w:right="20" w:firstLine="608"/>
        <w:spacing w:after="0" w:line="26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Beneficiary Designation</w:t>
      </w:r>
      <w:r>
        <w:rPr>
          <w:rFonts w:ascii="Arial" w:cs="Arial" w:eastAsia="Arial" w:hAnsi="Arial"/>
          <w:sz w:val="16"/>
          <w:szCs w:val="16"/>
          <w:color w:val="auto"/>
        </w:rPr>
        <w:t>. Each participant shall have the right, at any time, to designate any person or persons as a Beneficiary or Beneficiaries (both primary as well as contingent) to whom payment under this Plan shall be made in the event of Participant's death prior to complete distribution of the benefits due to the Participant under the Plan by filing a Beneficiary Designation Form with the Administrator.</w:t>
      </w:r>
    </w:p>
    <w:p>
      <w:pPr>
        <w:spacing w:after="0" w:line="145" w:lineRule="exact"/>
        <w:rPr>
          <w:sz w:val="20"/>
          <w:szCs w:val="20"/>
          <w:color w:val="auto"/>
        </w:rPr>
      </w:pPr>
    </w:p>
    <w:p>
      <w:pPr>
        <w:ind w:right="480" w:firstLine="608"/>
        <w:spacing w:after="0" w:line="28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color w:val="auto"/>
        </w:rPr>
        <w:t>Amendments</w:t>
      </w:r>
      <w:r>
        <w:rPr>
          <w:rFonts w:ascii="Arial" w:cs="Arial" w:eastAsia="Arial" w:hAnsi="Arial"/>
          <w:sz w:val="16"/>
          <w:szCs w:val="16"/>
          <w:color w:val="auto"/>
        </w:rPr>
        <w:t>. A Participant may change his or her Beneficiary or Beneficiaries at any time and for any reason by filing a new Beneficiary Designation Form with the Administrator. The filing of a new Beneficiary Designation Form will cancel all Beneficiary Designations Forms previously filed.</w:t>
      </w:r>
    </w:p>
    <w:p>
      <w:pPr>
        <w:spacing w:after="0" w:line="129" w:lineRule="exact"/>
        <w:rPr>
          <w:sz w:val="20"/>
          <w:szCs w:val="20"/>
          <w:color w:val="auto"/>
        </w:rPr>
      </w:pPr>
    </w:p>
    <w:p>
      <w:pPr>
        <w:ind w:right="20" w:firstLine="608"/>
        <w:spacing w:after="0" w:line="26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No Beneficiary Designation</w:t>
      </w:r>
      <w:r>
        <w:rPr>
          <w:rFonts w:ascii="Arial" w:cs="Arial" w:eastAsia="Arial" w:hAnsi="Arial"/>
          <w:sz w:val="16"/>
          <w:szCs w:val="16"/>
          <w:color w:val="auto"/>
        </w:rPr>
        <w:t>. If a Participant fails to designate a Beneficiary as provided above, or if all designated Beneficiaries predecease the Participant, then the Participant's designated Beneficiary shall be deemed to be the person or persons surviving the Participant in the first of the following classes in which there is a survivor, share and share alike:</w:t>
      </w:r>
    </w:p>
    <w:p>
      <w:pPr>
        <w:spacing w:after="0" w:line="165"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6"/>
          <w:szCs w:val="16"/>
          <w:color w:val="auto"/>
        </w:rPr>
        <w:t>8.3.1</w:t>
      </w:r>
      <w:r>
        <w:rPr>
          <w:sz w:val="20"/>
          <w:szCs w:val="20"/>
          <w:color w:val="auto"/>
        </w:rPr>
        <w:tab/>
      </w:r>
      <w:r>
        <w:rPr>
          <w:rFonts w:ascii="Arial" w:cs="Arial" w:eastAsia="Arial" w:hAnsi="Arial"/>
          <w:sz w:val="16"/>
          <w:szCs w:val="16"/>
          <w:color w:val="auto"/>
        </w:rPr>
        <w:t>The Participant's surviving Spouse;</w:t>
      </w:r>
    </w:p>
    <w:p>
      <w:pPr>
        <w:spacing w:after="0" w:line="194" w:lineRule="exact"/>
        <w:rPr>
          <w:sz w:val="20"/>
          <w:szCs w:val="20"/>
          <w:color w:val="auto"/>
        </w:rPr>
      </w:pPr>
    </w:p>
    <w:p>
      <w:pPr>
        <w:ind w:left="1340" w:right="140" w:hanging="715"/>
        <w:spacing w:after="0" w:line="260" w:lineRule="auto"/>
        <w:tabs>
          <w:tab w:leader="none" w:pos="1320" w:val="left"/>
        </w:tabs>
        <w:rPr>
          <w:sz w:val="20"/>
          <w:szCs w:val="20"/>
          <w:color w:val="auto"/>
        </w:rPr>
      </w:pPr>
      <w:r>
        <w:rPr>
          <w:rFonts w:ascii="Arial" w:cs="Arial" w:eastAsia="Arial" w:hAnsi="Arial"/>
          <w:sz w:val="16"/>
          <w:szCs w:val="16"/>
          <w:color w:val="auto"/>
        </w:rPr>
        <w:t>8.3.2</w:t>
      </w:r>
      <w:r>
        <w:rPr>
          <w:sz w:val="20"/>
          <w:szCs w:val="20"/>
          <w:color w:val="auto"/>
        </w:rPr>
        <w:tab/>
      </w:r>
      <w:r>
        <w:rPr>
          <w:rFonts w:ascii="Arial" w:cs="Arial" w:eastAsia="Arial" w:hAnsi="Arial"/>
          <w:sz w:val="16"/>
          <w:szCs w:val="16"/>
          <w:color w:val="auto"/>
        </w:rPr>
        <w:t>The Participant's living children in equal shares, except that if any of the children predecease the Participant but leave issue surviving, then such issue shall take by right of representation the share their parent would have taken if living;</w:t>
      </w:r>
    </w:p>
    <w:p>
      <w:pPr>
        <w:spacing w:after="0" w:line="169"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6"/>
          <w:szCs w:val="16"/>
          <w:color w:val="auto"/>
        </w:rPr>
        <w:t>8.3.3</w:t>
      </w:r>
      <w:r>
        <w:rPr>
          <w:sz w:val="20"/>
          <w:szCs w:val="20"/>
          <w:color w:val="auto"/>
        </w:rPr>
        <w:tab/>
      </w:r>
      <w:r>
        <w:rPr>
          <w:rFonts w:ascii="Arial" w:cs="Arial" w:eastAsia="Arial" w:hAnsi="Arial"/>
          <w:sz w:val="16"/>
          <w:szCs w:val="16"/>
          <w:color w:val="auto"/>
        </w:rPr>
        <w:t>The personal representative (executor or administrator) of Participant's estate.</w:t>
      </w:r>
    </w:p>
    <w:p>
      <w:pPr>
        <w:spacing w:after="0" w:line="174" w:lineRule="exact"/>
        <w:rPr>
          <w:sz w:val="20"/>
          <w:szCs w:val="20"/>
          <w:color w:val="auto"/>
        </w:rPr>
      </w:pPr>
    </w:p>
    <w:p>
      <w:pPr>
        <w:ind w:right="260" w:firstLine="608"/>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auto"/>
        </w:rPr>
        <w:t>Effect of Payment</w:t>
      </w:r>
      <w:r>
        <w:rPr>
          <w:rFonts w:ascii="Arial" w:cs="Arial" w:eastAsia="Arial" w:hAnsi="Arial"/>
          <w:sz w:val="16"/>
          <w:szCs w:val="16"/>
          <w:color w:val="auto"/>
        </w:rPr>
        <w:t>. The payment to the deemed Beneficiary of the entire amount owed shall completely discharge the Company's obligations under this Plan.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IX</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AND TERMINATION OF PLAN</w:t>
      </w:r>
    </w:p>
    <w:p>
      <w:pPr>
        <w:spacing w:after="0" w:line="174" w:lineRule="exact"/>
        <w:rPr>
          <w:sz w:val="20"/>
          <w:szCs w:val="20"/>
          <w:color w:val="auto"/>
        </w:rPr>
      </w:pPr>
    </w:p>
    <w:p>
      <w:pPr>
        <w:ind w:firstLine="608"/>
        <w:spacing w:after="0" w:line="25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Amendment</w:t>
      </w:r>
      <w:r>
        <w:rPr>
          <w:rFonts w:ascii="Arial" w:cs="Arial" w:eastAsia="Arial" w:hAnsi="Arial"/>
          <w:sz w:val="16"/>
          <w:szCs w:val="16"/>
          <w:color w:val="auto"/>
        </w:rPr>
        <w:t>. The Company may amend the Plan at any time in whole or in part; however, no amendment shall decrease the amount of any Deferred Benefit Account. In the event the Plan is amended, all Participation Agreements shall, to the extent determined by the Compensation Committee, be subject to the provisions of such amendment as if such amendment were set forth in full therein, without further action or amendment to the Participation Agreements. The Company and each Participant and Beneficiary shall be bound by, and have the benefit of, each and every provision of the Plan, as amended from time to time.</w:t>
      </w:r>
    </w:p>
    <w:p>
      <w:pPr>
        <w:spacing w:after="0" w:line="153"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Section 409A of the Code</w:t>
      </w:r>
      <w:r>
        <w:rPr>
          <w:rFonts w:ascii="Arial" w:cs="Arial" w:eastAsia="Arial" w:hAnsi="Arial"/>
          <w:sz w:val="16"/>
          <w:szCs w:val="16"/>
          <w:color w:val="auto"/>
        </w:rPr>
        <w:t>. The Plan is intended to comply with Section 409A and shall be administered in accordance with and interpreted in a manner consistent with Section 409A of the Code and the Treasury Regulations promulgated thereunder. Notwithstanding anything in the Plan to the contrary, the Company may amend the Plan at any time and in any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1"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manner that it, in its sole discretion, deems reasonably necessary to bring the Plan into compliance with the Section 409A of the Code.</w:t>
      </w:r>
    </w:p>
    <w:p>
      <w:pPr>
        <w:spacing w:after="0" w:line="174" w:lineRule="exact"/>
        <w:rPr>
          <w:sz w:val="20"/>
          <w:szCs w:val="20"/>
          <w:color w:val="auto"/>
        </w:rPr>
      </w:pPr>
    </w:p>
    <w:p>
      <w:pPr>
        <w:jc w:val="both"/>
        <w:ind w:right="160" w:firstLine="608"/>
        <w:spacing w:after="0" w:line="25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Company's Right to Terminate</w:t>
      </w:r>
      <w:r>
        <w:rPr>
          <w:rFonts w:ascii="Arial" w:cs="Arial" w:eastAsia="Arial" w:hAnsi="Arial"/>
          <w:sz w:val="16"/>
          <w:szCs w:val="16"/>
          <w:color w:val="auto"/>
        </w:rPr>
        <w:t>. The Company may terminate the Plan at any time if, in its reasonable business judgment, the continuance of the Plan would not be in the best interests of the Company. Upon the termination of the Plan, all Participants under the Plan shall be paid the balance in their Deferred Benefit Accounts in accordance with their Participation Agreements in effect on the date the Plan is terminated and the Plan shall continue only as a means of administering the payment of such amounts.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X</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MISCELLANEOUS</w:t>
      </w:r>
    </w:p>
    <w:p>
      <w:pPr>
        <w:spacing w:after="0" w:line="174" w:lineRule="exact"/>
        <w:rPr>
          <w:sz w:val="20"/>
          <w:szCs w:val="20"/>
          <w:color w:val="auto"/>
        </w:rPr>
      </w:pPr>
    </w:p>
    <w:p>
      <w:pPr>
        <w:ind w:right="40" w:firstLine="608"/>
        <w:spacing w:after="0" w:line="25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Unsecured General Creditor Status</w:t>
      </w:r>
      <w:r>
        <w:rPr>
          <w:rFonts w:ascii="Arial" w:cs="Arial" w:eastAsia="Arial" w:hAnsi="Arial"/>
          <w:sz w:val="16"/>
          <w:szCs w:val="16"/>
          <w:color w:val="auto"/>
        </w:rPr>
        <w:t>. Participants and their Beneficiaries shall have no legal or equitable rights, interest or claims in any property or assets of the Company, nor shall they be beneficiaries of, or have any rights, claims or interests in any life insurance policies, annuity contracts or the proceeds therefrom owned or which may be acquired by the Company. Such policies or other assets of the Company shall not he held under any trust for the benefit of Participants or their Beneficiaries or held in any way as collateral security for the satisfaction or discharge of the obligations of the Company under the Plan. Any and all of the Company's assets and such policies shall be, and remain, the general, unpledged and unrestricted assets of the Company, whether held directly or in a trust. The Company's obligation under the Plan is and shall be merely an unfunded and unsecured promise of the Company to pay money in the future.</w:t>
      </w:r>
    </w:p>
    <w:p>
      <w:pPr>
        <w:spacing w:after="0" w:line="155" w:lineRule="exact"/>
        <w:rPr>
          <w:sz w:val="20"/>
          <w:szCs w:val="20"/>
          <w:color w:val="auto"/>
        </w:rPr>
      </w:pPr>
    </w:p>
    <w:p>
      <w:pPr>
        <w:ind w:right="200" w:firstLine="608"/>
        <w:spacing w:after="0" w:line="25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Nonassignability</w:t>
      </w:r>
      <w:r>
        <w:rPr>
          <w:rFonts w:ascii="Arial" w:cs="Arial" w:eastAsia="Arial" w:hAnsi="Arial"/>
          <w:sz w:val="16"/>
          <w:szCs w:val="16"/>
          <w:color w:val="auto"/>
        </w:rPr>
        <w:t>. Except as expressly allowed herein, neither a Participant nor a Beneficiary nor any other person shall have any right to commute, sell, assign, transfer, pledge, anticipate, mortgage or otherwise encumber, transfer, hypothecate or convey (in advance of actual payment) the amounts, if any, payable under the Plan. No part of the amounts payable shall (in advance of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53" w:lineRule="exact"/>
        <w:rPr>
          <w:sz w:val="20"/>
          <w:szCs w:val="20"/>
          <w:color w:val="auto"/>
        </w:rPr>
      </w:pPr>
    </w:p>
    <w:p>
      <w:pPr>
        <w:ind w:firstLine="608"/>
        <w:spacing w:after="0" w:line="25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Not a Contract of Employment</w:t>
      </w:r>
      <w:r>
        <w:rPr>
          <w:rFonts w:ascii="Arial" w:cs="Arial" w:eastAsia="Arial" w:hAnsi="Arial"/>
          <w:sz w:val="16"/>
          <w:szCs w:val="16"/>
          <w:color w:val="auto"/>
        </w:rPr>
        <w:t>. The terms and conditions of this Plan shall not be deemed to constitute a contract of employment between the Company and the Participant, and the Participant (or Participant's Beneficiary) shall have no rights against the Company except as may otherwise be specifically provided herein. Moreover, nothing in this Plan shall be deemed to give a Participant the right (i) to be retained in the employ or other service of the Company for any specific length of time, (ii) to interfere with the right of the Company to discipline or discharge the Participant at any time, (iii) to hold any particular position or responsibility with the Company, or (iv) to receive any particular Compensation from the Company.</w:t>
      </w:r>
    </w:p>
    <w:p>
      <w:pPr>
        <w:spacing w:after="0" w:line="153" w:lineRule="exact"/>
        <w:rPr>
          <w:sz w:val="20"/>
          <w:szCs w:val="20"/>
          <w:color w:val="auto"/>
        </w:rPr>
      </w:pPr>
    </w:p>
    <w:p>
      <w:pPr>
        <w:ind w:right="100" w:firstLine="608"/>
        <w:spacing w:after="0" w:line="26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color w:val="auto"/>
        </w:rPr>
        <w:t>Protective Provisions</w:t>
      </w:r>
      <w:r>
        <w:rPr>
          <w:rFonts w:ascii="Arial" w:cs="Arial" w:eastAsia="Arial" w:hAnsi="Arial"/>
          <w:sz w:val="16"/>
          <w:szCs w:val="16"/>
          <w:color w:val="auto"/>
        </w:rPr>
        <w:t>. Each Participant shall cooperate with the Company by furnishing any and all information requested by the Company in order to facilitate the payment of benefits under the Plan, by taking such physical examinations as the Company may deem necessary, and by taking such other actions as reasonably may be requested by the Company.</w:t>
      </w:r>
    </w:p>
    <w:p>
      <w:pPr>
        <w:spacing w:after="0" w:line="145" w:lineRule="exact"/>
        <w:rPr>
          <w:sz w:val="20"/>
          <w:szCs w:val="20"/>
          <w:color w:val="auto"/>
        </w:rPr>
      </w:pPr>
    </w:p>
    <w:p>
      <w:pPr>
        <w:ind w:right="200" w:firstLine="608"/>
        <w:spacing w:after="0" w:line="25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color w:val="auto"/>
        </w:rPr>
        <w:t>Incompetent</w:t>
      </w:r>
      <w:r>
        <w:rPr>
          <w:rFonts w:ascii="Arial" w:cs="Arial" w:eastAsia="Arial" w:hAnsi="Arial"/>
          <w:sz w:val="16"/>
          <w:szCs w:val="16"/>
          <w:color w:val="auto"/>
        </w:rPr>
        <w:t>. If the Administrator reasonably determines that any Participant or Beneficiary to whom a benefit is payable under this Plan is unable to care for his or her affairs because of an illness or accident, then any payment due such Participant or Beneficiary (unless prior claim therefore shall have been made by a duly authorized guardian or other legal representative) may be paid, upon appropriate indemnification of the Company, to the person deemed by the Administrator to have current responsibility for the handling of the affairs of such Participant or Beneficiary. Any such payment shall be a payment for the account of the Participant or Beneficiary and shall be a complete discharge of any liability of the Company therefore.</w:t>
      </w:r>
    </w:p>
    <w:p>
      <w:pPr>
        <w:spacing w:after="0" w:line="153"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b w:val="1"/>
          <w:bCs w:val="1"/>
          <w:color w:val="auto"/>
        </w:rPr>
        <w:t>Governing Law</w:t>
      </w:r>
      <w:r>
        <w:rPr>
          <w:rFonts w:ascii="Arial" w:cs="Arial" w:eastAsia="Arial" w:hAnsi="Arial"/>
          <w:sz w:val="16"/>
          <w:szCs w:val="16"/>
          <w:color w:val="auto"/>
        </w:rPr>
        <w:t>. The provisions of this Plan shall be governed by and construed according to the laws of the State of Iowa.</w:t>
      </w:r>
    </w:p>
    <w:p>
      <w:pPr>
        <w:spacing w:after="0" w:line="194"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b w:val="1"/>
          <w:bCs w:val="1"/>
          <w:color w:val="auto"/>
        </w:rPr>
        <w:t>Successors</w:t>
      </w:r>
      <w:r>
        <w:rPr>
          <w:rFonts w:ascii="Arial" w:cs="Arial" w:eastAsia="Arial" w:hAnsi="Arial"/>
          <w:sz w:val="16"/>
          <w:szCs w:val="16"/>
          <w:color w:val="auto"/>
        </w:rPr>
        <w:t>. The provisions of this Plan shall bind and inure to the benefit of the Company and its successors and assigns.</w:t>
      </w:r>
    </w:p>
    <w:p>
      <w:pPr>
        <w:spacing w:after="0" w:line="194"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b w:val="1"/>
          <w:bCs w:val="1"/>
          <w:color w:val="auto"/>
        </w:rPr>
        <w:t>Effective Date</w:t>
      </w:r>
      <w:r>
        <w:rPr>
          <w:rFonts w:ascii="Arial" w:cs="Arial" w:eastAsia="Arial" w:hAnsi="Arial"/>
          <w:sz w:val="16"/>
          <w:szCs w:val="16"/>
          <w:color w:val="auto"/>
        </w:rPr>
        <w:t>. This Plan became effective as of January 1, 2007 and shall continue as herein amended and restated.</w:t>
      </w:r>
    </w:p>
    <w:p>
      <w:pPr>
        <w:spacing w:after="0" w:line="383"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WINNEBAGO INDUSTRIES, INC.</w:t>
      </w:r>
    </w:p>
    <w:p>
      <w:pPr>
        <w:sectPr>
          <w:pgSz w:w="11900" w:h="16838" w:orient="portrait"/>
          <w:cols w:equalWidth="0" w:num="1">
            <w:col w:w="11420"/>
          </w:cols>
          <w:pgMar w:left="240" w:top="601" w:right="239" w:bottom="1440" w:gutter="0" w:footer="0" w:header="0"/>
        </w:sectPr>
      </w:pPr>
    </w:p>
    <w:p>
      <w:pPr>
        <w:spacing w:after="0" w:line="37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Raymond M. Beebe</w:t>
      </w:r>
    </w:p>
    <w:p>
      <w:pPr>
        <w:spacing w:after="0" w:line="200" w:lineRule="exact"/>
        <w:rPr>
          <w:sz w:val="20"/>
          <w:szCs w:val="20"/>
          <w:color w:val="auto"/>
        </w:rPr>
      </w:pPr>
    </w:p>
    <w:p>
      <w:pPr>
        <w:sectPr>
          <w:pgSz w:w="11900" w:h="16838" w:orient="portrait"/>
          <w:cols w:equalWidth="0" w:num="2">
            <w:col w:w="4160" w:space="560"/>
            <w:col w:w="6700"/>
          </w:cols>
          <w:pgMar w:left="240" w:top="601" w:right="239" w:bottom="1440" w:gutter="0" w:footer="0" w:header="0"/>
          <w:type w:val="continuous"/>
        </w:sectPr>
      </w:pPr>
    </w:p>
    <w:p>
      <w:pPr>
        <w:spacing w:after="0" w:line="75"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General Counsel &amp; Secretary</w:t>
      </w:r>
    </w:p>
    <w:p>
      <w:pPr>
        <w:spacing w:after="0" w:line="200" w:lineRule="exact"/>
        <w:rPr>
          <w:sz w:val="20"/>
          <w:szCs w:val="20"/>
          <w:color w:val="auto"/>
        </w:rPr>
      </w:pPr>
    </w:p>
    <w:p>
      <w:pPr>
        <w:sectPr>
          <w:pgSz w:w="11900" w:h="16838" w:orient="portrait"/>
          <w:cols w:equalWidth="0" w:num="2">
            <w:col w:w="4140" w:space="580"/>
            <w:col w:w="6700"/>
          </w:cols>
          <w:pgMar w:left="240" w:top="601" w:right="239" w:bottom="1440" w:gutter="0" w:footer="0" w:header="0"/>
          <w:type w:val="continuous"/>
        </w:sectPr>
      </w:pPr>
    </w:p>
    <w:p>
      <w:pPr>
        <w:spacing w:after="0" w:line="75"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June 21, 2011</w:t>
      </w:r>
    </w:p>
    <w:p>
      <w:pPr>
        <w:spacing w:after="0" w:line="200" w:lineRule="exact"/>
        <w:rPr>
          <w:sz w:val="20"/>
          <w:szCs w:val="20"/>
          <w:color w:val="auto"/>
        </w:rPr>
      </w:pPr>
    </w:p>
    <w:p>
      <w:pPr>
        <w:sectPr>
          <w:pgSz w:w="11900" w:h="16838" w:orient="portrait"/>
          <w:cols w:equalWidth="0" w:num="2">
            <w:col w:w="4320" w:space="400"/>
            <w:col w:w="6700"/>
          </w:cols>
          <w:pgMar w:left="240" w:top="601" w:right="239" w:bottom="1440" w:gutter="0" w:footer="0" w:header="0"/>
          <w:type w:val="continuous"/>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601"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Jurisdiction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8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Corporation</w:t>
            </w:r>
          </w:p>
        </w:tc>
        <w:tc>
          <w:tcPr>
            <w:tcW w:w="3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Winnebago Industries, Inc.</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rPr>
              <w:t>Parent</w:t>
            </w: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Winnebago of Indiana, LLC</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675"/>
        </w:trPr>
        <w:tc>
          <w:tcPr>
            <w:tcW w:w="3820" w:type="dxa"/>
            <w:vAlign w:val="bottom"/>
          </w:tcPr>
          <w:p>
            <w:pPr>
              <w:spacing w:after="0"/>
              <w:rPr>
                <w:sz w:val="24"/>
                <w:szCs w:val="24"/>
                <w:color w:val="auto"/>
              </w:rPr>
            </w:pPr>
          </w:p>
        </w:tc>
        <w:tc>
          <w:tcPr>
            <w:tcW w:w="3040" w:type="dxa"/>
            <w:vAlign w:val="bottom"/>
          </w:tcPr>
          <w:p>
            <w:pPr>
              <w:jc w:val="right"/>
              <w:ind w:right="979"/>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consent to the incorporation by reference in Registration Statements on Form S-8 (Nos. 333-31595, No. 333-47123, and No. 333-113246) and on Form S-3 (No. 333-165541) of our reports dated October 25, 2011, relating to the financial statements of Winnebago Industries, Inc. (the “Company”) and the effectiveness of the Company’s internal control over financial reporting, appearing in the Annual Report on Form 10-K of Winnebago Industries, Inc. for the year ended August 27, 2011.</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DELOITTE &amp; TOUCHE LLP</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Minneapolis, Minnesota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25,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40"/>
          </w:cols>
          <w:pgMar w:left="240" w:top="576" w:right="31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169"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25, 2011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19050</wp:posOffset>
            </wp:positionV>
            <wp:extent cx="2752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60"/>
          </w:cols>
          <w:pgMar w:left="240" w:top="630" w:right="29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58" w:lineRule="exact"/>
        <w:rPr>
          <w:sz w:val="20"/>
          <w:szCs w:val="20"/>
          <w:color w:val="auto"/>
        </w:rPr>
      </w:pPr>
    </w:p>
    <w:p>
      <w:pPr>
        <w:ind w:left="40"/>
        <w:spacing w:after="0"/>
        <w:tabs>
          <w:tab w:leader="none" w:pos="820" w:val="left"/>
          <w:tab w:leader="none" w:pos="642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25, 2011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19050</wp:posOffset>
            </wp:positionV>
            <wp:extent cx="2675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Chief Financial Officer</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60"/>
          </w:cols>
          <w:pgMar w:left="240" w:top="576" w:right="29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(18 U.S.C. SECTION 1350)</w:t>
      </w:r>
    </w:p>
    <w:p>
      <w:pPr>
        <w:spacing w:after="0" w:line="27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27, 2011, I, Randy Potts, Chief Executive Officer and President of Winnebago Industries, Inc., certify that pursuant to 18 U.S.C. §1350 as adopted pursuant to §906 of the Sarbanes-Oxley Act of 2002, that:</w:t>
      </w:r>
    </w:p>
    <w:p>
      <w:pPr>
        <w:spacing w:after="0" w:line="250" w:lineRule="exact"/>
        <w:rPr>
          <w:sz w:val="20"/>
          <w:szCs w:val="20"/>
          <w:color w:val="auto"/>
        </w:rPr>
      </w:pPr>
    </w:p>
    <w:p>
      <w:pPr>
        <w:ind w:left="660" w:right="80" w:hanging="328"/>
        <w:spacing w:after="0" w:line="253"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27, 2011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25, 2011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19050</wp:posOffset>
            </wp:positionV>
            <wp:extent cx="2675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and President</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60"/>
          </w:cols>
          <w:pgMar w:left="240" w:top="630" w:right="29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3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27, 2011, I, Sarah N. Nielsen, Vice President, Chief Financial Officer of Winnebago Industries, Inc., certify that pursuant to 18 U.S.C. §1350 as adopted pursuant to §906 of the Sarbanes-Oxley Act of 2002, that:</w:t>
      </w:r>
    </w:p>
    <w:p>
      <w:pPr>
        <w:spacing w:after="0" w:line="361" w:lineRule="exact"/>
        <w:rPr>
          <w:sz w:val="20"/>
          <w:szCs w:val="20"/>
          <w:color w:val="auto"/>
        </w:rPr>
      </w:pPr>
    </w:p>
    <w:p>
      <w:pPr>
        <w:ind w:left="660" w:right="80" w:hanging="328"/>
        <w:spacing w:after="0" w:line="253"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27, 2011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25, 2011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19050</wp:posOffset>
            </wp:positionV>
            <wp:extent cx="2752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3"/>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06"/>
    </w:lvl>
  </w:abstractNum>
  <w:abstractNum w:abstractNumId="10">
    <w:nsid w:val="3006C83E"/>
    <w:multiLevelType w:val="hybridMultilevel"/>
    <w:lvl w:ilvl="0">
      <w:lvlJc w:val="left"/>
      <w:lvlText w:val="%1"/>
      <w:numFmt w:val="decimal"/>
      <w:start w:val="293"/>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lvl w:ilvl="1">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21"/>
    </w:lvl>
  </w:abstractNum>
  <w:abstractNum w:abstractNumId="30">
    <w:nsid w:val="1D4ED43B"/>
    <w:multiLevelType w:val="hybridMultilevel"/>
    <w:lvl w:ilvl="0">
      <w:lvlJc w:val="left"/>
      <w:lvlText w:val="%1."/>
      <w:numFmt w:val="decimal"/>
      <w:start w:val="23"/>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4"/>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5"/>
    </w:lvl>
  </w:abstractNum>
  <w:abstractNum w:abstractNumId="37">
    <w:nsid w:val="6DE91B18"/>
    <w:multiLevelType w:val="hybridMultilevel"/>
    <w:lvl w:ilvl="0">
      <w:lvlJc w:val="left"/>
      <w:lvlText w:val="%1."/>
      <w:numFmt w:val="decimal"/>
      <w:start w:val="3"/>
    </w:lvl>
  </w:abstractNum>
  <w:abstractNum w:abstractNumId="38">
    <w:nsid w:val="38437FD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9">
    <w:nsid w:val="7644A45C"/>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40">
    <w:nsid w:val="32FFF902"/>
    <w:multiLevelType w:val="hybridMultilevel"/>
    <w:lvl w:ilvl="0">
      <w:lvlJc w:val="left"/>
      <w:lvlText w:val="%1"/>
      <w:numFmt w:val="lowerLetter"/>
      <w:start w:val="1"/>
    </w:lvl>
    <w:lvl w:ilvl="1">
      <w:lvlJc w:val="left"/>
      <w:lvlText w:val="(%2)"/>
      <w:numFmt w:val="lowerRoman"/>
      <w:start w:val="5"/>
    </w:lvl>
  </w:abstractNum>
  <w:abstractNum w:abstractNumId="41">
    <w:nsid w:val="684A481A"/>
    <w:multiLevelType w:val="hybridMultilevel"/>
    <w:lvl w:ilvl="0">
      <w:lvlJc w:val="left"/>
      <w:lvlText w:val="(%1)"/>
      <w:numFmt w:val="lowerLetter"/>
      <w:start w:val="5"/>
    </w:lvl>
    <w:lvl w:ilvl="1">
      <w:lvlJc w:val="left"/>
      <w:lvlText w:val="%2"/>
      <w:numFmt w:val="lowerRoman"/>
      <w:start w:val="1"/>
    </w:lvl>
  </w:abstractNum>
  <w:abstractNum w:abstractNumId="42">
    <w:nsid w:val="579478FE"/>
    <w:multiLevelType w:val="hybridMultilevel"/>
    <w:lvl w:ilvl="0">
      <w:lvlJc w:val="left"/>
      <w:lvlText w:val="%1."/>
      <w:numFmt w:val="decimal"/>
      <w:start w:val="4"/>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3"/>
    </w:lvl>
    <w:lvl w:ilvl="1">
      <w:lvlJc w:val="left"/>
      <w:lvlText w:val="(%2)"/>
      <w:numFmt w:val="lowerRoman"/>
      <w:start w:val="1"/>
    </w:lvl>
  </w:abstractNum>
  <w:abstractNum w:abstractNumId="45">
    <w:nsid w:val="1BA026FA"/>
    <w:multiLevelType w:val="hybridMultilevel"/>
    <w:lvl w:ilvl="0">
      <w:lvlJc w:val="left"/>
      <w:lvlText w:val="(%1)"/>
      <w:numFmt w:val="lowerLetter"/>
      <w:start w:val="4"/>
    </w:lvl>
  </w:abstractNum>
  <w:abstractNum w:abstractNumId="46">
    <w:nsid w:val="79A1DEAA"/>
    <w:multiLevelType w:val="hybridMultilevel"/>
    <w:lvl w:ilvl="0">
      <w:lvlJc w:val="left"/>
      <w:lvlText w:val="%1."/>
      <w:numFmt w:val="decimal"/>
      <w:start w:val="6"/>
    </w:lvl>
    <w:lvl w:ilvl="1">
      <w:lvlJc w:val="left"/>
      <w:lvlText w:val="(%2)"/>
      <w:numFmt w:val="lowerLetter"/>
      <w:start w:val="1"/>
    </w:lvl>
  </w:abstractNum>
  <w:abstractNum w:abstractNumId="47">
    <w:nsid w:val="75C6C33A"/>
    <w:multiLevelType w:val="hybridMultilevel"/>
    <w:lvl w:ilvl="0">
      <w:lvlJc w:val="left"/>
      <w:lvlText w:val="%1."/>
      <w:numFmt w:val="decimal"/>
      <w:start w:val="7"/>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8"/>
    </w:lvl>
  </w:abstractNum>
  <w:abstractNum w:abstractNumId="50">
    <w:nsid w:val="520EEDD1"/>
    <w:multiLevelType w:val="hybridMultilevel"/>
    <w:lvl w:ilvl="0">
      <w:lvlJc w:val="left"/>
      <w:lvlText w:val="%1."/>
      <w:numFmt w:val="decimal"/>
      <w:start w:val="10"/>
    </w:lvl>
  </w:abstractNum>
  <w:abstractNum w:abstractNumId="51">
    <w:nsid w:val="374A3FE6"/>
    <w:multiLevelType w:val="hybridMultilevel"/>
    <w:lvl w:ilvl="0">
      <w:lvlJc w:val="left"/>
      <w:lvlText w:val="%1."/>
      <w:numFmt w:val="decimal"/>
      <w:start w:val="12"/>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2019-12-10T04:49:22Z</dcterms:created>
  <dcterms:modified xsi:type="dcterms:W3CDTF">2019-12-10T04:49:22Z</dcterms:modified>
</cp:coreProperties>
</file>