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255270</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88"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45085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06" w:lineRule="exact"/>
        <w:rPr>
          <w:sz w:val="24"/>
          <w:szCs w:val="24"/>
          <w:color w:val="auto"/>
        </w:rPr>
      </w:pPr>
    </w:p>
    <w:p>
      <w:pPr>
        <w:ind w:left="500" w:hanging="465"/>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10" w:lineRule="exact"/>
        <w:rPr>
          <w:sz w:val="24"/>
          <w:szCs w:val="24"/>
          <w:color w:val="auto"/>
        </w:rPr>
      </w:pPr>
    </w:p>
    <w:p>
      <w:pPr>
        <w:ind w:left="3960"/>
        <w:spacing w:after="0"/>
        <w:rPr>
          <w:sz w:val="20"/>
          <w:szCs w:val="20"/>
          <w:color w:val="auto"/>
        </w:rPr>
      </w:pPr>
      <w:r>
        <w:rPr>
          <w:rFonts w:ascii="Arial" w:cs="Arial" w:eastAsia="Arial" w:hAnsi="Arial"/>
          <w:sz w:val="16"/>
          <w:szCs w:val="16"/>
          <w:color w:val="auto"/>
        </w:rPr>
        <w:t>For the quarterly period ended February 26, 2011</w:t>
      </w:r>
    </w:p>
    <w:p>
      <w:pPr>
        <w:spacing w:after="0" w:line="86" w:lineRule="exact"/>
        <w:rPr>
          <w:sz w:val="24"/>
          <w:szCs w:val="24"/>
          <w:color w:val="auto"/>
        </w:rPr>
      </w:pPr>
    </w:p>
    <w:p>
      <w:pPr>
        <w:ind w:left="5420"/>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3020" w:right="2600" w:hanging="2985"/>
        <w:spacing w:after="0" w:line="509" w:lineRule="auto"/>
        <w:tabs>
          <w:tab w:leader="none" w:pos="501"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33020</wp:posOffset>
            </wp:positionV>
            <wp:extent cx="1920875" cy="8318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875"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194" w:lineRule="exact"/>
        <w:rPr>
          <w:sz w:val="24"/>
          <w:szCs w:val="24"/>
          <w:color w:val="auto"/>
        </w:rPr>
      </w:pPr>
    </w:p>
    <w:p>
      <w:pPr>
        <w:jc w:val="both"/>
        <w:ind w:right="120"/>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74"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74" w:lineRule="exact"/>
        <w:rPr>
          <w:sz w:val="24"/>
          <w:szCs w:val="24"/>
          <w:color w:val="auto"/>
        </w:rPr>
      </w:pPr>
    </w:p>
    <w:p>
      <w:pPr>
        <w:ind w:right="18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4"/>
          <w:szCs w:val="24"/>
          <w:color w:val="auto"/>
        </w:rPr>
      </w:pPr>
    </w:p>
    <w:p>
      <w:pPr>
        <w:ind w:left="40"/>
        <w:spacing w:after="0"/>
        <w:tabs>
          <w:tab w:leader="none" w:pos="2240" w:val="left"/>
          <w:tab w:leader="none" w:pos="4540" w:val="left"/>
          <w:tab w:leader="none" w:pos="6780" w:val="left"/>
        </w:tabs>
        <w:rPr>
          <w:sz w:val="20"/>
          <w:szCs w:val="20"/>
          <w:color w:val="auto"/>
        </w:rPr>
      </w:pPr>
      <w:r>
        <w:rPr>
          <w:rFonts w:ascii="Arial" w:cs="Arial" w:eastAsia="Arial" w:hAnsi="Arial"/>
          <w:sz w:val="16"/>
          <w:szCs w:val="16"/>
          <w:color w:val="auto"/>
        </w:rPr>
        <w:t xml:space="preserve">Large 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6"/>
          <w:szCs w:val="16"/>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6"/>
          <w:szCs w:val="16"/>
          <w:color w:val="auto"/>
        </w:rPr>
        <w:t xml:space="preserve">Smaller Reporting Company </w:t>
      </w:r>
      <w:r>
        <w:rPr>
          <w:rFonts w:ascii="Times New Roman" w:cs="Times New Roman" w:eastAsia="Times New Roman" w:hAnsi="Times New Roman"/>
          <w:sz w:val="18"/>
          <w:szCs w:val="18"/>
          <w:color w:val="auto"/>
        </w:rPr>
        <w:t>o</w:t>
      </w:r>
    </w:p>
    <w:p>
      <w:pPr>
        <w:spacing w:after="0" w:line="306" w:lineRule="exact"/>
        <w:rPr>
          <w:sz w:val="24"/>
          <w:szCs w:val="24"/>
          <w:color w:val="auto"/>
        </w:rPr>
      </w:pPr>
    </w:p>
    <w:p>
      <w:pPr>
        <w:ind w:right="2480"/>
        <w:spacing w:after="0" w:line="502"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common stock, par value $0.50 per share, outstanding March 31, 2011 was 29,122,226.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right="-160"/>
        <w:spacing w:after="0"/>
        <w:rPr>
          <w:sz w:val="20"/>
          <w:szCs w:val="20"/>
          <w:color w:val="auto"/>
        </w:rPr>
      </w:pPr>
      <w:r>
        <w:rPr>
          <w:rFonts w:ascii="Arial" w:cs="Arial" w:eastAsia="Arial" w:hAnsi="Arial"/>
          <w:sz w:val="18"/>
          <w:szCs w:val="18"/>
          <w:b w:val="1"/>
          <w:bCs w:val="1"/>
          <w:color w:val="auto"/>
        </w:rPr>
        <w:t>WINNEBAGO INDUSTRIES, INC.</w:t>
      </w:r>
    </w:p>
    <w:p>
      <w:pPr>
        <w:spacing w:after="0" w:line="26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INDEX TO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Page</w:t>
            </w:r>
          </w:p>
        </w:tc>
      </w:tr>
      <w:tr>
        <w:trPr>
          <w:trHeight w:val="372"/>
        </w:trPr>
        <w:tc>
          <w:tcPr>
            <w:tcW w:w="460" w:type="dxa"/>
            <w:vAlign w:val="bottom"/>
            <w:tcBorders>
              <w:bottom w:val="single" w:sz="8" w:color="0000FF"/>
            </w:tcBorders>
          </w:tcPr>
          <w:p>
            <w:pPr>
              <w:spacing w:after="0"/>
              <w:rPr>
                <w:rFonts w:ascii="Arial" w:cs="Arial" w:eastAsia="Arial" w:hAnsi="Arial"/>
                <w:sz w:val="18"/>
                <w:szCs w:val="18"/>
                <w:b w:val="1"/>
                <w:bCs w:val="1"/>
                <w:color w:val="0000FF"/>
                <w:w w:val="97"/>
              </w:rPr>
            </w:pPr>
            <w:hyperlink w:anchor="page2">
              <w:r>
                <w:rPr>
                  <w:rFonts w:ascii="Arial" w:cs="Arial" w:eastAsia="Arial" w:hAnsi="Arial"/>
                  <w:sz w:val="18"/>
                  <w:szCs w:val="18"/>
                  <w:b w:val="1"/>
                  <w:bCs w:val="1"/>
                  <w:color w:val="0000FF"/>
                  <w:w w:val="97"/>
                </w:rPr>
                <w:t>Part I</w:t>
              </w:r>
            </w:hyperlink>
          </w:p>
        </w:tc>
        <w:tc>
          <w:tcPr>
            <w:tcW w:w="480" w:type="dxa"/>
            <w:vAlign w:val="bottom"/>
            <w:gridSpan w:val="3"/>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gridSpan w:val="2"/>
          </w:tcPr>
          <w:p>
            <w:pPr>
              <w:spacing w:after="0"/>
              <w:rPr>
                <w:sz w:val="24"/>
                <w:szCs w:val="24"/>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2">
              <w:r>
                <w:rPr>
                  <w:rFonts w:ascii="Arial" w:cs="Arial" w:eastAsia="Arial" w:hAnsi="Arial"/>
                  <w:sz w:val="18"/>
                  <w:szCs w:val="18"/>
                  <w:color w:val="0000FF"/>
                  <w:w w:val="99"/>
                </w:rPr>
                <w:t>1</w:t>
              </w:r>
            </w:hyperlink>
          </w:p>
        </w:tc>
        <w:tc>
          <w:tcPr>
            <w:tcW w:w="100" w:type="dxa"/>
            <w:vAlign w:val="bottom"/>
          </w:tcPr>
          <w:p>
            <w:pPr>
              <w:spacing w:after="0"/>
              <w:rPr>
                <w:sz w:val="24"/>
                <w:szCs w:val="24"/>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Condensed 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6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Statements of Operations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Balance Sheets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2</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Consolidated Statements of Cash Flows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3</w:t>
              </w:r>
            </w:hyperlink>
          </w:p>
        </w:tc>
        <w:tc>
          <w:tcPr>
            <w:tcW w:w="100" w:type="dxa"/>
            <w:vAlign w:val="bottom"/>
          </w:tcPr>
          <w:p>
            <w:pPr>
              <w:spacing w:after="0"/>
              <w:rPr>
                <w:sz w:val="21"/>
                <w:szCs w:val="21"/>
                <w:color w:val="auto"/>
              </w:rPr>
            </w:pPr>
          </w:p>
        </w:tc>
      </w:tr>
      <w:tr>
        <w:trPr>
          <w:trHeight w:val="250"/>
        </w:trPr>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40" w:type="dxa"/>
            <w:vAlign w:val="bottom"/>
          </w:tcPr>
          <w:p>
            <w:pPr>
              <w:ind w:left="340"/>
              <w:spacing w:after="0"/>
              <w:rPr>
                <w:sz w:val="20"/>
                <w:szCs w:val="20"/>
                <w:color w:val="auto"/>
              </w:rPr>
            </w:pPr>
            <w:r>
              <w:rPr>
                <w:rFonts w:ascii="Arial" w:cs="Arial" w:eastAsia="Arial" w:hAnsi="Arial"/>
                <w:sz w:val="18"/>
                <w:szCs w:val="18"/>
                <w:color w:val="auto"/>
              </w:rPr>
              <w:t>Unaudited Notes to Consolidated Financial Statements</w:t>
            </w:r>
          </w:p>
        </w:tc>
        <w:tc>
          <w:tcPr>
            <w:tcW w:w="400" w:type="dxa"/>
            <w:vAlign w:val="bottom"/>
            <w:gridSpan w:val="2"/>
          </w:tcPr>
          <w:p>
            <w:pPr>
              <w:spacing w:after="0"/>
              <w:rPr>
                <w:sz w:val="21"/>
                <w:szCs w:val="21"/>
                <w:color w:val="auto"/>
              </w:rPr>
            </w:pPr>
          </w:p>
        </w:tc>
        <w:tc>
          <w:tcPr>
            <w:tcW w:w="16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4</w:t>
              </w:r>
            </w:hyperlink>
          </w:p>
        </w:tc>
        <w:tc>
          <w:tcPr>
            <w:tcW w:w="100" w:type="dxa"/>
            <w:vAlign w:val="bottom"/>
          </w:tcPr>
          <w:p>
            <w:pPr>
              <w:spacing w:after="0"/>
              <w:rPr>
                <w:sz w:val="21"/>
                <w:szCs w:val="21"/>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12">
              <w:r>
                <w:rPr>
                  <w:rFonts w:ascii="Arial" w:cs="Arial" w:eastAsia="Arial" w:hAnsi="Arial"/>
                  <w:sz w:val="18"/>
                  <w:szCs w:val="18"/>
                  <w:color w:val="0000FF"/>
                  <w:w w:val="99"/>
                </w:rPr>
                <w:t>10</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3</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Quantitative and Qualitative Disclosures of Market Risk</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Item 4</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Controls and Procedures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2">
              <w:r>
                <w:rPr>
                  <w:rFonts w:ascii="Arial" w:cs="Arial" w:eastAsia="Arial" w:hAnsi="Arial"/>
                  <w:sz w:val="18"/>
                  <w:szCs w:val="18"/>
                  <w:color w:val="0000FF"/>
                  <w:w w:val="99"/>
                </w:rPr>
                <w:t>20</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Part II</w:t>
              </w:r>
            </w:hyperlink>
          </w:p>
        </w:tc>
        <w:tc>
          <w:tcPr>
            <w:tcW w:w="744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1</w:t>
              </w:r>
            </w:hyperlink>
            <w:r>
              <w:rPr>
                <w:rFonts w:ascii="Arial" w:cs="Arial" w:eastAsia="Arial" w:hAnsi="Arial"/>
                <w:sz w:val="18"/>
                <w:szCs w:val="18"/>
                <w:color w:val="0000FF"/>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Legal Proceedings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80" w:type="dxa"/>
            <w:vAlign w:val="bottom"/>
            <w:gridSpan w:val="3"/>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1A.</w:t>
              </w:r>
            </w:hyperlink>
          </w:p>
        </w:tc>
        <w:tc>
          <w:tcPr>
            <w:tcW w:w="26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Risk Factors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r>
      <w:tr>
        <w:trPr>
          <w:trHeight w:val="20"/>
        </w:trPr>
        <w:tc>
          <w:tcPr>
            <w:tcW w:w="6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680" w:type="dxa"/>
            <w:vAlign w:val="bottom"/>
            <w:gridSpan w:val="3"/>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2</w:t>
              </w:r>
            </w:hyperlink>
            <w:r>
              <w:rPr>
                <w:rFonts w:ascii="Arial" w:cs="Arial" w:eastAsia="Arial" w:hAnsi="Arial"/>
                <w:sz w:val="18"/>
                <w:szCs w:val="18"/>
                <w:color w:val="0000FF"/>
              </w:rPr>
              <w:t>.</w:t>
            </w:r>
          </w:p>
        </w:tc>
        <w:tc>
          <w:tcPr>
            <w:tcW w:w="26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Unregistered Sales of Equity Securities and Use of Funds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40" w:type="dxa"/>
            <w:vAlign w:val="bottom"/>
            <w:gridSpan w:val="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Item 6</w:t>
              </w:r>
            </w:hyperlink>
            <w:r>
              <w:rPr>
                <w:rFonts w:ascii="Arial" w:cs="Arial" w:eastAsia="Arial" w:hAnsi="Arial"/>
                <w:sz w:val="18"/>
                <w:szCs w:val="18"/>
                <w:color w:val="000000"/>
              </w:rPr>
              <w:t>.</w:t>
            </w:r>
          </w:p>
        </w:tc>
        <w:tc>
          <w:tcPr>
            <w:tcW w:w="7440" w:type="dxa"/>
            <w:vAlign w:val="bottom"/>
          </w:tcPr>
          <w:p>
            <w:pPr>
              <w:ind w:left="100"/>
              <w:spacing w:after="0"/>
              <w:rPr>
                <w:sz w:val="20"/>
                <w:szCs w:val="20"/>
                <w:color w:val="auto"/>
              </w:rPr>
            </w:pPr>
            <w:r>
              <w:rPr>
                <w:rFonts w:ascii="Arial" w:cs="Arial" w:eastAsia="Arial" w:hAnsi="Arial"/>
                <w:sz w:val="18"/>
                <w:szCs w:val="18"/>
                <w:color w:val="auto"/>
              </w:rPr>
              <w:t>Exhibits</w:t>
            </w: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21</w:t>
              </w:r>
            </w:hyperlink>
          </w:p>
        </w:tc>
      </w:tr>
      <w:tr>
        <w:trPr>
          <w:trHeight w:val="20"/>
        </w:trPr>
        <w:tc>
          <w:tcPr>
            <w:tcW w:w="5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400" w:type="dxa"/>
            <w:vAlign w:val="bottom"/>
            <w:tcBorders>
              <w:righ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940" w:type="dxa"/>
            <w:vAlign w:val="bottom"/>
            <w:gridSpan w:val="4"/>
          </w:tcPr>
          <w:p>
            <w:pPr>
              <w:spacing w:after="0"/>
              <w:rPr>
                <w:rFonts w:ascii="Arial" w:cs="Arial" w:eastAsia="Arial" w:hAnsi="Arial"/>
                <w:sz w:val="18"/>
                <w:szCs w:val="18"/>
                <w:b w:val="1"/>
                <w:bCs w:val="1"/>
                <w:color w:val="0000FF"/>
                <w:w w:val="98"/>
              </w:rPr>
            </w:pPr>
            <w:hyperlink w:anchor="page23">
              <w:r>
                <w:rPr>
                  <w:rFonts w:ascii="Arial" w:cs="Arial" w:eastAsia="Arial" w:hAnsi="Arial"/>
                  <w:sz w:val="18"/>
                  <w:szCs w:val="18"/>
                  <w:b w:val="1"/>
                  <w:bCs w:val="1"/>
                  <w:color w:val="0000FF"/>
                  <w:w w:val="98"/>
                </w:rPr>
                <w:t>Signatures</w:t>
              </w:r>
            </w:hyperlink>
          </w:p>
        </w:tc>
        <w:tc>
          <w:tcPr>
            <w:tcW w:w="7440" w:type="dxa"/>
            <w:vAlign w:val="bottom"/>
          </w:tcPr>
          <w:p>
            <w:pPr>
              <w:spacing w:after="0"/>
              <w:rPr>
                <w:sz w:val="24"/>
                <w:szCs w:val="24"/>
                <w:color w:val="auto"/>
              </w:rPr>
            </w:pPr>
          </w:p>
        </w:tc>
        <w:tc>
          <w:tcPr>
            <w:tcW w:w="660" w:type="dxa"/>
            <w:vAlign w:val="bottom"/>
            <w:gridSpan w:val="4"/>
          </w:tcPr>
          <w:p>
            <w:pPr>
              <w:jc w:val="center"/>
              <w:ind w:left="170"/>
              <w:spacing w:after="0"/>
              <w:rPr>
                <w:rFonts w:ascii="Arial" w:cs="Arial" w:eastAsia="Arial" w:hAnsi="Arial"/>
                <w:sz w:val="18"/>
                <w:szCs w:val="18"/>
                <w:color w:val="0000FF"/>
                <w:w w:val="99"/>
              </w:rPr>
            </w:pPr>
            <w:hyperlink w:anchor="page23">
              <w:r>
                <w:rPr>
                  <w:rFonts w:ascii="Arial" w:cs="Arial" w:eastAsia="Arial" w:hAnsi="Arial"/>
                  <w:sz w:val="18"/>
                  <w:szCs w:val="18"/>
                  <w:color w:val="0000FF"/>
                  <w:w w:val="99"/>
                </w:rPr>
                <w:t>22</w:t>
              </w:r>
            </w:hyperlink>
          </w:p>
        </w:tc>
      </w:tr>
      <w:tr>
        <w:trPr>
          <w:trHeight w:val="20"/>
        </w:trPr>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9179"/>
          </w:cols>
          <w:pgMar w:left="1280" w:top="114" w:right="1440"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232"/>
        </w:trPr>
        <w:tc>
          <w:tcPr>
            <w:tcW w:w="5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Quarter Ended</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27,</w:t>
            </w:r>
          </w:p>
        </w:tc>
        <w:tc>
          <w:tcPr>
            <w:tcW w:w="16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w:t>
            </w:r>
          </w:p>
        </w:tc>
      </w:tr>
      <w:tr>
        <w:trPr>
          <w:trHeight w:val="232"/>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r>
      <w:tr>
        <w:trPr>
          <w:trHeight w:val="25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106,593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110,529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230,304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191,546</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95,269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105,745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207,781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186,238</w:t>
            </w:r>
          </w:p>
        </w:tc>
      </w:tr>
      <w:tr>
        <w:trPr>
          <w:trHeight w:val="25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11,324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22,523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5,308</w:t>
            </w:r>
          </w:p>
        </w:tc>
      </w:tr>
      <w:tr>
        <w:trPr>
          <w:trHeight w:val="270"/>
        </w:trPr>
        <w:tc>
          <w:tcPr>
            <w:tcW w:w="5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2"/>
        </w:trPr>
        <w:tc>
          <w:tcPr>
            <w:tcW w:w="5280" w:type="dxa"/>
            <w:vAlign w:val="bottom"/>
          </w:tcPr>
          <w:p>
            <w:pPr>
              <w:ind w:left="260"/>
              <w:spacing w:after="0"/>
              <w:rPr>
                <w:sz w:val="20"/>
                <w:szCs w:val="20"/>
                <w:color w:val="auto"/>
              </w:rPr>
            </w:pPr>
            <w:r>
              <w:rPr>
                <w:rFonts w:ascii="Arial" w:cs="Arial" w:eastAsia="Arial" w:hAnsi="Arial"/>
                <w:sz w:val="16"/>
                <w:szCs w:val="16"/>
                <w:color w:val="auto"/>
              </w:rPr>
              <w:t>Selling</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3,102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6,521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6,331</w:t>
            </w:r>
          </w:p>
        </w:tc>
      </w:tr>
      <w:tr>
        <w:trPr>
          <w:trHeight w:val="278"/>
        </w:trPr>
        <w:tc>
          <w:tcPr>
            <w:tcW w:w="52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3,540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7,671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6,812</w:t>
            </w:r>
          </w:p>
        </w:tc>
      </w:tr>
      <w:tr>
        <w:trPr>
          <w:trHeight w:val="264"/>
        </w:trPr>
        <w:tc>
          <w:tcPr>
            <w:tcW w:w="5280" w:type="dxa"/>
            <w:vAlign w:val="bottom"/>
          </w:tcPr>
          <w:p>
            <w:pPr>
              <w:ind w:left="260"/>
              <w:spacing w:after="0"/>
              <w:rPr>
                <w:sz w:val="20"/>
                <w:szCs w:val="20"/>
                <w:color w:val="auto"/>
              </w:rPr>
            </w:pPr>
            <w:r>
              <w:rPr>
                <w:rFonts w:ascii="Arial" w:cs="Arial" w:eastAsia="Arial" w:hAnsi="Arial"/>
                <w:sz w:val="16"/>
                <w:szCs w:val="16"/>
                <w:color w:val="auto"/>
              </w:rPr>
              <w:t>Gain on sale of asset held for sale</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50"/>
        </w:trPr>
        <w:tc>
          <w:tcPr>
            <w:tcW w:w="528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7,274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6,642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13,548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13,143</w:t>
            </w:r>
          </w:p>
        </w:tc>
      </w:tr>
      <w:tr>
        <w:trPr>
          <w:trHeight w:val="270"/>
        </w:trPr>
        <w:tc>
          <w:tcPr>
            <w:tcW w:w="5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70"/>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8,975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(7,835)</w:t>
            </w:r>
          </w:p>
        </w:tc>
      </w:tr>
      <w:tr>
        <w:trPr>
          <w:trHeight w:val="264"/>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non-operating income</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474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131</w:t>
            </w:r>
          </w:p>
        </w:tc>
      </w:tr>
      <w:tr>
        <w:trPr>
          <w:trHeight w:val="257"/>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(7,704)</w:t>
            </w:r>
          </w:p>
        </w:tc>
      </w:tr>
      <w:tr>
        <w:trPr>
          <w:trHeight w:val="270"/>
        </w:trPr>
        <w:tc>
          <w:tcPr>
            <w:tcW w:w="5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64"/>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Provison (benefit) for taxes</w:t>
            </w: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2,348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(7,066)</w:t>
            </w:r>
          </w:p>
        </w:tc>
      </w:tr>
      <w:tr>
        <w:trPr>
          <w:trHeight w:val="28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3,315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7,101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(638)</w:t>
            </w:r>
          </w:p>
        </w:tc>
      </w:tr>
      <w:tr>
        <w:trPr>
          <w:trHeight w:val="252"/>
        </w:trPr>
        <w:tc>
          <w:tcPr>
            <w:tcW w:w="5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2"/>
        </w:trPr>
        <w:tc>
          <w:tcPr>
            <w:tcW w:w="5280" w:type="dxa"/>
            <w:vAlign w:val="bottom"/>
          </w:tcPr>
          <w:p>
            <w:pPr>
              <w:ind w:left="20"/>
              <w:spacing w:after="0"/>
              <w:rPr>
                <w:sz w:val="20"/>
                <w:szCs w:val="20"/>
                <w:color w:val="auto"/>
              </w:rPr>
            </w:pPr>
            <w:r>
              <w:rPr>
                <w:rFonts w:ascii="Arial" w:cs="Arial" w:eastAsia="Arial" w:hAnsi="Arial"/>
                <w:sz w:val="16"/>
                <w:szCs w:val="16"/>
                <w:color w:val="auto"/>
              </w:rPr>
              <w:t>Income (loss) per common share:</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63"/>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(0.02)</w:t>
            </w:r>
          </w:p>
        </w:tc>
      </w:tr>
      <w:tr>
        <w:trPr>
          <w:trHeight w:val="20"/>
        </w:trPr>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64"/>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(0.02)</w:t>
            </w:r>
          </w:p>
        </w:tc>
      </w:tr>
      <w:tr>
        <w:trPr>
          <w:trHeight w:val="252"/>
        </w:trPr>
        <w:tc>
          <w:tcPr>
            <w:tcW w:w="5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2"/>
        </w:trPr>
        <w:tc>
          <w:tcPr>
            <w:tcW w:w="52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29,118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29,080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29,115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29,077</w:t>
            </w:r>
          </w:p>
        </w:tc>
      </w:tr>
      <w:tr>
        <w:trPr>
          <w:trHeight w:val="262"/>
        </w:trPr>
        <w:tc>
          <w:tcPr>
            <w:tcW w:w="52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29,120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29,091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29,118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29,088</w:t>
            </w:r>
          </w:p>
        </w:tc>
      </w:tr>
      <w:tr>
        <w:trPr>
          <w:trHeight w:val="278"/>
        </w:trPr>
        <w:tc>
          <w:tcPr>
            <w:tcW w:w="5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60"/>
          </w:cols>
          <w:pgMar w:left="240" w:top="121" w:right="29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26,</w:t>
            </w:r>
          </w:p>
        </w:tc>
        <w:tc>
          <w:tcPr>
            <w:tcW w:w="26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28,</w:t>
            </w:r>
          </w:p>
        </w:tc>
      </w:tr>
      <w:tr>
        <w:trPr>
          <w:trHeight w:val="232"/>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67"/>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2"/>
        </w:trPr>
        <w:tc>
          <w:tcPr>
            <w:tcW w:w="78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62,787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74,691</w:t>
            </w: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($75 and $91, respectively)</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20,870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18,798</w:t>
            </w: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71,655</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43,526</w:t>
            </w: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4,828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4,570</w:t>
            </w:r>
          </w:p>
        </w:tc>
      </w:tr>
      <w:tr>
        <w:trPr>
          <w:trHeight w:val="271"/>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r>
      <w:tr>
        <w:trPr>
          <w:trHeight w:val="249"/>
        </w:trPr>
        <w:tc>
          <w:tcPr>
            <w:tcW w:w="78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20" w:type="dxa"/>
            <w:vAlign w:val="bottom"/>
          </w:tcPr>
          <w:p>
            <w:pPr>
              <w:spacing w:after="0"/>
              <w:rPr>
                <w:sz w:val="21"/>
                <w:szCs w:val="21"/>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160,272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141,717</w:t>
            </w: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24,427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25,677</w:t>
            </w:r>
          </w:p>
        </w:tc>
      </w:tr>
      <w:tr>
        <w:trPr>
          <w:trHeight w:val="262"/>
        </w:trPr>
        <w:tc>
          <w:tcPr>
            <w:tcW w:w="7880" w:type="dxa"/>
            <w:vAlign w:val="bottom"/>
          </w:tcPr>
          <w:p>
            <w:pPr>
              <w:ind w:left="40"/>
              <w:spacing w:after="0"/>
              <w:rPr>
                <w:sz w:val="20"/>
                <w:szCs w:val="20"/>
                <w:color w:val="auto"/>
              </w:rPr>
            </w:pPr>
            <w:r>
              <w:rPr>
                <w:rFonts w:ascii="Arial" w:cs="Arial" w:eastAsia="Arial" w:hAnsi="Arial"/>
                <w:sz w:val="16"/>
                <w:szCs w:val="16"/>
                <w:color w:val="auto"/>
              </w:rPr>
              <w:t>Assets held for sale</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1,201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4,254</w:t>
            </w: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10,891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17,785</w:t>
            </w:r>
          </w:p>
        </w:tc>
      </w:tr>
      <w:tr>
        <w:trPr>
          <w:trHeight w:val="262"/>
        </w:trPr>
        <w:tc>
          <w:tcPr>
            <w:tcW w:w="7880" w:type="dxa"/>
            <w:vAlign w:val="bottom"/>
          </w:tcPr>
          <w:p>
            <w:pPr>
              <w:ind w:left="40"/>
              <w:spacing w:after="0"/>
              <w:rPr>
                <w:sz w:val="20"/>
                <w:szCs w:val="20"/>
                <w:color w:val="auto"/>
              </w:rPr>
            </w:pPr>
            <w:r>
              <w:rPr>
                <w:rFonts w:ascii="Arial" w:cs="Arial" w:eastAsia="Arial" w:hAnsi="Arial"/>
                <w:sz w:val="16"/>
                <w:szCs w:val="16"/>
                <w:color w:val="auto"/>
              </w:rPr>
              <w:t>Investment in life insurance</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23,254</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23,250</w:t>
            </w: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1,228</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880" w:type="dxa"/>
            <w:vAlign w:val="bottom"/>
          </w:tcPr>
          <w:p>
            <w:pPr>
              <w:ind w:left="40"/>
              <w:spacing w:after="0"/>
              <w:rPr>
                <w:sz w:val="20"/>
                <w:szCs w:val="20"/>
                <w:color w:val="auto"/>
              </w:rPr>
            </w:pPr>
            <w:r>
              <w:rPr>
                <w:rFonts w:ascii="Arial" w:cs="Arial" w:eastAsia="Arial" w:hAnsi="Arial"/>
                <w:sz w:val="16"/>
                <w:szCs w:val="16"/>
                <w:color w:val="auto"/>
              </w:rPr>
              <w:t>Amortizable intangible assets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759</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16,878</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14,674</w:t>
            </w:r>
          </w:p>
        </w:tc>
      </w:tr>
      <w:tr>
        <w:trPr>
          <w:trHeight w:val="282"/>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238,910</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227,357</w:t>
            </w:r>
          </w:p>
        </w:tc>
      </w:tr>
      <w:tr>
        <w:trPr>
          <w:trHeight w:val="252"/>
        </w:trPr>
        <w:tc>
          <w:tcPr>
            <w:tcW w:w="7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66"/>
        </w:trPr>
        <w:tc>
          <w:tcPr>
            <w:tcW w:w="788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4"/>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20,932</w:t>
            </w:r>
          </w:p>
        </w:tc>
        <w:tc>
          <w:tcPr>
            <w:tcW w:w="220" w:type="dxa"/>
            <w:vAlign w:val="bottom"/>
          </w:tcPr>
          <w:p>
            <w:pPr>
              <w:spacing w:after="0"/>
              <w:rPr>
                <w:sz w:val="22"/>
                <w:szCs w:val="22"/>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19,725</w:t>
            </w: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947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99</w:t>
            </w: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78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Accrued compensation</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12,709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10,529</w:t>
            </w:r>
          </w:p>
        </w:tc>
      </w:tr>
      <w:tr>
        <w:trPr>
          <w:trHeight w:val="262"/>
        </w:trPr>
        <w:tc>
          <w:tcPr>
            <w:tcW w:w="7880" w:type="dxa"/>
            <w:vAlign w:val="bottom"/>
          </w:tcPr>
          <w:p>
            <w:pPr>
              <w:ind w:left="420"/>
              <w:spacing w:after="0"/>
              <w:rPr>
                <w:sz w:val="20"/>
                <w:szCs w:val="20"/>
                <w:color w:val="auto"/>
              </w:rPr>
            </w:pPr>
            <w:r>
              <w:rPr>
                <w:rFonts w:ascii="Arial" w:cs="Arial" w:eastAsia="Arial" w:hAnsi="Arial"/>
                <w:sz w:val="16"/>
                <w:szCs w:val="16"/>
                <w:color w:val="auto"/>
              </w:rPr>
              <w:t>Product warranties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8,068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7,634</w:t>
            </w:r>
          </w:p>
        </w:tc>
      </w:tr>
      <w:tr>
        <w:trPr>
          <w:trHeight w:val="278"/>
        </w:trPr>
        <w:tc>
          <w:tcPr>
            <w:tcW w:w="78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Self-insurance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4,221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4,409</w:t>
            </w:r>
          </w:p>
        </w:tc>
      </w:tr>
      <w:tr>
        <w:trPr>
          <w:trHeight w:val="262"/>
        </w:trPr>
        <w:tc>
          <w:tcPr>
            <w:tcW w:w="7880" w:type="dxa"/>
            <w:vAlign w:val="bottom"/>
          </w:tcPr>
          <w:p>
            <w:pPr>
              <w:ind w:left="420"/>
              <w:spacing w:after="0"/>
              <w:rPr>
                <w:sz w:val="20"/>
                <w:szCs w:val="20"/>
                <w:color w:val="auto"/>
              </w:rPr>
            </w:pPr>
            <w:r>
              <w:rPr>
                <w:rFonts w:ascii="Arial" w:cs="Arial" w:eastAsia="Arial" w:hAnsi="Arial"/>
                <w:sz w:val="16"/>
                <w:szCs w:val="16"/>
                <w:color w:val="auto"/>
              </w:rPr>
              <w:t>Accrued loss on repurchases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981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1,362</w:t>
            </w:r>
          </w:p>
        </w:tc>
      </w:tr>
      <w:tr>
        <w:trPr>
          <w:trHeight w:val="278"/>
        </w:trPr>
        <w:tc>
          <w:tcPr>
            <w:tcW w:w="78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Promotional</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1,599</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1,817</w:t>
            </w:r>
          </w:p>
        </w:tc>
      </w:tr>
      <w:tr>
        <w:trPr>
          <w:trHeight w:val="264"/>
        </w:trPr>
        <w:tc>
          <w:tcPr>
            <w:tcW w:w="7880" w:type="dxa"/>
            <w:vAlign w:val="bottom"/>
            <w:tcBorders>
              <w:bottom w:val="single" w:sz="8" w:color="CCEEFF"/>
            </w:tcBorders>
          </w:tcPr>
          <w:p>
            <w:pPr>
              <w:ind w:left="4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4,647</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4,797</w:t>
            </w:r>
          </w:p>
        </w:tc>
      </w:tr>
      <w:tr>
        <w:trPr>
          <w:trHeight w:val="257"/>
        </w:trPr>
        <w:tc>
          <w:tcPr>
            <w:tcW w:w="7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54,104</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50,372</w:t>
            </w:r>
          </w:p>
        </w:tc>
      </w:tr>
      <w:tr>
        <w:trPr>
          <w:trHeight w:val="256"/>
        </w:trPr>
        <w:tc>
          <w:tcPr>
            <w:tcW w:w="788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5,637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5,877</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 benefits</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75,840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73,581</w:t>
            </w:r>
          </w:p>
        </w:tc>
      </w:tr>
      <w:tr>
        <w:trPr>
          <w:trHeight w:val="257"/>
        </w:trPr>
        <w:tc>
          <w:tcPr>
            <w:tcW w:w="7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long-term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81,477</w:t>
            </w:r>
          </w:p>
        </w:tc>
        <w:tc>
          <w:tcPr>
            <w:tcW w:w="2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79,458</w:t>
            </w:r>
          </w:p>
        </w:tc>
      </w:tr>
      <w:tr>
        <w:trPr>
          <w:trHeight w:val="256"/>
        </w:trPr>
        <w:tc>
          <w:tcPr>
            <w:tcW w:w="78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Capital stock common, par value $0.50; authorized 60,000 shares, issued 51,776 shares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25,888</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25,888</w:t>
            </w: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29,240</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29,464</w:t>
            </w:r>
          </w:p>
        </w:tc>
      </w:tr>
      <w:tr>
        <w:trPr>
          <w:trHeight w:val="262"/>
        </w:trPr>
        <w:tc>
          <w:tcPr>
            <w:tcW w:w="78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427,776</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420,675</w:t>
            </w:r>
          </w:p>
        </w:tc>
      </w:tr>
      <w:tr>
        <w:trPr>
          <w:trHeight w:val="278"/>
        </w:trPr>
        <w:tc>
          <w:tcPr>
            <w:tcW w:w="78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1,242</w:t>
            </w:r>
          </w:p>
        </w:tc>
      </w:tr>
      <w:tr>
        <w:trPr>
          <w:trHeight w:val="264"/>
        </w:trPr>
        <w:tc>
          <w:tcPr>
            <w:tcW w:w="78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(22,654 and 22,661 shares, respectively)</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(379,574)</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(379,742)</w:t>
            </w:r>
          </w:p>
        </w:tc>
      </w:tr>
      <w:tr>
        <w:trPr>
          <w:trHeight w:val="250"/>
        </w:trPr>
        <w:tc>
          <w:tcPr>
            <w:tcW w:w="788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103,329</w:t>
            </w:r>
          </w:p>
        </w:tc>
        <w:tc>
          <w:tcPr>
            <w:tcW w:w="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97,527</w:t>
            </w:r>
          </w:p>
        </w:tc>
      </w:tr>
      <w:tr>
        <w:trPr>
          <w:trHeight w:val="242"/>
        </w:trPr>
        <w:tc>
          <w:tcPr>
            <w:tcW w:w="788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238,910</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227,357</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4"/>
          </w:tcPr>
          <w:p>
            <w:pPr>
              <w:jc w:val="right"/>
              <w:ind w:right="105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6"/>
                <w:szCs w:val="16"/>
                <w:color w:val="auto"/>
              </w:rPr>
            </w:pPr>
          </w:p>
        </w:tc>
        <w:tc>
          <w:tcPr>
            <w:tcW w:w="1520" w:type="dxa"/>
            <w:vAlign w:val="bottom"/>
          </w:tcPr>
          <w:p>
            <w:pPr>
              <w:jc w:val="right"/>
              <w:ind w:right="339"/>
              <w:spacing w:after="0"/>
              <w:rPr>
                <w:sz w:val="20"/>
                <w:szCs w:val="20"/>
                <w:color w:val="auto"/>
              </w:rPr>
            </w:pPr>
            <w:r>
              <w:rPr>
                <w:rFonts w:ascii="Arial" w:cs="Arial" w:eastAsia="Arial" w:hAnsi="Arial"/>
                <w:sz w:val="16"/>
                <w:szCs w:val="16"/>
                <w:b w:val="1"/>
                <w:bCs w:val="1"/>
                <w:color w:val="auto"/>
              </w:rPr>
              <w:t>February 27,</w:t>
            </w:r>
          </w:p>
        </w:tc>
      </w:tr>
      <w:tr>
        <w:trPr>
          <w:trHeight w:val="232"/>
        </w:trPr>
        <w:tc>
          <w:tcPr>
            <w:tcW w:w="7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2010</w:t>
            </w:r>
          </w:p>
        </w:tc>
      </w:tr>
      <w:tr>
        <w:trPr>
          <w:trHeight w:val="267"/>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7,101</w:t>
            </w:r>
          </w:p>
        </w:tc>
        <w:tc>
          <w:tcPr>
            <w:tcW w:w="2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(638)</w:t>
            </w:r>
          </w:p>
        </w:tc>
      </w:tr>
      <w:tr>
        <w:trPr>
          <w:trHeight w:val="278"/>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2,845</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3,296</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124</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Deferred income taxes including valuation allowance</w:t>
            </w:r>
          </w:p>
        </w:tc>
        <w:tc>
          <w:tcPr>
            <w:tcW w:w="2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583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Postretirement benefit income and deferred compensation expense</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690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624</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Reduction for doubtful accounts</w:t>
            </w:r>
          </w:p>
        </w:tc>
        <w:tc>
          <w:tcPr>
            <w:tcW w:w="2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(60)</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cash surrender value of life insurance policies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(535)</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(Gain) loss on the sale or disposal of property</w:t>
            </w:r>
          </w:p>
        </w:tc>
        <w:tc>
          <w:tcPr>
            <w:tcW w:w="2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(708)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life insurance</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(372)</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58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44</w:t>
            </w:r>
          </w:p>
        </w:tc>
      </w:tr>
      <w:tr>
        <w:trPr>
          <w:trHeight w:val="278"/>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(24,207)</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(12,974)</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 and prepaid assets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(1,368)</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(8,347)</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610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15,983</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 and accrued expenses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326</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8,975</w:t>
            </w:r>
          </w:p>
        </w:tc>
      </w:tr>
      <w:tr>
        <w:trPr>
          <w:trHeight w:val="264"/>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and deferred compensation benefits</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(1,854)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(1,758)</w:t>
            </w:r>
          </w:p>
        </w:tc>
      </w:tr>
      <w:tr>
        <w:trPr>
          <w:trHeight w:val="25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(16,482)</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4,902</w:t>
            </w:r>
          </w:p>
        </w:tc>
      </w:tr>
      <w:tr>
        <w:trPr>
          <w:trHeight w:val="270"/>
        </w:trPr>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Proceeds from the sale of investments at par</w:t>
            </w:r>
          </w:p>
        </w:tc>
        <w:tc>
          <w:tcPr>
            <w:tcW w:w="240" w:type="dxa"/>
            <w:vAlign w:val="bottom"/>
          </w:tcPr>
          <w:p>
            <w:pPr>
              <w:spacing w:after="0"/>
              <w:rPr>
                <w:sz w:val="22"/>
                <w:szCs w:val="22"/>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color w:val="auto"/>
              </w:rPr>
              <w:t>6,450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4,700</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life insurance</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659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(1,279)</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(943)</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the sale of property</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3,793</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46</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Cash paid for acquisition, net of cash acquired</w:t>
            </w:r>
          </w:p>
        </w:tc>
        <w:tc>
          <w:tcPr>
            <w:tcW w:w="240" w:type="dxa"/>
            <w:vAlign w:val="bottom"/>
          </w:tcPr>
          <w:p>
            <w:pPr>
              <w:spacing w:after="0"/>
              <w:rPr>
                <w:sz w:val="22"/>
                <w:szCs w:val="22"/>
                <w:color w:val="auto"/>
              </w:rPr>
            </w:pPr>
          </w:p>
        </w:tc>
        <w:tc>
          <w:tcPr>
            <w:tcW w:w="1500" w:type="dxa"/>
            <w:vAlign w:val="bottom"/>
          </w:tcPr>
          <w:p>
            <w:pPr>
              <w:jc w:val="right"/>
              <w:ind w:right="279"/>
              <w:spacing w:after="0"/>
              <w:rPr>
                <w:sz w:val="20"/>
                <w:szCs w:val="20"/>
                <w:color w:val="auto"/>
              </w:rPr>
            </w:pPr>
            <w:r>
              <w:rPr>
                <w:rFonts w:ascii="Arial" w:cs="Arial" w:eastAsia="Arial" w:hAnsi="Arial"/>
                <w:sz w:val="16"/>
                <w:szCs w:val="16"/>
                <w:color w:val="auto"/>
              </w:rPr>
              <w:t>(4,694)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r>
      <w:tr>
        <w:trPr>
          <w:trHeight w:val="271"/>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(461)</w:t>
            </w:r>
          </w:p>
        </w:tc>
        <w:tc>
          <w:tcPr>
            <w:tcW w:w="2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(442)</w:t>
            </w:r>
          </w:p>
        </w:tc>
      </w:tr>
      <w:tr>
        <w:trPr>
          <w:trHeight w:val="250"/>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4,468</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3,361</w:t>
            </w:r>
          </w:p>
        </w:tc>
      </w:tr>
      <w:tr>
        <w:trPr>
          <w:trHeight w:val="270"/>
        </w:trPr>
        <w:tc>
          <w:tcPr>
            <w:tcW w:w="7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2"/>
        </w:trPr>
        <w:tc>
          <w:tcPr>
            <w:tcW w:w="77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Payments for purchases of common stock</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(249)</w:t>
            </w:r>
          </w:p>
        </w:tc>
      </w:tr>
      <w:tr>
        <w:trPr>
          <w:trHeight w:val="262"/>
        </w:trPr>
        <w:tc>
          <w:tcPr>
            <w:tcW w:w="7700" w:type="dxa"/>
            <w:vAlign w:val="bottom"/>
          </w:tcPr>
          <w:p>
            <w:pPr>
              <w:ind w:left="280"/>
              <w:spacing w:after="0"/>
              <w:rPr>
                <w:sz w:val="20"/>
                <w:szCs w:val="20"/>
                <w:color w:val="auto"/>
              </w:rPr>
            </w:pPr>
            <w:r>
              <w:rPr>
                <w:rFonts w:ascii="Arial" w:cs="Arial" w:eastAsia="Arial" w:hAnsi="Arial"/>
                <w:sz w:val="16"/>
                <w:szCs w:val="16"/>
                <w:color w:val="auto"/>
              </w:rPr>
              <w:t>Payments on ARS portfolio</w:t>
            </w:r>
          </w:p>
        </w:tc>
        <w:tc>
          <w:tcPr>
            <w:tcW w:w="240" w:type="dxa"/>
            <w:vAlign w:val="bottom"/>
          </w:tcPr>
          <w:p>
            <w:pPr>
              <w:spacing w:after="0"/>
              <w:rPr>
                <w:sz w:val="22"/>
                <w:szCs w:val="22"/>
                <w:color w:val="auto"/>
              </w:rPr>
            </w:pPr>
          </w:p>
        </w:tc>
        <w:tc>
          <w:tcPr>
            <w:tcW w:w="17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520" w:type="dxa"/>
            <w:vAlign w:val="bottom"/>
          </w:tcPr>
          <w:p>
            <w:pPr>
              <w:jc w:val="right"/>
              <w:ind w:right="299"/>
              <w:spacing w:after="0"/>
              <w:rPr>
                <w:sz w:val="20"/>
                <w:szCs w:val="20"/>
                <w:color w:val="auto"/>
              </w:rPr>
            </w:pPr>
            <w:r>
              <w:rPr>
                <w:rFonts w:ascii="Arial" w:cs="Arial" w:eastAsia="Arial" w:hAnsi="Arial"/>
                <w:sz w:val="16"/>
                <w:szCs w:val="16"/>
                <w:color w:val="auto"/>
              </w:rPr>
              <w:t>(2,780)</w:t>
            </w:r>
          </w:p>
        </w:tc>
      </w:tr>
      <w:tr>
        <w:trPr>
          <w:trHeight w:val="278"/>
        </w:trPr>
        <w:tc>
          <w:tcPr>
            <w:tcW w:w="7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Proceeds from issuance of stock options</w:t>
            </w:r>
          </w:p>
        </w:tc>
        <w:tc>
          <w:tcPr>
            <w:tcW w:w="24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94</w:t>
            </w:r>
          </w:p>
        </w:tc>
      </w:tr>
      <w:tr>
        <w:trPr>
          <w:trHeight w:val="264"/>
        </w:trPr>
        <w:tc>
          <w:tcPr>
            <w:tcW w:w="7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124</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(285)</w:t>
            </w:r>
          </w:p>
        </w:tc>
      </w:tr>
      <w:tr>
        <w:trPr>
          <w:trHeight w:val="25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110</w:t>
            </w:r>
          </w:p>
        </w:tc>
        <w:tc>
          <w:tcPr>
            <w:tcW w:w="2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(3,220)</w:t>
            </w:r>
          </w:p>
        </w:tc>
      </w:tr>
      <w:tr>
        <w:trPr>
          <w:trHeight w:val="270"/>
        </w:trPr>
        <w:tc>
          <w:tcPr>
            <w:tcW w:w="7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(11,904)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5,043</w:t>
            </w:r>
          </w:p>
        </w:tc>
      </w:tr>
      <w:tr>
        <w:trPr>
          <w:trHeight w:val="26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74,691</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36,566</w:t>
            </w:r>
          </w:p>
        </w:tc>
      </w:tr>
      <w:tr>
        <w:trPr>
          <w:trHeight w:val="242"/>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62,787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41,609</w:t>
            </w: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2"/>
        </w:trPr>
        <w:tc>
          <w:tcPr>
            <w:tcW w:w="7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cash flow disclosure:</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56"/>
        </w:trPr>
        <w:tc>
          <w:tcPr>
            <w:tcW w:w="7700" w:type="dxa"/>
            <w:vAlign w:val="bottom"/>
          </w:tcPr>
          <w:p>
            <w:pPr>
              <w:ind w:left="280"/>
              <w:spacing w:after="0"/>
              <w:rPr>
                <w:sz w:val="20"/>
                <w:szCs w:val="20"/>
                <w:color w:val="auto"/>
              </w:rPr>
            </w:pPr>
            <w:r>
              <w:rPr>
                <w:rFonts w:ascii="Arial" w:cs="Arial" w:eastAsia="Arial" w:hAnsi="Arial"/>
                <w:sz w:val="16"/>
                <w:szCs w:val="16"/>
                <w:color w:val="auto"/>
              </w:rPr>
              <w:t>Income taxes paid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1,153</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21</w:t>
            </w: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unaudited notes to consolidated financial statements.</w:t>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 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"Company," "we," "our" and "us" are used interchangeably to refer to Winnebago Industries, Inc. and its subsidiaries, as appropriate to the context.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26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In our opinion, the accompanying condensed unaudited consolidated financial statements contain all adjustments, consisting of normal recurring accruals, necessary to present fairly the consolidated financial position as of February 26, 2011 and the consolidated results of operations for the second quarters and first six months of Fiscal 2011 and 2010, and consolidated cash flows for the first six months of Fiscal 2011 and 2010. The consolidated statement of operations for the first six months of Fiscal 2011 is not necessarily indicative of the results to be expected for the full year. The balance sheet data as of August 28, 2010 was derived from audited financial statements, but does not include all of the information and footnotes required by generally accepted accounting principles (GAAP) for complete financial statements. These interim consolidated financial statements should be read in conjunction with the audited financial statements and notes thereto appearing in our Annual Report to Shareholders for the year ended August 28, 2010.</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New Accounting Pronouncements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Acquisition</w:t>
      </w:r>
    </w:p>
    <w:p>
      <w:pPr>
        <w:spacing w:after="0" w:line="264"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On December 29, 2010, through a newly formed, wholly owned subsidiary, Winnebago of Indiana, LLC, we purchased substantially all of the assets of SunnyBrook RV, Inc. ("SunnyBrook"), a manufacturer of travel trailer and fifth wheel recreation vehicles. The aggregate consideration paid was $5.6 million in cash including the repayment of $3.3 million of SunnyBrook commercial and shareholder debt on the transaction date. SunnyBrook operates as a wholly owned subsidiary referred to as Winnebago Industries Towables ("WT") and will continue to manufacture products under the SunnyBrook brands. In addition, WT plans to diversify the product line to include Winnebago brand trailer and fifth wheel products. The assets acquired include inventory, equipment and other tangible and intangible property and will be used in connection with the operation of WT business of manufacturing towable recreation vehicles. Also on December 29, 2010, we entered into a five year operating lease agreement for the SunnyBrook facilities. The operations of WT are included in our consolidated operating results from the date of its acquisition.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740" w:type="dxa"/>
            <w:vAlign w:val="bottom"/>
          </w:tcPr>
          <w:p>
            <w:pPr>
              <w:spacing w:after="0"/>
              <w:rPr>
                <w:sz w:val="20"/>
                <w:szCs w:val="20"/>
                <w:color w:val="auto"/>
              </w:rPr>
            </w:pPr>
            <w:r>
              <w:rPr>
                <w:rFonts w:ascii="Arial" w:cs="Arial" w:eastAsia="Arial" w:hAnsi="Arial"/>
                <w:sz w:val="16"/>
                <w:szCs w:val="16"/>
                <w:color w:val="auto"/>
              </w:rPr>
              <w:t>The following table summarizes the approximate fair value of the net assets acquired at the date of the closing:</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3"/>
        </w:trPr>
        <w:tc>
          <w:tcPr>
            <w:tcW w:w="9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December 29, 2010</w:t>
            </w:r>
          </w:p>
        </w:tc>
      </w:tr>
      <w:tr>
        <w:trPr>
          <w:trHeight w:val="240"/>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5,773</w:t>
            </w:r>
          </w:p>
        </w:tc>
      </w:tr>
      <w:tr>
        <w:trPr>
          <w:trHeight w:val="235"/>
        </w:trPr>
        <w:tc>
          <w:tcPr>
            <w:tcW w:w="9740" w:type="dxa"/>
            <w:vAlign w:val="bottom"/>
          </w:tcPr>
          <w:p>
            <w:pPr>
              <w:ind w:left="40"/>
              <w:spacing w:after="0"/>
              <w:rPr>
                <w:sz w:val="20"/>
                <w:szCs w:val="20"/>
                <w:color w:val="auto"/>
              </w:rPr>
            </w:pPr>
            <w:r>
              <w:rPr>
                <w:rFonts w:ascii="Arial" w:cs="Arial" w:eastAsia="Arial" w:hAnsi="Arial"/>
                <w:sz w:val="16"/>
                <w:szCs w:val="16"/>
                <w:color w:val="auto"/>
              </w:rPr>
              <w:t>Property, plant and equipment</w:t>
            </w:r>
          </w:p>
        </w:tc>
        <w:tc>
          <w:tcPr>
            <w:tcW w:w="46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337</w:t>
            </w:r>
          </w:p>
        </w:tc>
      </w:tr>
      <w:tr>
        <w:trPr>
          <w:trHeight w:val="251"/>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35"/>
        </w:trPr>
        <w:tc>
          <w:tcPr>
            <w:tcW w:w="9740" w:type="dxa"/>
            <w:vAlign w:val="bottom"/>
          </w:tcPr>
          <w:p>
            <w:pPr>
              <w:ind w:left="40"/>
              <w:spacing w:after="0"/>
              <w:rPr>
                <w:sz w:val="20"/>
                <w:szCs w:val="20"/>
                <w:color w:val="auto"/>
              </w:rPr>
            </w:pPr>
            <w:r>
              <w:rPr>
                <w:rFonts w:ascii="Arial" w:cs="Arial" w:eastAsia="Arial" w:hAnsi="Arial"/>
                <w:sz w:val="16"/>
                <w:szCs w:val="16"/>
                <w:color w:val="auto"/>
              </w:rPr>
              <w:t>Dealer network</w:t>
            </w:r>
          </w:p>
        </w:tc>
        <w:tc>
          <w:tcPr>
            <w:tcW w:w="46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535</w:t>
            </w:r>
          </w:p>
        </w:tc>
      </w:tr>
      <w:tr>
        <w:trPr>
          <w:trHeight w:val="251"/>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Trademarks</w:t>
            </w:r>
          </w:p>
        </w:tc>
        <w:tc>
          <w:tcPr>
            <w:tcW w:w="4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w:t>
            </w:r>
          </w:p>
        </w:tc>
      </w:tr>
      <w:tr>
        <w:trPr>
          <w:trHeight w:val="235"/>
        </w:trPr>
        <w:tc>
          <w:tcPr>
            <w:tcW w:w="9740" w:type="dxa"/>
            <w:vAlign w:val="bottom"/>
          </w:tcPr>
          <w:p>
            <w:pPr>
              <w:ind w:left="40"/>
              <w:spacing w:after="0"/>
              <w:rPr>
                <w:sz w:val="20"/>
                <w:szCs w:val="20"/>
                <w:color w:val="auto"/>
              </w:rPr>
            </w:pPr>
            <w:r>
              <w:rPr>
                <w:rFonts w:ascii="Arial" w:cs="Arial" w:eastAsia="Arial" w:hAnsi="Arial"/>
                <w:sz w:val="16"/>
                <w:szCs w:val="16"/>
                <w:color w:val="auto"/>
              </w:rPr>
              <w:t>Non-compete agreement</w:t>
            </w:r>
          </w:p>
        </w:tc>
        <w:tc>
          <w:tcPr>
            <w:tcW w:w="46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40</w:t>
            </w:r>
          </w:p>
        </w:tc>
      </w:tr>
      <w:tr>
        <w:trPr>
          <w:trHeight w:val="244"/>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(2,513)</w:t>
            </w:r>
          </w:p>
        </w:tc>
      </w:tr>
      <w:tr>
        <w:trPr>
          <w:trHeight w:val="235"/>
        </w:trPr>
        <w:tc>
          <w:tcPr>
            <w:tcW w:w="9740" w:type="dxa"/>
            <w:vAlign w:val="bottom"/>
          </w:tcPr>
          <w:p>
            <w:pPr>
              <w:ind w:left="260"/>
              <w:spacing w:after="0"/>
              <w:rPr>
                <w:sz w:val="20"/>
                <w:szCs w:val="20"/>
                <w:color w:val="auto"/>
              </w:rPr>
            </w:pPr>
            <w:r>
              <w:rPr>
                <w:rFonts w:ascii="Arial" w:cs="Arial" w:eastAsia="Arial" w:hAnsi="Arial"/>
                <w:sz w:val="16"/>
                <w:szCs w:val="16"/>
                <w:color w:val="auto"/>
              </w:rPr>
              <w:t>Total fair value of net assets acquired</w:t>
            </w:r>
          </w:p>
        </w:tc>
        <w:tc>
          <w:tcPr>
            <w:tcW w:w="46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color w:val="auto"/>
              </w:rPr>
              <w:t>5,596</w:t>
            </w:r>
          </w:p>
        </w:tc>
      </w:tr>
      <w:tr>
        <w:trPr>
          <w:trHeight w:val="244"/>
        </w:trPr>
        <w:tc>
          <w:tcPr>
            <w:tcW w:w="9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cash acquired</w:t>
            </w: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(902)</w:t>
            </w:r>
          </w:p>
        </w:tc>
      </w:tr>
      <w:tr>
        <w:trPr>
          <w:trHeight w:val="242"/>
        </w:trPr>
        <w:tc>
          <w:tcPr>
            <w:tcW w:w="9740" w:type="dxa"/>
            <w:vAlign w:val="bottom"/>
          </w:tcPr>
          <w:p>
            <w:pPr>
              <w:ind w:left="260"/>
              <w:spacing w:after="0"/>
              <w:rPr>
                <w:sz w:val="20"/>
                <w:szCs w:val="20"/>
                <w:color w:val="auto"/>
              </w:rPr>
            </w:pPr>
            <w:r>
              <w:rPr>
                <w:rFonts w:ascii="Arial" w:cs="Arial" w:eastAsia="Arial" w:hAnsi="Arial"/>
                <w:sz w:val="16"/>
                <w:szCs w:val="16"/>
                <w:color w:val="auto"/>
              </w:rPr>
              <w:t>Total cash paid for acquisition less cash acquired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4,694</w:t>
            </w:r>
          </w:p>
        </w:tc>
      </w:tr>
      <w:tr>
        <w:trPr>
          <w:trHeight w:val="20"/>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At December 29, 2010, the amortizable intangible assets had a weighted average useful life of 9.8 years. The dealer network was valued based on the Discounted Cash Flow Method and will be amortized on a straight line basis over 10 years. The trademarks were valued based on the Relief from Royalty Method and will be amortized on a straight line basis over 10 years. The non-compete agreement will be amortized on a straight line basis over 7 years. Goodwill is not subject to amortization. Pro forma financial information has not been presented due to its insignificance when compared to our total assets.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Fair Value Measurements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that are Measured at Fair Value on a Recurring Basis</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particular item to the fair value measurement in its entirety requires judgment, including the consideration of inputs specific to the asset or liability.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 forth, by level within the fair value hierarchy, our financial assets that were accounted for at fair value on a recurring basis at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2011 and August 28, 2010 according to the valuation techniques we used to determine their fair values: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193"/>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Level 1</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Quoted Prices in Active</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Significant Other</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rPr>
              <w:t>Fair Value at</w:t>
            </w:r>
          </w:p>
        </w:tc>
        <w:tc>
          <w:tcPr>
            <w:tcW w:w="16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Markets for Identical</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3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February 26, 2011</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6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6"/>
                <w:szCs w:val="16"/>
                <w:color w:val="auto"/>
              </w:rPr>
              <w:t>Student loan ARS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10,891</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10,891</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10,431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10,431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1,754</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1,754</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Fixed income</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613</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23,689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12,798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10,891</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Borders>
              <w:bottom w:val="single" w:sz="8" w:color="auto"/>
            </w:tcBorders>
            <w:gridSpan w:val="2"/>
          </w:tcPr>
          <w:p>
            <w:pPr>
              <w:spacing w:after="0" w:line="20" w:lineRule="exact"/>
              <w:rPr>
                <w:sz w:val="1"/>
                <w:szCs w:val="1"/>
                <w:color w:val="auto"/>
              </w:rPr>
            </w:pPr>
          </w:p>
        </w:tc>
      </w:tr>
      <w:tr>
        <w:trPr>
          <w:trHeight w:val="383"/>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7"/>
          </w:tcPr>
          <w:p>
            <w:pPr>
              <w:jc w:val="right"/>
              <w:ind w:right="599"/>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193"/>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Level 1</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Level 2</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3"/>
          </w:tcPr>
          <w:p>
            <w:pPr>
              <w:jc w:val="center"/>
              <w:spacing w:after="0"/>
              <w:rPr>
                <w:sz w:val="20"/>
                <w:szCs w:val="20"/>
                <w:color w:val="auto"/>
              </w:rPr>
            </w:pPr>
            <w:r>
              <w:rPr>
                <w:rFonts w:ascii="Arial" w:cs="Arial" w:eastAsia="Arial" w:hAnsi="Arial"/>
                <w:sz w:val="16"/>
                <w:szCs w:val="16"/>
                <w:b w:val="1"/>
                <w:bCs w:val="1"/>
                <w:color w:val="auto"/>
              </w:rPr>
              <w:t>Quoted Prices in Active</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Significant Other</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3900" w:type="dxa"/>
            <w:vAlign w:val="bottom"/>
          </w:tcPr>
          <w:p>
            <w:pPr>
              <w:spacing w:after="0"/>
              <w:rPr>
                <w:sz w:val="16"/>
                <w:szCs w:val="16"/>
                <w:color w:val="auto"/>
              </w:rPr>
            </w:pPr>
          </w:p>
        </w:tc>
        <w:tc>
          <w:tcPr>
            <w:tcW w:w="1960" w:type="dxa"/>
            <w:vAlign w:val="bottom"/>
            <w:gridSpan w:val="3"/>
          </w:tcPr>
          <w:p>
            <w:pPr>
              <w:jc w:val="center"/>
              <w:spacing w:after="0"/>
              <w:rPr>
                <w:sz w:val="20"/>
                <w:szCs w:val="20"/>
                <w:color w:val="auto"/>
              </w:rPr>
            </w:pPr>
            <w:r>
              <w:rPr>
                <w:rFonts w:ascii="Arial" w:cs="Arial" w:eastAsia="Arial" w:hAnsi="Arial"/>
                <w:sz w:val="16"/>
                <w:szCs w:val="16"/>
                <w:b w:val="1"/>
                <w:bCs w:val="1"/>
                <w:color w:val="auto"/>
              </w:rPr>
              <w:t>Fair Value at August 28,</w:t>
            </w:r>
          </w:p>
        </w:tc>
        <w:tc>
          <w:tcPr>
            <w:tcW w:w="16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Markets for Identical</w:t>
            </w:r>
          </w:p>
        </w:tc>
        <w:tc>
          <w:tcPr>
            <w:tcW w:w="160" w:type="dxa"/>
            <w:vAlign w:val="bottom"/>
          </w:tcPr>
          <w:p>
            <w:pPr>
              <w:spacing w:after="0"/>
              <w:rPr>
                <w:sz w:val="16"/>
                <w:szCs w:val="16"/>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rPr>
              <w:t>Unobservable Inputs</w:t>
            </w:r>
          </w:p>
        </w:tc>
      </w:tr>
      <w:tr>
        <w:trPr>
          <w:trHeight w:val="23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r>
      <w:tr>
        <w:trPr>
          <w:trHeight w:val="267"/>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2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6"/>
                <w:szCs w:val="16"/>
                <w:color w:val="auto"/>
              </w:rPr>
              <w:t>Student loan ARS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17,785</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17,785</w:t>
            </w:r>
          </w:p>
        </w:tc>
      </w:tr>
      <w:tr>
        <w:trPr>
          <w:trHeight w:val="278"/>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62"/>
        </w:trPr>
        <w:tc>
          <w:tcPr>
            <w:tcW w:w="3900" w:type="dxa"/>
            <w:vAlign w:val="bottom"/>
          </w:tcPr>
          <w:p>
            <w:pPr>
              <w:ind w:left="180"/>
              <w:spacing w:after="0"/>
              <w:rPr>
                <w:sz w:val="20"/>
                <w:szCs w:val="20"/>
                <w:color w:val="auto"/>
              </w:rPr>
            </w:pPr>
            <w:r>
              <w:rPr>
                <w:rFonts w:ascii="Arial" w:cs="Arial" w:eastAsia="Arial" w:hAnsi="Arial"/>
                <w:sz w:val="16"/>
                <w:szCs w:val="16"/>
                <w:color w:val="auto"/>
              </w:rPr>
              <w:t>Domestic equity funds</w:t>
            </w:r>
          </w:p>
        </w:tc>
        <w:tc>
          <w:tcPr>
            <w:tcW w:w="220" w:type="dxa"/>
            <w:vAlign w:val="bottom"/>
          </w:tcPr>
          <w:p>
            <w:pPr>
              <w:spacing w:after="0"/>
              <w:rPr>
                <w:sz w:val="22"/>
                <w:szCs w:val="22"/>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8,735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8,735</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70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 equity funds</w:t>
            </w:r>
          </w:p>
        </w:tc>
        <w:tc>
          <w:tcPr>
            <w:tcW w:w="2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1,569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Fixed income</w:t>
            </w: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650</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3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28,739</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10,954</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17,785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20" w:type="dxa"/>
            <w:vAlign w:val="bottom"/>
            <w:tcBorders>
              <w:bottom w:val="single" w:sz="8" w:color="auto"/>
            </w:tcBorders>
          </w:tcPr>
          <w:p>
            <w:pPr>
              <w:spacing w:after="0"/>
              <w:rPr>
                <w:sz w:val="20"/>
                <w:szCs w:val="20"/>
                <w:color w:val="auto"/>
              </w:rPr>
            </w:pPr>
          </w:p>
        </w:tc>
      </w:tr>
      <w:tr>
        <w:trPr>
          <w:trHeight w:val="193"/>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26,</w:t>
            </w:r>
          </w:p>
        </w:tc>
        <w:tc>
          <w:tcPr>
            <w:tcW w:w="22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27,</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2"/>
        </w:trPr>
        <w:tc>
          <w:tcPr>
            <w:tcW w:w="42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4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26, 2011</w:t>
            </w:r>
          </w:p>
        </w:tc>
        <w:tc>
          <w:tcPr>
            <w:tcW w:w="16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February 27, 2010</w:t>
            </w:r>
          </w:p>
        </w:tc>
      </w:tr>
      <w:tr>
        <w:trPr>
          <w:trHeight w:val="254"/>
        </w:trPr>
        <w:tc>
          <w:tcPr>
            <w:tcW w:w="4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11,146</w:t>
            </w: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33,306</w:t>
            </w:r>
          </w:p>
        </w:tc>
        <w:tc>
          <w:tcPr>
            <w:tcW w:w="2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17,785</w:t>
            </w:r>
          </w:p>
        </w:tc>
        <w:tc>
          <w:tcPr>
            <w:tcW w:w="20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33,294</w:t>
            </w:r>
          </w:p>
        </w:tc>
      </w:tr>
      <w:tr>
        <w:trPr>
          <w:trHeight w:val="262"/>
        </w:trPr>
        <w:tc>
          <w:tcPr>
            <w:tcW w:w="4280" w:type="dxa"/>
            <w:vAlign w:val="bottom"/>
          </w:tcPr>
          <w:p>
            <w:pPr>
              <w:ind w:left="40"/>
              <w:spacing w:after="0"/>
              <w:rPr>
                <w:sz w:val="20"/>
                <w:szCs w:val="20"/>
                <w:color w:val="auto"/>
              </w:rPr>
            </w:pPr>
            <w:r>
              <w:rPr>
                <w:rFonts w:ascii="Arial" w:cs="Arial" w:eastAsia="Arial" w:hAnsi="Arial"/>
                <w:sz w:val="16"/>
                <w:szCs w:val="16"/>
                <w:color w:val="auto"/>
              </w:rPr>
              <w:t>Transfer to Level 2</w:t>
            </w:r>
          </w:p>
        </w:tc>
        <w:tc>
          <w:tcPr>
            <w:tcW w:w="220" w:type="dxa"/>
            <w:vAlign w:val="bottom"/>
          </w:tcPr>
          <w:p>
            <w:pPr>
              <w:spacing w:after="0"/>
              <w:rPr>
                <w:sz w:val="22"/>
                <w:szCs w:val="22"/>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(5,250)</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(200)</w:t>
            </w:r>
          </w:p>
        </w:tc>
      </w:tr>
      <w:tr>
        <w:trPr>
          <w:trHeight w:val="278"/>
        </w:trPr>
        <w:tc>
          <w:tcPr>
            <w:tcW w:w="4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(255)</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(444)</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154</w:t>
            </w:r>
          </w:p>
        </w:tc>
      </w:tr>
      <w:tr>
        <w:trPr>
          <w:trHeight w:val="264"/>
        </w:trPr>
        <w:tc>
          <w:tcPr>
            <w:tcW w:w="4280" w:type="dxa"/>
            <w:vAlign w:val="bottom"/>
          </w:tcPr>
          <w:p>
            <w:pPr>
              <w:ind w:left="40"/>
              <w:spacing w:after="0"/>
              <w:rPr>
                <w:sz w:val="20"/>
                <w:szCs w:val="20"/>
                <w:color w:val="auto"/>
              </w:rPr>
            </w:pPr>
            <w:r>
              <w:rPr>
                <w:rFonts w:ascii="Arial" w:cs="Arial" w:eastAsia="Arial" w:hAnsi="Arial"/>
                <w:sz w:val="16"/>
                <w:szCs w:val="16"/>
                <w:color w:val="auto"/>
              </w:rPr>
              <w:t>Sales</w:t>
            </w:r>
          </w:p>
        </w:tc>
        <w:tc>
          <w:tcPr>
            <w:tcW w:w="220" w:type="dxa"/>
            <w:vAlign w:val="bottom"/>
          </w:tcPr>
          <w:p>
            <w:pPr>
              <w:spacing w:after="0"/>
              <w:rPr>
                <w:sz w:val="22"/>
                <w:szCs w:val="22"/>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(4,500)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(1,200)</w:t>
            </w: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color w:val="auto"/>
              </w:rPr>
              <w:t>(4,500)</w:t>
            </w:r>
          </w:p>
        </w:tc>
      </w:tr>
      <w:tr>
        <w:trPr>
          <w:trHeight w:val="242"/>
        </w:trPr>
        <w:tc>
          <w:tcPr>
            <w:tcW w:w="4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10,891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28,748</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10,891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28,748</w:t>
            </w:r>
          </w:p>
        </w:tc>
      </w:tr>
      <w:tr>
        <w:trPr>
          <w:trHeight w:val="20"/>
        </w:trPr>
        <w:tc>
          <w:tcPr>
            <w:tcW w:w="4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Investments</w:t>
      </w:r>
    </w:p>
    <w:p>
      <w:pPr>
        <w:spacing w:after="0" w:line="2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Our long-term investments are comprised of auction rate securities (ARS). Our ARS related investments (as described in Note 5) are classified as Level 3 as quoted prices were unavailable due to events described in Note 5. Due to limited market information, we utilized a discounted cash flow (DCF) model to derive an estimate of fair value at February 26, 2011.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assets that fund deferred compensation are primarily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Executive Share Option Plan, a deferred compensation program, and are presented as other assets in the accompanying balance sheets.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Investments</w:t>
      </w:r>
    </w:p>
    <w:p>
      <w:pPr>
        <w:spacing w:after="0" w:line="264"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 xml:space="preserve">We own investments in marketable securities that have been designated as "available for sale" in accordance with ASC 320, </w:t>
      </w:r>
      <w:r>
        <w:rPr>
          <w:rFonts w:ascii="Arial" w:cs="Arial" w:eastAsia="Arial" w:hAnsi="Arial"/>
          <w:sz w:val="16"/>
          <w:szCs w:val="16"/>
          <w:i w:val="1"/>
          <w:iCs w:val="1"/>
          <w:color w:val="auto"/>
        </w:rPr>
        <w:t>Investments-Debt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Available for sale securities are carried at fair value with the unrealized gains and losses reported in "Accumulated Other Comprehensive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 component of stockholders' equity.</w:t>
      </w:r>
    </w:p>
    <w:p>
      <w:pPr>
        <w:spacing w:after="0" w:line="20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At February 26, 2011, we held $11.4 million (par value) of long-term investments comprised of tax-exempt ARS, which are variable-rate debt securities and have a long-term maturity with the interest rate being reset through Dutch auctions that are typically held every 7, 28 or 35 days. Prior to February 2008, these securities traded at par and are callable at par at the option of the issuer. Interest is typically paid at the end of each auction period or semiannually. The ARS we hold are AAA/Aaa rated with most collateralized by student loans guaranteed by the U.S. Government under the Federal Family Education Loan Program.</w:t>
      </w:r>
    </w:p>
    <w:p>
      <w:pPr>
        <w:spacing w:after="0" w:line="213" w:lineRule="exact"/>
        <w:rPr>
          <w:sz w:val="20"/>
          <w:szCs w:val="20"/>
          <w:color w:val="auto"/>
        </w:rPr>
      </w:pPr>
    </w:p>
    <w:p>
      <w:pPr>
        <w:jc w:val="both"/>
        <w:ind w:right="180"/>
        <w:spacing w:after="0" w:line="254" w:lineRule="auto"/>
        <w:rPr>
          <w:sz w:val="20"/>
          <w:szCs w:val="20"/>
          <w:color w:val="auto"/>
        </w:rPr>
      </w:pPr>
      <w:r>
        <w:rPr>
          <w:rFonts w:ascii="Arial" w:cs="Arial" w:eastAsia="Arial" w:hAnsi="Arial"/>
          <w:sz w:val="16"/>
          <w:szCs w:val="16"/>
          <w:color w:val="auto"/>
        </w:rPr>
        <w:t>Since February 2008, most ARS auctions have failed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payment default. We have continued to receive interest payments on the ARS in accordance with their terms. We believe we will ultimately be able to liquidate our ARS related investments without significant loss primarily due to the collateral securing our ARS. However, redemption could take until final maturity of the ARS (up to 30 years) to realize the par value of our investments. Due to the changes and uncertainty in the ARS market, we believe the recovery period for these investments is likely to be longer than 12 months and as a result, we have classified these investments as long-term as of February 26, 2011.</w:t>
      </w:r>
    </w:p>
    <w:p>
      <w:pPr>
        <w:spacing w:after="0" w:line="217"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At February 26, 2011, there was insufficient observable ARS market information available to determine the fair value of our long-term ARS investments.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$509,000 related to our long-term ARS investments of $11.4 million (par value).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60" w:type="dxa"/>
            <w:vAlign w:val="bottom"/>
          </w:tcPr>
          <w:p>
            <w:pPr>
              <w:spacing w:after="0"/>
              <w:rPr>
                <w:sz w:val="20"/>
                <w:szCs w:val="20"/>
                <w:color w:val="auto"/>
              </w:rPr>
            </w:pPr>
            <w:r>
              <w:rPr>
                <w:rFonts w:ascii="Arial" w:cs="Arial" w:eastAsia="Arial" w:hAnsi="Arial"/>
                <w:sz w:val="16"/>
                <w:szCs w:val="16"/>
                <w:b w:val="1"/>
                <w:bCs w:val="1"/>
                <w:color w:val="auto"/>
              </w:rPr>
              <w:t>Note 6: Inventories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38"/>
        </w:trPr>
        <w:tc>
          <w:tcPr>
            <w:tcW w:w="786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0"/>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26,</w:t>
            </w:r>
          </w:p>
        </w:tc>
        <w:tc>
          <w:tcPr>
            <w:tcW w:w="260" w:type="dxa"/>
            <w:vAlign w:val="bottom"/>
          </w:tcPr>
          <w:p>
            <w:pPr>
              <w:spacing w:after="0"/>
              <w:rPr>
                <w:sz w:val="24"/>
                <w:szCs w:val="24"/>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28,</w:t>
            </w:r>
          </w:p>
        </w:tc>
      </w:tr>
      <w:tr>
        <w:trPr>
          <w:trHeight w:val="232"/>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54"/>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39,722</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21,200</w:t>
            </w:r>
          </w:p>
        </w:tc>
      </w:tr>
      <w:tr>
        <w:trPr>
          <w:trHeight w:val="262"/>
        </w:trPr>
        <w:tc>
          <w:tcPr>
            <w:tcW w:w="786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28,290</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24,897</w:t>
            </w:r>
          </w:p>
        </w:tc>
      </w:tr>
      <w:tr>
        <w:trPr>
          <w:trHeight w:val="271"/>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33,989</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26,992</w:t>
            </w:r>
          </w:p>
        </w:tc>
      </w:tr>
      <w:tr>
        <w:trPr>
          <w:trHeight w:val="249"/>
        </w:trPr>
        <w:tc>
          <w:tcPr>
            <w:tcW w:w="7860" w:type="dxa"/>
            <w:vAlign w:val="bottom"/>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21"/>
                <w:szCs w:val="21"/>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102,001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73,089</w:t>
            </w:r>
          </w:p>
        </w:tc>
      </w:tr>
      <w:tr>
        <w:trPr>
          <w:trHeight w:val="271"/>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2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(30,346)</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(29,563)</w:t>
            </w:r>
          </w:p>
        </w:tc>
      </w:tr>
      <w:tr>
        <w:trPr>
          <w:trHeight w:val="242"/>
        </w:trPr>
        <w:tc>
          <w:tcPr>
            <w:tcW w:w="7860" w:type="dxa"/>
            <w:vAlign w:val="bottom"/>
          </w:tcPr>
          <w:p>
            <w:pPr>
              <w:ind w:left="180"/>
              <w:spacing w:after="0"/>
              <w:rPr>
                <w:sz w:val="20"/>
                <w:szCs w:val="20"/>
                <w:color w:val="auto"/>
              </w:rPr>
            </w:pPr>
            <w:r>
              <w:rPr>
                <w:rFonts w:ascii="Arial" w:cs="Arial" w:eastAsia="Arial" w:hAnsi="Arial"/>
                <w:sz w:val="16"/>
                <w:szCs w:val="16"/>
                <w:color w:val="auto"/>
              </w:rPr>
              <w:t>Total inventories</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71,655</w:t>
            </w:r>
          </w:p>
        </w:tc>
        <w:tc>
          <w:tcPr>
            <w:tcW w:w="220" w:type="dxa"/>
            <w:vAlign w:val="bottom"/>
          </w:tcPr>
          <w:p>
            <w:pPr>
              <w:spacing w:after="0"/>
              <w:rPr>
                <w:sz w:val="21"/>
                <w:szCs w:val="21"/>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43,526</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Of the $102.0 million inventory at February 26, 2011, $96.9 million is valued on a last-in, first-out (LIFO) basis and WT inventory of $5.1 million is valued on a first-in, first-out (FIFO) basis.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 and Assets Held for Sale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26,</w:t>
            </w:r>
          </w:p>
        </w:tc>
        <w:tc>
          <w:tcPr>
            <w:tcW w:w="260" w:type="dxa"/>
            <w:vAlign w:val="bottom"/>
          </w:tcPr>
          <w:p>
            <w:pPr>
              <w:spacing w:after="0"/>
              <w:rPr>
                <w:sz w:val="16"/>
                <w:szCs w:val="16"/>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28,</w:t>
            </w:r>
          </w:p>
        </w:tc>
      </w:tr>
      <w:tr>
        <w:trPr>
          <w:trHeight w:val="232"/>
        </w:trPr>
        <w:tc>
          <w:tcPr>
            <w:tcW w:w="7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r>
      <w:tr>
        <w:trPr>
          <w:trHeight w:val="254"/>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772</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772</w:t>
            </w:r>
          </w:p>
        </w:tc>
      </w:tr>
      <w:tr>
        <w:trPr>
          <w:trHeight w:val="262"/>
        </w:trPr>
        <w:tc>
          <w:tcPr>
            <w:tcW w:w="7880" w:type="dxa"/>
            <w:vAlign w:val="bottom"/>
          </w:tcPr>
          <w:p>
            <w:pPr>
              <w:ind w:left="40"/>
              <w:spacing w:after="0"/>
              <w:rPr>
                <w:sz w:val="20"/>
                <w:szCs w:val="20"/>
                <w:color w:val="auto"/>
              </w:rPr>
            </w:pPr>
            <w:r>
              <w:rPr>
                <w:rFonts w:ascii="Arial" w:cs="Arial" w:eastAsia="Arial" w:hAnsi="Arial"/>
                <w:sz w:val="16"/>
                <w:szCs w:val="16"/>
                <w:color w:val="auto"/>
              </w:rPr>
              <w:t>Buildings</w:t>
            </w:r>
          </w:p>
        </w:tc>
        <w:tc>
          <w:tcPr>
            <w:tcW w:w="22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49,325</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color w:val="auto"/>
              </w:rPr>
              <w:t>49,309</w:t>
            </w:r>
          </w:p>
        </w:tc>
      </w:tr>
      <w:tr>
        <w:trPr>
          <w:trHeight w:val="278"/>
        </w:trPr>
        <w:tc>
          <w:tcPr>
            <w:tcW w:w="7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90,176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89,304</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Transportation equipment</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8,920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9,109</w:t>
            </w:r>
          </w:p>
        </w:tc>
      </w:tr>
      <w:tr>
        <w:trPr>
          <w:trHeight w:val="257"/>
        </w:trPr>
        <w:tc>
          <w:tcPr>
            <w:tcW w:w="7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149,193</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148,494</w:t>
            </w:r>
          </w:p>
        </w:tc>
      </w:tr>
      <w:tr>
        <w:trPr>
          <w:trHeight w:val="264"/>
        </w:trPr>
        <w:tc>
          <w:tcPr>
            <w:tcW w:w="7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(124,766)</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(122,817)</w:t>
            </w:r>
          </w:p>
        </w:tc>
      </w:tr>
      <w:tr>
        <w:trPr>
          <w:trHeight w:val="242"/>
        </w:trPr>
        <w:tc>
          <w:tcPr>
            <w:tcW w:w="7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plant and equipment, net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24,427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25,677</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2011, an idled assembly facility in Charles City, Iowa (CCMF) classified as held for sale, was sold to CGS TIRES US,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(CGS). The sale was finalized on November 1, 2010 and generated $4.0 million in gross proceeds, selling costs of $256,000 and a gain of $644,000.</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Assets held for sale as of February 26, 2011 of $1.2 million consisted of an idled fiberglass manufacturing facility in Hampton, Iowa.</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48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0"/>
        </w:trPr>
        <w:tc>
          <w:tcPr>
            <w:tcW w:w="1260" w:type="dxa"/>
            <w:vAlign w:val="bottom"/>
            <w:gridSpan w:val="2"/>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59"/>
        </w:trPr>
        <w:tc>
          <w:tcPr>
            <w:tcW w:w="4820" w:type="dxa"/>
            <w:vAlign w:val="bottom"/>
            <w:gridSpan w:val="3"/>
          </w:tcPr>
          <w:p>
            <w:pPr>
              <w:spacing w:after="0"/>
              <w:rPr>
                <w:sz w:val="20"/>
                <w:szCs w:val="20"/>
                <w:color w:val="auto"/>
              </w:rPr>
            </w:pPr>
            <w:r>
              <w:rPr>
                <w:rFonts w:ascii="Arial" w:cs="Arial" w:eastAsia="Arial" w:hAnsi="Arial"/>
                <w:sz w:val="16"/>
                <w:szCs w:val="16"/>
                <w:b w:val="1"/>
                <w:bCs w:val="1"/>
                <w:color w:val="auto"/>
              </w:rPr>
              <w:t>Note 8: Goodwill and Other Intangible Assets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8"/>
        </w:trPr>
        <w:tc>
          <w:tcPr>
            <w:tcW w:w="4820" w:type="dxa"/>
            <w:vAlign w:val="bottom"/>
            <w:gridSpan w:val="3"/>
          </w:tcPr>
          <w:p>
            <w:pPr>
              <w:spacing w:after="0"/>
              <w:rPr>
                <w:sz w:val="20"/>
                <w:szCs w:val="20"/>
                <w:color w:val="auto"/>
              </w:rPr>
            </w:pPr>
            <w:r>
              <w:rPr>
                <w:rFonts w:ascii="Arial" w:cs="Arial" w:eastAsia="Arial" w:hAnsi="Arial"/>
                <w:sz w:val="16"/>
                <w:szCs w:val="16"/>
                <w:color w:val="auto"/>
              </w:rPr>
              <w:t>Goodwill and other intangible assets consist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0"/>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February 26, 2011</w:t>
            </w:r>
          </w:p>
        </w:tc>
        <w:tc>
          <w:tcPr>
            <w:tcW w:w="2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August 28, 2010</w:t>
            </w:r>
          </w:p>
        </w:tc>
      </w:tr>
      <w:tr>
        <w:trPr>
          <w:trHeight w:val="193"/>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Accumulated</w:t>
            </w:r>
          </w:p>
        </w:tc>
      </w:tr>
      <w:tr>
        <w:trPr>
          <w:trHeight w:val="232"/>
        </w:trPr>
        <w:tc>
          <w:tcPr>
            <w:tcW w:w="40" w:type="dxa"/>
            <w:vAlign w:val="bottom"/>
          </w:tcPr>
          <w:p>
            <w:pPr>
              <w:spacing w:after="0"/>
              <w:rPr>
                <w:sz w:val="20"/>
                <w:szCs w:val="20"/>
                <w:color w:val="auto"/>
              </w:rPr>
            </w:pPr>
          </w:p>
        </w:tc>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Cost</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Cost</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Amortization</w:t>
            </w:r>
          </w:p>
        </w:tc>
      </w:tr>
      <w:tr>
        <w:trPr>
          <w:trHeight w:val="254"/>
        </w:trPr>
        <w:tc>
          <w:tcPr>
            <w:tcW w:w="40" w:type="dxa"/>
            <w:vAlign w:val="bottom"/>
          </w:tcPr>
          <w:p>
            <w:pPr>
              <w:spacing w:after="0"/>
              <w:rPr>
                <w:sz w:val="22"/>
                <w:szCs w:val="22"/>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62"/>
        </w:trPr>
        <w:tc>
          <w:tcPr>
            <w:tcW w:w="4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Arial" w:cs="Arial" w:eastAsia="Arial" w:hAnsi="Arial"/>
                <w:sz w:val="16"/>
                <w:szCs w:val="16"/>
                <w:color w:val="auto"/>
              </w:rPr>
              <w:t>Dealer network</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534</w:t>
            </w:r>
          </w:p>
        </w:tc>
        <w:tc>
          <w:tcPr>
            <w:tcW w:w="2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ind w:left="9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80" w:type="dxa"/>
            <w:vAlign w:val="bottom"/>
          </w:tcPr>
          <w:p>
            <w:pPr>
              <w:ind w:left="1100"/>
              <w:spacing w:after="0"/>
              <w:rPr>
                <w:sz w:val="20"/>
                <w:szCs w:val="20"/>
                <w:color w:val="auto"/>
              </w:rPr>
            </w:pPr>
            <w:r>
              <w:rPr>
                <w:rFonts w:ascii="Arial" w:cs="Arial" w:eastAsia="Arial" w:hAnsi="Arial"/>
                <w:sz w:val="16"/>
                <w:szCs w:val="16"/>
                <w:color w:val="auto"/>
              </w:rPr>
              <w:t>—</w:t>
            </w:r>
          </w:p>
        </w:tc>
      </w:tr>
      <w:tr>
        <w:trPr>
          <w:trHeight w:val="278"/>
        </w:trPr>
        <w:tc>
          <w:tcPr>
            <w:tcW w:w="40" w:type="dxa"/>
            <w:vAlign w:val="bottom"/>
          </w:tcPr>
          <w:p>
            <w:pPr>
              <w:spacing w:after="0"/>
              <w:rPr>
                <w:sz w:val="24"/>
                <w:szCs w:val="24"/>
                <w:color w:val="auto"/>
              </w:rPr>
            </w:pPr>
          </w:p>
        </w:tc>
        <w:tc>
          <w:tcPr>
            <w:tcW w:w="4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Trademarks</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2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64"/>
        </w:trPr>
        <w:tc>
          <w:tcPr>
            <w:tcW w:w="40" w:type="dxa"/>
            <w:vAlign w:val="bottom"/>
          </w:tcPr>
          <w:p>
            <w:pPr>
              <w:spacing w:after="0"/>
              <w:rPr>
                <w:sz w:val="22"/>
                <w:szCs w:val="22"/>
                <w:color w:val="auto"/>
              </w:rPr>
            </w:pPr>
          </w:p>
        </w:tc>
        <w:tc>
          <w:tcPr>
            <w:tcW w:w="47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r>
      <w:tr>
        <w:trPr>
          <w:trHeight w:val="242"/>
        </w:trPr>
        <w:tc>
          <w:tcPr>
            <w:tcW w:w="40" w:type="dxa"/>
            <w:vAlign w:val="bottom"/>
          </w:tcPr>
          <w:p>
            <w:pPr>
              <w:spacing w:after="0"/>
              <w:rPr>
                <w:sz w:val="21"/>
                <w:szCs w:val="21"/>
                <w:color w:val="auto"/>
              </w:rPr>
            </w:pPr>
          </w:p>
        </w:tc>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Goodwill and other intangible assets are the result of the acquisition of SunnyBrook RV, Inc. during the second quarter of Fiscal 2011, as more fully described in Note 3. Goodwill is not subject to amortization. Amortizable intangible assets are amortized on a straight-line basis. The weighted average remaining amortization period at February 26, 2011 is 9.7 years.</w:t>
      </w:r>
    </w:p>
    <w:p>
      <w:pPr>
        <w:spacing w:after="0" w:line="205"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Goodwill is reviewed for impairment annually or whenever events or circumstances indicate a potential impairment. Intangible assets are also subject to impairment tests whenever events or circumstances indicate that the asset's carrying value may exceed its estimated fair value, at which time an impairment would be recorded.</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of intangible assets for the next five years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4760" w:type="dxa"/>
            <w:vAlign w:val="bottom"/>
            <w:tcBorders>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r>
      <w:tr>
        <w:trPr>
          <w:trHeight w:val="240"/>
        </w:trPr>
        <w:tc>
          <w:tcPr>
            <w:tcW w:w="1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4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2011</w:t>
            </w:r>
          </w:p>
        </w:tc>
        <w:tc>
          <w:tcPr>
            <w:tcW w:w="4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w:t>
            </w:r>
          </w:p>
        </w:tc>
      </w:tr>
      <w:tr>
        <w:trPr>
          <w:trHeight w:val="262"/>
        </w:trPr>
        <w:tc>
          <w:tcPr>
            <w:tcW w:w="1220" w:type="dxa"/>
            <w:vAlign w:val="bottom"/>
          </w:tcPr>
          <w:p>
            <w:pPr>
              <w:spacing w:after="0"/>
              <w:rPr>
                <w:sz w:val="22"/>
                <w:szCs w:val="22"/>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2012</w:t>
            </w:r>
          </w:p>
        </w:tc>
        <w:tc>
          <w:tcPr>
            <w:tcW w:w="45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78"/>
        </w:trPr>
        <w:tc>
          <w:tcPr>
            <w:tcW w:w="1220" w:type="dxa"/>
            <w:vAlign w:val="bottom"/>
            <w:shd w:val="clear" w:color="auto" w:fill="CCEEFF"/>
          </w:tcPr>
          <w:p>
            <w:pPr>
              <w:spacing w:after="0"/>
              <w:rPr>
                <w:sz w:val="24"/>
                <w:szCs w:val="24"/>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2013</w:t>
            </w:r>
          </w:p>
        </w:tc>
        <w:tc>
          <w:tcPr>
            <w:tcW w:w="4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62"/>
        </w:trPr>
        <w:tc>
          <w:tcPr>
            <w:tcW w:w="1220" w:type="dxa"/>
            <w:vAlign w:val="bottom"/>
          </w:tcPr>
          <w:p>
            <w:pPr>
              <w:spacing w:after="0"/>
              <w:rPr>
                <w:sz w:val="22"/>
                <w:szCs w:val="22"/>
                <w:color w:val="auto"/>
              </w:rPr>
            </w:pPr>
          </w:p>
        </w:tc>
        <w:tc>
          <w:tcPr>
            <w:tcW w:w="4760" w:type="dxa"/>
            <w:vAlign w:val="bottom"/>
          </w:tcPr>
          <w:p>
            <w:pPr>
              <w:ind w:left="80"/>
              <w:spacing w:after="0"/>
              <w:rPr>
                <w:sz w:val="20"/>
                <w:szCs w:val="20"/>
                <w:color w:val="auto"/>
              </w:rPr>
            </w:pPr>
            <w:r>
              <w:rPr>
                <w:rFonts w:ascii="Arial" w:cs="Arial" w:eastAsia="Arial" w:hAnsi="Arial"/>
                <w:sz w:val="16"/>
                <w:szCs w:val="16"/>
                <w:color w:val="auto"/>
              </w:rPr>
              <w:t>2014</w:t>
            </w:r>
          </w:p>
        </w:tc>
        <w:tc>
          <w:tcPr>
            <w:tcW w:w="450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278"/>
        </w:trPr>
        <w:tc>
          <w:tcPr>
            <w:tcW w:w="1220" w:type="dxa"/>
            <w:vAlign w:val="bottom"/>
            <w:shd w:val="clear" w:color="auto" w:fill="CCEEFF"/>
          </w:tcPr>
          <w:p>
            <w:pPr>
              <w:spacing w:after="0"/>
              <w:rPr>
                <w:sz w:val="24"/>
                <w:szCs w:val="24"/>
                <w:color w:val="auto"/>
              </w:rPr>
            </w:pPr>
          </w:p>
        </w:tc>
        <w:tc>
          <w:tcPr>
            <w:tcW w:w="4760" w:type="dxa"/>
            <w:vAlign w:val="bottom"/>
            <w:shd w:val="clear" w:color="auto" w:fill="CCEEFF"/>
          </w:tcPr>
          <w:p>
            <w:pPr>
              <w:ind w:left="80"/>
              <w:spacing w:after="0"/>
              <w:rPr>
                <w:sz w:val="20"/>
                <w:szCs w:val="20"/>
                <w:color w:val="auto"/>
              </w:rPr>
            </w:pPr>
            <w:r>
              <w:rPr>
                <w:rFonts w:ascii="Arial" w:cs="Arial" w:eastAsia="Arial" w:hAnsi="Arial"/>
                <w:sz w:val="16"/>
                <w:szCs w:val="16"/>
                <w:color w:val="auto"/>
              </w:rPr>
              <w:t>2015</w:t>
            </w:r>
          </w:p>
        </w:tc>
        <w:tc>
          <w:tcPr>
            <w:tcW w:w="45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Credit Facility</w:t>
      </w:r>
    </w:p>
    <w:p>
      <w:pPr>
        <w:spacing w:after="0" w:line="264"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 $50.0 million, based on mutually agreeable covenants to be determined at the time of expansion. No borrowings have been made under the Loan Agreement as of the date of this report.</w:t>
      </w:r>
    </w:p>
    <w:p>
      <w:pPr>
        <w:spacing w:after="0" w:line="2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of 2 percent of the maximum credit available under the Loan Agreement if we terminate the Loan Agreement prior to October 13, 2011, and 1 percent thereafter until the expiration date of October 13, 2012.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Warranty</w:t>
      </w:r>
    </w:p>
    <w:p>
      <w:pPr>
        <w:spacing w:after="0" w:line="264"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We provide a comprehensive 12-month/15,000-mile warranty on Class A, Class B and Class C motor homes and a 12-month warranty on our towables at the time of retail sale of our products. We also provide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18"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51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60" w:type="dxa"/>
            <w:vAlign w:val="bottom"/>
            <w:gridSpan w:val="2"/>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6"/>
                <w:szCs w:val="16"/>
                <w:b w:val="1"/>
                <w:bCs w:val="1"/>
                <w:color w:val="auto"/>
              </w:rPr>
              <w:t>Quarter Ended</w:t>
            </w: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6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February 27,</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February 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auto"/>
              </w:rPr>
              <w:t>February 27,</w:t>
            </w:r>
          </w:p>
        </w:tc>
        <w:tc>
          <w:tcPr>
            <w:tcW w:w="0" w:type="dxa"/>
            <w:vAlign w:val="bottom"/>
          </w:tcPr>
          <w:p>
            <w:pPr>
              <w:spacing w:after="0"/>
              <w:rPr>
                <w:sz w:val="1"/>
                <w:szCs w:val="1"/>
                <w:color w:val="auto"/>
              </w:rPr>
            </w:pPr>
          </w:p>
        </w:tc>
      </w:tr>
      <w:tr>
        <w:trPr>
          <w:trHeight w:val="23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2010</w:t>
            </w:r>
          </w:p>
        </w:tc>
        <w:tc>
          <w:tcPr>
            <w:tcW w:w="340" w:type="dxa"/>
            <w:vAlign w:val="bottom"/>
            <w:tcBorders>
              <w:bottom w:val="single" w:sz="8" w:color="auto"/>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7,607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6,180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7,634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6,408</w:t>
            </w:r>
          </w:p>
        </w:tc>
        <w:tc>
          <w:tcPr>
            <w:tcW w:w="0" w:type="dxa"/>
            <w:vAlign w:val="bottom"/>
          </w:tcPr>
          <w:p>
            <w:pPr>
              <w:spacing w:after="0"/>
              <w:rPr>
                <w:sz w:val="1"/>
                <w:szCs w:val="1"/>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200" w:type="dxa"/>
            <w:vAlign w:val="bottom"/>
          </w:tcPr>
          <w:p>
            <w:pPr>
              <w:spacing w:after="0"/>
              <w:rPr>
                <w:sz w:val="22"/>
                <w:szCs w:val="22"/>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1,352</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27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(886)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(965)</w:t>
            </w:r>
          </w:p>
        </w:tc>
        <w:tc>
          <w:tcPr>
            <w:tcW w:w="3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(2,383)</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(2,322)</w:t>
            </w:r>
          </w:p>
        </w:tc>
        <w:tc>
          <w:tcPr>
            <w:tcW w:w="0" w:type="dxa"/>
            <w:vAlign w:val="bottom"/>
          </w:tcPr>
          <w:p>
            <w:pPr>
              <w:spacing w:after="0"/>
              <w:rPr>
                <w:sz w:val="1"/>
                <w:szCs w:val="1"/>
                <w:color w:val="auto"/>
              </w:rPr>
            </w:pPr>
          </w:p>
        </w:tc>
      </w:tr>
      <w:tr>
        <w:trPr>
          <w:trHeight w:val="241"/>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Balance at end of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39"/>
              <w:spacing w:after="0"/>
              <w:rPr>
                <w:sz w:val="20"/>
                <w:szCs w:val="20"/>
                <w:color w:val="auto"/>
              </w:rPr>
            </w:pPr>
            <w:r>
              <w:rPr>
                <w:rFonts w:ascii="Arial" w:cs="Arial" w:eastAsia="Arial" w:hAnsi="Arial"/>
                <w:sz w:val="16"/>
                <w:szCs w:val="16"/>
                <w:color w:val="auto"/>
              </w:rPr>
              <w:t>8,068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6"/>
                <w:szCs w:val="16"/>
                <w:color w:val="auto"/>
              </w:rPr>
              <w:t>6,567</w:t>
            </w:r>
          </w:p>
        </w:tc>
        <w:tc>
          <w:tcPr>
            <w:tcW w:w="4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8,068</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6,567</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11: Employee and Retiree Benefits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6740" w:type="dxa"/>
            <w:vAlign w:val="bottom"/>
            <w:gridSpan w:val="5"/>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w w:val="98"/>
              </w:rPr>
              <w:t>February 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32"/>
        </w:trPr>
        <w:tc>
          <w:tcPr>
            <w:tcW w:w="51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320"/>
              <w:spacing w:after="0"/>
              <w:rPr>
                <w:sz w:val="20"/>
                <w:szCs w:val="20"/>
                <w:color w:val="auto"/>
              </w:rPr>
            </w:pPr>
            <w:r>
              <w:rPr>
                <w:rFonts w:ascii="Arial" w:cs="Arial" w:eastAsia="Arial" w:hAnsi="Arial"/>
                <w:sz w:val="16"/>
                <w:szCs w:val="16"/>
                <w:b w:val="1"/>
                <w:bCs w:val="1"/>
                <w:color w:val="auto"/>
              </w:rPr>
              <w:t>2011</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25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40,979</w:t>
            </w:r>
          </w:p>
        </w:tc>
        <w:tc>
          <w:tcPr>
            <w:tcW w:w="2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40,327</w:t>
            </w:r>
          </w:p>
        </w:tc>
        <w:tc>
          <w:tcPr>
            <w:tcW w:w="0" w:type="dxa"/>
            <w:vAlign w:val="bottom"/>
          </w:tcPr>
          <w:p>
            <w:pPr>
              <w:spacing w:after="0"/>
              <w:rPr>
                <w:sz w:val="1"/>
                <w:szCs w:val="1"/>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Non-qualified deferred compensation</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25,004</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25,372</w:t>
            </w:r>
          </w:p>
        </w:tc>
        <w:tc>
          <w:tcPr>
            <w:tcW w:w="0" w:type="dxa"/>
            <w:vAlign w:val="bottom"/>
          </w:tcPr>
          <w:p>
            <w:pPr>
              <w:spacing w:after="0"/>
              <w:rPr>
                <w:sz w:val="1"/>
                <w:szCs w:val="1"/>
                <w:color w:val="auto"/>
              </w:rPr>
            </w:pP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10,599</w:t>
            </w: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8,698</w:t>
            </w:r>
          </w:p>
        </w:tc>
        <w:tc>
          <w:tcPr>
            <w:tcW w:w="0" w:type="dxa"/>
            <w:vAlign w:val="bottom"/>
          </w:tcPr>
          <w:p>
            <w:pPr>
              <w:spacing w:after="0"/>
              <w:rPr>
                <w:sz w:val="1"/>
                <w:szCs w:val="1"/>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SERP benefit liability</w:t>
            </w: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3,209</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3,107</w:t>
            </w:r>
          </w:p>
        </w:tc>
        <w:tc>
          <w:tcPr>
            <w:tcW w:w="0" w:type="dxa"/>
            <w:vAlign w:val="bottom"/>
          </w:tcPr>
          <w:p>
            <w:pPr>
              <w:spacing w:after="0"/>
              <w:rPr>
                <w:sz w:val="1"/>
                <w:szCs w:val="1"/>
                <w:color w:val="auto"/>
              </w:rPr>
            </w:pPr>
          </w:p>
        </w:tc>
      </w:tr>
      <w:tr>
        <w:trPr>
          <w:trHeight w:val="27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49"/>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79,879</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77,578</w:t>
            </w:r>
          </w:p>
        </w:tc>
        <w:tc>
          <w:tcPr>
            <w:tcW w:w="0" w:type="dxa"/>
            <w:vAlign w:val="bottom"/>
          </w:tcPr>
          <w:p>
            <w:pPr>
              <w:spacing w:after="0"/>
              <w:rPr>
                <w:sz w:val="1"/>
                <w:szCs w:val="1"/>
                <w:color w:val="auto"/>
              </w:rPr>
            </w:pPr>
          </w:p>
        </w:tc>
      </w:tr>
      <w:tr>
        <w:trPr>
          <w:trHeight w:val="271"/>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(4,039)</w:t>
            </w:r>
          </w:p>
        </w:tc>
        <w:tc>
          <w:tcPr>
            <w:tcW w:w="2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(3,997)</w:t>
            </w:r>
          </w:p>
        </w:tc>
        <w:tc>
          <w:tcPr>
            <w:tcW w:w="0" w:type="dxa"/>
            <w:vAlign w:val="bottom"/>
          </w:tcPr>
          <w:p>
            <w:pPr>
              <w:spacing w:after="0"/>
              <w:rPr>
                <w:sz w:val="1"/>
                <w:szCs w:val="1"/>
                <w:color w:val="auto"/>
              </w:rPr>
            </w:pPr>
          </w:p>
        </w:tc>
      </w:tr>
      <w:tr>
        <w:trPr>
          <w:trHeight w:val="242"/>
        </w:trPr>
        <w:tc>
          <w:tcPr>
            <w:tcW w:w="5360" w:type="dxa"/>
            <w:vAlign w:val="bottom"/>
            <w:gridSpan w:val="3"/>
          </w:tcPr>
          <w:p>
            <w:pPr>
              <w:ind w:left="40"/>
              <w:spacing w:after="0"/>
              <w:rPr>
                <w:sz w:val="20"/>
                <w:szCs w:val="20"/>
                <w:color w:val="auto"/>
              </w:rPr>
            </w:pPr>
            <w:r>
              <w:rPr>
                <w:rFonts w:ascii="Arial" w:cs="Arial" w:eastAsia="Arial" w:hAnsi="Arial"/>
                <w:sz w:val="16"/>
                <w:szCs w:val="16"/>
                <w:color w:val="auto"/>
              </w:rPr>
              <w:t>Long-term postretirement health care and deferred compensation benefits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75,840</w:t>
            </w:r>
          </w:p>
        </w:tc>
        <w:tc>
          <w:tcPr>
            <w:tcW w:w="22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73,581</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Health Care Benefits</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 Net periodic postretirement benefit income consisted of the following components: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159"/>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3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27,</w:t>
            </w:r>
          </w:p>
        </w:tc>
        <w:tc>
          <w:tcPr>
            <w:tcW w:w="24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26,</w:t>
            </w:r>
          </w:p>
        </w:tc>
        <w:tc>
          <w:tcPr>
            <w:tcW w:w="240" w:type="dxa"/>
            <w:vAlign w:val="bottom"/>
          </w:tcPr>
          <w:p>
            <w:pPr>
              <w:spacing w:after="0"/>
              <w:rPr>
                <w:sz w:val="16"/>
                <w:szCs w:val="16"/>
                <w:color w:val="auto"/>
              </w:rPr>
            </w:pP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February 27,</w:t>
            </w:r>
          </w:p>
        </w:tc>
      </w:tr>
      <w:tr>
        <w:trPr>
          <w:trHeight w:val="232"/>
        </w:trPr>
        <w:tc>
          <w:tcPr>
            <w:tcW w:w="3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2010</w:t>
            </w:r>
          </w:p>
        </w:tc>
      </w:tr>
      <w:tr>
        <w:trPr>
          <w:trHeight w:val="254"/>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477</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494</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953</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988</w:t>
            </w:r>
          </w:p>
        </w:tc>
      </w:tr>
      <w:tr>
        <w:trPr>
          <w:trHeight w:val="262"/>
        </w:trPr>
        <w:tc>
          <w:tcPr>
            <w:tcW w:w="39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2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152</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139</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color w:val="auto"/>
              </w:rPr>
              <w:t>304</w:t>
            </w: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80" w:type="dxa"/>
            <w:vAlign w:val="bottom"/>
          </w:tcPr>
          <w:p>
            <w:pPr>
              <w:jc w:val="right"/>
              <w:ind w:right="359"/>
              <w:spacing w:after="0"/>
              <w:rPr>
                <w:sz w:val="20"/>
                <w:szCs w:val="20"/>
                <w:color w:val="auto"/>
              </w:rPr>
            </w:pPr>
            <w:r>
              <w:rPr>
                <w:rFonts w:ascii="Arial" w:cs="Arial" w:eastAsia="Arial" w:hAnsi="Arial"/>
                <w:sz w:val="16"/>
                <w:szCs w:val="16"/>
                <w:color w:val="auto"/>
              </w:rPr>
              <w:t>278</w:t>
            </w:r>
          </w:p>
        </w:tc>
      </w:tr>
      <w:tr>
        <w:trPr>
          <w:trHeight w:val="271"/>
        </w:trPr>
        <w:tc>
          <w:tcPr>
            <w:tcW w:w="3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amortization and deferral</w:t>
            </w:r>
          </w:p>
        </w:tc>
        <w:tc>
          <w:tcPr>
            <w:tcW w:w="2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(776)</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(831)</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(1,552)</w:t>
            </w:r>
          </w:p>
        </w:tc>
        <w:tc>
          <w:tcPr>
            <w:tcW w:w="2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(1,662)</w:t>
            </w:r>
          </w:p>
        </w:tc>
      </w:tr>
      <w:tr>
        <w:trPr>
          <w:trHeight w:val="242"/>
        </w:trPr>
        <w:tc>
          <w:tcPr>
            <w:tcW w:w="3960" w:type="dxa"/>
            <w:vAlign w:val="bottom"/>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(147)</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(198)</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(295)</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(396)</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52"/>
        </w:trPr>
        <w:tc>
          <w:tcPr>
            <w:tcW w:w="3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299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278</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605</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461</w:t>
            </w: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540"/>
        <w:spacing w:after="0" w:line="269" w:lineRule="auto"/>
        <w:rPr>
          <w:sz w:val="20"/>
          <w:szCs w:val="20"/>
          <w:color w:val="auto"/>
        </w:rPr>
      </w:pPr>
      <w:r>
        <w:rPr>
          <w:rFonts w:ascii="Arial" w:cs="Arial" w:eastAsia="Arial" w:hAnsi="Arial"/>
          <w:sz w:val="16"/>
          <w:szCs w:val="16"/>
          <w:color w:val="auto"/>
        </w:rPr>
        <w:t>For accounting purposes, we recognized income from the plan for the second quarter and the six months of both Fiscal 2011 and Fiscal 2010 due to the amortization of the cost savings from an amendment effective September 2004, which amended our postretirement health care benefit by establishing a maximum employer contribution amount.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Generally, companies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recreational vehicle purchased.</w:t>
      </w:r>
    </w:p>
    <w:p>
      <w:pPr>
        <w:spacing w:after="0" w:line="215"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$164.0 million and $155.5 million at February 26, 2011 and August 28, 2010, respectively.</w:t>
      </w: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$8.2 million and $4.5 million at February 26, 2011 and August 28, 2010, respectively.</w:t>
      </w:r>
    </w:p>
    <w:p>
      <w:pPr>
        <w:sectPr>
          <w:pgSz w:w="11900" w:h="16838" w:orient="portrait"/>
          <w:cols w:equalWidth="0" w:num="1">
            <w:col w:w="11420"/>
          </w:cols>
          <w:pgMar w:left="240" w:top="118" w:right="239" w:bottom="1440"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Our risk of loss related to these repurchase commitments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Accrued loss on repurchases were $981,000 as of February 26, 2011 and $1.4 million as of August 28, 2010.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92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9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6"/>
                <w:szCs w:val="16"/>
                <w:b w:val="1"/>
                <w:bCs w:val="1"/>
                <w:color w:val="auto"/>
              </w:rPr>
              <w:t>Quarter Ended</w:t>
            </w:r>
          </w:p>
        </w:tc>
        <w:tc>
          <w:tcPr>
            <w:tcW w:w="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w:t>
            </w:r>
          </w:p>
        </w:tc>
        <w:tc>
          <w:tcPr>
            <w:tcW w:w="180" w:type="dxa"/>
            <w:vAlign w:val="bottom"/>
          </w:tcPr>
          <w:p>
            <w:pPr>
              <w:spacing w:after="0"/>
              <w:rPr>
                <w:sz w:val="16"/>
                <w:szCs w:val="16"/>
                <w:color w:val="auto"/>
              </w:rPr>
            </w:pPr>
          </w:p>
        </w:tc>
        <w:tc>
          <w:tcPr>
            <w:tcW w:w="164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16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26,</w:t>
            </w:r>
          </w:p>
        </w:tc>
        <w:tc>
          <w:tcPr>
            <w:tcW w:w="16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27,</w:t>
            </w:r>
          </w:p>
        </w:tc>
      </w:tr>
      <w:tr>
        <w:trPr>
          <w:trHeight w:val="232"/>
        </w:trPr>
        <w:tc>
          <w:tcPr>
            <w:tcW w:w="20" w:type="dxa"/>
            <w:vAlign w:val="bottom"/>
          </w:tcPr>
          <w:p>
            <w:pPr>
              <w:spacing w:after="0"/>
              <w:rPr>
                <w:sz w:val="20"/>
                <w:szCs w:val="20"/>
                <w:color w:val="auto"/>
              </w:rPr>
            </w:pP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2010</w:t>
            </w:r>
          </w:p>
        </w:tc>
      </w:tr>
      <w:tr>
        <w:trPr>
          <w:trHeight w:val="267"/>
        </w:trPr>
        <w:tc>
          <w:tcPr>
            <w:tcW w:w="20" w:type="dxa"/>
            <w:vAlign w:val="bottom"/>
          </w:tcPr>
          <w:p>
            <w:pPr>
              <w:spacing w:after="0"/>
              <w:rPr>
                <w:sz w:val="23"/>
                <w:szCs w:val="23"/>
                <w:color w:val="auto"/>
              </w:rPr>
            </w:pPr>
          </w:p>
        </w:tc>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 repurchased</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20" w:type="dxa"/>
            <w:vAlign w:val="bottom"/>
          </w:tcPr>
          <w:p>
            <w:pPr>
              <w:spacing w:after="0"/>
              <w:rPr>
                <w:sz w:val="22"/>
                <w:szCs w:val="22"/>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278"/>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220</w:t>
            </w:r>
          </w:p>
        </w:tc>
      </w:tr>
      <w:tr>
        <w:trPr>
          <w:trHeight w:val="262"/>
        </w:trPr>
        <w:tc>
          <w:tcPr>
            <w:tcW w:w="2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6"/>
                <w:szCs w:val="16"/>
                <w:color w:val="auto"/>
              </w:rPr>
              <w:t>Inventory resold</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8"/>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62"/>
        </w:trPr>
        <w:tc>
          <w:tcPr>
            <w:tcW w:w="20" w:type="dxa"/>
            <w:vAlign w:val="bottom"/>
          </w:tcPr>
          <w:p>
            <w:pPr>
              <w:spacing w:after="0"/>
              <w:rPr>
                <w:sz w:val="22"/>
                <w:szCs w:val="22"/>
                <w:color w:val="auto"/>
              </w:rPr>
            </w:pPr>
          </w:p>
        </w:tc>
        <w:tc>
          <w:tcPr>
            <w:tcW w:w="4900" w:type="dxa"/>
            <w:vAlign w:val="bottom"/>
          </w:tcPr>
          <w:p>
            <w:pPr>
              <w:ind w:left="240"/>
              <w:spacing w:after="0"/>
              <w:rPr>
                <w:sz w:val="20"/>
                <w:szCs w:val="20"/>
                <w:color w:val="auto"/>
              </w:rPr>
            </w:pPr>
            <w:r>
              <w:rPr>
                <w:rFonts w:ascii="Arial" w:cs="Arial" w:eastAsia="Arial" w:hAnsi="Arial"/>
                <w:sz w:val="16"/>
                <w:szCs w:val="16"/>
                <w:color w:val="auto"/>
              </w:rPr>
              <w:t>Cash collected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3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252</w:t>
            </w:r>
          </w:p>
        </w:tc>
      </w:tr>
      <w:tr>
        <w:trPr>
          <w:trHeight w:val="278"/>
        </w:trPr>
        <w:tc>
          <w:tcPr>
            <w:tcW w:w="20" w:type="dxa"/>
            <w:vAlign w:val="bottom"/>
          </w:tcPr>
          <w:p>
            <w:pPr>
              <w:spacing w:after="0"/>
              <w:rPr>
                <w:sz w:val="24"/>
                <w:szCs w:val="24"/>
                <w:color w:val="auto"/>
              </w:rPr>
            </w:pPr>
          </w:p>
        </w:tc>
        <w:tc>
          <w:tcPr>
            <w:tcW w:w="4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recognized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3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23"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Income Taxes</w:t>
      </w:r>
    </w:p>
    <w:p>
      <w:pPr>
        <w:spacing w:after="0" w:line="250" w:lineRule="exact"/>
        <w:rPr>
          <w:sz w:val="20"/>
          <w:szCs w:val="20"/>
          <w:color w:val="auto"/>
        </w:rPr>
      </w:pPr>
    </w:p>
    <w:p>
      <w:pPr>
        <w:jc w:val="both"/>
        <w:ind w:right="120"/>
        <w:spacing w:after="0" w:line="269" w:lineRule="auto"/>
        <w:rPr>
          <w:sz w:val="20"/>
          <w:szCs w:val="20"/>
          <w:color w:val="auto"/>
        </w:rPr>
      </w:pPr>
      <w:r>
        <w:rPr>
          <w:rFonts w:ascii="Arial" w:cs="Arial" w:eastAsia="Arial" w:hAnsi="Arial"/>
          <w:sz w:val="16"/>
          <w:szCs w:val="16"/>
          <w:color w:val="auto"/>
        </w:rPr>
        <w:t xml:space="preserve">We account for income taxes under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20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February 26, 2011 and August 28, 2010, we have applied a full valuation allowance of $40.6 million and $41.8 million, respectively, against our deferred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was appropriate as of February 26, 2011.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223"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Our federal tax returns have been audited by the Internal Revenue Service (IRS) through Fiscal 2008. Our Fiscal 2009 federal income tax return is currently under examination by the IRS. Although certain years are no longer subject to examinations by the IRS and various state taxing authorities, net operating loss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21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February 26, 2011, our unrecognized tax benefits were $5.6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February 26, 2011, we had accrued $2.5 million in interest and penalties. We do not anticipate any significant changes in unrecognized tax benefits within the next twelve months. Actual results may differ materially from this estimate.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121" w:right="25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5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59"/>
        </w:trPr>
        <w:tc>
          <w:tcPr>
            <w:tcW w:w="5860" w:type="dxa"/>
            <w:vAlign w:val="bottom"/>
            <w:gridSpan w:val="2"/>
          </w:tcPr>
          <w:p>
            <w:pPr>
              <w:spacing w:after="0"/>
              <w:rPr>
                <w:sz w:val="20"/>
                <w:szCs w:val="20"/>
                <w:color w:val="auto"/>
              </w:rPr>
            </w:pPr>
            <w:r>
              <w:rPr>
                <w:rFonts w:ascii="Arial" w:cs="Arial" w:eastAsia="Arial" w:hAnsi="Arial"/>
                <w:sz w:val="16"/>
                <w:szCs w:val="16"/>
                <w:b w:val="1"/>
                <w:bCs w:val="1"/>
                <w:color w:val="auto"/>
              </w:rPr>
              <w:t>Note 14: Income Per Share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8"/>
        </w:trPr>
        <w:tc>
          <w:tcPr>
            <w:tcW w:w="5860" w:type="dxa"/>
            <w:vAlign w:val="bottom"/>
            <w:gridSpan w:val="2"/>
          </w:tcPr>
          <w:p>
            <w:pPr>
              <w:spacing w:after="0"/>
              <w:rPr>
                <w:sz w:val="20"/>
                <w:szCs w:val="20"/>
                <w:color w:val="auto"/>
              </w:rPr>
            </w:pPr>
            <w:r>
              <w:rPr>
                <w:rFonts w:ascii="Arial" w:cs="Arial" w:eastAsia="Arial" w:hAnsi="Arial"/>
                <w:sz w:val="16"/>
                <w:szCs w:val="16"/>
                <w:color w:val="auto"/>
              </w:rPr>
              <w:t>The following table reflects the calculation of basic and diluted income per share: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16"/>
                <w:szCs w:val="16"/>
                <w:b w:val="1"/>
                <w:bCs w:val="1"/>
                <w:color w:val="auto"/>
              </w:rPr>
              <w:t>Quarter Ended</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41"/>
              <w:spacing w:after="0"/>
              <w:rPr>
                <w:sz w:val="20"/>
                <w:szCs w:val="20"/>
                <w:color w:val="auto"/>
              </w:rPr>
            </w:pPr>
            <w:r>
              <w:rPr>
                <w:rFonts w:ascii="Arial" w:cs="Arial" w:eastAsia="Arial" w:hAnsi="Arial"/>
                <w:sz w:val="16"/>
                <w:szCs w:val="16"/>
                <w:b w:val="1"/>
                <w:bCs w:val="1"/>
                <w:color w:val="auto"/>
              </w:rPr>
              <w:t>Six Months Ended</w:t>
            </w:r>
          </w:p>
        </w:tc>
      </w:tr>
      <w:tr>
        <w:trPr>
          <w:trHeight w:val="171"/>
        </w:trPr>
        <w:tc>
          <w:tcPr>
            <w:tcW w:w="12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26,</w:t>
            </w: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27,</w:t>
            </w: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February 26,</w:t>
            </w:r>
          </w:p>
        </w:tc>
        <w:tc>
          <w:tcPr>
            <w:tcW w:w="200" w:type="dxa"/>
            <w:vAlign w:val="bottom"/>
          </w:tcPr>
          <w:p>
            <w:pPr>
              <w:spacing w:after="0"/>
              <w:rPr>
                <w:sz w:val="14"/>
                <w:szCs w:val="14"/>
                <w:color w:val="auto"/>
              </w:rPr>
            </w:pPr>
          </w:p>
        </w:tc>
        <w:tc>
          <w:tcPr>
            <w:tcW w:w="1260" w:type="dxa"/>
            <w:vAlign w:val="bottom"/>
          </w:tcPr>
          <w:p>
            <w:pPr>
              <w:jc w:val="right"/>
              <w:ind w:right="241"/>
              <w:spacing w:after="0"/>
              <w:rPr>
                <w:sz w:val="20"/>
                <w:szCs w:val="20"/>
                <w:color w:val="auto"/>
              </w:rPr>
            </w:pPr>
            <w:r>
              <w:rPr>
                <w:rFonts w:ascii="Arial" w:cs="Arial" w:eastAsia="Arial" w:hAnsi="Arial"/>
                <w:sz w:val="14"/>
                <w:szCs w:val="14"/>
                <w:b w:val="1"/>
                <w:bCs w:val="1"/>
                <w:color w:val="auto"/>
              </w:rPr>
              <w:t>February 27,</w:t>
            </w:r>
          </w:p>
        </w:tc>
      </w:tr>
      <w:tr>
        <w:trPr>
          <w:trHeight w:val="203"/>
        </w:trPr>
        <w:tc>
          <w:tcPr>
            <w:tcW w:w="5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2010</w:t>
            </w:r>
          </w:p>
        </w:tc>
      </w:tr>
      <w:tr>
        <w:trPr>
          <w:trHeight w:val="265"/>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(loss) per share - basic:</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62"/>
        </w:trPr>
        <w:tc>
          <w:tcPr>
            <w:tcW w:w="5860" w:type="dxa"/>
            <w:vAlign w:val="bottom"/>
            <w:gridSpan w:val="2"/>
          </w:tcPr>
          <w:p>
            <w:pPr>
              <w:ind w:left="120"/>
              <w:spacing w:after="0"/>
              <w:rPr>
                <w:sz w:val="20"/>
                <w:szCs w:val="20"/>
                <w:color w:val="auto"/>
              </w:rPr>
            </w:pPr>
            <w:r>
              <w:rPr>
                <w:rFonts w:ascii="Arial" w:cs="Arial" w:eastAsia="Arial" w:hAnsi="Arial"/>
                <w:sz w:val="16"/>
                <w:szCs w:val="16"/>
                <w:color w:val="auto"/>
              </w:rPr>
              <w:t>Net income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3,315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7,101</w:t>
            </w:r>
          </w:p>
        </w:tc>
        <w:tc>
          <w:tcPr>
            <w:tcW w:w="1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(638)</w:t>
            </w:r>
          </w:p>
        </w:tc>
      </w:tr>
      <w:tr>
        <w:trPr>
          <w:trHeight w:val="278"/>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29,118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29,080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29,077</w:t>
            </w:r>
          </w:p>
        </w:tc>
      </w:tr>
      <w:tr>
        <w:trPr>
          <w:trHeight w:val="262"/>
        </w:trPr>
        <w:tc>
          <w:tcPr>
            <w:tcW w:w="5860" w:type="dxa"/>
            <w:vAlign w:val="bottom"/>
            <w:gridSpan w:val="2"/>
          </w:tcPr>
          <w:p>
            <w:pPr>
              <w:ind w:left="120"/>
              <w:spacing w:after="0"/>
              <w:rPr>
                <w:sz w:val="20"/>
                <w:szCs w:val="20"/>
                <w:color w:val="auto"/>
              </w:rPr>
            </w:pPr>
            <w:r>
              <w:rPr>
                <w:rFonts w:ascii="Arial" w:cs="Arial" w:eastAsia="Arial" w:hAnsi="Arial"/>
                <w:sz w:val="16"/>
                <w:szCs w:val="16"/>
                <w:color w:val="auto"/>
              </w:rPr>
              <w:t>Net income (loss) per share - basic</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2"/>
                <w:szCs w:val="22"/>
                <w:color w:val="auto"/>
              </w:rPr>
            </w:pPr>
          </w:p>
        </w:tc>
        <w:tc>
          <w:tcPr>
            <w:tcW w:w="200" w:type="dxa"/>
            <w:vAlign w:val="bottom"/>
          </w:tcPr>
          <w:p>
            <w:pPr>
              <w:jc w:val="center"/>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1"/>
              <w:spacing w:after="0"/>
              <w:rPr>
                <w:sz w:val="20"/>
                <w:szCs w:val="20"/>
                <w:color w:val="auto"/>
              </w:rPr>
            </w:pPr>
            <w:r>
              <w:rPr>
                <w:rFonts w:ascii="Arial" w:cs="Arial" w:eastAsia="Arial" w:hAnsi="Arial"/>
                <w:sz w:val="16"/>
                <w:szCs w:val="16"/>
                <w:color w:val="auto"/>
              </w:rPr>
              <w:t>(0.02)</w:t>
            </w:r>
          </w:p>
        </w:tc>
      </w:tr>
      <w:tr>
        <w:trPr>
          <w:trHeight w:val="278"/>
        </w:trPr>
        <w:tc>
          <w:tcPr>
            <w:tcW w:w="1260" w:type="dxa"/>
            <w:vAlign w:val="bottom"/>
            <w:shd w:val="clear" w:color="auto" w:fill="CCEEFF"/>
          </w:tcPr>
          <w:p>
            <w:pPr>
              <w:spacing w:after="0"/>
              <w:rPr>
                <w:sz w:val="24"/>
                <w:szCs w:val="24"/>
                <w:color w:val="auto"/>
              </w:rPr>
            </w:pPr>
          </w:p>
        </w:tc>
        <w:tc>
          <w:tcPr>
            <w:tcW w:w="4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62"/>
        </w:trPr>
        <w:tc>
          <w:tcPr>
            <w:tcW w:w="5860" w:type="dxa"/>
            <w:vAlign w:val="bottom"/>
            <w:gridSpan w:val="2"/>
          </w:tcPr>
          <w:p>
            <w:pPr>
              <w:ind w:left="40"/>
              <w:spacing w:after="0"/>
              <w:rPr>
                <w:sz w:val="20"/>
                <w:szCs w:val="20"/>
                <w:color w:val="auto"/>
              </w:rPr>
            </w:pPr>
            <w:r>
              <w:rPr>
                <w:rFonts w:ascii="Arial" w:cs="Arial" w:eastAsia="Arial" w:hAnsi="Arial"/>
                <w:sz w:val="16"/>
                <w:szCs w:val="16"/>
                <w:color w:val="auto"/>
              </w:rPr>
              <w:t>Income (loss) per share - assuming dilution:</w:t>
            </w: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78"/>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(638)</w:t>
            </w:r>
          </w:p>
        </w:tc>
      </w:tr>
      <w:tr>
        <w:trPr>
          <w:trHeight w:val="262"/>
        </w:trPr>
        <w:tc>
          <w:tcPr>
            <w:tcW w:w="58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outstanding</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29,118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29,080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29,115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29,077</w:t>
            </w:r>
          </w:p>
        </w:tc>
      </w:tr>
      <w:tr>
        <w:trPr>
          <w:trHeight w:val="278"/>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Dilutive impact of options and awards outstanding</w:t>
            </w: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11</w:t>
            </w:r>
          </w:p>
        </w:tc>
      </w:tr>
      <w:tr>
        <w:trPr>
          <w:trHeight w:val="262"/>
        </w:trPr>
        <w:tc>
          <w:tcPr>
            <w:tcW w:w="5860" w:type="dxa"/>
            <w:vAlign w:val="bottom"/>
            <w:gridSpan w:val="2"/>
          </w:tcPr>
          <w:p>
            <w:pPr>
              <w:ind w:left="12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6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29,120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29,091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29,118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right"/>
              <w:ind w:right="241"/>
              <w:spacing w:after="0"/>
              <w:rPr>
                <w:sz w:val="20"/>
                <w:szCs w:val="20"/>
                <w:color w:val="auto"/>
              </w:rPr>
            </w:pPr>
            <w:r>
              <w:rPr>
                <w:rFonts w:ascii="Arial" w:cs="Arial" w:eastAsia="Arial" w:hAnsi="Arial"/>
                <w:sz w:val="16"/>
                <w:szCs w:val="16"/>
                <w:color w:val="auto"/>
              </w:rPr>
              <w:t>29,088</w:t>
            </w:r>
          </w:p>
        </w:tc>
      </w:tr>
      <w:tr>
        <w:trPr>
          <w:trHeight w:val="278"/>
        </w:trPr>
        <w:tc>
          <w:tcPr>
            <w:tcW w:w="5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 (loss) per share - assuming dilution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(0.02)</w:t>
            </w:r>
          </w:p>
        </w:tc>
      </w:tr>
    </w:tbl>
    <w:p>
      <w:pPr>
        <w:spacing w:after="0" w:line="238"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At the end of the second quarters of Fiscal 2011 and Fiscal 2010, there were options outstanding to purchase 923,731 shares and 951,615 shares, respectively, of common stock at an average price of $28.07 and $28.18, respectively, which were not included in the computation of diluted income per share because they are considered anti-dilutive under the treasury stock method per ASC 260.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60" w:type="dxa"/>
            <w:vAlign w:val="bottom"/>
          </w:tcPr>
          <w:p>
            <w:pPr>
              <w:spacing w:after="0"/>
              <w:rPr>
                <w:sz w:val="20"/>
                <w:szCs w:val="20"/>
                <w:color w:val="auto"/>
              </w:rPr>
            </w:pPr>
            <w:r>
              <w:rPr>
                <w:rFonts w:ascii="Arial" w:cs="Arial" w:eastAsia="Arial" w:hAnsi="Arial"/>
                <w:sz w:val="16"/>
                <w:szCs w:val="16"/>
                <w:b w:val="1"/>
                <w:bCs w:val="1"/>
                <w:color w:val="auto"/>
              </w:rPr>
              <w:t>Note 15: Comprehensive Income</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4"/>
        </w:trPr>
        <w:tc>
          <w:tcPr>
            <w:tcW w:w="4860" w:type="dxa"/>
            <w:vAlign w:val="bottom"/>
          </w:tcPr>
          <w:p>
            <w:pPr>
              <w:spacing w:after="0"/>
              <w:rPr>
                <w:sz w:val="20"/>
                <w:szCs w:val="20"/>
                <w:color w:val="auto"/>
              </w:rPr>
            </w:pPr>
            <w:r>
              <w:rPr>
                <w:rFonts w:ascii="Arial" w:cs="Arial" w:eastAsia="Arial" w:hAnsi="Arial"/>
                <w:sz w:val="16"/>
                <w:szCs w:val="16"/>
                <w:color w:val="auto"/>
              </w:rPr>
              <w:t>Comprehensive income, net of tax, consists of:</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0"/>
        </w:trPr>
        <w:tc>
          <w:tcPr>
            <w:tcW w:w="4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Quarter Ended</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Six Months Ended</w:t>
            </w:r>
          </w:p>
        </w:tc>
      </w:tr>
      <w:tr>
        <w:trPr>
          <w:trHeight w:val="193"/>
        </w:trPr>
        <w:tc>
          <w:tcPr>
            <w:tcW w:w="4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w:t>
            </w: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February 27,</w:t>
            </w:r>
          </w:p>
        </w:tc>
        <w:tc>
          <w:tcPr>
            <w:tcW w:w="20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February 26,</w:t>
            </w:r>
          </w:p>
        </w:tc>
        <w:tc>
          <w:tcPr>
            <w:tcW w:w="200" w:type="dxa"/>
            <w:vAlign w:val="bottom"/>
          </w:tcPr>
          <w:p>
            <w:pPr>
              <w:spacing w:after="0"/>
              <w:rPr>
                <w:sz w:val="16"/>
                <w:szCs w:val="16"/>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27,</w:t>
            </w:r>
          </w:p>
        </w:tc>
      </w:tr>
      <w:tr>
        <w:trPr>
          <w:trHeight w:val="23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2010</w:t>
            </w:r>
          </w:p>
        </w:tc>
      </w:tr>
      <w:tr>
        <w:trPr>
          <w:trHeight w:val="254"/>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3,315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706</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(638)</w:t>
            </w: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Amortization of prior service credit</w:t>
            </w:r>
          </w:p>
        </w:tc>
        <w:tc>
          <w:tcPr>
            <w:tcW w:w="18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(655)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(1,310)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color w:val="auto"/>
              </w:rPr>
              <w:t>(1,304)</w:t>
            </w: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actuarial loss</w:t>
            </w: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274</w:t>
            </w:r>
          </w:p>
        </w:tc>
      </w:tr>
      <w:tr>
        <w:trPr>
          <w:trHeight w:val="264"/>
        </w:trPr>
        <w:tc>
          <w:tcPr>
            <w:tcW w:w="4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Unrealized (depreciation) appreciation of investments</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(36)</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97</w:t>
            </w:r>
          </w:p>
        </w:tc>
      </w:tr>
      <w:tr>
        <w:trPr>
          <w:trHeight w:val="242"/>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(1,571)</w:t>
            </w: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Subsequent Event</w:t>
      </w:r>
    </w:p>
    <w:p>
      <w:pPr>
        <w:spacing w:after="0" w:line="26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Human Resources Committee of the Board of Directors of Winnebago Industries, Inc. recommended the award of, and on March 23, 2011, the full Board of Directors approved the award of, grants of 137,000 shares of our restricted common stock under the Winnebago Industries, Inc. 2004 Incentive Compensation Plan, as amended, to our key management group (approximately 60 employees). No restricted stock awards had been granted to key management since October 2007. The Board of Directors also granted 14,000 shares of our restricted common stock to the non-management members of the Board.</w:t>
      </w:r>
    </w:p>
    <w:p>
      <w:pPr>
        <w:spacing w:after="0" w:line="200" w:lineRule="exact"/>
        <w:rPr>
          <w:sz w:val="20"/>
          <w:szCs w:val="20"/>
          <w:color w:val="auto"/>
        </w:rPr>
      </w:pP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$13.49. The fair value of this award to employees is amortized on a straight-line basis over the requisite service period of three years or to an employee's eligible retirement date, if earlier; thus restricted stock awards are expensed immediately upon grant for retirement-eligible employees. Estimated non-cash stock compensation expense based on the restricted stock grants for the third quarter ending May 28, 2011 will be approximately $1.0 million and for the fourth quarter ending August 27, 2011 will be approximately$250,000.</w:t>
      </w:r>
    </w:p>
    <w:p>
      <w:pPr>
        <w:spacing w:after="0" w:line="2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evaluated all other events or transactions occurring between the balance sheet date and the date of issuance of the financial statements that would require recognition or disclosure in the financial statements. There were no additional material subsequent events.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4" w:lineRule="exact"/>
        <w:rPr>
          <w:sz w:val="20"/>
          <w:szCs w:val="20"/>
          <w:color w:val="auto"/>
        </w:rPr>
      </w:pPr>
    </w:p>
    <w:p>
      <w:pPr>
        <w:ind w:right="1060"/>
        <w:spacing w:after="0" w:line="291" w:lineRule="auto"/>
        <w:rPr>
          <w:sz w:val="20"/>
          <w:szCs w:val="20"/>
          <w:color w:val="auto"/>
        </w:rPr>
      </w:pPr>
      <w:r>
        <w:rPr>
          <w:rFonts w:ascii="Arial" w:cs="Arial" w:eastAsia="Arial" w:hAnsi="Arial"/>
          <w:sz w:val="16"/>
          <w:szCs w:val="16"/>
          <w:color w:val="auto"/>
        </w:rPr>
        <w:t>It is suggested that this management's discussion be read in conjunction with the financial statements contained in this Form 10-Q as well as the Management's Discussion and Analysis and Risk Factors included in our Annual Report to Shareholders for the year ended August 28, 2010.</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26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Executive Overview</w:t>
      </w: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Winnebago Industries, Inc. is a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distribute our products through independent dealers throughout the United States and Canada, who then retail the products to the end consumer. We have led the industry with the highest market share in the U.S. of Class A and Class C motor homes combined for the past ten calendar years ending in 2010 according to the most recent Statistical Surveys, Inc. (Statistical Surveys) reporting. We held the number three retail market share position in Canada for calendar 2010, which is approximately 15 percent of the U.S. market. Our retail unit market share, as reported by Statistical Surveys, is as follows: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Month Ended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5120" w:type="dxa"/>
            <w:vAlign w:val="bottom"/>
          </w:tcPr>
          <w:p>
            <w:pPr>
              <w:spacing w:after="0"/>
              <w:rPr>
                <w:sz w:val="21"/>
                <w:szCs w:val="21"/>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January 31,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Calendar Year</w:t>
            </w:r>
          </w:p>
        </w:tc>
        <w:tc>
          <w:tcPr>
            <w:tcW w:w="960" w:type="dxa"/>
            <w:vAlign w:val="bottom"/>
            <w:tcBorders>
              <w:bottom w:val="single" w:sz="8" w:color="auto"/>
            </w:tcBorders>
          </w:tcPr>
          <w:p>
            <w:pPr>
              <w:spacing w:after="0"/>
              <w:rPr>
                <w:sz w:val="21"/>
                <w:szCs w:val="21"/>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U.S. Retail:</w:t>
            </w:r>
          </w:p>
        </w:tc>
        <w:tc>
          <w:tcPr>
            <w:tcW w:w="18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2011</w:t>
            </w: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2010</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2009</w:t>
            </w: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2008</w:t>
            </w:r>
          </w:p>
        </w:tc>
      </w:tr>
      <w:tr>
        <w:trPr>
          <w:trHeight w:val="26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8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25.5%</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22.9%</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23.2%</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8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16.0%</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15.2%</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11.4%</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8.1%</w:t>
            </w: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8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20.8%</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16.6%</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15.3%</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18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19.5%</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22.7%</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22.8%</w:t>
            </w: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8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20.3%</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17.5%</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c>
          <w:tcPr>
            <w:tcW w:w="14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19.1%</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18.3%</w:t>
            </w:r>
          </w:p>
        </w:tc>
      </w:tr>
      <w:tr>
        <w:trPr>
          <w:trHeight w:val="20"/>
        </w:trPr>
        <w:tc>
          <w:tcPr>
            <w:tcW w:w="5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1"/>
        </w:trPr>
        <w:tc>
          <w:tcPr>
            <w:tcW w:w="5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 B</w:t>
            </w:r>
          </w:p>
        </w:tc>
        <w:tc>
          <w:tcPr>
            <w:tcW w:w="18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15.9%</w:t>
            </w:r>
          </w:p>
        </w:tc>
        <w:tc>
          <w:tcPr>
            <w:tcW w:w="14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18.1%</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w:t>
            </w:r>
          </w:p>
        </w:tc>
      </w:tr>
      <w:tr>
        <w:trPr>
          <w:trHeight w:val="20"/>
        </w:trPr>
        <w:tc>
          <w:tcPr>
            <w:tcW w:w="5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2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Month Ended</w:t>
            </w: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0"/>
        </w:trPr>
        <w:tc>
          <w:tcPr>
            <w:tcW w:w="5120" w:type="dxa"/>
            <w:vAlign w:val="bottom"/>
          </w:tcPr>
          <w:p>
            <w:pPr>
              <w:spacing w:after="0"/>
              <w:rPr>
                <w:sz w:val="21"/>
                <w:szCs w:val="21"/>
                <w:color w:val="auto"/>
              </w:rPr>
            </w:pPr>
          </w:p>
        </w:tc>
        <w:tc>
          <w:tcPr>
            <w:tcW w:w="1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January 31,</w:t>
            </w:r>
          </w:p>
        </w:tc>
        <w:tc>
          <w:tcPr>
            <w:tcW w:w="7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Calendar Year</w:t>
            </w:r>
          </w:p>
        </w:tc>
        <w:tc>
          <w:tcPr>
            <w:tcW w:w="960" w:type="dxa"/>
            <w:vAlign w:val="bottom"/>
            <w:tcBorders>
              <w:bottom w:val="single" w:sz="8" w:color="auto"/>
            </w:tcBorders>
          </w:tcPr>
          <w:p>
            <w:pPr>
              <w:spacing w:after="0"/>
              <w:rPr>
                <w:sz w:val="21"/>
                <w:szCs w:val="21"/>
                <w:color w:val="auto"/>
              </w:rPr>
            </w:pPr>
          </w:p>
        </w:tc>
      </w:tr>
      <w:tr>
        <w:trPr>
          <w:trHeight w:val="264"/>
        </w:trPr>
        <w:tc>
          <w:tcPr>
            <w:tcW w:w="5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Canadian Retail:</w:t>
            </w:r>
          </w:p>
        </w:tc>
        <w:tc>
          <w:tcPr>
            <w:tcW w:w="18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2011</w:t>
            </w: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2010</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2010</w:t>
            </w: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2009</w:t>
            </w: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2008</w:t>
            </w:r>
          </w:p>
        </w:tc>
      </w:tr>
      <w:tr>
        <w:trPr>
          <w:trHeight w:val="267"/>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18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15.8%</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13.8%</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18.4%</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18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15.0%</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7.0%</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w:t>
            </w:r>
          </w:p>
        </w:tc>
      </w:tr>
      <w:tr>
        <w:trPr>
          <w:trHeight w:val="270"/>
        </w:trPr>
        <w:tc>
          <w:tcPr>
            <w:tcW w:w="5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188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rPr>
              <w:t>15.4%</w:t>
            </w: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10.0%</w:t>
            </w:r>
          </w:p>
        </w:tc>
        <w:tc>
          <w:tcPr>
            <w:tcW w:w="9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12.4%</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C</w:t>
            </w:r>
          </w:p>
        </w:tc>
        <w:tc>
          <w:tcPr>
            <w:tcW w:w="18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8.0%</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w:t>
            </w:r>
          </w:p>
        </w:tc>
        <w:tc>
          <w:tcPr>
            <w:tcW w:w="2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w:t>
            </w: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9.5%</w:t>
            </w:r>
          </w:p>
        </w:tc>
        <w:tc>
          <w:tcPr>
            <w:tcW w:w="9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19.5%</w:t>
            </w:r>
          </w:p>
        </w:tc>
      </w:tr>
      <w:tr>
        <w:trPr>
          <w:trHeight w:val="269"/>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Class A and C</w:t>
            </w:r>
          </w:p>
        </w:tc>
        <w:tc>
          <w:tcPr>
            <w:tcW w:w="188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rPr>
              <w:t>12.5%</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13.2%</w:t>
            </w:r>
          </w:p>
        </w:tc>
        <w:tc>
          <w:tcPr>
            <w:tcW w:w="14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9.8%</w:t>
            </w:r>
          </w:p>
        </w:tc>
        <w:tc>
          <w:tcPr>
            <w:tcW w:w="9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15.7%</w:t>
            </w:r>
          </w:p>
        </w:tc>
      </w:tr>
      <w:tr>
        <w:trPr>
          <w:trHeight w:val="20"/>
        </w:trPr>
        <w:tc>
          <w:tcPr>
            <w:tcW w:w="5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have seen significant improvement in Fiscal 2011 in our operating performance. Our increased volume has allowed for greater absorption of our fixed costs and improved labor efficiencies, which had a favorable effect on our profit margins. Our average selling price has also increased 10.3 percent due to a stronger mix of higher priced product sold, which has also positively impacted our margins. With dealer inventories at what we believe are reasonable levels for the past few quarters and the aging of our dealer inventory improved as compared to last year, we were able to reduce the level of discounting and retail programs offered, which also had a positive effect on our margins. For the first six months of Fiscal 2011 compared to the same period in Fiscal 2010, our retail registrations are up nearly 20 percent and they were up nearly 22 percent in the second quarter of Fiscal 2011 compared to the same period in Fiscal 2010, which is a very encouraging trend.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49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64"/>
        </w:trPr>
        <w:tc>
          <w:tcPr>
            <w:tcW w:w="6580" w:type="dxa"/>
            <w:vAlign w:val="bottom"/>
            <w:gridSpan w:val="4"/>
          </w:tcPr>
          <w:p>
            <w:pPr>
              <w:spacing w:after="0"/>
              <w:rPr>
                <w:sz w:val="20"/>
                <w:szCs w:val="20"/>
                <w:color w:val="auto"/>
              </w:rPr>
            </w:pPr>
            <w:r>
              <w:rPr>
                <w:rFonts w:ascii="Arial" w:cs="Arial" w:eastAsia="Arial" w:hAnsi="Arial"/>
                <w:sz w:val="16"/>
                <w:szCs w:val="16"/>
                <w:color w:val="auto"/>
              </w:rPr>
              <w:t>Certain key metrics for our Class A, B and C motor homes are provided in the table below:</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01"/>
        </w:trPr>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As of Quarter End</w:t>
            </w:r>
          </w:p>
        </w:tc>
      </w:tr>
      <w:tr>
        <w:trPr>
          <w:trHeight w:val="182"/>
        </w:trPr>
        <w:tc>
          <w:tcPr>
            <w:tcW w:w="4940" w:type="dxa"/>
            <w:vAlign w:val="bottom"/>
            <w:gridSpan w:val="2"/>
          </w:tcPr>
          <w:p>
            <w:pPr>
              <w:ind w:left="40"/>
              <w:spacing w:after="0" w:line="183" w:lineRule="exact"/>
              <w:rPr>
                <w:sz w:val="20"/>
                <w:szCs w:val="20"/>
                <w:color w:val="auto"/>
              </w:rPr>
            </w:pPr>
            <w:r>
              <w:rPr>
                <w:rFonts w:ascii="Arial" w:cs="Arial" w:eastAsia="Arial" w:hAnsi="Arial"/>
                <w:sz w:val="16"/>
                <w:szCs w:val="16"/>
                <w:b w:val="1"/>
                <w:bCs w:val="1"/>
                <w:color w:val="auto"/>
              </w:rPr>
              <w:t>(In units and presented in fiscal quarters, except as noted</w:t>
            </w:r>
          </w:p>
        </w:tc>
        <w:tc>
          <w:tcPr>
            <w:tcW w:w="1640" w:type="dxa"/>
            <w:vAlign w:val="bottom"/>
            <w:gridSpan w:val="2"/>
          </w:tcPr>
          <w:p>
            <w:pPr>
              <w:ind w:left="360"/>
              <w:spacing w:after="0" w:line="183" w:lineRule="exact"/>
              <w:rPr>
                <w:sz w:val="20"/>
                <w:szCs w:val="20"/>
                <w:color w:val="auto"/>
              </w:rPr>
            </w:pPr>
            <w:r>
              <w:rPr>
                <w:rFonts w:ascii="Arial" w:cs="Arial" w:eastAsia="Arial" w:hAnsi="Arial"/>
                <w:sz w:val="16"/>
                <w:szCs w:val="16"/>
                <w:b w:val="1"/>
                <w:bCs w:val="1"/>
                <w:color w:val="auto"/>
              </w:rPr>
              <w:t>Wholesale</w:t>
            </w: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2"/>
        </w:trPr>
        <w:tc>
          <w:tcPr>
            <w:tcW w:w="4940" w:type="dxa"/>
            <w:vAlign w:val="bottom"/>
            <w:gridSpan w:val="2"/>
          </w:tcPr>
          <w:p>
            <w:pPr>
              <w:ind w:left="40"/>
              <w:spacing w:after="0"/>
              <w:rPr>
                <w:sz w:val="20"/>
                <w:szCs w:val="20"/>
                <w:color w:val="auto"/>
              </w:rPr>
            </w:pPr>
            <w:r>
              <w:rPr>
                <w:rFonts w:ascii="Arial" w:cs="Arial" w:eastAsia="Arial" w:hAnsi="Arial"/>
                <w:sz w:val="16"/>
                <w:szCs w:val="16"/>
                <w:b w:val="1"/>
                <w:bCs w:val="1"/>
                <w:color w:val="auto"/>
              </w:rPr>
              <w:t>below)</w:t>
            </w:r>
          </w:p>
        </w:tc>
        <w:tc>
          <w:tcPr>
            <w:tcW w:w="1640" w:type="dxa"/>
            <w:vAlign w:val="bottom"/>
            <w:gridSpan w:val="2"/>
          </w:tcPr>
          <w:p>
            <w:pPr>
              <w:ind w:left="380"/>
              <w:spacing w:after="0"/>
              <w:rPr>
                <w:sz w:val="20"/>
                <w:szCs w:val="20"/>
                <w:color w:val="auto"/>
              </w:rPr>
            </w:pPr>
            <w:r>
              <w:rPr>
                <w:rFonts w:ascii="Arial" w:cs="Arial" w:eastAsia="Arial" w:hAnsi="Arial"/>
                <w:sz w:val="16"/>
                <w:szCs w:val="16"/>
                <w:b w:val="1"/>
                <w:bCs w:val="1"/>
                <w:color w:val="auto"/>
              </w:rPr>
              <w:t>Deliveries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Retail Registrations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Dealer Inventory</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Order Backlog</w:t>
            </w:r>
          </w:p>
        </w:tc>
      </w:tr>
      <w:tr>
        <w:trPr>
          <w:trHeight w:val="254"/>
        </w:trPr>
        <w:tc>
          <w:tcPr>
            <w:tcW w:w="49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3rd Quarter 2009</w:t>
            </w:r>
          </w:p>
        </w:tc>
        <w:tc>
          <w:tcPr>
            <w:tcW w:w="154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620</w:t>
            </w:r>
          </w:p>
        </w:tc>
        <w:tc>
          <w:tcPr>
            <w:tcW w:w="100" w:type="dxa"/>
            <w:vAlign w:val="bottom"/>
            <w:tcBorders>
              <w:top w:val="single" w:sz="8" w:color="CCEEFF"/>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1,214</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2,324</w:t>
            </w:r>
          </w:p>
        </w:tc>
        <w:tc>
          <w:tcPr>
            <w:tcW w:w="100" w:type="dxa"/>
            <w:vAlign w:val="bottom"/>
            <w:tcBorders>
              <w:top w:val="single" w:sz="8" w:color="CCEEFF"/>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382</w:t>
            </w:r>
          </w:p>
        </w:tc>
      </w:tr>
      <w:tr>
        <w:trPr>
          <w:trHeight w:val="262"/>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4th Quarter 2009</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2"/>
                <w:szCs w:val="22"/>
                <w:color w:val="auto"/>
              </w:rPr>
            </w:pP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1,694</w:t>
            </w:r>
          </w:p>
        </w:tc>
        <w:tc>
          <w:tcPr>
            <w:tcW w:w="100" w:type="dxa"/>
            <w:vAlign w:val="bottom"/>
          </w:tcPr>
          <w:p>
            <w:pPr>
              <w:spacing w:after="0"/>
              <w:rPr>
                <w:sz w:val="22"/>
                <w:szCs w:val="22"/>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940</w:t>
            </w:r>
          </w:p>
        </w:tc>
      </w:tr>
      <w:tr>
        <w:trPr>
          <w:trHeight w:val="278"/>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1st Quarter 2010</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794</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921</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1,521</w:t>
            </w:r>
          </w:p>
        </w:tc>
      </w:tr>
      <w:tr>
        <w:trPr>
          <w:trHeight w:val="264"/>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2nd Quarter 2010</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jc w:val="right"/>
              <w:ind w:right="33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1,159</w:t>
            </w:r>
          </w:p>
        </w:tc>
      </w:tr>
      <w:tr>
        <w:trPr>
          <w:trHeight w:val="242"/>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 (Mar 2009 through Feb 2010)</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71"/>
        </w:trPr>
        <w:tc>
          <w:tcPr>
            <w:tcW w:w="12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7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3rd Quarter 2010</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1,366</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935</w:t>
            </w:r>
          </w:p>
        </w:tc>
      </w:tr>
      <w:tr>
        <w:trPr>
          <w:trHeight w:val="262"/>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4th Quarter 2010</w:t>
            </w:r>
          </w:p>
        </w:tc>
        <w:tc>
          <w:tcPr>
            <w:tcW w:w="1540" w:type="dxa"/>
            <w:vAlign w:val="bottom"/>
          </w:tcPr>
          <w:p>
            <w:pPr>
              <w:jc w:val="right"/>
              <w:ind w:right="279"/>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22"/>
                <w:szCs w:val="22"/>
                <w:color w:val="auto"/>
              </w:rPr>
            </w:pPr>
          </w:p>
        </w:tc>
        <w:tc>
          <w:tcPr>
            <w:tcW w:w="1700" w:type="dxa"/>
            <w:vAlign w:val="bottom"/>
          </w:tcPr>
          <w:p>
            <w:pPr>
              <w:jc w:val="right"/>
              <w:ind w:right="39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22"/>
                <w:szCs w:val="22"/>
                <w:color w:val="auto"/>
              </w:rPr>
            </w:pPr>
          </w:p>
        </w:tc>
        <w:tc>
          <w:tcPr>
            <w:tcW w:w="1540" w:type="dxa"/>
            <w:vAlign w:val="bottom"/>
          </w:tcPr>
          <w:p>
            <w:pPr>
              <w:jc w:val="right"/>
              <w:ind w:right="339"/>
              <w:spacing w:after="0"/>
              <w:rPr>
                <w:sz w:val="20"/>
                <w:szCs w:val="20"/>
                <w:color w:val="auto"/>
              </w:rPr>
            </w:pPr>
            <w:r>
              <w:rPr>
                <w:rFonts w:ascii="Arial" w:cs="Arial" w:eastAsia="Arial" w:hAnsi="Arial"/>
                <w:sz w:val="16"/>
                <w:szCs w:val="16"/>
                <w:color w:val="auto"/>
              </w:rPr>
              <w:t>2,044</w:t>
            </w:r>
          </w:p>
        </w:tc>
        <w:tc>
          <w:tcPr>
            <w:tcW w:w="100" w:type="dxa"/>
            <w:vAlign w:val="bottom"/>
          </w:tcPr>
          <w:p>
            <w:pPr>
              <w:spacing w:after="0"/>
              <w:rPr>
                <w:sz w:val="22"/>
                <w:szCs w:val="22"/>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818</w:t>
            </w:r>
          </w:p>
        </w:tc>
      </w:tr>
      <w:tr>
        <w:trPr>
          <w:trHeight w:val="278"/>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1st Quarter 2011</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1,115</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2,066</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698</w:t>
            </w:r>
          </w:p>
        </w:tc>
      </w:tr>
      <w:tr>
        <w:trPr>
          <w:trHeight w:val="264"/>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2nd Quarter 2011</w:t>
            </w:r>
          </w:p>
        </w:tc>
        <w:tc>
          <w:tcPr>
            <w:tcW w:w="15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909</w:t>
            </w:r>
          </w:p>
        </w:tc>
        <w:tc>
          <w:tcPr>
            <w:tcW w:w="10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796</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CCEEFF"/>
            </w:tcBorders>
          </w:tcPr>
          <w:p>
            <w:pPr>
              <w:jc w:val="right"/>
              <w:ind w:right="339"/>
              <w:spacing w:after="0"/>
              <w:rPr>
                <w:sz w:val="20"/>
                <w:szCs w:val="20"/>
                <w:color w:val="auto"/>
              </w:rPr>
            </w:pPr>
            <w:r>
              <w:rPr>
                <w:rFonts w:ascii="Arial" w:cs="Arial" w:eastAsia="Arial" w:hAnsi="Arial"/>
                <w:sz w:val="16"/>
                <w:szCs w:val="16"/>
                <w:color w:val="auto"/>
              </w:rPr>
              <w:t>2,179</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ind w:right="279"/>
              <w:spacing w:after="0"/>
              <w:rPr>
                <w:sz w:val="20"/>
                <w:szCs w:val="20"/>
                <w:color w:val="auto"/>
              </w:rPr>
            </w:pPr>
            <w:r>
              <w:rPr>
                <w:rFonts w:ascii="Arial" w:cs="Arial" w:eastAsia="Arial" w:hAnsi="Arial"/>
                <w:sz w:val="16"/>
                <w:szCs w:val="16"/>
                <w:color w:val="auto"/>
              </w:rPr>
              <w:t>957</w:t>
            </w:r>
          </w:p>
        </w:tc>
      </w:tr>
      <w:tr>
        <w:trPr>
          <w:trHeight w:val="242"/>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months (Mar 2010 through Feb 2011)</w:t>
            </w:r>
          </w:p>
        </w:tc>
        <w:tc>
          <w:tcPr>
            <w:tcW w:w="15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4,554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4,397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67"/>
        </w:trPr>
        <w:tc>
          <w:tcPr>
            <w:tcW w:w="12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40" w:type="dxa"/>
            <w:vAlign w:val="bottom"/>
            <w:gridSpan w:val="2"/>
          </w:tcPr>
          <w:p>
            <w:pPr>
              <w:ind w:left="360"/>
              <w:spacing w:after="0"/>
              <w:rPr>
                <w:sz w:val="20"/>
                <w:szCs w:val="20"/>
                <w:color w:val="auto"/>
              </w:rPr>
            </w:pPr>
            <w:r>
              <w:rPr>
                <w:rFonts w:ascii="Arial" w:cs="Arial" w:eastAsia="Arial" w:hAnsi="Arial"/>
                <w:sz w:val="16"/>
                <w:szCs w:val="16"/>
                <w:b w:val="1"/>
                <w:bCs w:val="1"/>
                <w:color w:val="auto"/>
              </w:rPr>
              <w:t>Wholesale</w:t>
            </w: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Retail</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Dealer</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Order</w:t>
            </w:r>
          </w:p>
        </w:tc>
      </w:tr>
      <w:tr>
        <w:trPr>
          <w:trHeight w:val="232"/>
        </w:trPr>
        <w:tc>
          <w:tcPr>
            <w:tcW w:w="4940" w:type="dxa"/>
            <w:vAlign w:val="bottom"/>
            <w:gridSpan w:val="2"/>
          </w:tcPr>
          <w:p>
            <w:pPr>
              <w:ind w:left="40"/>
              <w:spacing w:after="0"/>
              <w:rPr>
                <w:sz w:val="20"/>
                <w:szCs w:val="20"/>
                <w:color w:val="auto"/>
              </w:rPr>
            </w:pPr>
            <w:r>
              <w:rPr>
                <w:rFonts w:ascii="Arial" w:cs="Arial" w:eastAsia="Arial" w:hAnsi="Arial"/>
                <w:sz w:val="16"/>
                <w:szCs w:val="16"/>
                <w:b w:val="1"/>
                <w:bCs w:val="1"/>
                <w:color w:val="auto"/>
              </w:rPr>
              <w:t>Key comparison increases (decreases):</w:t>
            </w:r>
          </w:p>
        </w:tc>
        <w:tc>
          <w:tcPr>
            <w:tcW w:w="1640" w:type="dxa"/>
            <w:vAlign w:val="bottom"/>
            <w:gridSpan w:val="2"/>
          </w:tcPr>
          <w:p>
            <w:pPr>
              <w:ind w:left="380"/>
              <w:spacing w:after="0"/>
              <w:rPr>
                <w:sz w:val="20"/>
                <w:szCs w:val="20"/>
                <w:color w:val="auto"/>
              </w:rPr>
            </w:pPr>
            <w:r>
              <w:rPr>
                <w:rFonts w:ascii="Arial" w:cs="Arial" w:eastAsia="Arial" w:hAnsi="Arial"/>
                <w:sz w:val="16"/>
                <w:szCs w:val="16"/>
                <w:b w:val="1"/>
                <w:bCs w:val="1"/>
                <w:color w:val="auto"/>
              </w:rPr>
              <w:t>Deliveries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Registrations</w:t>
            </w:r>
          </w:p>
        </w:tc>
        <w:tc>
          <w:tcPr>
            <w:tcW w:w="1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Inventory</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Backlog</w:t>
            </w:r>
          </w:p>
        </w:tc>
      </w:tr>
      <w:tr>
        <w:trPr>
          <w:trHeight w:val="195"/>
        </w:trPr>
        <w:tc>
          <w:tcPr>
            <w:tcW w:w="49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Rolling 12 month comparison (period ended Feb 2011 to period</w:t>
            </w: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234"/>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ended Feb 2010)</w:t>
            </w:r>
          </w:p>
        </w:tc>
        <w:tc>
          <w:tcPr>
            <w:tcW w:w="1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1,426</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NA</w:t>
            </w: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NA</w:t>
            </w:r>
          </w:p>
        </w:tc>
      </w:tr>
      <w:tr>
        <w:trPr>
          <w:trHeight w:val="262"/>
        </w:trPr>
        <w:tc>
          <w:tcPr>
            <w:tcW w:w="12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45.6 %</w:t>
            </w:r>
          </w:p>
        </w:tc>
        <w:tc>
          <w:tcPr>
            <w:tcW w:w="100" w:type="dxa"/>
            <w:vAlign w:val="bottom"/>
          </w:tcPr>
          <w:p>
            <w:pPr>
              <w:spacing w:after="0"/>
              <w:rPr>
                <w:sz w:val="22"/>
                <w:szCs w:val="22"/>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22"/>
                <w:szCs w:val="22"/>
                <w:color w:val="auto"/>
              </w:rPr>
            </w:pPr>
          </w:p>
        </w:tc>
        <w:tc>
          <w:tcPr>
            <w:tcW w:w="1640" w:type="dxa"/>
            <w:vAlign w:val="bottom"/>
            <w:gridSpan w:val="2"/>
          </w:tcPr>
          <w:p>
            <w:pPr>
              <w:ind w:left="900"/>
              <w:spacing w:after="0"/>
              <w:rPr>
                <w:sz w:val="20"/>
                <w:szCs w:val="20"/>
                <w:color w:val="auto"/>
              </w:rPr>
            </w:pPr>
            <w:r>
              <w:rPr>
                <w:rFonts w:ascii="Arial" w:cs="Arial" w:eastAsia="Arial" w:hAnsi="Arial"/>
                <w:sz w:val="16"/>
                <w:szCs w:val="16"/>
                <w:color w:val="auto"/>
              </w:rPr>
              <w:t>NA</w:t>
            </w:r>
          </w:p>
        </w:tc>
        <w:tc>
          <w:tcPr>
            <w:tcW w:w="1400" w:type="dxa"/>
            <w:vAlign w:val="bottom"/>
          </w:tcPr>
          <w:p>
            <w:pPr>
              <w:jc w:val="right"/>
              <w:ind w:right="279"/>
              <w:spacing w:after="0"/>
              <w:rPr>
                <w:sz w:val="20"/>
                <w:szCs w:val="20"/>
                <w:color w:val="auto"/>
              </w:rPr>
            </w:pPr>
            <w:r>
              <w:rPr>
                <w:rFonts w:ascii="Arial" w:cs="Arial" w:eastAsia="Arial" w:hAnsi="Arial"/>
                <w:sz w:val="16"/>
                <w:szCs w:val="16"/>
                <w:color w:val="auto"/>
              </w:rPr>
              <w:t>NA</w:t>
            </w:r>
          </w:p>
        </w:tc>
      </w:tr>
      <w:tr>
        <w:trPr>
          <w:trHeight w:val="278"/>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2nd quarter Fiscal 2011 as compared to 2nd quarter Fiscal 2010</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(202)</w:t>
            </w:r>
          </w:p>
        </w:tc>
      </w:tr>
      <w:tr>
        <w:trPr>
          <w:trHeight w:val="262"/>
        </w:trPr>
        <w:tc>
          <w:tcPr>
            <w:tcW w:w="12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2"/>
                <w:szCs w:val="22"/>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color w:val="auto"/>
              </w:rPr>
              <w:t>21.7 %</w:t>
            </w:r>
          </w:p>
        </w:tc>
        <w:tc>
          <w:tcPr>
            <w:tcW w:w="10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2"/>
                <w:szCs w:val="22"/>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(17.4)%</w:t>
            </w:r>
          </w:p>
        </w:tc>
      </w:tr>
      <w:tr>
        <w:trPr>
          <w:trHeight w:val="278"/>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2nd quarter Fiscal 2011 as compared to 1st quarter Fiscal 2011</w:t>
            </w:r>
          </w:p>
        </w:tc>
        <w:tc>
          <w:tcPr>
            <w:tcW w:w="1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259</w:t>
            </w:r>
          </w:p>
        </w:tc>
      </w:tr>
      <w:tr>
        <w:trPr>
          <w:trHeight w:val="255"/>
        </w:trPr>
        <w:tc>
          <w:tcPr>
            <w:tcW w:w="126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22"/>
                <w:szCs w:val="22"/>
                <w:color w:val="auto"/>
              </w:rPr>
            </w:pPr>
          </w:p>
        </w:tc>
        <w:tc>
          <w:tcPr>
            <w:tcW w:w="1700" w:type="dxa"/>
            <w:vAlign w:val="bottom"/>
          </w:tcPr>
          <w:p>
            <w:pPr>
              <w:jc w:val="right"/>
              <w:ind w:right="19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2"/>
                <w:szCs w:val="22"/>
                <w:color w:val="auto"/>
              </w:rPr>
            </w:pP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37.1 %</w:t>
            </w:r>
          </w:p>
        </w:tc>
      </w:tr>
    </w:tbl>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December 29, 2010, through a newly formed, wholly-owned subsidiary, Winnebago of Indiana, LLC, we purchased substantially all of the assets of SunnyBrook RV, Inc. ("SunnyBrook"), a manufacturer of travel trailer and fifth wheel recreation vehicles located in Middlebury, Indiana. The aggregate consideration paid was $5.6 million in cash including the repayment of $3.3 million of SunnyBrook commercial and shareholder debt on the transaction date. SunnyBrook operates as a wholly-owned subsidiary known as Winnebago Industries Towables ("WT") and will continue to manufacture products under the SunnyBrook brands consisting of Harmony, Brookside, Bristol Bay, Edgewater and Sunset Creek travel trailers and Harmony, Brookside, Bristol Bay, West Pointe, Big Dog and Titan fifth wheel trailers. In addition, WT plans to diversify the product line to include Winnebago brand trailer and fifth wheel products. See Note 3 for additional information on the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Outlook</w:t>
      </w:r>
    </w:p>
    <w:p>
      <w:pPr>
        <w:spacing w:after="0" w:line="26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motorized RV market was significantly impacted by highly unstable market conditions in recent years. The tightening of the wholesale and retail credit markets, low consumer confidence, the effect of the global recession and uncertainty related to fuel prices placed enormous pressure on retail sales and as a result, dealers significantly reduced their inventory levels. Industry motor home wholesale shipments in the 20 years prior to Calendar 2008 averaged 58,000 units per year, similar to retail demand. In Calendar 2008, shipments dropped 49 percent to 28,300, the lowest deliveries on record since 1971 and then shipments dropped an additional 53 percent in Calendar 2009 to an unprecedented level of 13,200. Retail registrations fell during this same time frame, but not to the same magnitude, resulting in a significant reduction of dealer inventory levels.</w:t>
      </w:r>
    </w:p>
    <w:p>
      <w:pPr>
        <w:spacing w:after="0" w:line="218"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Industry shipments improved dramatically in Calendar 2010 as compared to the prior year and only slightly outpaced retail demand as dealers restocked in the early part of the year. We attribute the recovery to the improvement in wholesale and retail credit availability and also a result of dealer inventory levels reaching equilibrium with retail demand. RVIA has forecasted that shipments in Calendar 2011 will increase by 6 percent to 26,900 units.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(including forecasted information) for the motor home industry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40" w:type="dxa"/>
            <w:vAlign w:val="bottom"/>
            <w:tcBorders>
              <w:bottom w:val="single" w:sz="8" w:color="auto"/>
            </w:tcBorders>
            <w:gridSpan w:val="6"/>
          </w:tcPr>
          <w:p>
            <w:pPr>
              <w:jc w:val="right"/>
              <w:ind w:right="382"/>
              <w:spacing w:after="0"/>
              <w:rPr>
                <w:sz w:val="20"/>
                <w:szCs w:val="20"/>
                <w:color w:val="auto"/>
              </w:rPr>
            </w:pPr>
            <w:r>
              <w:rPr>
                <w:rFonts w:ascii="Arial" w:cs="Arial" w:eastAsia="Arial" w:hAnsi="Arial"/>
                <w:sz w:val="14"/>
                <w:szCs w:val="14"/>
                <w:b w:val="1"/>
                <w:bCs w:val="1"/>
                <w:color w:val="auto"/>
              </w:rPr>
              <w:t>US and Canada Industry Class A, B &amp; C Motor Homes</w:t>
            </w:r>
          </w:p>
        </w:tc>
        <w:tc>
          <w:tcPr>
            <w:tcW w:w="1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311"/>
        </w:trPr>
        <w:tc>
          <w:tcPr>
            <w:tcW w:w="1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Wholesale Shipments</w:t>
            </w:r>
            <w:r>
              <w:rPr>
                <w:rFonts w:ascii="Arial" w:cs="Arial" w:eastAsia="Arial" w:hAnsi="Arial"/>
                <w:sz w:val="17"/>
                <w:szCs w:val="17"/>
                <w:b w:val="1"/>
                <w:bCs w:val="1"/>
                <w:color w:val="auto"/>
                <w:vertAlign w:val="superscript"/>
              </w:rPr>
              <w:t>(1)</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17"/>
                <w:szCs w:val="17"/>
                <w:b w:val="1"/>
                <w:bCs w:val="1"/>
                <w:color w:val="auto"/>
                <w:vertAlign w:val="superscript"/>
              </w:rPr>
              <w:t>(2)</w:t>
            </w:r>
          </w:p>
        </w:tc>
        <w:tc>
          <w:tcPr>
            <w:tcW w:w="1100" w:type="dxa"/>
            <w:vAlign w:val="bottom"/>
          </w:tcPr>
          <w:p>
            <w:pPr>
              <w:spacing w:after="0"/>
              <w:rPr>
                <w:sz w:val="24"/>
                <w:szCs w:val="24"/>
                <w:color w:val="auto"/>
              </w:rPr>
            </w:pPr>
          </w:p>
        </w:tc>
      </w:tr>
      <w:tr>
        <w:trPr>
          <w:trHeight w:val="223"/>
        </w:trPr>
        <w:tc>
          <w:tcPr>
            <w:tcW w:w="196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741"/>
              <w:spacing w:after="0"/>
              <w:rPr>
                <w:sz w:val="20"/>
                <w:szCs w:val="20"/>
                <w:color w:val="auto"/>
              </w:rPr>
            </w:pPr>
            <w:r>
              <w:rPr>
                <w:rFonts w:ascii="Arial" w:cs="Arial" w:eastAsia="Arial" w:hAnsi="Arial"/>
                <w:sz w:val="14"/>
                <w:szCs w:val="14"/>
                <w:b w:val="1"/>
                <w:bCs w:val="1"/>
                <w:color w:val="auto"/>
              </w:rPr>
              <w:t>Calendar Year</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2"/>
          </w:tcPr>
          <w:p>
            <w:pPr>
              <w:jc w:val="right"/>
              <w:ind w:right="681"/>
              <w:spacing w:after="0"/>
              <w:rPr>
                <w:sz w:val="20"/>
                <w:szCs w:val="20"/>
                <w:color w:val="auto"/>
              </w:rPr>
            </w:pPr>
            <w:r>
              <w:rPr>
                <w:rFonts w:ascii="Arial" w:cs="Arial" w:eastAsia="Arial" w:hAnsi="Arial"/>
                <w:sz w:val="14"/>
                <w:szCs w:val="14"/>
                <w:b w:val="1"/>
                <w:bCs w:val="1"/>
                <w:color w:val="auto"/>
              </w:rPr>
              <w:t>Calendar Year</w:t>
            </w:r>
          </w:p>
        </w:tc>
        <w:tc>
          <w:tcPr>
            <w:tcW w:w="1100" w:type="dxa"/>
            <w:vAlign w:val="bottom"/>
            <w:tcBorders>
              <w:bottom w:val="single" w:sz="8" w:color="auto"/>
            </w:tcBorders>
          </w:tcPr>
          <w:p>
            <w:pPr>
              <w:spacing w:after="0"/>
              <w:rPr>
                <w:sz w:val="19"/>
                <w:szCs w:val="19"/>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22"/>
                <w:szCs w:val="22"/>
                <w:color w:val="auto"/>
              </w:rPr>
            </w:pPr>
          </w:p>
        </w:tc>
        <w:tc>
          <w:tcPr>
            <w:tcW w:w="106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1220" w:type="dxa"/>
            <w:vAlign w:val="bottom"/>
          </w:tcPr>
          <w:p>
            <w:pPr>
              <w:jc w:val="right"/>
              <w:ind w:right="301"/>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22"/>
                <w:szCs w:val="22"/>
                <w:color w:val="auto"/>
              </w:rPr>
            </w:pPr>
          </w:p>
        </w:tc>
        <w:tc>
          <w:tcPr>
            <w:tcW w:w="100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1320" w:type="dxa"/>
            <w:vAlign w:val="bottom"/>
          </w:tcPr>
          <w:p>
            <w:pPr>
              <w:jc w:val="right"/>
              <w:ind w:right="341"/>
              <w:spacing w:after="0"/>
              <w:rPr>
                <w:sz w:val="20"/>
                <w:szCs w:val="20"/>
                <w:color w:val="auto"/>
              </w:rPr>
            </w:pPr>
            <w:r>
              <w:rPr>
                <w:rFonts w:ascii="Arial" w:cs="Arial" w:eastAsia="Arial" w:hAnsi="Arial"/>
                <w:sz w:val="14"/>
                <w:szCs w:val="14"/>
                <w:b w:val="1"/>
                <w:bCs w:val="1"/>
                <w:color w:val="auto"/>
              </w:rPr>
              <w:t>Increase</w:t>
            </w:r>
          </w:p>
        </w:tc>
        <w:tc>
          <w:tcPr>
            <w:tcW w:w="1100" w:type="dxa"/>
            <w:vAlign w:val="bottom"/>
          </w:tcPr>
          <w:p>
            <w:pPr>
              <w:jc w:val="right"/>
              <w:ind w:right="161"/>
              <w:spacing w:after="0"/>
              <w:rPr>
                <w:sz w:val="20"/>
                <w:szCs w:val="20"/>
                <w:color w:val="auto"/>
              </w:rPr>
            </w:pPr>
            <w:r>
              <w:rPr>
                <w:rFonts w:ascii="Arial" w:cs="Arial" w:eastAsia="Arial" w:hAnsi="Arial"/>
                <w:sz w:val="14"/>
                <w:szCs w:val="14"/>
                <w:b w:val="1"/>
                <w:bCs w:val="1"/>
                <w:color w:val="auto"/>
              </w:rPr>
              <w:t>Change</w:t>
            </w:r>
          </w:p>
        </w:tc>
      </w:tr>
      <w:tr>
        <w:trPr>
          <w:trHeight w:val="265"/>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3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2,400</w:t>
            </w:r>
          </w:p>
        </w:tc>
        <w:tc>
          <w:tcPr>
            <w:tcW w:w="12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3,300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4,900</w:t>
            </w:r>
          </w:p>
        </w:tc>
        <w:tc>
          <w:tcPr>
            <w:tcW w:w="4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4,800</w:t>
            </w:r>
          </w:p>
        </w:tc>
        <w:tc>
          <w:tcPr>
            <w:tcW w:w="132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100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r>
      <w:tr>
        <w:trPr>
          <w:trHeight w:val="262"/>
        </w:trPr>
        <w:tc>
          <w:tcPr>
            <w:tcW w:w="196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60" w:type="dxa"/>
            <w:vAlign w:val="bottom"/>
          </w:tcPr>
          <w:p>
            <w:pPr>
              <w:jc w:val="right"/>
              <w:spacing w:after="0"/>
              <w:rPr>
                <w:sz w:val="20"/>
                <w:szCs w:val="20"/>
                <w:color w:val="auto"/>
              </w:rPr>
            </w:pPr>
            <w:r>
              <w:rPr>
                <w:rFonts w:ascii="Arial" w:cs="Arial" w:eastAsia="Arial" w:hAnsi="Arial"/>
                <w:sz w:val="16"/>
                <w:szCs w:val="16"/>
                <w:color w:val="auto"/>
              </w:rPr>
              <w:t>7,800</w:t>
            </w:r>
          </w:p>
        </w:tc>
        <w:tc>
          <w:tcPr>
            <w:tcW w:w="380" w:type="dxa"/>
            <w:vAlign w:val="bottom"/>
          </w:tcPr>
          <w:p>
            <w:pPr>
              <w:spacing w:after="0"/>
              <w:rPr>
                <w:sz w:val="22"/>
                <w:szCs w:val="22"/>
                <w:color w:val="auto"/>
              </w:rPr>
            </w:pPr>
          </w:p>
        </w:tc>
        <w:tc>
          <w:tcPr>
            <w:tcW w:w="1060" w:type="dxa"/>
            <w:vAlign w:val="bottom"/>
          </w:tcPr>
          <w:p>
            <w:pPr>
              <w:jc w:val="right"/>
              <w:ind w:right="202"/>
              <w:spacing w:after="0"/>
              <w:rPr>
                <w:sz w:val="20"/>
                <w:szCs w:val="20"/>
                <w:color w:val="auto"/>
              </w:rPr>
            </w:pPr>
            <w:r>
              <w:rPr>
                <w:rFonts w:ascii="Arial" w:cs="Arial" w:eastAsia="Arial" w:hAnsi="Arial"/>
                <w:sz w:val="16"/>
                <w:szCs w:val="16"/>
                <w:color w:val="auto"/>
              </w:rPr>
              <w:t>3,200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4,600</w:t>
            </w:r>
          </w:p>
        </w:tc>
        <w:tc>
          <w:tcPr>
            <w:tcW w:w="1000" w:type="dxa"/>
            <w:vAlign w:val="bottom"/>
          </w:tcPr>
          <w:p>
            <w:pPr>
              <w:jc w:val="right"/>
              <w:spacing w:after="0"/>
              <w:rPr>
                <w:sz w:val="20"/>
                <w:szCs w:val="20"/>
                <w:color w:val="auto"/>
              </w:rPr>
            </w:pPr>
            <w:r>
              <w:rPr>
                <w:rFonts w:ascii="Arial" w:cs="Arial" w:eastAsia="Arial" w:hAnsi="Arial"/>
                <w:sz w:val="16"/>
                <w:szCs w:val="16"/>
                <w:color w:val="auto"/>
              </w:rPr>
              <w:t>143.8%</w:t>
            </w: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8,300</w:t>
            </w:r>
          </w:p>
        </w:tc>
        <w:tc>
          <w:tcPr>
            <w:tcW w:w="440" w:type="dxa"/>
            <w:vAlign w:val="bottom"/>
          </w:tcPr>
          <w:p>
            <w:pPr>
              <w:spacing w:after="0"/>
              <w:rPr>
                <w:sz w:val="22"/>
                <w:szCs w:val="22"/>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7,100</w:t>
            </w:r>
          </w:p>
        </w:tc>
        <w:tc>
          <w:tcPr>
            <w:tcW w:w="1320" w:type="dxa"/>
            <w:vAlign w:val="bottom"/>
          </w:tcPr>
          <w:p>
            <w:pPr>
              <w:jc w:val="right"/>
              <w:ind w:right="281"/>
              <w:spacing w:after="0"/>
              <w:rPr>
                <w:sz w:val="20"/>
                <w:szCs w:val="20"/>
                <w:color w:val="auto"/>
              </w:rPr>
            </w:pPr>
            <w:r>
              <w:rPr>
                <w:rFonts w:ascii="Arial" w:cs="Arial" w:eastAsia="Arial" w:hAnsi="Arial"/>
                <w:sz w:val="16"/>
                <w:szCs w:val="16"/>
                <w:color w:val="auto"/>
              </w:rPr>
              <w:t>1,200</w:t>
            </w:r>
          </w:p>
        </w:tc>
        <w:tc>
          <w:tcPr>
            <w:tcW w:w="1100" w:type="dxa"/>
            <w:vAlign w:val="bottom"/>
          </w:tcPr>
          <w:p>
            <w:pPr>
              <w:jc w:val="right"/>
              <w:spacing w:after="0"/>
              <w:rPr>
                <w:sz w:val="20"/>
                <w:szCs w:val="20"/>
                <w:color w:val="auto"/>
              </w:rPr>
            </w:pPr>
            <w:r>
              <w:rPr>
                <w:rFonts w:ascii="Arial" w:cs="Arial" w:eastAsia="Arial" w:hAnsi="Arial"/>
                <w:sz w:val="16"/>
                <w:szCs w:val="16"/>
                <w:color w:val="auto"/>
              </w:rPr>
              <w:t>16.9 %</w:t>
            </w:r>
          </w:p>
        </w:tc>
      </w:tr>
      <w:tr>
        <w:trPr>
          <w:trHeight w:val="27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3,300</w:t>
            </w:r>
          </w:p>
        </w:tc>
        <w:tc>
          <w:tcPr>
            <w:tcW w:w="122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2,900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5,800</w:t>
            </w:r>
          </w:p>
        </w:tc>
        <w:tc>
          <w:tcPr>
            <w:tcW w:w="13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200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64"/>
        </w:trPr>
        <w:tc>
          <w:tcPr>
            <w:tcW w:w="19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Fourth quarter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5,600</w:t>
            </w: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4,300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1,300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4,200</w:t>
            </w:r>
          </w:p>
        </w:tc>
        <w:tc>
          <w:tcPr>
            <w:tcW w:w="13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300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7.1 %</w:t>
            </w:r>
          </w:p>
        </w:tc>
      </w:tr>
      <w:tr>
        <w:trPr>
          <w:trHeight w:val="269"/>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25,300</w:t>
            </w:r>
          </w:p>
        </w:tc>
        <w:tc>
          <w:tcPr>
            <w:tcW w:w="3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13,200</w:t>
            </w:r>
          </w:p>
        </w:tc>
        <w:tc>
          <w:tcPr>
            <w:tcW w:w="12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12,100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23,700</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21,900</w:t>
            </w:r>
          </w:p>
        </w:tc>
        <w:tc>
          <w:tcPr>
            <w:tcW w:w="132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1,800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8.2 %</w:t>
            </w: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40"/>
        </w:trPr>
        <w:tc>
          <w:tcPr>
            <w:tcW w:w="1960" w:type="dxa"/>
            <w:vAlign w:val="bottom"/>
          </w:tcPr>
          <w:p>
            <w:pPr>
              <w:ind w:left="40"/>
              <w:spacing w:after="0"/>
              <w:rPr>
                <w:sz w:val="20"/>
                <w:szCs w:val="20"/>
                <w:color w:val="auto"/>
              </w:rPr>
            </w:pPr>
            <w:r>
              <w:rPr>
                <w:rFonts w:ascii="Arial" w:cs="Arial" w:eastAsia="Arial" w:hAnsi="Arial"/>
                <w:sz w:val="14"/>
                <w:szCs w:val="14"/>
                <w:b w:val="1"/>
                <w:bCs w:val="1"/>
                <w:color w:val="auto"/>
              </w:rPr>
              <w:t>(In units)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24"/>
                <w:szCs w:val="24"/>
                <w:color w:val="auto"/>
              </w:rPr>
            </w:pPr>
          </w:p>
        </w:tc>
        <w:tc>
          <w:tcPr>
            <w:tcW w:w="1060" w:type="dxa"/>
            <w:vAlign w:val="bottom"/>
          </w:tcPr>
          <w:p>
            <w:pPr>
              <w:jc w:val="right"/>
              <w:ind w:right="202"/>
              <w:spacing w:after="0"/>
              <w:rPr>
                <w:sz w:val="20"/>
                <w:szCs w:val="20"/>
                <w:color w:val="auto"/>
              </w:rPr>
            </w:pPr>
            <w:r>
              <w:rPr>
                <w:rFonts w:ascii="Arial" w:cs="Arial" w:eastAsia="Arial" w:hAnsi="Arial"/>
                <w:sz w:val="14"/>
                <w:szCs w:val="14"/>
                <w:b w:val="1"/>
                <w:bCs w:val="1"/>
                <w:color w:val="auto"/>
              </w:rPr>
              <w:t>2010</w:t>
            </w:r>
          </w:p>
        </w:tc>
        <w:tc>
          <w:tcPr>
            <w:tcW w:w="1220" w:type="dxa"/>
            <w:vAlign w:val="bottom"/>
          </w:tcPr>
          <w:p>
            <w:pPr>
              <w:jc w:val="right"/>
              <w:ind w:right="301"/>
              <w:spacing w:after="0"/>
              <w:rPr>
                <w:sz w:val="20"/>
                <w:szCs w:val="20"/>
                <w:color w:val="auto"/>
              </w:rPr>
            </w:pPr>
            <w:r>
              <w:rPr>
                <w:rFonts w:ascii="Arial" w:cs="Arial" w:eastAsia="Arial" w:hAnsi="Arial"/>
                <w:sz w:val="14"/>
                <w:szCs w:val="14"/>
                <w:b w:val="1"/>
                <w:bCs w:val="1"/>
                <w:color w:val="auto"/>
              </w:rPr>
              <w:t>Increase</w:t>
            </w:r>
          </w:p>
        </w:tc>
        <w:tc>
          <w:tcPr>
            <w:tcW w:w="1120" w:type="dxa"/>
            <w:vAlign w:val="bottom"/>
            <w:gridSpan w:val="2"/>
          </w:tcPr>
          <w:p>
            <w:pPr>
              <w:ind w:left="26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24"/>
                <w:szCs w:val="24"/>
                <w:color w:val="auto"/>
              </w:rPr>
            </w:pPr>
          </w:p>
        </w:tc>
        <w:tc>
          <w:tcPr>
            <w:tcW w:w="1000" w:type="dxa"/>
            <w:vAlign w:val="bottom"/>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1320" w:type="dxa"/>
            <w:vAlign w:val="bottom"/>
          </w:tcPr>
          <w:p>
            <w:pPr>
              <w:jc w:val="right"/>
              <w:ind w:right="261"/>
              <w:spacing w:after="0"/>
              <w:rPr>
                <w:sz w:val="20"/>
                <w:szCs w:val="20"/>
                <w:color w:val="auto"/>
              </w:rPr>
            </w:pPr>
            <w:r>
              <w:rPr>
                <w:rFonts w:ascii="Arial" w:cs="Arial" w:eastAsia="Arial" w:hAnsi="Arial"/>
                <w:sz w:val="14"/>
                <w:szCs w:val="14"/>
                <w:b w:val="1"/>
                <w:bCs w:val="1"/>
                <w:color w:val="auto"/>
              </w:rPr>
              <w:t>(Decrease)</w:t>
            </w:r>
          </w:p>
        </w:tc>
        <w:tc>
          <w:tcPr>
            <w:tcW w:w="1100" w:type="dxa"/>
            <w:vAlign w:val="bottom"/>
          </w:tcPr>
          <w:p>
            <w:pPr>
              <w:jc w:val="right"/>
              <w:ind w:right="161"/>
              <w:spacing w:after="0"/>
              <w:rPr>
                <w:sz w:val="20"/>
                <w:szCs w:val="20"/>
                <w:color w:val="auto"/>
              </w:rPr>
            </w:pPr>
            <w:r>
              <w:rPr>
                <w:rFonts w:ascii="Arial" w:cs="Arial" w:eastAsia="Arial" w:hAnsi="Arial"/>
                <w:sz w:val="14"/>
                <w:szCs w:val="14"/>
                <w:b w:val="1"/>
                <w:bCs w:val="1"/>
                <w:color w:val="auto"/>
              </w:rPr>
              <w:t>Change</w:t>
            </w:r>
          </w:p>
        </w:tc>
      </w:tr>
      <w:tr>
        <w:trPr>
          <w:trHeight w:val="265"/>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January</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3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1,500</w:t>
            </w:r>
          </w:p>
        </w:tc>
        <w:tc>
          <w:tcPr>
            <w:tcW w:w="122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500</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2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4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1"/>
                <w:szCs w:val="11"/>
                <w:color w:val="auto"/>
              </w:rPr>
              <w:t>(4)</w:t>
            </w:r>
          </w:p>
        </w:tc>
        <w:tc>
          <w:tcPr>
            <w:tcW w:w="1000" w:type="dxa"/>
            <w:vAlign w:val="bottom"/>
            <w:tcBorders>
              <w:top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1,200</w:t>
            </w:r>
          </w:p>
        </w:tc>
        <w:tc>
          <w:tcPr>
            <w:tcW w:w="132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62"/>
        </w:trPr>
        <w:tc>
          <w:tcPr>
            <w:tcW w:w="1960" w:type="dxa"/>
            <w:vAlign w:val="bottom"/>
          </w:tcPr>
          <w:p>
            <w:pPr>
              <w:ind w:left="40"/>
              <w:spacing w:after="0"/>
              <w:rPr>
                <w:sz w:val="20"/>
                <w:szCs w:val="20"/>
                <w:color w:val="auto"/>
              </w:rPr>
            </w:pPr>
            <w:r>
              <w:rPr>
                <w:rFonts w:ascii="Arial" w:cs="Arial" w:eastAsia="Arial" w:hAnsi="Arial"/>
                <w:sz w:val="16"/>
                <w:szCs w:val="16"/>
                <w:color w:val="auto"/>
              </w:rPr>
              <w:t>February</w:t>
            </w:r>
          </w:p>
        </w:tc>
        <w:tc>
          <w:tcPr>
            <w:tcW w:w="960" w:type="dxa"/>
            <w:vAlign w:val="bottom"/>
          </w:tcPr>
          <w:p>
            <w:pPr>
              <w:jc w:val="right"/>
              <w:spacing w:after="0"/>
              <w:rPr>
                <w:sz w:val="20"/>
                <w:szCs w:val="20"/>
                <w:color w:val="auto"/>
              </w:rPr>
            </w:pPr>
            <w:r>
              <w:rPr>
                <w:rFonts w:ascii="Arial" w:cs="Arial" w:eastAsia="Arial" w:hAnsi="Arial"/>
                <w:sz w:val="16"/>
                <w:szCs w:val="16"/>
                <w:color w:val="auto"/>
              </w:rPr>
              <w:t>2,100</w:t>
            </w:r>
          </w:p>
        </w:tc>
        <w:tc>
          <w:tcPr>
            <w:tcW w:w="380" w:type="dxa"/>
            <w:vAlign w:val="bottom"/>
          </w:tcPr>
          <w:p>
            <w:pPr>
              <w:spacing w:after="0"/>
              <w:rPr>
                <w:sz w:val="22"/>
                <w:szCs w:val="22"/>
                <w:color w:val="auto"/>
              </w:rPr>
            </w:pPr>
          </w:p>
        </w:tc>
        <w:tc>
          <w:tcPr>
            <w:tcW w:w="1060" w:type="dxa"/>
            <w:vAlign w:val="bottom"/>
          </w:tcPr>
          <w:p>
            <w:pPr>
              <w:jc w:val="right"/>
              <w:ind w:right="202"/>
              <w:spacing w:after="0"/>
              <w:rPr>
                <w:sz w:val="20"/>
                <w:szCs w:val="20"/>
                <w:color w:val="auto"/>
              </w:rPr>
            </w:pPr>
            <w:r>
              <w:rPr>
                <w:rFonts w:ascii="Arial" w:cs="Arial" w:eastAsia="Arial" w:hAnsi="Arial"/>
                <w:sz w:val="16"/>
                <w:szCs w:val="16"/>
                <w:color w:val="auto"/>
              </w:rPr>
              <w:t>2,000</w:t>
            </w:r>
          </w:p>
        </w:tc>
        <w:tc>
          <w:tcPr>
            <w:tcW w:w="1220" w:type="dxa"/>
            <w:vAlign w:val="bottom"/>
          </w:tcPr>
          <w:p>
            <w:pPr>
              <w:jc w:val="right"/>
              <w:ind w:right="201"/>
              <w:spacing w:after="0"/>
              <w:rPr>
                <w:sz w:val="20"/>
                <w:szCs w:val="20"/>
                <w:color w:val="auto"/>
              </w:rPr>
            </w:pPr>
            <w:r>
              <w:rPr>
                <w:rFonts w:ascii="Arial" w:cs="Arial" w:eastAsia="Arial" w:hAnsi="Arial"/>
                <w:sz w:val="16"/>
                <w:szCs w:val="16"/>
                <w:color w:val="auto"/>
              </w:rPr>
              <w:t>100</w:t>
            </w: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tcPr>
          <w:p>
            <w:pPr>
              <w:jc w:val="right"/>
              <w:ind w:right="182"/>
              <w:spacing w:after="0"/>
              <w:rPr>
                <w:sz w:val="20"/>
                <w:szCs w:val="20"/>
                <w:color w:val="auto"/>
              </w:rPr>
            </w:pPr>
            <w:r>
              <w:rPr>
                <w:rFonts w:ascii="Arial" w:cs="Arial" w:eastAsia="Arial" w:hAnsi="Arial"/>
                <w:sz w:val="16"/>
                <w:szCs w:val="16"/>
                <w:color w:val="auto"/>
              </w:rPr>
              <w:t>1,600</w:t>
            </w:r>
          </w:p>
        </w:tc>
        <w:tc>
          <w:tcPr>
            <w:tcW w:w="1320" w:type="dxa"/>
            <w:vAlign w:val="bottom"/>
          </w:tcPr>
          <w:p>
            <w:pPr>
              <w:jc w:val="right"/>
              <w:ind w:right="221"/>
              <w:spacing w:after="0"/>
              <w:rPr>
                <w:sz w:val="20"/>
                <w:szCs w:val="20"/>
                <w:color w:val="auto"/>
              </w:rPr>
            </w:pPr>
            <w:r>
              <w:rPr>
                <w:rFonts w:ascii="Arial" w:cs="Arial" w:eastAsia="Arial" w:hAnsi="Arial"/>
                <w:sz w:val="16"/>
                <w:szCs w:val="16"/>
                <w:color w:val="auto"/>
              </w:rPr>
              <w:t>(1,600)</w:t>
            </w:r>
          </w:p>
        </w:tc>
        <w:tc>
          <w:tcPr>
            <w:tcW w:w="110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71"/>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March - December</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22,800</w:t>
            </w:r>
          </w:p>
        </w:tc>
        <w:tc>
          <w:tcPr>
            <w:tcW w:w="3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6"/>
                <w:szCs w:val="16"/>
                <w:color w:val="auto"/>
              </w:rPr>
              <w:t>21,800</w:t>
            </w:r>
          </w:p>
        </w:tc>
        <w:tc>
          <w:tcPr>
            <w:tcW w:w="12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20,900</w:t>
            </w:r>
          </w:p>
        </w:tc>
        <w:tc>
          <w:tcPr>
            <w:tcW w:w="13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(20,900)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69"/>
        </w:trPr>
        <w:tc>
          <w:tcPr>
            <w:tcW w:w="1960" w:type="dxa"/>
            <w:vAlign w:val="bottom"/>
          </w:tcPr>
          <w:p>
            <w:pPr>
              <w:ind w:left="40"/>
              <w:spacing w:after="0"/>
              <w:rPr>
                <w:sz w:val="20"/>
                <w:szCs w:val="20"/>
                <w:color w:val="auto"/>
              </w:rPr>
            </w:pPr>
            <w:r>
              <w:rPr>
                <w:rFonts w:ascii="Arial" w:cs="Arial" w:eastAsia="Arial" w:hAnsi="Arial"/>
                <w:sz w:val="16"/>
                <w:szCs w:val="16"/>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26,900</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rPr>
              <w:t>(3)</w:t>
            </w:r>
          </w:p>
        </w:tc>
        <w:tc>
          <w:tcPr>
            <w:tcW w:w="10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25,300</w:t>
            </w:r>
          </w:p>
        </w:tc>
        <w:tc>
          <w:tcPr>
            <w:tcW w:w="12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1,600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23,700</w:t>
            </w:r>
          </w:p>
        </w:tc>
        <w:tc>
          <w:tcPr>
            <w:tcW w:w="1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0"/>
        </w:trPr>
        <w:tc>
          <w:tcPr>
            <w:tcW w:w="1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wholesale shipments as reported by RVIA, rounded to the nearest hundred.</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Class A, B and C U.S. retail registrations as reported by Statistical Surveys for the US and Canada combined, rounded to the nearest hundred.</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Based upon forecasted 2011 Class A, B and C wholesale shipments as reported by RVIA in the Spring 2011 issue of Roadsigns.</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Retail registrations for January 2011 as reported by Statistical Surveys do not include data for Maine and Minnesota. Statistical Surveys has not issued a projection for 2011 retail demand.</w:t>
      </w:r>
    </w:p>
    <w:p>
      <w:pPr>
        <w:spacing w:after="0" w:line="287" w:lineRule="exact"/>
        <w:rPr>
          <w:sz w:val="20"/>
          <w:szCs w:val="20"/>
          <w:color w:val="auto"/>
        </w:rPr>
      </w:pPr>
    </w:p>
    <w:p>
      <w:pPr>
        <w:ind w:right="560"/>
        <w:spacing w:after="0" w:line="291" w:lineRule="auto"/>
        <w:rPr>
          <w:sz w:val="20"/>
          <w:szCs w:val="20"/>
          <w:color w:val="auto"/>
        </w:rPr>
      </w:pPr>
      <w:r>
        <w:rPr>
          <w:rFonts w:ascii="Arial" w:cs="Arial" w:eastAsia="Arial" w:hAnsi="Arial"/>
          <w:sz w:val="16"/>
          <w:szCs w:val="16"/>
          <w:color w:val="auto"/>
        </w:rPr>
        <w:t>In the towable market, travel trailer and fifth wheel 2011 shipments are projected by RVIA to be up 9 percent in 2011 to 217,200 as compared to199,200 shipped in 2010.</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Company Outlook</w:t>
      </w:r>
    </w:p>
    <w:p>
      <w:pPr>
        <w:spacing w:after="0" w:line="26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Due to cost reductions we made in the past few years during the recession, we have been profitable at much lower shipment volumes. This was evident during Fiscal 2010, as we were operationally profitable in the first two quarters of Fiscal 2010 and then profitable on a pre-tax basis in the last two quarters of Fiscal 2010 and our first two quarters of Fiscal 2011. These significantly improved operating results were primarily obtained during calendar year 2010, when industry shipments totaled only 25,300, less than half of the industry's historical shipment level.</w:t>
      </w:r>
    </w:p>
    <w:p>
      <w:pPr>
        <w:spacing w:after="0" w:line="21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Based on our results for the past four fiscal quarters, even if industry wholesale shipments in calendar 2011 are similar to 2010, we believe that we have demonstrated our ability to sustain current margins, maintain our liquidity, cover operations cost, recover fixed assets, and maintain physical capacity at present levels.</w:t>
      </w:r>
    </w:p>
    <w:p>
      <w:pPr>
        <w:spacing w:after="0" w:line="20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We believe retail sales will be the key driver to sustain our recovery and for continued growth going forward. We also believe that future dealer buying patterns will continue to be primarily based on retail demand, thus dealers are expected to order approximately one new unit as one is retailed. If there is significant growth in retail, then dealers may decide to increase their dealer inventory levels, however; our viewpoint is that dealers post-recession are much more cautious about their level of inventory and are more focused on their retail turn rate than they were as a group pre-recession. We plan to continue to focus on those same metrics, closely reviewing the aging of dealer inventory and retail turns by product series. Consistent with our current practice, we will continue to adjust our weekly production rate up or down based on market demand.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7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51"/>
        </w:trPr>
        <w:tc>
          <w:tcPr>
            <w:tcW w:w="4700" w:type="dxa"/>
            <w:vAlign w:val="bottom"/>
            <w:gridSpan w:val="2"/>
          </w:tcPr>
          <w:p>
            <w:pPr>
              <w:spacing w:after="0"/>
              <w:rPr>
                <w:sz w:val="20"/>
                <w:szCs w:val="20"/>
                <w:color w:val="auto"/>
              </w:rPr>
            </w:pPr>
            <w:r>
              <w:rPr>
                <w:rFonts w:ascii="Arial" w:cs="Arial" w:eastAsia="Arial" w:hAnsi="Arial"/>
                <w:sz w:val="16"/>
                <w:szCs w:val="16"/>
                <w:color w:val="auto"/>
              </w:rPr>
              <w:t>Our unit order backlog is as follows: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As Of</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3"/>
          </w:tcPr>
          <w:p>
            <w:pPr>
              <w:ind w:left="160"/>
              <w:spacing w:after="0"/>
              <w:rPr>
                <w:sz w:val="20"/>
                <w:szCs w:val="20"/>
                <w:color w:val="auto"/>
              </w:rPr>
            </w:pPr>
            <w:r>
              <w:rPr>
                <w:rFonts w:ascii="Arial" w:cs="Arial" w:eastAsia="Arial" w:hAnsi="Arial"/>
                <w:sz w:val="16"/>
                <w:szCs w:val="16"/>
                <w:b w:val="1"/>
                <w:bCs w:val="1"/>
                <w:color w:val="auto"/>
              </w:rPr>
              <w:t>February 26, 2011</w:t>
            </w:r>
          </w:p>
        </w:tc>
        <w:tc>
          <w:tcPr>
            <w:tcW w:w="420" w:type="dxa"/>
            <w:vAlign w:val="bottom"/>
          </w:tcPr>
          <w:p>
            <w:pPr>
              <w:spacing w:after="0"/>
              <w:rPr>
                <w:sz w:val="22"/>
                <w:szCs w:val="22"/>
                <w:color w:val="auto"/>
              </w:rPr>
            </w:pPr>
          </w:p>
        </w:tc>
        <w:tc>
          <w:tcPr>
            <w:tcW w:w="1900" w:type="dxa"/>
            <w:vAlign w:val="bottom"/>
            <w:gridSpan w:val="4"/>
          </w:tcPr>
          <w:p>
            <w:pPr>
              <w:ind w:left="20"/>
              <w:spacing w:after="0"/>
              <w:rPr>
                <w:sz w:val="20"/>
                <w:szCs w:val="20"/>
                <w:color w:val="auto"/>
              </w:rPr>
            </w:pPr>
            <w:r>
              <w:rPr>
                <w:rFonts w:ascii="Arial" w:cs="Arial" w:eastAsia="Arial" w:hAnsi="Arial"/>
                <w:sz w:val="16"/>
                <w:szCs w:val="16"/>
                <w:b w:val="1"/>
                <w:bCs w:val="1"/>
                <w:color w:val="auto"/>
              </w:rPr>
              <w:t>February 27, 2010</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4"/>
        </w:trPr>
        <w:tc>
          <w:tcPr>
            <w:tcW w:w="1260" w:type="dxa"/>
            <w:vAlign w:val="bottom"/>
            <w:tcBorders>
              <w:bottom w:val="single" w:sz="8" w:color="auto"/>
            </w:tcBorders>
          </w:tcPr>
          <w:p>
            <w:pPr>
              <w:spacing w:after="0"/>
              <w:rPr>
                <w:sz w:val="22"/>
                <w:szCs w:val="22"/>
                <w:color w:val="auto"/>
              </w:rPr>
            </w:pPr>
          </w:p>
        </w:tc>
        <w:tc>
          <w:tcPr>
            <w:tcW w:w="344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Units</w:t>
            </w:r>
          </w:p>
        </w:tc>
        <w:tc>
          <w:tcPr>
            <w:tcW w:w="1060" w:type="dxa"/>
            <w:vAlign w:val="bottom"/>
            <w:tcBorders>
              <w:top w:val="single" w:sz="8" w:color="auto"/>
              <w:bottom w:val="single" w:sz="8" w:color="auto"/>
            </w:tcBorders>
          </w:tcPr>
          <w:p>
            <w:pPr>
              <w:jc w:val="right"/>
              <w:ind w:right="302"/>
              <w:spacing w:after="0" w:line="253"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0"/>
                <w:szCs w:val="10"/>
                <w:b w:val="1"/>
                <w:bCs w:val="1"/>
                <w:color w:val="auto"/>
              </w:rPr>
              <w:t xml:space="preserve"> (1)</w:t>
            </w:r>
          </w:p>
        </w:tc>
        <w:tc>
          <w:tcPr>
            <w:tcW w:w="10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Units</w:t>
            </w:r>
          </w:p>
        </w:tc>
        <w:tc>
          <w:tcPr>
            <w:tcW w:w="760" w:type="dxa"/>
            <w:vAlign w:val="bottom"/>
            <w:tcBorders>
              <w:top w:val="single" w:sz="8" w:color="auto"/>
              <w:bottom w:val="single" w:sz="8" w:color="auto"/>
            </w:tcBorders>
          </w:tcPr>
          <w:p>
            <w:pPr>
              <w:jc w:val="right"/>
              <w:ind w:right="360"/>
              <w:spacing w:after="0" w:line="253" w:lineRule="exact"/>
              <w:rPr>
                <w:sz w:val="20"/>
                <w:szCs w:val="20"/>
                <w:color w:val="auto"/>
              </w:rPr>
            </w:pPr>
            <w:r>
              <w:rPr>
                <w:rFonts w:ascii="Arial" w:cs="Arial" w:eastAsia="Arial" w:hAnsi="Arial"/>
                <w:sz w:val="29"/>
                <w:szCs w:val="29"/>
                <w:b w:val="1"/>
                <w:bCs w:val="1"/>
                <w:color w:val="auto"/>
                <w:w w:val="93"/>
                <w:vertAlign w:val="subscript"/>
              </w:rPr>
              <w:t>%</w:t>
            </w:r>
            <w:r>
              <w:rPr>
                <w:rFonts w:ascii="Arial" w:cs="Arial" w:eastAsia="Arial" w:hAnsi="Arial"/>
                <w:sz w:val="10"/>
                <w:szCs w:val="10"/>
                <w:b w:val="1"/>
                <w:bCs w:val="1"/>
                <w:color w:val="auto"/>
                <w:w w:val="93"/>
              </w:rPr>
              <w:t xml:space="preserve"> (1)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(Decrease) Increase</w:t>
            </w:r>
          </w:p>
        </w:tc>
      </w:tr>
      <w:tr>
        <w:trPr>
          <w:trHeight w:val="264"/>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6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jc w:val="right"/>
              <w:ind w:right="38"/>
              <w:spacing w:after="0"/>
              <w:rPr>
                <w:sz w:val="20"/>
                <w:szCs w:val="20"/>
                <w:color w:val="auto"/>
              </w:rPr>
            </w:pPr>
            <w:r>
              <w:rPr>
                <w:rFonts w:ascii="Arial" w:cs="Arial" w:eastAsia="Arial" w:hAnsi="Arial"/>
                <w:sz w:val="16"/>
                <w:szCs w:val="16"/>
                <w:color w:val="auto"/>
              </w:rPr>
              <w:t>372</w:t>
            </w:r>
          </w:p>
        </w:tc>
        <w:tc>
          <w:tcPr>
            <w:tcW w:w="420" w:type="dxa"/>
            <w:vAlign w:val="bottom"/>
          </w:tcPr>
          <w:p>
            <w:pPr>
              <w:spacing w:after="0"/>
              <w:rPr>
                <w:sz w:val="22"/>
                <w:szCs w:val="22"/>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(119)</w:t>
            </w:r>
          </w:p>
        </w:tc>
        <w:tc>
          <w:tcPr>
            <w:tcW w:w="96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263</w:t>
            </w:r>
          </w:p>
        </w:tc>
        <w:tc>
          <w:tcPr>
            <w:tcW w:w="4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(106)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r>
      <w:tr>
        <w:trPr>
          <w:trHeight w:val="249"/>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22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410</w:t>
            </w:r>
          </w:p>
        </w:tc>
        <w:tc>
          <w:tcPr>
            <w:tcW w:w="106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jc w:val="right"/>
              <w:ind w:right="38"/>
              <w:spacing w:after="0"/>
              <w:rPr>
                <w:sz w:val="20"/>
                <w:szCs w:val="20"/>
                <w:color w:val="auto"/>
              </w:rPr>
            </w:pPr>
            <w:r>
              <w:rPr>
                <w:rFonts w:ascii="Arial" w:cs="Arial" w:eastAsia="Arial" w:hAnsi="Arial"/>
                <w:sz w:val="16"/>
                <w:szCs w:val="16"/>
                <w:color w:val="auto"/>
              </w:rPr>
              <w:t>635</w:t>
            </w:r>
          </w:p>
        </w:tc>
        <w:tc>
          <w:tcPr>
            <w:tcW w:w="420" w:type="dxa"/>
            <w:vAlign w:val="bottom"/>
          </w:tcPr>
          <w:p>
            <w:pPr>
              <w:spacing w:after="0"/>
              <w:rPr>
                <w:sz w:val="21"/>
                <w:szCs w:val="21"/>
                <w:color w:val="auto"/>
              </w:rPr>
            </w:pPr>
          </w:p>
        </w:tc>
        <w:tc>
          <w:tcPr>
            <w:tcW w:w="760" w:type="dxa"/>
            <w:vAlign w:val="bottom"/>
          </w:tcPr>
          <w:p>
            <w:pPr>
              <w:jc w:val="right"/>
              <w:ind w:right="80"/>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219"/>
              <w:spacing w:after="0"/>
              <w:rPr>
                <w:sz w:val="20"/>
                <w:szCs w:val="20"/>
                <w:color w:val="auto"/>
              </w:rPr>
            </w:pPr>
            <w:r>
              <w:rPr>
                <w:rFonts w:ascii="Arial" w:cs="Arial" w:eastAsia="Arial" w:hAnsi="Arial"/>
                <w:sz w:val="16"/>
                <w:szCs w:val="16"/>
                <w:color w:val="auto"/>
              </w:rPr>
              <w:t>(225)</w:t>
            </w:r>
          </w:p>
        </w:tc>
        <w:tc>
          <w:tcPr>
            <w:tcW w:w="960" w:type="dxa"/>
            <w:vAlign w:val="bottom"/>
          </w:tcPr>
          <w:p>
            <w:pPr>
              <w:jc w:val="right"/>
              <w:spacing w:after="0"/>
              <w:rPr>
                <w:sz w:val="20"/>
                <w:szCs w:val="20"/>
                <w:color w:val="auto"/>
              </w:rPr>
            </w:pPr>
            <w:r>
              <w:rPr>
                <w:rFonts w:ascii="Arial" w:cs="Arial" w:eastAsia="Arial" w:hAnsi="Arial"/>
                <w:sz w:val="16"/>
                <w:szCs w:val="16"/>
                <w:color w:val="auto"/>
              </w:rPr>
              <w:t>(35.4)%</w:t>
            </w:r>
          </w:p>
        </w:tc>
      </w:tr>
      <w:tr>
        <w:trPr>
          <w:trHeight w:val="278"/>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16</w:t>
            </w:r>
          </w:p>
        </w:tc>
        <w:tc>
          <w:tcPr>
            <w:tcW w:w="4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412.5 %</w:t>
            </w:r>
          </w:p>
        </w:tc>
      </w:tr>
      <w:tr>
        <w:trPr>
          <w:trHeight w:val="264"/>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508</w:t>
            </w:r>
          </w:p>
        </w:tc>
        <w:tc>
          <w:tcPr>
            <w:tcW w:w="4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43.8%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242"/>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backlog</w:t>
            </w: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1,159</w:t>
            </w: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2"/>
        </w:trPr>
        <w:tc>
          <w:tcPr>
            <w:tcW w:w="12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7"/>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Backlog approximate revenue dollars (in thousands) </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92,782</w:t>
            </w: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110,916</w:t>
            </w:r>
          </w:p>
        </w:tc>
        <w:tc>
          <w:tcPr>
            <w:tcW w:w="4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(18,134)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1"/>
        </w:trPr>
        <w:tc>
          <w:tcPr>
            <w:tcW w:w="12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Fifth wheel</w:t>
            </w:r>
          </w:p>
        </w:tc>
        <w:tc>
          <w:tcPr>
            <w:tcW w:w="220" w:type="dxa"/>
            <w:vAlign w:val="bottom"/>
          </w:tcPr>
          <w:p>
            <w:pPr>
              <w:spacing w:after="0"/>
              <w:rPr>
                <w:sz w:val="22"/>
                <w:szCs w:val="22"/>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6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87</w:t>
            </w:r>
          </w:p>
        </w:tc>
        <w:tc>
          <w:tcPr>
            <w:tcW w:w="9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71"/>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64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82"/>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Total backlog</w:t>
            </w:r>
          </w:p>
        </w:tc>
        <w:tc>
          <w:tcPr>
            <w:tcW w:w="2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151</w:t>
            </w:r>
          </w:p>
        </w:tc>
        <w:tc>
          <w:tcPr>
            <w:tcW w:w="10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151</w:t>
            </w:r>
          </w:p>
        </w:tc>
        <w:tc>
          <w:tcPr>
            <w:tcW w:w="9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52"/>
        </w:trPr>
        <w:tc>
          <w:tcPr>
            <w:tcW w:w="1260" w:type="dxa"/>
            <w:vAlign w:val="bottom"/>
            <w:tcBorders>
              <w:top w:val="single" w:sz="8" w:color="CCEEFF"/>
            </w:tcBorders>
            <w:shd w:val="clear" w:color="auto" w:fill="CCEEFF"/>
          </w:tcPr>
          <w:p>
            <w:pPr>
              <w:spacing w:after="0"/>
              <w:rPr>
                <w:sz w:val="21"/>
                <w:szCs w:val="21"/>
                <w:color w:val="auto"/>
              </w:rPr>
            </w:pPr>
          </w:p>
        </w:tc>
        <w:tc>
          <w:tcPr>
            <w:tcW w:w="344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5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Backlog approximate revenue dollars (in thousands) </w:t>
            </w:r>
            <w:r>
              <w:rPr>
                <w:rFonts w:ascii="Arial" w:cs="Arial" w:eastAsia="Arial" w:hAnsi="Arial"/>
                <w:sz w:val="21"/>
                <w:szCs w:val="21"/>
                <w:color w:val="auto"/>
                <w:vertAlign w:val="superscript"/>
              </w:rPr>
              <w:t>(2)</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3,551</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3,551</w:t>
            </w:r>
          </w:p>
        </w:tc>
        <w:tc>
          <w:tcPr>
            <w:tcW w:w="960" w:type="dxa"/>
            <w:vAlign w:val="bottom"/>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1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Percentages may not add due to rounding differences.</w:t>
      </w:r>
    </w:p>
    <w:p>
      <w:pPr>
        <w:spacing w:after="0" w:line="66" w:lineRule="exact"/>
        <w:rPr>
          <w:rFonts w:ascii="Arial" w:cs="Arial" w:eastAsia="Arial" w:hAnsi="Arial"/>
          <w:sz w:val="13"/>
          <w:szCs w:val="13"/>
          <w:color w:val="auto"/>
        </w:rPr>
      </w:pPr>
    </w:p>
    <w:p>
      <w:pPr>
        <w:ind w:left="340" w:right="160" w:hanging="332"/>
        <w:spacing w:after="0" w:line="379"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Current Quarter Compared to the Comparable Quarter Last Year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Quarter Ended</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6"/>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12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February 26,</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27,</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40" w:type="dxa"/>
            <w:vAlign w:val="bottom"/>
          </w:tcPr>
          <w:p>
            <w:pPr>
              <w:jc w:val="right"/>
              <w:ind w:right="199"/>
              <w:spacing w:after="0"/>
              <w:rPr>
                <w:sz w:val="20"/>
                <w:szCs w:val="20"/>
                <w:color w:val="auto"/>
              </w:rPr>
            </w:pPr>
            <w:r>
              <w:rPr>
                <w:rFonts w:ascii="Arial" w:cs="Arial" w:eastAsia="Arial" w:hAnsi="Arial"/>
                <w:sz w:val="16"/>
                <w:szCs w:val="16"/>
                <w:b w:val="1"/>
                <w:bCs w:val="1"/>
                <w:color w:val="auto"/>
              </w:rPr>
              <w:t>(Decrease)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2"/>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260" w:type="dxa"/>
            <w:vAlign w:val="bottom"/>
          </w:tcPr>
          <w:p>
            <w:pPr>
              <w:spacing w:after="0"/>
              <w:rPr>
                <w:sz w:val="20"/>
                <w:szCs w:val="20"/>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20"/>
                <w:szCs w:val="20"/>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2010</w:t>
            </w:r>
          </w:p>
        </w:tc>
        <w:tc>
          <w:tcPr>
            <w:tcW w:w="15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60" w:type="dxa"/>
            <w:vAlign w:val="bottom"/>
          </w:tcPr>
          <w:p>
            <w:pPr>
              <w:spacing w:after="0"/>
              <w:rPr>
                <w:sz w:val="20"/>
                <w:szCs w:val="20"/>
                <w:color w:val="auto"/>
              </w:rPr>
            </w:pPr>
          </w:p>
        </w:tc>
        <w:tc>
          <w:tcPr>
            <w:tcW w:w="1140" w:type="dxa"/>
            <w:vAlign w:val="bottom"/>
          </w:tcPr>
          <w:p>
            <w:pPr>
              <w:jc w:val="right"/>
              <w:ind w:right="27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4"/>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106,593</w:t>
            </w:r>
          </w:p>
        </w:tc>
        <w:tc>
          <w:tcPr>
            <w:tcW w:w="14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110,529</w:t>
            </w:r>
          </w:p>
        </w:tc>
        <w:tc>
          <w:tcPr>
            <w:tcW w:w="14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(3,936)</w:t>
            </w:r>
          </w:p>
        </w:tc>
        <w:tc>
          <w:tcPr>
            <w:tcW w:w="11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95,269</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89.4%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105,745</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95.7 %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(10,476)</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w:t>
            </w:r>
          </w:p>
        </w:tc>
      </w:tr>
      <w:tr>
        <w:trPr>
          <w:trHeight w:val="250"/>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11,324</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4,784</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6,540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136.7 %</w:t>
            </w:r>
          </w:p>
        </w:tc>
      </w:tr>
      <w:tr>
        <w:trPr>
          <w:trHeight w:val="249"/>
        </w:trPr>
        <w:tc>
          <w:tcPr>
            <w:tcW w:w="3200" w:type="dxa"/>
            <w:vAlign w:val="bottom"/>
          </w:tcPr>
          <w:p>
            <w:pPr>
              <w:ind w:left="4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1"/>
                <w:szCs w:val="21"/>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3,254</w:t>
            </w:r>
          </w:p>
        </w:tc>
        <w:tc>
          <w:tcPr>
            <w:tcW w:w="1480" w:type="dxa"/>
            <w:vAlign w:val="bottom"/>
          </w:tcPr>
          <w:p>
            <w:pPr>
              <w:jc w:val="right"/>
              <w:ind w:right="19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3,102</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color w:val="auto"/>
              </w:rPr>
              <w:t>152</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4.9 %</w:t>
            </w:r>
          </w:p>
        </w:tc>
      </w:tr>
      <w:tr>
        <w:trPr>
          <w:trHeight w:val="271"/>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3,540</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3.2 %</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480</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13.6 %</w:t>
            </w:r>
          </w:p>
        </w:tc>
      </w:tr>
      <w:tr>
        <w:trPr>
          <w:trHeight w:val="25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7,274</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6,642</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6.0 %</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632</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9.5 %</w:t>
            </w: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4,050</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(1,858)</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5,908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318.0 %</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non-operating income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364</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0.3 %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(42)</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(11.5)%</w:t>
            </w: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4,372</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(1,494)</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5,866</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392.6 %</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1,057</w:t>
            </w:r>
          </w:p>
        </w:tc>
        <w:tc>
          <w:tcPr>
            <w:tcW w:w="14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(2,200)</w:t>
            </w:r>
          </w:p>
        </w:tc>
        <w:tc>
          <w:tcPr>
            <w:tcW w:w="1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3,257</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148.0 %</w:t>
            </w:r>
          </w:p>
        </w:tc>
      </w:tr>
      <w:tr>
        <w:trPr>
          <w:trHeight w:val="242"/>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3,315</w:t>
            </w:r>
          </w:p>
        </w:tc>
        <w:tc>
          <w:tcPr>
            <w:tcW w:w="14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706</w:t>
            </w:r>
          </w:p>
        </w:tc>
        <w:tc>
          <w:tcPr>
            <w:tcW w:w="14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2,609</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369.5 %</w:t>
            </w: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2"/>
        </w:trPr>
        <w:tc>
          <w:tcPr>
            <w:tcW w:w="3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0.11</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0.02</w:t>
            </w: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0.09</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450.0 %</w:t>
            </w: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3200" w:type="dxa"/>
            <w:vAlign w:val="bottom"/>
          </w:tcPr>
          <w:p>
            <w:pPr>
              <w:ind w:left="40"/>
              <w:spacing w:after="0"/>
              <w:rPr>
                <w:sz w:val="20"/>
                <w:szCs w:val="20"/>
                <w:color w:val="auto"/>
              </w:rPr>
            </w:pPr>
            <w:r>
              <w:rPr>
                <w:rFonts w:ascii="Arial" w:cs="Arial" w:eastAsia="Arial" w:hAnsi="Arial"/>
                <w:sz w:val="16"/>
                <w:szCs w:val="16"/>
                <w:color w:val="auto"/>
              </w:rPr>
              <w:t>Fully diluted average shares outstanding</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29,120</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29,091</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0"/>
        </w:trPr>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27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51"/>
        </w:trPr>
        <w:tc>
          <w:tcPr>
            <w:tcW w:w="7140" w:type="dxa"/>
            <w:vAlign w:val="bottom"/>
            <w:gridSpan w:val="8"/>
          </w:tcPr>
          <w:p>
            <w:pPr>
              <w:spacing w:after="0"/>
              <w:rPr>
                <w:sz w:val="20"/>
                <w:szCs w:val="20"/>
                <w:color w:val="auto"/>
              </w:rPr>
            </w:pPr>
            <w:r>
              <w:rPr>
                <w:rFonts w:ascii="Arial" w:cs="Arial" w:eastAsia="Arial" w:hAnsi="Arial"/>
                <w:sz w:val="16"/>
                <w:szCs w:val="16"/>
                <w:color w:val="auto"/>
              </w:rPr>
              <w:t>Unit deliveries and average sales price (ASP), net of discounts, consisted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ind w:left="74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3"/>
        </w:trPr>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26,</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February 27,</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Product</w:t>
            </w:r>
          </w:p>
        </w:tc>
        <w:tc>
          <w:tcPr>
            <w:tcW w:w="220" w:type="dxa"/>
            <w:vAlign w:val="bottom"/>
          </w:tcPr>
          <w:p>
            <w:pPr>
              <w:spacing w:after="0"/>
              <w:rPr>
                <w:sz w:val="16"/>
                <w:szCs w:val="16"/>
                <w:color w:val="auto"/>
              </w:rPr>
            </w:pP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ind w:right="539"/>
              <w:spacing w:after="0"/>
              <w:rPr>
                <w:sz w:val="20"/>
                <w:szCs w:val="20"/>
                <w:color w:val="auto"/>
              </w:rPr>
            </w:pPr>
            <w:r>
              <w:rPr>
                <w:rFonts w:ascii="Arial" w:cs="Arial" w:eastAsia="Arial" w:hAnsi="Arial"/>
                <w:sz w:val="16"/>
                <w:szCs w:val="16"/>
                <w:b w:val="1"/>
                <w:bCs w:val="1"/>
                <w:color w:val="auto"/>
              </w:rPr>
              <w:t>%</w:t>
            </w:r>
          </w:p>
        </w:tc>
      </w:tr>
      <w:tr>
        <w:trPr>
          <w:trHeight w:val="232"/>
        </w:trPr>
        <w:tc>
          <w:tcPr>
            <w:tcW w:w="27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units)</w:t>
            </w:r>
          </w:p>
        </w:tc>
        <w:tc>
          <w:tcPr>
            <w:tcW w:w="140" w:type="dxa"/>
            <w:vAlign w:val="bottom"/>
          </w:tcPr>
          <w:p>
            <w:pPr>
              <w:spacing w:after="0"/>
              <w:rPr>
                <w:sz w:val="20"/>
                <w:szCs w:val="20"/>
                <w:color w:val="auto"/>
              </w:rPr>
            </w:pPr>
          </w:p>
        </w:tc>
        <w:tc>
          <w:tcPr>
            <w:tcW w:w="14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Mix*</w:t>
            </w:r>
          </w:p>
        </w:tc>
        <w:tc>
          <w:tcPr>
            <w:tcW w:w="160" w:type="dxa"/>
            <w:vAlign w:val="bottom"/>
          </w:tcPr>
          <w:p>
            <w:pPr>
              <w:spacing w:after="0"/>
              <w:rPr>
                <w:sz w:val="20"/>
                <w:szCs w:val="20"/>
                <w:color w:val="auto"/>
              </w:rPr>
            </w:pP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2010</w:t>
            </w: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Mix*</w:t>
            </w:r>
          </w:p>
        </w:tc>
        <w:tc>
          <w:tcPr>
            <w:tcW w:w="220" w:type="dxa"/>
            <w:vAlign w:val="bottom"/>
          </w:tcPr>
          <w:p>
            <w:pPr>
              <w:spacing w:after="0"/>
              <w:rPr>
                <w:sz w:val="20"/>
                <w:szCs w:val="20"/>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Change</w:t>
            </w:r>
          </w:p>
        </w:tc>
      </w:tr>
      <w:tr>
        <w:trPr>
          <w:trHeight w:val="267"/>
        </w:trPr>
        <w:tc>
          <w:tcPr>
            <w:tcW w:w="270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r>
      <w:tr>
        <w:trPr>
          <w:trHeight w:val="262"/>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Class A gas</w:t>
            </w:r>
          </w:p>
        </w:tc>
        <w:tc>
          <w:tcPr>
            <w:tcW w:w="14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331</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378</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(47)</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(12.4)%</w:t>
            </w:r>
          </w:p>
        </w:tc>
      </w:tr>
      <w:tr>
        <w:trPr>
          <w:trHeight w:val="271"/>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218</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254</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(36)</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(14.2)%</w:t>
            </w:r>
          </w:p>
        </w:tc>
      </w:tr>
      <w:tr>
        <w:trPr>
          <w:trHeight w:val="249"/>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Total Class A</w:t>
            </w:r>
          </w:p>
        </w:tc>
        <w:tc>
          <w:tcPr>
            <w:tcW w:w="140" w:type="dxa"/>
            <w:vAlign w:val="bottom"/>
          </w:tcPr>
          <w:p>
            <w:pPr>
              <w:spacing w:after="0"/>
              <w:rPr>
                <w:sz w:val="21"/>
                <w:szCs w:val="21"/>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549</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632</w:t>
            </w:r>
          </w:p>
        </w:tc>
        <w:tc>
          <w:tcPr>
            <w:tcW w:w="1260" w:type="dxa"/>
            <w:vAlign w:val="bottom"/>
          </w:tcPr>
          <w:p>
            <w:pPr>
              <w:jc w:val="right"/>
              <w:ind w:right="179"/>
              <w:spacing w:after="0"/>
              <w:rPr>
                <w:sz w:val="20"/>
                <w:szCs w:val="20"/>
                <w:color w:val="auto"/>
              </w:rPr>
            </w:pPr>
            <w:r>
              <w:rPr>
                <w:rFonts w:ascii="Arial" w:cs="Arial" w:eastAsia="Arial" w:hAnsi="Arial"/>
                <w:sz w:val="16"/>
                <w:szCs w:val="16"/>
                <w:color w:val="auto"/>
              </w:rPr>
              <w:t>57.0%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(83)</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(13.1)%</w:t>
            </w:r>
          </w:p>
        </w:tc>
      </w:tr>
      <w:tr>
        <w:trPr>
          <w:trHeight w:val="278"/>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64</w:t>
            </w: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(64)</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4"/>
        </w:trPr>
        <w:tc>
          <w:tcPr>
            <w:tcW w:w="2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Class C</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360</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413</w:t>
            </w: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(53)</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w:t>
            </w:r>
          </w:p>
        </w:tc>
      </w:tr>
      <w:tr>
        <w:trPr>
          <w:trHeight w:val="242"/>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deliveries</w:t>
            </w:r>
          </w:p>
        </w:tc>
        <w:tc>
          <w:tcPr>
            <w:tcW w:w="1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909</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1,109</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(200)</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(18.0)%</w:t>
            </w:r>
          </w:p>
        </w:tc>
      </w:tr>
      <w:tr>
        <w:trPr>
          <w:trHeight w:val="20"/>
        </w:trPr>
        <w:tc>
          <w:tcPr>
            <w:tcW w:w="1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52"/>
        </w:trPr>
        <w:tc>
          <w:tcPr>
            <w:tcW w:w="1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0"/>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107</w:t>
            </w: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96</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12.1 %</w:t>
            </w:r>
          </w:p>
        </w:tc>
      </w:tr>
      <w:tr>
        <w:trPr>
          <w:trHeight w:val="270"/>
        </w:trPr>
        <w:tc>
          <w:tcPr>
            <w:tcW w:w="1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2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2"/>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22"/>
                <w:szCs w:val="22"/>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21</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71"/>
        </w:trPr>
        <w:tc>
          <w:tcPr>
            <w:tcW w:w="2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64</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75.3%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64</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82"/>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Total deliveries</w:t>
            </w:r>
          </w:p>
        </w:tc>
        <w:tc>
          <w:tcPr>
            <w:tcW w:w="140" w:type="dxa"/>
            <w:vAlign w:val="bottom"/>
          </w:tcPr>
          <w:p>
            <w:pPr>
              <w:spacing w:after="0"/>
              <w:rPr>
                <w:sz w:val="24"/>
                <w:szCs w:val="24"/>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85</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85</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52"/>
        </w:trPr>
        <w:tc>
          <w:tcPr>
            <w:tcW w:w="126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r>
      <w:tr>
        <w:trPr>
          <w:trHeight w:val="255"/>
        </w:trPr>
        <w:tc>
          <w:tcPr>
            <w:tcW w:w="2700" w:type="dxa"/>
            <w:vAlign w:val="bottom"/>
            <w:gridSpan w:val="2"/>
          </w:tcPr>
          <w:p>
            <w:pPr>
              <w:ind w:left="180"/>
              <w:spacing w:after="0"/>
              <w:rPr>
                <w:sz w:val="20"/>
                <w:szCs w:val="20"/>
                <w:color w:val="auto"/>
              </w:rPr>
            </w:pPr>
            <w:r>
              <w:rPr>
                <w:rFonts w:ascii="Arial" w:cs="Arial" w:eastAsia="Arial" w:hAnsi="Arial"/>
                <w:sz w:val="16"/>
                <w:szCs w:val="16"/>
                <w:color w:val="auto"/>
              </w:rPr>
              <w:t>ASP (in thousands)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59"/>
              <w:spacing w:after="0"/>
              <w:rPr>
                <w:sz w:val="20"/>
                <w:szCs w:val="20"/>
                <w:color w:val="auto"/>
              </w:rPr>
            </w:pPr>
            <w:r>
              <w:rPr>
                <w:rFonts w:ascii="Arial" w:cs="Arial" w:eastAsia="Arial" w:hAnsi="Arial"/>
                <w:sz w:val="16"/>
                <w:szCs w:val="16"/>
                <w:color w:val="auto"/>
              </w:rPr>
              <w:t>21</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73"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Net revenues for the second quarter of Fiscal 2011 decreased $3.9 million, or 3.6 percent, compared to the second quarter of Fiscal 2010, due to a decrease in motor home deliveries of 18.0 percent. The decrease was partially mitigated by the following positive items:</w:t>
      </w:r>
    </w:p>
    <w:p>
      <w:pPr>
        <w:spacing w:after="0" w:line="1" w:lineRule="exact"/>
        <w:rPr>
          <w:sz w:val="20"/>
          <w:szCs w:val="20"/>
          <w:color w:val="auto"/>
        </w:rPr>
      </w:pPr>
    </w:p>
    <w:p>
      <w:pPr>
        <w:ind w:left="420" w:right="240" w:hanging="250"/>
        <w:spacing w:after="0" w:line="273"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Pricing and mix: Our motor home ASP increased 12.1 percent. This increase was primarily due to a shift to higher-priced product as our sales mix was more heavily weighted to higher-priced Class A product.</w:t>
      </w:r>
    </w:p>
    <w:p>
      <w:pPr>
        <w:ind w:left="420" w:right="40" w:hanging="250"/>
        <w:spacing w:after="0" w:line="281"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which are deductions from gross revenues, decreased 1.0 percent (as a percent of net revenues). In the prior year, we had more retail incentive programs in place to help stimulate retail demand to move aged units at our dealers. Better retail market conditions and improved dealer inventory aging are the key reasons these types of promotional incentives are lower this year.</w:t>
      </w:r>
    </w:p>
    <w:p>
      <w:pPr>
        <w:spacing w:after="0" w:line="2" w:lineRule="exact"/>
        <w:rPr>
          <w:rFonts w:ascii="Arial" w:cs="Arial" w:eastAsia="Arial" w:hAnsi="Arial"/>
          <w:sz w:val="16"/>
          <w:szCs w:val="16"/>
          <w:color w:val="auto"/>
        </w:rPr>
      </w:pPr>
    </w:p>
    <w:p>
      <w:pPr>
        <w:ind w:left="420" w:right="320" w:hanging="250"/>
        <w:spacing w:after="0" w:line="323"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Non-motor home revenues: with the acquisition of WT, we had revenues of $1.8 million in towable products and parts. Also, revenues for motor home parts and services and other manufactured parts increased 20.7 percent.</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Cost of products sold was $95.3 million, or 89.4 percent of net revenues for the second quarter of Fiscal 2011 compared to $105.7 million, or 95.7 percent of net revenues for the comparable period a year ago due to the following:</w:t>
      </w:r>
    </w:p>
    <w:p>
      <w:pPr>
        <w:spacing w:after="0" w:line="1" w:lineRule="exact"/>
        <w:rPr>
          <w:sz w:val="20"/>
          <w:szCs w:val="20"/>
          <w:color w:val="auto"/>
        </w:rPr>
      </w:pPr>
    </w:p>
    <w:p>
      <w:pPr>
        <w:ind w:left="420" w:right="160" w:hanging="250"/>
        <w:spacing w:after="0" w:line="276" w:lineRule="auto"/>
        <w:tabs>
          <w:tab w:leader="none" w:pos="4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6"/>
          <w:szCs w:val="16"/>
          <w:color w:val="auto"/>
        </w:rPr>
        <w:t>Most notably, cost of goods sold was positively affected by an inventory adjustment as a result of the annual physical work-in-process inventory performed in January 2011. The favorable adjustment was a result of lower actual inventory scrap and production material loss than recent historical experience, which had the effect of increasing gross profit and inventories by $3.5 million. During the past few years, when our production volumes and materials consumed were at their lowest point in our history, we incurred a much higher inventory scrap and production material loss as a percentage of materials consumed and, as a result, estimated that this higher loss percentage would continue. This did not turn out to be the case, as our materials consumed in the past year increased over 90 percent, which resulted in our inventory scrap and production material loss to decrease as a percentage, resulting in this favorable adjustment. We have now lowered our estimated scrap and inventory loss rate to be used prospectively. This adjustment favorably impacted our material, labor, variable overhead and fixed overhead costs as percentage of net revenues.</w:t>
      </w:r>
    </w:p>
    <w:p>
      <w:pPr>
        <w:spacing w:after="0" w:line="5" w:lineRule="exact"/>
        <w:rPr>
          <w:rFonts w:ascii="Times New Roman" w:cs="Times New Roman" w:eastAsia="Times New Roman" w:hAnsi="Times New Roman"/>
          <w:sz w:val="18"/>
          <w:szCs w:val="18"/>
          <w:color w:val="auto"/>
        </w:rPr>
      </w:pPr>
    </w:p>
    <w:p>
      <w:pPr>
        <w:jc w:val="both"/>
        <w:ind w:left="420" w:right="100" w:hanging="250"/>
        <w:spacing w:after="0" w:line="281" w:lineRule="auto"/>
        <w:tabs>
          <w:tab w:leader="none" w:pos="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variable costs (material, labor, variable overhead, delivery, and warranty) decreased to 81.5 percent from 86.4 percent as a percent of net revenues, which was primarily a result of the positive results of the work-in-process inventory adjustment in the second quarter of Fiscal 2011, as described above.</w:t>
      </w:r>
    </w:p>
    <w:p>
      <w:pPr>
        <w:spacing w:after="0" w:line="1" w:lineRule="exact"/>
        <w:rPr>
          <w:rFonts w:ascii="Arial" w:cs="Arial" w:eastAsia="Arial" w:hAnsi="Arial"/>
          <w:sz w:val="16"/>
          <w:szCs w:val="16"/>
          <w:color w:val="auto"/>
        </w:rPr>
      </w:pPr>
    </w:p>
    <w:p>
      <w:pPr>
        <w:ind w:left="420" w:right="200" w:hanging="250"/>
        <w:spacing w:after="0" w:line="284" w:lineRule="auto"/>
        <w:tabs>
          <w:tab w:leader="none" w:pos="4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6"/>
          <w:szCs w:val="16"/>
          <w:color w:val="auto"/>
        </w:rPr>
        <w:t>Fixed overhead (manufacturing support labor, depreciation and facility costs) and research and development-related costs, decreased to 7.9 percent of net revenue compared to 9.3 percent last year, which was primarily caused by the positive result of the work-in-process inventory adjustment in the second quarter of Fiscal 2011, as described above.</w:t>
      </w:r>
    </w:p>
    <w:p>
      <w:pPr>
        <w:spacing w:after="0" w:line="20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Gross profit increased from 4.3 percent of net revenues in the second quarter of Fiscal 2010 compared to 10.6 percent of net revenues in the second quarter of Fiscal 2011. Excluding the effect of the physical inventory adjustment in the second quarter of Fiscal 2011, gross profit would have been 7.4 percent.</w:t>
      </w:r>
    </w:p>
    <w:p>
      <w:pPr>
        <w:spacing w:after="0" w:line="189"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General and administrative expenses increased $480,000, or 13.6 percent, during the second quarter of Fiscal 2011 and, as a percentage of net revenues were 3.8 percent and 3.2 percent for the second quarters of Fiscal 2011 and Fiscal 2010, respectively. The expense increase was due primarily to an increase in legal expense and also operating expenses associated with WT.</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overall effective income tax rate for the second quarter of Fiscal 2011 was 24.2 percent compared to a benefit of 147.3 percent</w:t>
      </w:r>
    </w:p>
    <w:p>
      <w:pPr>
        <w:sectPr>
          <w:pgSz w:w="11900" w:h="16838" w:orient="portrait"/>
          <w:cols w:equalWidth="0" w:num="1">
            <w:col w:w="11420"/>
          </w:cols>
          <w:pgMar w:left="240" w:top="118"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8"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for the second quarter of Fiscal 2010. Most notably, the tax-exempt interest income in relation to projected pre-tax income and the sale of CCMF had positive impacts on our effective tax rate for the second quarter of Fiscal 2011. The sale of CCMF has a positive effect on our annual effective tax rate of approximately 4.8 percent, as this transaction resulted in a tax loss even though we incurred a gain for accounting purposes. Our tax benefit of 147.3 percent in the second quarter of Fiscal 2010 related to settlements of uncertain tax positions with various taxing jurisdictions and other adjustments to uncertain tax positions, as well as other tax planning initiatives occurring during the quarter.</w:t>
      </w:r>
    </w:p>
    <w:p>
      <w:pPr>
        <w:spacing w:after="0" w:line="217"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Net income was $3.3 million, or $0.11 per diluted share, for the second quarter of Fiscal 2011, compared to a net income of $706,000, or $0.02 per diluted share, for the second quarter of Fiscal 2010. See Note 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Six Months Compared to the Comparable Six Months Last Year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operations: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00" w:type="dxa"/>
            <w:vAlign w:val="bottom"/>
          </w:tcPr>
          <w:p>
            <w:pPr>
              <w:spacing w:after="0"/>
              <w:rPr>
                <w:sz w:val="17"/>
                <w:szCs w:val="17"/>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b w:val="1"/>
                <w:bCs w:val="1"/>
                <w:color w:val="auto"/>
              </w:rPr>
              <w:t>February 26,</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7"/>
                <w:szCs w:val="17"/>
                <w:color w:val="auto"/>
              </w:rPr>
            </w:pPr>
          </w:p>
        </w:tc>
        <w:tc>
          <w:tcPr>
            <w:tcW w:w="1340" w:type="dxa"/>
            <w:vAlign w:val="bottom"/>
          </w:tcPr>
          <w:p>
            <w:pPr>
              <w:jc w:val="right"/>
              <w:ind w:right="219"/>
              <w:spacing w:after="0"/>
              <w:rPr>
                <w:sz w:val="20"/>
                <w:szCs w:val="20"/>
                <w:color w:val="auto"/>
              </w:rPr>
            </w:pPr>
            <w:r>
              <w:rPr>
                <w:rFonts w:ascii="Arial" w:cs="Arial" w:eastAsia="Arial" w:hAnsi="Arial"/>
                <w:sz w:val="16"/>
                <w:szCs w:val="16"/>
                <w:b w:val="1"/>
                <w:bCs w:val="1"/>
                <w:color w:val="auto"/>
              </w:rPr>
              <w:t>February 27,</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2"/>
        </w:trPr>
        <w:tc>
          <w:tcPr>
            <w:tcW w:w="2940" w:type="dxa"/>
            <w:vAlign w:val="bottom"/>
          </w:tcPr>
          <w:p>
            <w:pPr>
              <w:ind w:left="40"/>
              <w:spacing w:after="0"/>
              <w:rPr>
                <w:sz w:val="20"/>
                <w:szCs w:val="20"/>
                <w:color w:val="auto"/>
              </w:rPr>
            </w:pPr>
            <w:r>
              <w:rPr>
                <w:rFonts w:ascii="Arial" w:cs="Arial" w:eastAsia="Arial" w:hAnsi="Arial"/>
                <w:sz w:val="16"/>
                <w:szCs w:val="16"/>
                <w:b w:val="1"/>
                <w:bCs w:val="1"/>
                <w:color w:val="auto"/>
              </w:rPr>
              <w:t>and per share data)</w:t>
            </w:r>
          </w:p>
        </w:tc>
        <w:tc>
          <w:tcPr>
            <w:tcW w:w="200" w:type="dxa"/>
            <w:vAlign w:val="bottom"/>
          </w:tcPr>
          <w:p>
            <w:pPr>
              <w:spacing w:after="0"/>
              <w:rPr>
                <w:sz w:val="20"/>
                <w:szCs w:val="20"/>
                <w:color w:val="auto"/>
              </w:rPr>
            </w:pPr>
          </w:p>
        </w:tc>
        <w:tc>
          <w:tcPr>
            <w:tcW w:w="134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2010</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180" w:type="dxa"/>
            <w:vAlign w:val="bottom"/>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54"/>
        </w:trPr>
        <w:tc>
          <w:tcPr>
            <w:tcW w:w="2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230,304</w:t>
            </w:r>
          </w:p>
        </w:tc>
        <w:tc>
          <w:tcPr>
            <w:tcW w:w="13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191,546</w:t>
            </w:r>
          </w:p>
        </w:tc>
        <w:tc>
          <w:tcPr>
            <w:tcW w:w="136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38,758</w:t>
            </w:r>
          </w:p>
        </w:tc>
        <w:tc>
          <w:tcPr>
            <w:tcW w:w="11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64"/>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207,781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90.2 %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186,238</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97.2 %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21,543</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50"/>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22,523</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9.8 %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5,308</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17,215</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324.3%</w:t>
            </w:r>
          </w:p>
        </w:tc>
        <w:tc>
          <w:tcPr>
            <w:tcW w:w="0" w:type="dxa"/>
            <w:vAlign w:val="bottom"/>
          </w:tcPr>
          <w:p>
            <w:pPr>
              <w:spacing w:after="0"/>
              <w:rPr>
                <w:sz w:val="1"/>
                <w:szCs w:val="1"/>
                <w:color w:val="auto"/>
              </w:rPr>
            </w:pPr>
          </w:p>
        </w:tc>
      </w:tr>
      <w:tr>
        <w:trPr>
          <w:trHeight w:val="249"/>
        </w:trPr>
        <w:tc>
          <w:tcPr>
            <w:tcW w:w="2940" w:type="dxa"/>
            <w:vAlign w:val="bottom"/>
          </w:tcPr>
          <w:p>
            <w:pPr>
              <w:ind w:left="40"/>
              <w:spacing w:after="0"/>
              <w:rPr>
                <w:sz w:val="20"/>
                <w:szCs w:val="20"/>
                <w:color w:val="auto"/>
              </w:rPr>
            </w:pPr>
            <w:r>
              <w:rPr>
                <w:rFonts w:ascii="Arial" w:cs="Arial" w:eastAsia="Arial" w:hAnsi="Arial"/>
                <w:sz w:val="16"/>
                <w:szCs w:val="16"/>
                <w:color w:val="auto"/>
              </w:rPr>
              <w:t>Selling</w:t>
            </w:r>
          </w:p>
        </w:tc>
        <w:tc>
          <w:tcPr>
            <w:tcW w:w="20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6,521</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6,331</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190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78"/>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7,671</w:t>
            </w:r>
          </w:p>
        </w:tc>
        <w:tc>
          <w:tcPr>
            <w:tcW w:w="1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6,812</w:t>
            </w: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859</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64"/>
        </w:trPr>
        <w:tc>
          <w:tcPr>
            <w:tcW w:w="2940" w:type="dxa"/>
            <w:vAlign w:val="bottom"/>
          </w:tcPr>
          <w:p>
            <w:pPr>
              <w:ind w:left="40"/>
              <w:spacing w:after="0"/>
              <w:rPr>
                <w:sz w:val="20"/>
                <w:szCs w:val="20"/>
                <w:color w:val="auto"/>
              </w:rPr>
            </w:pPr>
            <w:r>
              <w:rPr>
                <w:rFonts w:ascii="Arial" w:cs="Arial" w:eastAsia="Arial" w:hAnsi="Arial"/>
                <w:sz w:val="16"/>
                <w:szCs w:val="16"/>
                <w:color w:val="auto"/>
              </w:rPr>
              <w:t>Gain on sale of asset held for sale</w:t>
            </w:r>
          </w:p>
        </w:tc>
        <w:tc>
          <w:tcPr>
            <w:tcW w:w="200" w:type="dxa"/>
            <w:vAlign w:val="bottom"/>
          </w:tcPr>
          <w:p>
            <w:pPr>
              <w:spacing w:after="0"/>
              <w:rPr>
                <w:sz w:val="22"/>
                <w:szCs w:val="22"/>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(644)</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(644)</w:t>
            </w:r>
          </w:p>
        </w:tc>
        <w:tc>
          <w:tcPr>
            <w:tcW w:w="1140" w:type="dxa"/>
            <w:vAlign w:val="bottom"/>
          </w:tcPr>
          <w:p>
            <w:pPr>
              <w:jc w:val="right"/>
              <w:ind w:right="239"/>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13,548</w:t>
            </w:r>
          </w:p>
        </w:tc>
        <w:tc>
          <w:tcPr>
            <w:tcW w:w="134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5.9 %</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13,143</w:t>
            </w:r>
          </w:p>
        </w:tc>
        <w:tc>
          <w:tcPr>
            <w:tcW w:w="13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6.9 %</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405</w:t>
            </w:r>
          </w:p>
        </w:tc>
        <w:tc>
          <w:tcPr>
            <w:tcW w:w="11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9"/>
        </w:trPr>
        <w:tc>
          <w:tcPr>
            <w:tcW w:w="294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0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8,975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(7,835)</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16,810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214.6%</w:t>
            </w:r>
          </w:p>
        </w:tc>
        <w:tc>
          <w:tcPr>
            <w:tcW w:w="0" w:type="dxa"/>
            <w:vAlign w:val="bottom"/>
          </w:tcPr>
          <w:p>
            <w:pPr>
              <w:spacing w:after="0"/>
              <w:rPr>
                <w:sz w:val="1"/>
                <w:szCs w:val="1"/>
                <w:color w:val="auto"/>
              </w:rPr>
            </w:pPr>
          </w:p>
        </w:tc>
      </w:tr>
      <w:tr>
        <w:trPr>
          <w:trHeight w:val="271"/>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474</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131</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343</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261.8%</w:t>
            </w:r>
          </w:p>
        </w:tc>
        <w:tc>
          <w:tcPr>
            <w:tcW w:w="0" w:type="dxa"/>
            <w:vAlign w:val="bottom"/>
          </w:tcPr>
          <w:p>
            <w:pPr>
              <w:spacing w:after="0"/>
              <w:rPr>
                <w:sz w:val="1"/>
                <w:szCs w:val="1"/>
                <w:color w:val="auto"/>
              </w:rPr>
            </w:pPr>
          </w:p>
        </w:tc>
      </w:tr>
      <w:tr>
        <w:trPr>
          <w:trHeight w:val="249"/>
        </w:trPr>
        <w:tc>
          <w:tcPr>
            <w:tcW w:w="29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200" w:type="dxa"/>
            <w:vAlign w:val="bottom"/>
          </w:tcPr>
          <w:p>
            <w:pPr>
              <w:spacing w:after="0"/>
              <w:rPr>
                <w:sz w:val="21"/>
                <w:szCs w:val="21"/>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9,449</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(7,704)</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17,153</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71"/>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2,348</w:t>
            </w:r>
          </w:p>
        </w:tc>
        <w:tc>
          <w:tcPr>
            <w:tcW w:w="1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(7,066)</w:t>
            </w:r>
          </w:p>
        </w:tc>
        <w:tc>
          <w:tcPr>
            <w:tcW w:w="1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9,414</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82"/>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7,101</w:t>
            </w: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3.1 %</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(638)</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7,739</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252"/>
        </w:trPr>
        <w:tc>
          <w:tcPr>
            <w:tcW w:w="2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income (loss) per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0.24</w:t>
            </w:r>
          </w:p>
        </w:tc>
        <w:tc>
          <w:tcPr>
            <w:tcW w:w="1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(0.02)</w:t>
            </w: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0.26</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NMF</w:t>
            </w: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ind w:left="40"/>
              <w:spacing w:after="0" w:line="152" w:lineRule="exact"/>
              <w:rPr>
                <w:sz w:val="20"/>
                <w:szCs w:val="20"/>
                <w:color w:val="auto"/>
              </w:rPr>
            </w:pPr>
            <w:r>
              <w:rPr>
                <w:rFonts w:ascii="Arial" w:cs="Arial" w:eastAsia="Arial" w:hAnsi="Arial"/>
                <w:sz w:val="16"/>
                <w:szCs w:val="16"/>
                <w:color w:val="auto"/>
              </w:rPr>
              <w:t>Fully diluted average shares</w:t>
            </w:r>
          </w:p>
        </w:tc>
        <w:tc>
          <w:tcPr>
            <w:tcW w:w="2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29,118</w:t>
            </w: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29,088</w:t>
            </w: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ind w:left="580"/>
              <w:spacing w:after="0"/>
              <w:rPr>
                <w:sz w:val="20"/>
                <w:szCs w:val="20"/>
                <w:color w:val="auto"/>
              </w:rPr>
            </w:pPr>
            <w:r>
              <w:rPr>
                <w:rFonts w:ascii="Arial" w:cs="Arial" w:eastAsia="Arial" w:hAnsi="Arial"/>
                <w:sz w:val="16"/>
                <w:szCs w:val="16"/>
                <w:b w:val="1"/>
                <w:bCs w:val="1"/>
                <w:color w:val="auto"/>
              </w:rPr>
              <w:t>Six Months Ended</w:t>
            </w: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r>
      <w:tr>
        <w:trPr>
          <w:trHeight w:val="193"/>
        </w:trPr>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b w:val="1"/>
                <w:bCs w:val="1"/>
                <w:color w:val="auto"/>
              </w:rPr>
              <w:t>February 26,</w:t>
            </w: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16"/>
                <w:szCs w:val="16"/>
                <w:color w:val="auto"/>
              </w:rPr>
            </w:pPr>
          </w:p>
        </w:tc>
        <w:tc>
          <w:tcPr>
            <w:tcW w:w="1360" w:type="dxa"/>
            <w:vAlign w:val="bottom"/>
          </w:tcPr>
          <w:p>
            <w:pPr>
              <w:jc w:val="right"/>
              <w:ind w:right="279"/>
              <w:spacing w:after="0"/>
              <w:rPr>
                <w:sz w:val="20"/>
                <w:szCs w:val="20"/>
                <w:color w:val="auto"/>
              </w:rPr>
            </w:pPr>
            <w:r>
              <w:rPr>
                <w:rFonts w:ascii="Arial" w:cs="Arial" w:eastAsia="Arial" w:hAnsi="Arial"/>
                <w:sz w:val="16"/>
                <w:szCs w:val="16"/>
                <w:b w:val="1"/>
                <w:bCs w:val="1"/>
                <w:color w:val="auto"/>
              </w:rPr>
              <w:t>February 27,</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Product</w:t>
            </w:r>
          </w:p>
        </w:tc>
        <w:tc>
          <w:tcPr>
            <w:tcW w:w="240" w:type="dxa"/>
            <w:vAlign w:val="bottom"/>
          </w:tcPr>
          <w:p>
            <w:pPr>
              <w:spacing w:after="0"/>
              <w:rPr>
                <w:sz w:val="16"/>
                <w:szCs w:val="16"/>
                <w:color w:val="auto"/>
              </w:rPr>
            </w:pPr>
          </w:p>
        </w:tc>
        <w:tc>
          <w:tcPr>
            <w:tcW w:w="130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2"/>
        </w:trPr>
        <w:tc>
          <w:tcPr>
            <w:tcW w:w="306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Pr>
          <w:p>
            <w:pPr>
              <w:spacing w:after="0"/>
              <w:rPr>
                <w:sz w:val="20"/>
                <w:szCs w:val="20"/>
                <w:color w:val="auto"/>
              </w:rPr>
            </w:pPr>
          </w:p>
        </w:tc>
        <w:tc>
          <w:tcPr>
            <w:tcW w:w="1340" w:type="dxa"/>
            <w:vAlign w:val="bottom"/>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12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Mix*</w:t>
            </w:r>
          </w:p>
        </w:tc>
        <w:tc>
          <w:tcPr>
            <w:tcW w:w="160" w:type="dxa"/>
            <w:vAlign w:val="bottom"/>
          </w:tcPr>
          <w:p>
            <w:pPr>
              <w:spacing w:after="0"/>
              <w:rPr>
                <w:sz w:val="20"/>
                <w:szCs w:val="20"/>
                <w:color w:val="auto"/>
              </w:rPr>
            </w:pP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Mix*</w:t>
            </w:r>
          </w:p>
        </w:tc>
        <w:tc>
          <w:tcPr>
            <w:tcW w:w="240" w:type="dxa"/>
            <w:vAlign w:val="bottom"/>
          </w:tcPr>
          <w:p>
            <w:pPr>
              <w:spacing w:after="0"/>
              <w:rPr>
                <w:sz w:val="20"/>
                <w:szCs w:val="20"/>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67"/>
        </w:trPr>
        <w:tc>
          <w:tcPr>
            <w:tcW w:w="3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Motor homes:</w:t>
            </w:r>
          </w:p>
        </w:tc>
        <w:tc>
          <w:tcPr>
            <w:tcW w:w="1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62"/>
        </w:trPr>
        <w:tc>
          <w:tcPr>
            <w:tcW w:w="306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720</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613</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107</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17.5 %</w:t>
            </w:r>
          </w:p>
        </w:tc>
      </w:tr>
      <w:tr>
        <w:trPr>
          <w:trHeight w:val="271"/>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488</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434</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54</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12.4 %</w:t>
            </w:r>
          </w:p>
        </w:tc>
      </w:tr>
      <w:tr>
        <w:trPr>
          <w:trHeight w:val="249"/>
        </w:trPr>
        <w:tc>
          <w:tcPr>
            <w:tcW w:w="306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1"/>
                <w:szCs w:val="21"/>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1,208</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1,047</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161</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15.4 %</w:t>
            </w:r>
          </w:p>
        </w:tc>
      </w:tr>
      <w:tr>
        <w:trPr>
          <w:trHeight w:val="278"/>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(125)</w:t>
            </w: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(99.2)%</w:t>
            </w:r>
          </w:p>
        </w:tc>
      </w:tr>
      <w:tr>
        <w:trPr>
          <w:trHeight w:val="264"/>
        </w:trPr>
        <w:tc>
          <w:tcPr>
            <w:tcW w:w="3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815</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730</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85</w:t>
            </w: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11.6 %</w:t>
            </w:r>
          </w:p>
        </w:tc>
      </w:tr>
      <w:tr>
        <w:trPr>
          <w:trHeight w:val="242"/>
        </w:trPr>
        <w:tc>
          <w:tcPr>
            <w:tcW w:w="3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deliveries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2,024</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1,903</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121</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6.4 %</w:t>
            </w:r>
          </w:p>
        </w:tc>
      </w:tr>
      <w:tr>
        <w:trPr>
          <w:trHeight w:val="20"/>
        </w:trPr>
        <w:tc>
          <w:tcPr>
            <w:tcW w:w="3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5"/>
        </w:trPr>
        <w:tc>
          <w:tcPr>
            <w:tcW w:w="3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w:t>
            </w: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95</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w:t>
            </w:r>
          </w:p>
        </w:tc>
        <w:tc>
          <w:tcPr>
            <w:tcW w:w="1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84"/>
        </w:trPr>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2"/>
        </w:trPr>
        <w:tc>
          <w:tcPr>
            <w:tcW w:w="3060" w:type="dxa"/>
            <w:vAlign w:val="bottom"/>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Pr>
          <w:p>
            <w:pPr>
              <w:spacing w:after="0"/>
              <w:rPr>
                <w:sz w:val="22"/>
                <w:szCs w:val="22"/>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71"/>
        </w:trPr>
        <w:tc>
          <w:tcPr>
            <w:tcW w:w="3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64</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82"/>
        </w:trPr>
        <w:tc>
          <w:tcPr>
            <w:tcW w:w="3060" w:type="dxa"/>
            <w:vAlign w:val="bottom"/>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Pr>
          <w:p>
            <w:pPr>
              <w:spacing w:after="0"/>
              <w:rPr>
                <w:sz w:val="24"/>
                <w:szCs w:val="24"/>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85</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4"/>
                <w:szCs w:val="24"/>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85</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100.0 %</w:t>
            </w:r>
          </w:p>
        </w:tc>
      </w:tr>
      <w:tr>
        <w:trPr>
          <w:trHeight w:val="265"/>
        </w:trPr>
        <w:tc>
          <w:tcPr>
            <w:tcW w:w="306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r>
      <w:tr>
        <w:trPr>
          <w:trHeight w:val="255"/>
        </w:trPr>
        <w:tc>
          <w:tcPr>
            <w:tcW w:w="3060" w:type="dxa"/>
            <w:vAlign w:val="bottom"/>
          </w:tcPr>
          <w:p>
            <w:pPr>
              <w:ind w:left="180"/>
              <w:spacing w:after="0"/>
              <w:rPr>
                <w:sz w:val="20"/>
                <w:szCs w:val="20"/>
                <w:color w:val="auto"/>
              </w:rPr>
            </w:pPr>
            <w:r>
              <w:rPr>
                <w:rFonts w:ascii="Arial" w:cs="Arial" w:eastAsia="Arial" w:hAnsi="Arial"/>
                <w:sz w:val="16"/>
                <w:szCs w:val="16"/>
                <w:color w:val="auto"/>
              </w:rPr>
              <w:t>ASP (in thousands)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21</w:t>
            </w:r>
          </w:p>
        </w:tc>
        <w:tc>
          <w:tcPr>
            <w:tcW w:w="1300" w:type="dxa"/>
            <w:vAlign w:val="bottom"/>
          </w:tcPr>
          <w:p>
            <w:pPr>
              <w:spacing w:after="0"/>
              <w:rPr>
                <w:sz w:val="22"/>
                <w:szCs w:val="22"/>
                <w:color w:val="auto"/>
              </w:rPr>
            </w:pPr>
          </w:p>
        </w:tc>
      </w:tr>
    </w:tbl>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Percentages may not add due to rounding differences.</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Net revenues for the first six months of Fiscal 2011 increased $38.8 million, or 20.2 percent, compared to the first six months of</w:t>
      </w:r>
    </w:p>
    <w:p>
      <w:pPr>
        <w:sectPr>
          <w:pgSz w:w="11900" w:h="16838" w:orient="portrait"/>
          <w:cols w:equalWidth="0" w:num="1">
            <w:col w:w="11420"/>
          </w:cols>
          <w:pgMar w:left="240" w:top="121" w:right="239" w:bottom="1045"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045" w:gutter="0" w:footer="0" w:header="0"/>
          <w:type w:val="continuous"/>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Fiscal 2010, due to the following:</w:t>
      </w:r>
    </w:p>
    <w:p>
      <w:pPr>
        <w:spacing w:after="0" w:line="25" w:lineRule="exact"/>
        <w:rPr>
          <w:sz w:val="20"/>
          <w:szCs w:val="20"/>
          <w:color w:val="auto"/>
        </w:rPr>
      </w:pPr>
    </w:p>
    <w:p>
      <w:pPr>
        <w:ind w:left="420" w:right="240" w:hanging="250"/>
        <w:spacing w:after="0" w:line="263" w:lineRule="auto"/>
        <w:tabs>
          <w:tab w:leader="none" w:pos="4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Pricing and mix: Our motor home ASP increased 10.3 percent. This increase was primarily due to a shift to higher-priced product as our sales mix was more heavily weighted to higher-priced Class A product and a decrease of product discounts offered at the wholesale level.</w:t>
      </w:r>
    </w:p>
    <w:p>
      <w:pPr>
        <w:ind w:left="420" w:hanging="250"/>
        <w:spacing w:after="0"/>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Volume increase: motor home deliveries increased by 6.4 percent.</w:t>
      </w:r>
    </w:p>
    <w:p>
      <w:pPr>
        <w:spacing w:after="0" w:line="32" w:lineRule="exact"/>
        <w:rPr>
          <w:rFonts w:ascii="Arial" w:cs="Arial" w:eastAsia="Arial" w:hAnsi="Arial"/>
          <w:sz w:val="16"/>
          <w:szCs w:val="16"/>
          <w:color w:val="auto"/>
        </w:rPr>
      </w:pPr>
    </w:p>
    <w:p>
      <w:pPr>
        <w:ind w:left="420" w:right="40" w:hanging="250"/>
        <w:spacing w:after="0" w:line="281" w:lineRule="auto"/>
        <w:tabs>
          <w:tab w:leader="none" w:pos="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Promotional incentives: Our retail and other incentives, which are deductions from gross revenues, decreased 1.7 percent (as a percent of net revenues). In the prior year, we had more retail incentive programs in place to help stimulate retail demand to move aged units at our dealers. Better retail market conditions and improved dealer inventory aging are the key reasons these types of promotional incentives were lower this year.</w:t>
      </w:r>
    </w:p>
    <w:p>
      <w:pPr>
        <w:spacing w:after="0" w:line="2" w:lineRule="exact"/>
        <w:rPr>
          <w:rFonts w:ascii="Arial" w:cs="Arial" w:eastAsia="Arial" w:hAnsi="Arial"/>
          <w:sz w:val="16"/>
          <w:szCs w:val="16"/>
          <w:color w:val="auto"/>
        </w:rPr>
      </w:pPr>
    </w:p>
    <w:p>
      <w:pPr>
        <w:ind w:left="420" w:right="320" w:hanging="250"/>
        <w:spacing w:after="0" w:line="293" w:lineRule="auto"/>
        <w:tabs>
          <w:tab w:leader="none" w:pos="4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6"/>
          <w:szCs w:val="16"/>
          <w:color w:val="auto"/>
        </w:rPr>
        <w:t>Non-motor home revenues; with the acquisition of WT, we had revenues of $1.8 million in towable products and parts. Also, revenues for motor home parts and services and other manufactured parts increased 12.6 percent.</w:t>
      </w:r>
    </w:p>
    <w:p>
      <w:pPr>
        <w:spacing w:after="0" w:line="19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Cost of products sold was $207.8 million, or 90.2 percent of net revenues for the first six months of Fiscal 2011 compared to $186.2 million, or 97.2 percent of net revenues for the comparable period a year ago due to the following:</w:t>
      </w:r>
    </w:p>
    <w:p>
      <w:pPr>
        <w:spacing w:after="0" w:line="1" w:lineRule="exact"/>
        <w:rPr>
          <w:sz w:val="20"/>
          <w:szCs w:val="20"/>
          <w:color w:val="auto"/>
        </w:rPr>
      </w:pPr>
    </w:p>
    <w:p>
      <w:pPr>
        <w:ind w:left="420" w:right="180" w:hanging="250"/>
        <w:spacing w:after="0" w:line="272" w:lineRule="auto"/>
        <w:tabs>
          <w:tab w:leader="none" w:pos="4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Cost of goods sold was positively impacted by an inventory adjustment as a result of the annual physical inventory performed in the second quarter of Fiscal 2011. The favorable adjustment was a result of lower actual inventory scrap and production material loss than recent historical experience, which had the effect of increasing gross profit and inventories by $3.5 million. This adjustment favorably impacted our material, labor, variable overhead and fixed overhead costs as a percentage of net revenues.</w:t>
      </w:r>
    </w:p>
    <w:p>
      <w:pPr>
        <w:ind w:left="420" w:right="140" w:hanging="250"/>
        <w:spacing w:after="0" w:line="281"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Variable costs (material, labor, variable overhead, delivery, and warranty) as a percent of net revenues decreased to 79.5 percent from 84.1 percent last year due to the mix of higher priced Class A motor homes sold and the positive results of the physical inventory in Fiscal 2011.</w:t>
      </w:r>
    </w:p>
    <w:p>
      <w:pPr>
        <w:spacing w:after="0" w:line="1" w:lineRule="exact"/>
        <w:rPr>
          <w:rFonts w:ascii="Arial" w:cs="Arial" w:eastAsia="Arial" w:hAnsi="Arial"/>
          <w:sz w:val="16"/>
          <w:szCs w:val="16"/>
          <w:color w:val="auto"/>
        </w:rPr>
      </w:pPr>
    </w:p>
    <w:p>
      <w:pPr>
        <w:ind w:left="420" w:right="380" w:hanging="250"/>
        <w:spacing w:after="0" w:line="284" w:lineRule="auto"/>
        <w:tabs>
          <w:tab w:leader="none" w:pos="4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6"/>
          <w:szCs w:val="16"/>
          <w:color w:val="auto"/>
        </w:rPr>
        <w:t>Fixed overhead (manufacturing support labor, depreciation and facility costs) and research and development-related costs were 7.9 percent of net revenues compared to 10.2 percent last year. This difference was due to higher absorption of fixed costs as a result of higher production volume and reduced employee-related expenses in Fiscal 2011.</w:t>
      </w:r>
    </w:p>
    <w:p>
      <w:pPr>
        <w:spacing w:after="0" w:line="20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Gross profit increased from 2.8 percent of net revenues in the first six months of Fiscal 2010 compared to 9.8 percent of net revenues in the first six months of Fiscal 2011. Excluding the effect of the physical inventory adjustment in Fiscal 2011, gross profit would have been 8.3 percent.</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General and administrative expenses increased $859,000, or 12.6 percent, during the six months of Fiscal 2011 and, as a percentage of net revenues were 3.3 percent and 3.6 percent for the six months of Fiscal 2011 and Fiscal 2010, respectively. The expense increase was due primarily to employee-related expenses and increases in legal expenses.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2011 we realized a gain of $644,000 on the sale of CCMF, one of our assets held for sale. See Note 7.</w:t>
      </w:r>
    </w:p>
    <w:p>
      <w:pPr>
        <w:spacing w:after="0" w:line="262" w:lineRule="exact"/>
        <w:rPr>
          <w:sz w:val="20"/>
          <w:szCs w:val="20"/>
          <w:color w:val="auto"/>
        </w:rPr>
      </w:pPr>
    </w:p>
    <w:p>
      <w:pPr>
        <w:jc w:val="both"/>
        <w:ind w:right="500"/>
        <w:spacing w:after="0" w:line="269" w:lineRule="auto"/>
        <w:rPr>
          <w:sz w:val="20"/>
          <w:szCs w:val="20"/>
          <w:color w:val="auto"/>
        </w:rPr>
      </w:pPr>
      <w:r>
        <w:rPr>
          <w:rFonts w:ascii="Arial" w:cs="Arial" w:eastAsia="Arial" w:hAnsi="Arial"/>
          <w:sz w:val="16"/>
          <w:szCs w:val="16"/>
          <w:color w:val="auto"/>
        </w:rPr>
        <w:t>Non-operating income increased $343,000 during the six months of Fiscal 2011. This difference is primarily the result of incurring a one-time expense of $375,000 in Fiscal 2010 to terminate a credit and security agreement with Wells Fargo. We also received proceeds from COLI policies during the first six months of Fiscal 2011, partially offset by lower investment income.</w:t>
      </w:r>
    </w:p>
    <w:p>
      <w:pPr>
        <w:spacing w:after="0" w:line="20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overall effective income tax rate for the first six months of Fiscal 2011 was 24.8 percent compared to a benefit of 91.7 percent for the first six months of Fiscal 2010. Most notably, our effective tax rate for the first six months of Fiscal 2011 was positively affected by the tax-exempt interest income in relation to projected pre-tax income as well as the sale of CCMF. The sale of CCMF resulted in a positive impact on our annual effective rate by approximately 4.8 percent, as this transaction resulted in a tax loss even though we incurred a gain for accounting purposes. Our tax benefit of 91.7 percent in the first six months of Fiscal 2010 related mostly to the carryback of Fiscal 2009 losses due to a tax law change. During the first quarter of Fiscal 2010, the President of the United States signed into law the Worker, Homeownership, and Business Assistance Act of 2009, which expanded the carryback period from two to five years, which allowed us to carryback all Fiscal 2009 NOL. As a result, we recorded a tax benefit of $4.8 million in the prior year and reduced the associated valuation allowance due to this beneficial tax law change. In the first six months of Fiscal 2010 we also recorded benefits related to settlements and other adjustments to uncertain tax positions as well as other tax planning initiatives.</w:t>
      </w:r>
    </w:p>
    <w:p>
      <w:pPr>
        <w:spacing w:after="0" w:line="22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Net income was $7.1 million, or $0.24 per diluted share, for the first six months of Fiscal 2011 compared to a net loss of $638,000 or $0.02 per diluted share, for the first six months of Fiscal 2010. See Note 14.</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totaled $62.8 million and $74.7 million as of February 26, 2011 and August 28, 2010,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Significant liquidity events in the first six months of Fiscal 2011 include:</w:t>
      </w:r>
    </w:p>
    <w:p>
      <w:pPr>
        <w:spacing w:after="0" w:line="35" w:lineRule="exact"/>
        <w:rPr>
          <w:sz w:val="20"/>
          <w:szCs w:val="20"/>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income of $7.1 million.</w:t>
      </w:r>
    </w:p>
    <w:p>
      <w:pPr>
        <w:spacing w:after="0" w:line="18" w:lineRule="exact"/>
        <w:rPr>
          <w:rFonts w:ascii="Arial" w:cs="Arial" w:eastAsia="Arial" w:hAnsi="Arial"/>
          <w:sz w:val="16"/>
          <w:szCs w:val="16"/>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proceeds of $3.7 million due to the sale of CCMF.</w:t>
      </w:r>
    </w:p>
    <w:p>
      <w:pPr>
        <w:spacing w:after="0" w:line="32" w:lineRule="exact"/>
        <w:rPr>
          <w:rFonts w:ascii="Arial" w:cs="Arial" w:eastAsia="Arial" w:hAnsi="Arial"/>
          <w:sz w:val="16"/>
          <w:szCs w:val="16"/>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ARS redemptions at par of $6.5 million. We have $11.4 million ARS at par value classified as long-term investments as of February 26, 2011. See Note 5.</w:t>
      </w:r>
    </w:p>
    <w:p>
      <w:pPr>
        <w:spacing w:after="0" w:line="32" w:lineRule="exact"/>
        <w:rPr>
          <w:rFonts w:ascii="Arial" w:cs="Arial" w:eastAsia="Arial" w:hAnsi="Arial"/>
          <w:sz w:val="16"/>
          <w:szCs w:val="16"/>
          <w:color w:val="auto"/>
        </w:rPr>
      </w:pPr>
    </w:p>
    <w:p>
      <w:pPr>
        <w:ind w:left="420" w:hanging="250"/>
        <w:spacing w:after="0"/>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Purchase of WT for $4.7 million, net of cash acquired. See Note 3.</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62" w:lineRule="exact"/>
        <w:rPr>
          <w:sz w:val="20"/>
          <w:szCs w:val="20"/>
          <w:color w:val="auto"/>
        </w:rPr>
      </w:pPr>
    </w:p>
    <w:p>
      <w:pPr>
        <w:jc w:val="both"/>
        <w:ind w:left="420" w:right="240" w:hanging="250"/>
        <w:spacing w:after="0" w:line="304" w:lineRule="auto"/>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Increases in inventories as noted in the consolidated statement of cash flows of $24.2 million, primarily due to increases in finished goods and chassis inventory. As part of our plan to meet expected demand, as we took advantage of our excess capacity by leveling our production throughout the winter months and minimized prospective hiring needs as we approached our historically busier third quarter.</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also have in place a loan agreement providing for a $20.0 million revolving credit facility, as described in further detail in Note 9, which allows us to borrow up to $12.5 million without financial covenant restrictions if there is adequate asset coverage. We had sufficient asset coverage in accounts receivable and inventory as of February 26, 2011 to access the entire $12.5 million.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 No borrowings have been made under the Loan Agreement as of the date of this report.</w:t>
      </w:r>
    </w:p>
    <w:p>
      <w:pPr>
        <w:spacing w:after="0" w:line="200" w:lineRule="exact"/>
        <w:rPr>
          <w:sz w:val="20"/>
          <w:szCs w:val="20"/>
          <w:color w:val="auto"/>
        </w:rPr>
      </w:pPr>
    </w:p>
    <w:p>
      <w:pPr>
        <w:spacing w:after="0" w:line="210"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Statement will be available for use for three years. We currently have no plans to offer and sell the common stock registered under the Registration Statement; however, it does provide another source of liquidity in addition to the alternatives already in place.</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Working capital at February 26, 2011 and August 28, 2010 was $106.2 million and $91.3 million, respectively, an increase of $14.8 million. We currently expect cash on hand, funds generated from operations (if any) and the availability under the credit facility to be sufficient to cover both short-term and long-term operation requirements. We anticipate capital expenditures during the balance of Fiscal 2011 of approximately $1.7 million, primarily for manufacturing equipment and facilities which will be funded with cash on hand.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2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Cash used in operating activities was $16.5 million for the six months ended February 26, 2011, compared to cash provided by operating activities of $4.9 million for the six months ended February 27, 2010. In the current year, a significant increase in inventory of $24.2 million was partially offset by net income of $7.1 million. In Fiscal 2010, increases in inventory and accounts receivables were offset by a reduction in income tax receivables and an increase in accounts payable and accrued expenses.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3"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Cash provided by investing activities was due primarily to ARS redemptions of $6.5 million and proceeds of $3.8 million from the sale of property ($3.7 million related to the sale of CCMF), partially offset by the acquisition of WT for $4.7 million and capital spending of $1.3 million in the six months ended February 26, 2011. During the six months ended February 27, 2010, cash provided by investing activities was due primarily to ARS redemptions of $4.7 million, partially offset by capital spending of $943,000.</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3" w:lineRule="exact"/>
        <w:rPr>
          <w:sz w:val="20"/>
          <w:szCs w:val="20"/>
          <w:color w:val="auto"/>
        </w:rPr>
      </w:pPr>
    </w:p>
    <w:p>
      <w:pPr>
        <w:ind w:right="420"/>
        <w:spacing w:after="0" w:line="265" w:lineRule="auto"/>
        <w:rPr>
          <w:sz w:val="20"/>
          <w:szCs w:val="20"/>
          <w:color w:val="auto"/>
        </w:rPr>
      </w:pPr>
      <w:r>
        <w:rPr>
          <w:rFonts w:ascii="Arial" w:cs="Arial" w:eastAsia="Arial" w:hAnsi="Arial"/>
          <w:sz w:val="16"/>
          <w:szCs w:val="16"/>
          <w:color w:val="auto"/>
        </w:rPr>
        <w:t>Cash provided by financing activities was $110,000 for the six months ended February 26, 2011. Cash used in financing activities of $3.2 million in the six months ended February 27, 2010 was primarily due to a payment on our borrowings on our ARS portfolio of $2.8 million.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6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218" w:lineRule="exact"/>
        <w:rPr>
          <w:sz w:val="20"/>
          <w:szCs w:val="20"/>
          <w:color w:val="auto"/>
        </w:rPr>
      </w:pPr>
    </w:p>
    <w:p>
      <w:pPr>
        <w:jc w:val="both"/>
        <w:ind w:right="200"/>
        <w:spacing w:after="0" w:line="269"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Generally, revenues of our recreation vehicles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the sales of our Original Equipment Manufacturing (OEM) and recreation vehicle related parts are recorded as the</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products are shipped from our location. The title of ownership transfers on these products as they leave our location due to the freight terms of F.O.B. - Origin.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w:t>
      </w:r>
    </w:p>
    <w:p>
      <w:pPr>
        <w:spacing w:after="0" w:line="22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of our product, age of product in dealer inventory, physical condition of the product, location of the dealer, financing source and independent third party credit rating of our dealers. To the extent that dealers are increasing or decreasing their inventories, our overall exposure under repurchase agreements is likewise impacted. The percentage of dealer inventory we estimate we will repurchase (which has ranged in recent years from 6 to 11 percent on a weighted average basis) and the associated estimated loss (which has ranged in recent years from 7 to 16 percent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223" w:lineRule="exact"/>
        <w:rPr>
          <w:sz w:val="20"/>
          <w:szCs w:val="20"/>
          <w:color w:val="auto"/>
        </w:rPr>
      </w:pPr>
    </w:p>
    <w:p>
      <w:pPr>
        <w:ind w:right="280"/>
        <w:spacing w:after="0" w:line="269" w:lineRule="auto"/>
        <w:rPr>
          <w:sz w:val="20"/>
          <w:szCs w:val="20"/>
          <w:color w:val="auto"/>
        </w:rPr>
      </w:pPr>
      <w:r>
        <w:rPr>
          <w:rFonts w:ascii="Arial" w:cs="Arial" w:eastAsia="Arial" w:hAnsi="Arial"/>
          <w:sz w:val="16"/>
          <w:szCs w:val="16"/>
          <w:color w:val="auto"/>
        </w:rPr>
        <w:t>We do not believe there is a reasonable likelihood that there will be a material change in the future estimates or assumptions we use to calculate our loss reserve for repurchase commitments. A hypothetical change of a 10 percent increase or decrease in our significant repurchase commitment assumptions at February 26, 2011, would have affected net income by approximately $140,000.</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provide a comprehensive 12-month/15,000-mile warranty on Class A, Class B and Class C motor homes and a 12-month warranty on our towables at the time of retail sale of our products. We also provide a 3-year/36,000-mile warranty on Class A and Class C sidewalls and floors. Estimated costs related to product warranty are accrued at the time of invoicing and are based upon past warranty claims and unit sales history and adjusted as required to reflect actual costs incurred, as information becomes available. A significant increase in dealership labor rates, the cost of parts or the frequency of claims could have a material adverse effect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account for income taxes in accordance with ASC 740.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to be appropriate.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 inventory loss reserve contains uncertainties because the calculation requires management to make assumptions and to apply judgment regarding a number of factors, including historical results and current inventory loss trends.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of Market Risk</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We have market risk exposure to our ARS, which is described in further detail in Note 5.</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3"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which, by their nature, can provide only reasonable assurance regarding management's disclosure control objectives.</w:t>
      </w:r>
    </w:p>
    <w:p>
      <w:pPr>
        <w:spacing w:after="0" w:line="208"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procedures were effective as of the Evaluation Date.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6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88"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There have been no material changes in the risk factors previously disclosed in Part I, Item 1A of our Annual Report on Form 10-K for the fiscal year ended August 28, 2010, except as noted below.</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Integration of SunnyBrook RV</w:t>
      </w:r>
    </w:p>
    <w:p>
      <w:pPr>
        <w:spacing w:after="0" w:line="2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If we cannot successfully integrate the operations of SunnyBrook with our existing operations, we may experience material negative consequences to our business, financial condition or results of operations. The integration of companies that have previously been operated separately involves a number of risks, including, but not limited to:</w:t>
      </w:r>
    </w:p>
    <w:p>
      <w:pPr>
        <w:spacing w:after="0" w:line="2" w:lineRule="exact"/>
        <w:rPr>
          <w:sz w:val="20"/>
          <w:szCs w:val="20"/>
          <w:color w:val="auto"/>
        </w:rPr>
      </w:pPr>
    </w:p>
    <w:p>
      <w:pPr>
        <w:ind w:left="420" w:hanging="250"/>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diversion of management’s attention from the management of daily operations to the integration of operations;</w:t>
      </w:r>
    </w:p>
    <w:p>
      <w:pPr>
        <w:spacing w:after="0" w:line="18" w:lineRule="exact"/>
        <w:rPr>
          <w:rFonts w:ascii="Arial" w:cs="Arial" w:eastAsia="Arial" w:hAnsi="Arial"/>
          <w:sz w:val="16"/>
          <w:szCs w:val="16"/>
          <w:color w:val="auto"/>
        </w:rPr>
      </w:pPr>
    </w:p>
    <w:p>
      <w:pPr>
        <w:ind w:left="420" w:hanging="250"/>
        <w:spacing w:after="0"/>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the assimilation and retention of employees; and</w:t>
      </w:r>
    </w:p>
    <w:p>
      <w:pPr>
        <w:spacing w:after="0" w:line="32" w:lineRule="exact"/>
        <w:rPr>
          <w:rFonts w:ascii="Arial" w:cs="Arial" w:eastAsia="Arial" w:hAnsi="Arial"/>
          <w:sz w:val="16"/>
          <w:szCs w:val="16"/>
          <w:color w:val="auto"/>
        </w:rPr>
      </w:pPr>
    </w:p>
    <w:p>
      <w:pPr>
        <w:ind w:left="420" w:right="240" w:hanging="250"/>
        <w:spacing w:after="0" w:line="30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difficulties in the integration of departments, systems, including accounting systems, technologies, books and records and procedures, as well as in maintaining uniform standards, controls, including internal accounting controls, procedures and policies and expenses of any undisclosed or potential legal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Funds</w:t>
      </w:r>
    </w:p>
    <w:p>
      <w:pPr>
        <w:spacing w:after="0" w:line="2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second quarter of Fiscal 2011, there were no shares repurchased pursuant to this authorization or otherwise. As of February 26, 2011, there was approximately $59.2 million remaining under this authorization to be used for future repurchases of our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64"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April 1, 2011.</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April 1, 2011.</w:t>
      </w:r>
    </w:p>
    <w:p>
      <w:pPr>
        <w:spacing w:after="0" w:line="167" w:lineRule="exact"/>
        <w:rPr>
          <w:sz w:val="20"/>
          <w:szCs w:val="20"/>
          <w:color w:val="auto"/>
        </w:rPr>
      </w:pPr>
    </w:p>
    <w:p>
      <w:pPr>
        <w:ind w:left="500" w:right="320" w:hanging="485"/>
        <w:spacing w:after="0" w:line="291"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April 1, 2011.</w:t>
      </w:r>
    </w:p>
    <w:p>
      <w:pPr>
        <w:spacing w:after="0" w:line="94" w:lineRule="exact"/>
        <w:rPr>
          <w:sz w:val="20"/>
          <w:szCs w:val="20"/>
          <w:color w:val="auto"/>
        </w:rPr>
      </w:pPr>
    </w:p>
    <w:p>
      <w:pPr>
        <w:ind w:left="500" w:right="360" w:hanging="485"/>
        <w:spacing w:after="0" w:line="291"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April 1, 2011.</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320"/>
          </w:cols>
          <w:pgMar w:left="240" w:top="121"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Signatures</w:t>
      </w:r>
    </w:p>
    <w:p>
      <w:pPr>
        <w:spacing w:after="0" w:line="331" w:lineRule="exact"/>
        <w:rPr>
          <w:sz w:val="20"/>
          <w:szCs w:val="20"/>
          <w:color w:val="auto"/>
        </w:rPr>
      </w:pPr>
    </w:p>
    <w:p>
      <w:pPr>
        <w:ind w:left="40" w:right="1019"/>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WINNEBAGO INDUSTRIES, INC.</w:t>
      </w:r>
    </w:p>
    <w:p>
      <w:pPr>
        <w:spacing w:after="0" w:line="8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372" w:lineRule="exact"/>
        <w:rPr>
          <w:sz w:val="20"/>
          <w:szCs w:val="20"/>
          <w:color w:val="auto"/>
        </w:rPr>
      </w:pPr>
    </w:p>
    <w:p>
      <w:pPr>
        <w:ind w:left="40"/>
        <w:spacing w:after="0"/>
        <w:tabs>
          <w:tab w:leader="none" w:pos="740" w:val="left"/>
          <w:tab w:leader="none" w:pos="46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31750</wp:posOffset>
            </wp:positionV>
            <wp:extent cx="3027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6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Robert J. Olson</w:t>
      </w:r>
    </w:p>
    <w:p>
      <w:pPr>
        <w:spacing w:after="0" w:line="59"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Chairman of the Board and Chief Executive Officer</w:t>
      </w:r>
    </w:p>
    <w:p>
      <w:pPr>
        <w:spacing w:after="0" w:line="25"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740" w:val="left"/>
          <w:tab w:leader="none" w:pos="46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31750</wp:posOffset>
            </wp:positionV>
            <wp:extent cx="3027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6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4660"/>
        <w:spacing w:after="0"/>
        <w:rPr>
          <w:sz w:val="20"/>
          <w:szCs w:val="20"/>
          <w:color w:val="auto"/>
        </w:rPr>
      </w:pPr>
      <w:r>
        <w:rPr>
          <w:rFonts w:ascii="Arial" w:cs="Arial" w:eastAsia="Arial" w:hAnsi="Arial"/>
          <w:sz w:val="16"/>
          <w:szCs w:val="16"/>
          <w:color w:val="auto"/>
        </w:rPr>
        <w:t>Chief Financial Officer (Principal Financial Officer)</w:t>
      </w:r>
    </w:p>
    <w:p>
      <w:pPr>
        <w:spacing w:after="0" w:line="27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219"/>
          </w:cols>
          <w:pgMar w:left="240" w:top="121" w:right="1440"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20"/>
          <w:szCs w:val="20"/>
          <w:b w:val="1"/>
          <w:bCs w:val="1"/>
          <w:color w:val="auto"/>
        </w:rPr>
        <w:t>Exhibit 31.1</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Robert J. Olson, Chief Executive Officer of Winnebago Industries, Inc., certify that:</w:t>
      </w:r>
    </w:p>
    <w:p>
      <w:pPr>
        <w:spacing w:after="0" w:line="27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88" w:lineRule="exact"/>
        <w:rPr>
          <w:rFonts w:ascii="Arial" w:cs="Arial" w:eastAsia="Arial" w:hAnsi="Arial"/>
          <w:sz w:val="16"/>
          <w:szCs w:val="16"/>
          <w:color w:val="auto"/>
        </w:rPr>
      </w:pPr>
    </w:p>
    <w:p>
      <w:pPr>
        <w:ind w:left="660" w:right="100" w:hanging="328"/>
        <w:spacing w:after="0" w:line="30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rFonts w:ascii="Arial" w:cs="Arial" w:eastAsia="Arial" w:hAnsi="Arial"/>
          <w:sz w:val="16"/>
          <w:szCs w:val="16"/>
          <w:color w:val="auto"/>
        </w:rPr>
      </w:pPr>
    </w:p>
    <w:p>
      <w:pPr>
        <w:ind w:left="660" w:right="240" w:hanging="328"/>
        <w:spacing w:after="0" w:line="32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Arial" w:cs="Arial" w:eastAsia="Arial" w:hAnsi="Arial"/>
          <w:sz w:val="16"/>
          <w:szCs w:val="16"/>
          <w:color w:val="auto"/>
        </w:rPr>
      </w:pPr>
    </w:p>
    <w:p>
      <w:pPr>
        <w:jc w:val="both"/>
        <w:ind w:left="1300" w:hanging="320"/>
        <w:spacing w:after="0" w:line="30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5" w:lineRule="exact"/>
        <w:rPr>
          <w:rFonts w:ascii="Arial" w:cs="Arial" w:eastAsia="Arial" w:hAnsi="Arial"/>
          <w:sz w:val="16"/>
          <w:szCs w:val="16"/>
          <w:color w:val="auto"/>
        </w:rPr>
      </w:pPr>
    </w:p>
    <w:p>
      <w:pPr>
        <w:ind w:left="1300" w:right="360" w:hanging="320"/>
        <w:spacing w:after="0" w:line="30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6"/>
          <w:szCs w:val="16"/>
          <w:color w:val="auto"/>
        </w:rPr>
      </w:pPr>
    </w:p>
    <w:p>
      <w:pPr>
        <w:jc w:val="both"/>
        <w:ind w:left="1300" w:right="240" w:hanging="320"/>
        <w:spacing w:after="0" w:line="30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205" w:lineRule="exact"/>
        <w:rPr>
          <w:rFonts w:ascii="Arial" w:cs="Arial" w:eastAsia="Arial" w:hAnsi="Arial"/>
          <w:sz w:val="16"/>
          <w:szCs w:val="16"/>
          <w:color w:val="auto"/>
        </w:rPr>
      </w:pPr>
    </w:p>
    <w:p>
      <w:pPr>
        <w:jc w:val="both"/>
        <w:ind w:left="1300" w:right="40" w:hanging="320"/>
        <w:spacing w:after="0" w:line="304"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205" w:lineRule="exact"/>
        <w:rPr>
          <w:rFonts w:ascii="Arial" w:cs="Arial" w:eastAsia="Arial" w:hAnsi="Arial"/>
          <w:sz w:val="16"/>
          <w:szCs w:val="16"/>
          <w:color w:val="auto"/>
        </w:rPr>
      </w:pPr>
    </w:p>
    <w:p>
      <w:pPr>
        <w:ind w:left="660" w:right="280" w:hanging="328"/>
        <w:spacing w:after="0" w:line="327"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Arial" w:cs="Arial" w:eastAsia="Arial" w:hAnsi="Arial"/>
          <w:sz w:val="16"/>
          <w:szCs w:val="16"/>
          <w:color w:val="auto"/>
        </w:rPr>
      </w:pPr>
    </w:p>
    <w:p>
      <w:pPr>
        <w:ind w:left="1300" w:right="820" w:hanging="320"/>
        <w:spacing w:after="0" w:line="32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6"/>
          <w:szCs w:val="16"/>
          <w:color w:val="auto"/>
        </w:rPr>
      </w:pPr>
    </w:p>
    <w:p>
      <w:pPr>
        <w:ind w:left="1300" w:right="380" w:hanging="320"/>
        <w:spacing w:after="0" w:line="327"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12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Robert J. Olson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00"/>
          </w:cols>
          <w:pgMar w:left="240" w:top="608" w:right="25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20"/>
          <w:szCs w:val="20"/>
          <w:b w:val="1"/>
          <w:bCs w:val="1"/>
          <w:color w:val="auto"/>
        </w:rPr>
        <w:t>Exhibit 31.2</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CERTIFICATION BY CHIEF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18 U.S.C. SECTION 1350,</w:t>
      </w:r>
    </w:p>
    <w:p>
      <w:pPr>
        <w:jc w:val="center"/>
        <w:ind w:right="-19"/>
        <w:spacing w:after="0"/>
        <w:rPr>
          <w:sz w:val="20"/>
          <w:szCs w:val="20"/>
          <w:color w:val="auto"/>
        </w:rPr>
      </w:pPr>
      <w:r>
        <w:rPr>
          <w:rFonts w:ascii="Arial" w:cs="Arial" w:eastAsia="Arial" w:hAnsi="Arial"/>
          <w:sz w:val="20"/>
          <w:szCs w:val="20"/>
          <w:b w:val="1"/>
          <w:bCs w:val="1"/>
          <w:color w:val="auto"/>
        </w:rPr>
        <w:t>AS ADOPTED PURSUANT TO SECTION 302</w:t>
      </w:r>
    </w:p>
    <w:p>
      <w:pPr>
        <w:jc w:val="center"/>
        <w:ind w:right="-19"/>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27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88" w:lineRule="exact"/>
        <w:rPr>
          <w:rFonts w:ascii="Arial" w:cs="Arial" w:eastAsia="Arial" w:hAnsi="Arial"/>
          <w:sz w:val="16"/>
          <w:szCs w:val="16"/>
          <w:color w:val="auto"/>
        </w:rPr>
      </w:pPr>
    </w:p>
    <w:p>
      <w:pPr>
        <w:ind w:left="660" w:right="100" w:hanging="328"/>
        <w:spacing w:after="0" w:line="30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5" w:lineRule="exact"/>
        <w:rPr>
          <w:rFonts w:ascii="Arial" w:cs="Arial" w:eastAsia="Arial" w:hAnsi="Arial"/>
          <w:sz w:val="16"/>
          <w:szCs w:val="16"/>
          <w:color w:val="auto"/>
        </w:rPr>
      </w:pPr>
    </w:p>
    <w:p>
      <w:pPr>
        <w:ind w:left="660" w:right="240" w:hanging="328"/>
        <w:spacing w:after="0" w:line="32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7" w:lineRule="exact"/>
        <w:rPr>
          <w:rFonts w:ascii="Arial" w:cs="Arial" w:eastAsia="Arial" w:hAnsi="Arial"/>
          <w:sz w:val="16"/>
          <w:szCs w:val="16"/>
          <w:color w:val="auto"/>
        </w:rPr>
      </w:pPr>
    </w:p>
    <w:p>
      <w:pPr>
        <w:ind w:left="660" w:right="180" w:hanging="328"/>
        <w:spacing w:after="0" w:line="30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Arial" w:cs="Arial" w:eastAsia="Arial" w:hAnsi="Arial"/>
          <w:sz w:val="16"/>
          <w:szCs w:val="16"/>
          <w:color w:val="auto"/>
        </w:rPr>
      </w:pPr>
    </w:p>
    <w:p>
      <w:pPr>
        <w:jc w:val="both"/>
        <w:ind w:left="1300" w:hanging="320"/>
        <w:spacing w:after="0" w:line="304"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205" w:lineRule="exact"/>
        <w:rPr>
          <w:rFonts w:ascii="Arial" w:cs="Arial" w:eastAsia="Arial" w:hAnsi="Arial"/>
          <w:sz w:val="16"/>
          <w:szCs w:val="16"/>
          <w:color w:val="auto"/>
        </w:rPr>
      </w:pPr>
    </w:p>
    <w:p>
      <w:pPr>
        <w:ind w:left="1300" w:right="360" w:hanging="320"/>
        <w:spacing w:after="0" w:line="304"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6"/>
          <w:szCs w:val="16"/>
          <w:color w:val="auto"/>
        </w:rPr>
      </w:pPr>
    </w:p>
    <w:p>
      <w:pPr>
        <w:jc w:val="both"/>
        <w:ind w:left="1300" w:right="240" w:hanging="320"/>
        <w:spacing w:after="0" w:line="304"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205" w:lineRule="exact"/>
        <w:rPr>
          <w:rFonts w:ascii="Arial" w:cs="Arial" w:eastAsia="Arial" w:hAnsi="Arial"/>
          <w:sz w:val="16"/>
          <w:szCs w:val="16"/>
          <w:color w:val="auto"/>
        </w:rPr>
      </w:pPr>
    </w:p>
    <w:p>
      <w:pPr>
        <w:jc w:val="both"/>
        <w:ind w:left="1300" w:right="40" w:hanging="320"/>
        <w:spacing w:after="0" w:line="304"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second fiscal quarter in this case) that has materially affected, or is reasonably likely to materially affect, the Registrant's internal control over financial reporting;</w:t>
      </w:r>
    </w:p>
    <w:p>
      <w:pPr>
        <w:spacing w:after="0" w:line="205" w:lineRule="exact"/>
        <w:rPr>
          <w:rFonts w:ascii="Arial" w:cs="Arial" w:eastAsia="Arial" w:hAnsi="Arial"/>
          <w:sz w:val="16"/>
          <w:szCs w:val="16"/>
          <w:color w:val="auto"/>
        </w:rPr>
      </w:pPr>
    </w:p>
    <w:p>
      <w:pPr>
        <w:ind w:left="660" w:right="280" w:hanging="328"/>
        <w:spacing w:after="0" w:line="327"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7" w:lineRule="exact"/>
        <w:rPr>
          <w:rFonts w:ascii="Arial" w:cs="Arial" w:eastAsia="Arial" w:hAnsi="Arial"/>
          <w:sz w:val="16"/>
          <w:szCs w:val="16"/>
          <w:color w:val="auto"/>
        </w:rPr>
      </w:pPr>
    </w:p>
    <w:p>
      <w:pPr>
        <w:ind w:left="1300" w:right="820" w:hanging="320"/>
        <w:spacing w:after="0" w:line="327"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Arial" w:cs="Arial" w:eastAsia="Arial" w:hAnsi="Arial"/>
          <w:sz w:val="16"/>
          <w:szCs w:val="16"/>
          <w:color w:val="auto"/>
        </w:rPr>
      </w:pPr>
    </w:p>
    <w:p>
      <w:pPr>
        <w:ind w:left="1300" w:right="380" w:hanging="320"/>
        <w:spacing w:after="0" w:line="327"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12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00"/>
          </w:cols>
          <w:pgMar w:left="240" w:top="608" w:right="25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20"/>
          <w:szCs w:val="20"/>
          <w:b w:val="1"/>
          <w:bCs w:val="1"/>
          <w:color w:val="auto"/>
        </w:rPr>
        <w:t>Exhibit 32.1</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59"/>
        <w:spacing w:after="0"/>
        <w:rPr>
          <w:sz w:val="20"/>
          <w:szCs w:val="20"/>
          <w:color w:val="auto"/>
        </w:rPr>
      </w:pPr>
      <w:r>
        <w:rPr>
          <w:rFonts w:ascii="Arial" w:cs="Arial" w:eastAsia="Arial" w:hAnsi="Arial"/>
          <w:sz w:val="20"/>
          <w:szCs w:val="20"/>
          <w:b w:val="1"/>
          <w:bCs w:val="1"/>
          <w:color w:val="auto"/>
        </w:rPr>
        <w:t>(18 U.S.C. SECTION 1350)</w:t>
      </w:r>
    </w:p>
    <w:p>
      <w:pPr>
        <w:spacing w:after="0" w:line="200" w:lineRule="exact"/>
        <w:rPr>
          <w:sz w:val="20"/>
          <w:szCs w:val="20"/>
          <w:color w:val="auto"/>
        </w:rPr>
      </w:pPr>
    </w:p>
    <w:p>
      <w:pPr>
        <w:spacing w:after="0" w:line="298"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February 26, 2011, I, Robert J. Olson, Chairman of the Board, Chief Executive Officer and President of Winnebago Industries, Inc., certify that pursuant to 18 U.S.C. §1350 as adopted pursuant to §906 of the Sarbanes-Oxley Act of 2002, that:</w:t>
      </w:r>
    </w:p>
    <w:p>
      <w:pPr>
        <w:spacing w:after="0" w:line="219" w:lineRule="exact"/>
        <w:rPr>
          <w:sz w:val="20"/>
          <w:szCs w:val="20"/>
          <w:color w:val="auto"/>
        </w:rPr>
      </w:pPr>
    </w:p>
    <w:p>
      <w:pPr>
        <w:ind w:left="660" w:right="80" w:hanging="328"/>
        <w:spacing w:after="0" w:line="304"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quarter ended February 26, 2011 as filed with the Securities and Exchange Commission on the date of this certificate, which this statement accompanies, fully complies with the requirements of Section 13(a) or 15(d) of the Securities Exchange Act of 1934, and</w:t>
      </w:r>
    </w:p>
    <w:p>
      <w:pPr>
        <w:spacing w:after="0" w:line="205"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Robert J. Olson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360"/>
          </w:cols>
          <w:pgMar w:left="240" w:top="608" w:right="29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20"/>
          <w:szCs w:val="20"/>
          <w:b w:val="1"/>
          <w:bCs w:val="1"/>
          <w:color w:val="auto"/>
        </w:rPr>
        <w:t>Exhibit 32.2</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CERTIFICATION PURSUANT TO SECTION 906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OF THE SARBANES-OXLEY ACT OF 2002</w:t>
      </w:r>
    </w:p>
    <w:p>
      <w:pPr>
        <w:jc w:val="center"/>
        <w:ind w:right="-39"/>
        <w:spacing w:after="0"/>
        <w:rPr>
          <w:sz w:val="20"/>
          <w:szCs w:val="20"/>
          <w:color w:val="auto"/>
        </w:rPr>
      </w:pPr>
      <w:r>
        <w:rPr>
          <w:rFonts w:ascii="Arial" w:cs="Arial" w:eastAsia="Arial" w:hAnsi="Arial"/>
          <w:sz w:val="20"/>
          <w:szCs w:val="20"/>
          <w:b w:val="1"/>
          <w:bCs w:val="1"/>
          <w:color w:val="auto"/>
        </w:rPr>
        <w:t>(18 U.S.C. SECTION 1350)</w:t>
      </w:r>
    </w:p>
    <w:p>
      <w:pPr>
        <w:spacing w:after="0" w:line="24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connection with this Quarterly Report on Form 10-Q of Winnebago Industries, Inc. for the period ended February 26, 2011, I, Sarah N. Nielsen, Chief Financial Officer of Winnebago Industries, Inc., certify that pursuant to 18 U.S.C. §1350 as adopted pursuant to §906 of the Sarbanes-Oxley Act of 2002, that:</w:t>
      </w:r>
    </w:p>
    <w:p>
      <w:pPr>
        <w:spacing w:after="0" w:line="202" w:lineRule="exact"/>
        <w:rPr>
          <w:sz w:val="20"/>
          <w:szCs w:val="20"/>
          <w:color w:val="auto"/>
        </w:rPr>
      </w:pPr>
    </w:p>
    <w:p>
      <w:pPr>
        <w:ind w:left="680" w:right="80" w:hanging="348"/>
        <w:spacing w:after="0" w:line="286"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This Quarterly Report on Form 10-Q (“periodic report”) of Winnebago Industries, Inc. (the “issuer”), for the quarter ended February 26, 2011 as filed with the Securities and Exchange Commission on the date of this certificate, which this statement accompanies, fully complies with the requirements of Section 13(a) or 15(d) of the Securities Exchange Act of 1934, and</w:t>
      </w:r>
    </w:p>
    <w:p>
      <w:pPr>
        <w:spacing w:after="0" w:line="219" w:lineRule="exact"/>
        <w:rPr>
          <w:rFonts w:ascii="Arial" w:cs="Arial" w:eastAsia="Arial" w:hAnsi="Arial"/>
          <w:sz w:val="18"/>
          <w:szCs w:val="18"/>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1200" w:val="left"/>
          <w:tab w:leader="none" w:pos="56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April 1, 2011</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sectPr>
      <w:pgSz w:w="11900" w:h="16838" w:orient="portrait"/>
      <w:cols w:equalWidth="0" w:num="1">
        <w:col w:w="11380"/>
      </w:cols>
      <w:pgMar w:left="240" w:top="60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2019-12-13T08:32:25Z</dcterms:created>
  <dcterms:modified xsi:type="dcterms:W3CDTF">2019-12-13T08:32:25Z</dcterms:modified>
</cp:coreProperties>
</file>