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92075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42545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b w:val="1"/>
          <w:bCs w:val="1"/>
          <w:color w:val="auto"/>
        </w:rPr>
        <w:t>ANNUAL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fiscal year ended August 25, 2018; or</w:t>
      </w:r>
      <w:r>
        <w:rPr>
          <w:rFonts w:ascii="Arial" w:cs="Arial" w:eastAsia="Arial" w:hAnsi="Arial"/>
          <w:sz w:val="18"/>
          <w:szCs w:val="18"/>
          <w:color w:val="auto"/>
        </w:rPr>
        <w:t xml:space="preserve"> o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transition period from</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 to _______________________</w:t>
      </w:r>
    </w:p>
    <w:p>
      <w:pPr>
        <w:spacing w:after="0" w:line="73" w:lineRule="exact"/>
        <w:rPr>
          <w:sz w:val="24"/>
          <w:szCs w:val="24"/>
          <w:color w:val="auto"/>
        </w:rPr>
      </w:pPr>
    </w:p>
    <w:p>
      <w:pPr>
        <w:jc w:val="center"/>
        <w:ind w:right="-19"/>
        <w:spacing w:after="0" w:line="184" w:lineRule="exact"/>
        <w:rPr>
          <w:sz w:val="20"/>
          <w:szCs w:val="20"/>
          <w:color w:val="auto"/>
        </w:rPr>
      </w:pPr>
      <w:r>
        <w:rPr>
          <w:rFonts w:ascii="Arial" w:cs="Arial" w:eastAsia="Arial" w:hAnsi="Arial"/>
          <w:sz w:val="16"/>
          <w:szCs w:val="16"/>
          <w:color w:val="auto"/>
        </w:rPr>
        <w:t>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70485</wp:posOffset>
            </wp:positionV>
            <wp:extent cx="252158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WINNEBAGO INDUSTRIES,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7"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Iowa</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42-0802678</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(State or other jurisdiction of</w:t>
            </w:r>
          </w:p>
        </w:tc>
        <w:tc>
          <w:tcPr>
            <w:tcW w:w="36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70"/>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incorporation or organization)</w:t>
            </w:r>
          </w:p>
        </w:tc>
        <w:tc>
          <w:tcPr>
            <w:tcW w:w="3680" w:type="dxa"/>
            <w:vAlign w:val="bottom"/>
          </w:tcPr>
          <w:p>
            <w:pPr>
              <w:spacing w:after="0"/>
              <w:rPr>
                <w:sz w:val="23"/>
                <w:szCs w:val="23"/>
                <w:color w:val="auto"/>
              </w:rPr>
            </w:pPr>
          </w:p>
        </w:tc>
      </w:tr>
      <w:tr>
        <w:trPr>
          <w:trHeight w:val="47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P.O. Box 152, Forest City, Iowa</w:t>
            </w:r>
          </w:p>
        </w:tc>
        <w:tc>
          <w:tcPr>
            <w:tcW w:w="1520" w:type="dxa"/>
            <w:vAlign w:val="bottom"/>
          </w:tcPr>
          <w:p>
            <w:pPr>
              <w:spacing w:after="0"/>
              <w:rPr>
                <w:sz w:val="24"/>
                <w:szCs w:val="24"/>
                <w:color w:val="auto"/>
              </w:rPr>
            </w:pPr>
          </w:p>
        </w:tc>
        <w:tc>
          <w:tcPr>
            <w:tcW w:w="368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color w:val="auto"/>
              </w:rPr>
              <w:t>50436</w:t>
            </w:r>
          </w:p>
        </w:tc>
      </w:tr>
      <w:tr>
        <w:trPr>
          <w:trHeight w:val="224"/>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(Address of principal executive offices)</w:t>
            </w:r>
          </w:p>
        </w:tc>
        <w:tc>
          <w:tcPr>
            <w:tcW w:w="36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19"/>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Common Stock ($.50 par value)</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New York Stock Exchange, Inc.</w:t>
            </w:r>
          </w:p>
        </w:tc>
      </w:tr>
    </w:tbl>
    <w:p>
      <w:pPr>
        <w:spacing w:after="0" w:line="48" w:lineRule="exact"/>
        <w:rPr>
          <w:sz w:val="24"/>
          <w:szCs w:val="24"/>
          <w:color w:val="auto"/>
        </w:rPr>
      </w:pPr>
    </w:p>
    <w:p>
      <w:pPr>
        <w:ind w:left="7240"/>
        <w:spacing w:after="0"/>
        <w:rPr>
          <w:sz w:val="20"/>
          <w:szCs w:val="20"/>
          <w:color w:val="auto"/>
        </w:rPr>
      </w:pPr>
      <w:r>
        <w:rPr>
          <w:rFonts w:ascii="Arial" w:cs="Arial" w:eastAsia="Arial" w:hAnsi="Arial"/>
          <w:sz w:val="16"/>
          <w:szCs w:val="16"/>
          <w:color w:val="auto"/>
        </w:rPr>
        <w:t>Chicago Stock Exchange, Inc.</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08" w:lineRule="exact"/>
        <w:rPr>
          <w:sz w:val="24"/>
          <w:szCs w:val="24"/>
          <w:color w:val="auto"/>
        </w:rPr>
      </w:pPr>
    </w:p>
    <w:p>
      <w:pPr>
        <w:ind w:right="3120"/>
        <w:spacing w:after="0" w:line="448"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ind w:right="260"/>
        <w:spacing w:after="0" w:line="295" w:lineRule="auto"/>
        <w:rPr>
          <w:sz w:val="20"/>
          <w:szCs w:val="20"/>
          <w:color w:val="auto"/>
        </w:rPr>
      </w:pPr>
      <w:r>
        <w:rPr>
          <w:rFonts w:ascii="Arial" w:cs="Arial" w:eastAsia="Arial" w:hAnsi="Arial"/>
          <w:sz w:val="16"/>
          <w:szCs w:val="16"/>
          <w:color w:val="auto"/>
        </w:rPr>
        <w:t>I</w:t>
      </w:r>
      <w:r>
        <w:rPr>
          <w:rFonts w:ascii="Arial" w:cs="Arial" w:eastAsia="Arial" w:hAnsi="Arial"/>
          <w:sz w:val="14"/>
          <w:szCs w:val="14"/>
          <w:color w:val="auto"/>
        </w:rPr>
        <w:t>ndicate by check mark whether the registrant (1) has filed all reports required to be filed by Section 13 or 15(d) of the Securities Exchange Act of 1934 during the preceding 12</w:t>
      </w:r>
      <w:r>
        <w:rPr>
          <w:rFonts w:ascii="Arial" w:cs="Arial" w:eastAsia="Arial" w:hAnsi="Arial"/>
          <w:sz w:val="16"/>
          <w:szCs w:val="16"/>
          <w:color w:val="auto"/>
        </w:rPr>
        <w:t xml:space="preserve"> </w:t>
      </w: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1" w:lineRule="exact"/>
        <w:rPr>
          <w:sz w:val="24"/>
          <w:szCs w:val="24"/>
          <w:color w:val="auto"/>
        </w:rPr>
      </w:pPr>
    </w:p>
    <w:p>
      <w:pPr>
        <w:spacing w:after="0" w:line="269"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00"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6"/>
          <w:szCs w:val="16"/>
          <w:color w:val="auto"/>
        </w:rPr>
        <w:t>o.</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p>
      <w:pPr>
        <w:spacing w:after="0"/>
        <w:tabs>
          <w:tab w:leader="none" w:pos="1760" w:val="left"/>
          <w:tab w:leader="none" w:pos="3100" w:val="left"/>
        </w:tabs>
        <w:rPr>
          <w:sz w:val="20"/>
          <w:szCs w:val="20"/>
          <w:color w:val="auto"/>
        </w:rPr>
      </w:pPr>
      <w:r>
        <w:rPr>
          <w:rFonts w:ascii="Arial" w:cs="Arial" w:eastAsia="Arial" w:hAnsi="Arial"/>
          <w:sz w:val="14"/>
          <w:szCs w:val="14"/>
          <w:color w:val="auto"/>
        </w:rPr>
        <w:t xml:space="preserve">Large Accelerated Filer </w:t>
      </w:r>
      <w:r>
        <w:rPr>
          <w:rFonts w:ascii="Arial" w:cs="Arial" w:eastAsia="Arial" w:hAnsi="Arial"/>
          <w:sz w:val="16"/>
          <w:szCs w:val="16"/>
          <w:color w:val="auto"/>
        </w:rPr>
        <w:t>x</w:t>
      </w:r>
      <w:r>
        <w:rPr>
          <w:rFonts w:ascii="Arial" w:cs="Arial" w:eastAsia="Arial" w:hAnsi="Arial"/>
          <w:sz w:val="14"/>
          <w:szCs w:val="14"/>
          <w:color w:val="auto"/>
        </w:rPr>
        <w:tab/>
        <w:t xml:space="preserve">Accelerated Filer </w:t>
      </w:r>
      <w:r>
        <w:rPr>
          <w:rFonts w:ascii="Arial" w:cs="Arial" w:eastAsia="Arial" w:hAnsi="Arial"/>
          <w:sz w:val="16"/>
          <w:szCs w:val="16"/>
          <w:color w:val="auto"/>
        </w:rPr>
        <w:t>o</w:t>
      </w:r>
      <w:r>
        <w:rPr>
          <w:rFonts w:ascii="Arial" w:cs="Arial" w:eastAsia="Arial" w:hAnsi="Arial"/>
          <w:sz w:val="14"/>
          <w:szCs w:val="14"/>
          <w:color w:val="auto"/>
        </w:rPr>
        <w:tab/>
        <w:t xml:space="preserve">Non-accelerated filer </w:t>
      </w:r>
      <w:r>
        <w:rPr>
          <w:rFonts w:ascii="Arial" w:cs="Arial" w:eastAsia="Arial" w:hAnsi="Arial"/>
          <w:sz w:val="16"/>
          <w:szCs w:val="16"/>
          <w:color w:val="auto"/>
        </w:rPr>
        <w:t>o</w:t>
      </w:r>
      <w:r>
        <w:rPr>
          <w:rFonts w:ascii="Arial" w:cs="Arial" w:eastAsia="Arial" w:hAnsi="Arial"/>
          <w:sz w:val="14"/>
          <w:szCs w:val="14"/>
          <w:color w:val="auto"/>
        </w:rPr>
        <w:t xml:space="preserve"> Smaller Reporting Company </w:t>
      </w:r>
      <w:r>
        <w:rPr>
          <w:rFonts w:ascii="Arial" w:cs="Arial" w:eastAsia="Arial" w:hAnsi="Arial"/>
          <w:sz w:val="16"/>
          <w:szCs w:val="16"/>
          <w:color w:val="auto"/>
        </w:rPr>
        <w:t>o</w:t>
      </w:r>
      <w:r>
        <w:rPr>
          <w:rFonts w:ascii="Arial" w:cs="Arial" w:eastAsia="Arial" w:hAnsi="Arial"/>
          <w:sz w:val="14"/>
          <w:szCs w:val="14"/>
          <w:color w:val="auto"/>
        </w:rPr>
        <w:t xml:space="preserve"> Emerging Growth Company </w:t>
      </w:r>
      <w:r>
        <w:rPr>
          <w:rFonts w:ascii="Arial" w:cs="Arial" w:eastAsia="Arial" w:hAnsi="Arial"/>
          <w:sz w:val="16"/>
          <w:szCs w:val="16"/>
          <w:color w:val="auto"/>
        </w:rPr>
        <w:t>o</w:t>
      </w:r>
    </w:p>
    <w:p>
      <w:pPr>
        <w:spacing w:after="0" w:line="116" w:lineRule="exact"/>
        <w:rPr>
          <w:sz w:val="24"/>
          <w:szCs w:val="24"/>
          <w:color w:val="auto"/>
        </w:rPr>
      </w:pPr>
    </w:p>
    <w:p>
      <w:pPr>
        <w:ind w:right="460"/>
        <w:spacing w:after="0" w:line="269"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spacing w:after="0" w:line="128" w:lineRule="exact"/>
        <w:rPr>
          <w:sz w:val="24"/>
          <w:szCs w:val="24"/>
          <w:color w:val="auto"/>
        </w:rPr>
      </w:pPr>
    </w:p>
    <w:p>
      <w:pPr>
        <w:ind w:right="160"/>
        <w:spacing w:after="0" w:line="258" w:lineRule="auto"/>
        <w:rPr>
          <w:sz w:val="20"/>
          <w:szCs w:val="20"/>
          <w:color w:val="auto"/>
        </w:rPr>
      </w:pPr>
      <w:r>
        <w:rPr>
          <w:rFonts w:ascii="Arial" w:cs="Arial" w:eastAsia="Arial" w:hAnsi="Arial"/>
          <w:sz w:val="14"/>
          <w:szCs w:val="14"/>
          <w:color w:val="auto"/>
        </w:rPr>
        <w:t>Aggregate market value of the common stock held by non-affiliates of the registrant: $1,122,564,545 (26,952,330 shares at the closing price on the New York Stock Exchange of $41.65 on February 23, 2018).</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Common stock outstanding on October 15, 2018: 31,629,704 shares.</w:t>
      </w:r>
    </w:p>
    <w:p>
      <w:pPr>
        <w:spacing w:after="0" w:line="167"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4"/>
          <w:szCs w:val="24"/>
          <w:color w:val="auto"/>
        </w:rPr>
      </w:pPr>
    </w:p>
    <w:p>
      <w:pPr>
        <w:ind w:right="260"/>
        <w:spacing w:after="0" w:line="295" w:lineRule="auto"/>
        <w:rPr>
          <w:sz w:val="20"/>
          <w:szCs w:val="20"/>
          <w:color w:val="auto"/>
        </w:rPr>
      </w:pPr>
      <w:r>
        <w:rPr>
          <w:rFonts w:ascii="Arial" w:cs="Arial" w:eastAsia="Arial" w:hAnsi="Arial"/>
          <w:sz w:val="16"/>
          <w:szCs w:val="16"/>
          <w:color w:val="auto"/>
        </w:rPr>
        <w:t>Portions of the registrant's Proxy Statement relating to the registrant's 2018 Annual Meeting of Shareholders, scheduled to be held December 11, 2018,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Form 10-K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of Contents</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0" w:type="dxa"/>
            <w:vAlign w:val="bottom"/>
            <w:tcBorders>
              <w:bottom w:val="single" w:sz="8" w:color="0000EE"/>
            </w:tcBorders>
            <w:gridSpan w:val="2"/>
          </w:tcPr>
          <w:p>
            <w:pPr>
              <w:spacing w:after="0"/>
              <w:rPr>
                <w:rFonts w:ascii="Arial" w:cs="Arial" w:eastAsia="Arial" w:hAnsi="Arial"/>
                <w:sz w:val="16"/>
                <w:szCs w:val="16"/>
                <w:b w:val="1"/>
                <w:bCs w:val="1"/>
                <w:color w:val="0000EE"/>
                <w:w w:val="95"/>
              </w:rPr>
            </w:pPr>
            <w:hyperlink w:anchor="page4">
              <w:r>
                <w:rPr>
                  <w:rFonts w:ascii="Arial" w:cs="Arial" w:eastAsia="Arial" w:hAnsi="Arial"/>
                  <w:sz w:val="16"/>
                  <w:szCs w:val="16"/>
                  <w:b w:val="1"/>
                  <w:bCs w:val="1"/>
                  <w:color w:val="0000EE"/>
                  <w:w w:val="95"/>
                </w:rPr>
                <w:t>PART I</w:t>
              </w:r>
            </w:hyperlink>
          </w:p>
        </w:tc>
        <w:tc>
          <w:tcPr>
            <w:tcW w:w="520" w:type="dxa"/>
            <w:vAlign w:val="bottom"/>
            <w:gridSpan w:val="5"/>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c>
          <w:tcPr>
            <w:tcW w:w="0" w:type="dxa"/>
            <w:vAlign w:val="bottom"/>
          </w:tcPr>
          <w:p>
            <w:pPr>
              <w:spacing w:after="0"/>
              <w:rPr>
                <w:sz w:val="1"/>
                <w:szCs w:val="1"/>
                <w:color w:val="auto"/>
              </w:rPr>
            </w:pPr>
          </w:p>
        </w:tc>
      </w:tr>
      <w:tr>
        <w:trPr>
          <w:trHeight w:val="223"/>
        </w:trPr>
        <w:tc>
          <w:tcPr>
            <w:tcW w:w="500" w:type="dxa"/>
            <w:vAlign w:val="bottom"/>
            <w:tcBorders>
              <w:bottom w:val="single" w:sz="8" w:color="0000EE"/>
            </w:tcBorders>
          </w:tcPr>
          <w:p>
            <w:pPr>
              <w:spacing w:after="0"/>
              <w:rPr>
                <w:rFonts w:ascii="Arial" w:cs="Arial" w:eastAsia="Arial" w:hAnsi="Arial"/>
                <w:sz w:val="16"/>
                <w:szCs w:val="16"/>
                <w:color w:val="0000EE"/>
                <w:w w:val="98"/>
              </w:rPr>
            </w:pPr>
            <w:hyperlink w:anchor="page4">
              <w:r>
                <w:rPr>
                  <w:rFonts w:ascii="Arial" w:cs="Arial" w:eastAsia="Arial" w:hAnsi="Arial"/>
                  <w:sz w:val="16"/>
                  <w:szCs w:val="16"/>
                  <w:color w:val="0000EE"/>
                  <w:w w:val="98"/>
                </w:rPr>
                <w:t>Item 1.</w:t>
              </w:r>
            </w:hyperlink>
          </w:p>
        </w:tc>
        <w:tc>
          <w:tcPr>
            <w:tcW w:w="540" w:type="dxa"/>
            <w:vAlign w:val="bottom"/>
            <w:gridSpan w:val="6"/>
          </w:tcPr>
          <w:p>
            <w:pPr>
              <w:spacing w:after="0"/>
              <w:rPr>
                <w:sz w:val="19"/>
                <w:szCs w:val="19"/>
                <w:color w:val="auto"/>
              </w:rPr>
            </w:pPr>
          </w:p>
        </w:tc>
        <w:tc>
          <w:tcPr>
            <w:tcW w:w="660" w:type="dxa"/>
            <w:vAlign w:val="bottom"/>
            <w:tcBorders>
              <w:bottom w:val="single" w:sz="8" w:color="0000EE"/>
            </w:tcBorders>
          </w:tcPr>
          <w:p>
            <w:pPr>
              <w:spacing w:after="0"/>
              <w:rPr>
                <w:rFonts w:ascii="Arial" w:cs="Arial" w:eastAsia="Arial" w:hAnsi="Arial"/>
                <w:sz w:val="16"/>
                <w:szCs w:val="16"/>
                <w:color w:val="0000EE"/>
                <w:w w:val="98"/>
              </w:rPr>
            </w:pPr>
            <w:hyperlink w:anchor="page4">
              <w:r>
                <w:rPr>
                  <w:rFonts w:ascii="Arial" w:cs="Arial" w:eastAsia="Arial" w:hAnsi="Arial"/>
                  <w:sz w:val="16"/>
                  <w:szCs w:val="16"/>
                  <w:color w:val="0000EE"/>
                  <w:w w:val="98"/>
                </w:rPr>
                <w:t>Business</w:t>
              </w:r>
            </w:hyperlink>
          </w:p>
        </w:tc>
        <w:tc>
          <w:tcPr>
            <w:tcW w:w="9480" w:type="dxa"/>
            <w:vAlign w:val="bottom"/>
            <w:gridSpan w:val="2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c>
          <w:tcPr>
            <w:tcW w:w="0" w:type="dxa"/>
            <w:vAlign w:val="bottom"/>
          </w:tcPr>
          <w:p>
            <w:pPr>
              <w:spacing w:after="0"/>
              <w:rPr>
                <w:sz w:val="1"/>
                <w:szCs w:val="1"/>
                <w:color w:val="auto"/>
              </w:rPr>
            </w:pPr>
          </w:p>
        </w:tc>
      </w:tr>
      <w:tr>
        <w:trPr>
          <w:trHeight w:val="223"/>
        </w:trPr>
        <w:tc>
          <w:tcPr>
            <w:tcW w:w="6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8">
              <w:r>
                <w:rPr>
                  <w:rFonts w:ascii="Arial" w:cs="Arial" w:eastAsia="Arial" w:hAnsi="Arial"/>
                  <w:sz w:val="16"/>
                  <w:szCs w:val="16"/>
                  <w:color w:val="0000EE"/>
                  <w:w w:val="97"/>
                </w:rPr>
                <w:t>Item 1A.</w:t>
              </w:r>
            </w:hyperlink>
          </w:p>
        </w:tc>
        <w:tc>
          <w:tcPr>
            <w:tcW w:w="440" w:type="dxa"/>
            <w:vAlign w:val="bottom"/>
            <w:gridSpan w:val="2"/>
          </w:tcPr>
          <w:p>
            <w:pPr>
              <w:spacing w:after="0"/>
              <w:rPr>
                <w:sz w:val="19"/>
                <w:szCs w:val="19"/>
                <w:color w:val="auto"/>
              </w:rPr>
            </w:pPr>
          </w:p>
        </w:tc>
        <w:tc>
          <w:tcPr>
            <w:tcW w:w="90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8">
              <w:r>
                <w:rPr>
                  <w:rFonts w:ascii="Arial" w:cs="Arial" w:eastAsia="Arial" w:hAnsi="Arial"/>
                  <w:sz w:val="16"/>
                  <w:szCs w:val="16"/>
                  <w:color w:val="0000EE"/>
                  <w:w w:val="98"/>
                </w:rPr>
                <w:t>Risk Factors</w:t>
              </w:r>
            </w:hyperlink>
          </w:p>
        </w:tc>
        <w:tc>
          <w:tcPr>
            <w:tcW w:w="9240" w:type="dxa"/>
            <w:vAlign w:val="bottom"/>
            <w:gridSpan w:val="2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8</w:t>
              </w:r>
            </w:hyperlink>
          </w:p>
        </w:tc>
        <w:tc>
          <w:tcPr>
            <w:tcW w:w="0" w:type="dxa"/>
            <w:vAlign w:val="bottom"/>
          </w:tcPr>
          <w:p>
            <w:pPr>
              <w:spacing w:after="0"/>
              <w:rPr>
                <w:sz w:val="1"/>
                <w:szCs w:val="1"/>
                <w:color w:val="auto"/>
              </w:rPr>
            </w:pPr>
          </w:p>
        </w:tc>
      </w:tr>
      <w:tr>
        <w:trPr>
          <w:trHeight w:val="223"/>
        </w:trPr>
        <w:tc>
          <w:tcPr>
            <w:tcW w:w="6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14">
              <w:r>
                <w:rPr>
                  <w:rFonts w:ascii="Arial" w:cs="Arial" w:eastAsia="Arial" w:hAnsi="Arial"/>
                  <w:sz w:val="16"/>
                  <w:szCs w:val="16"/>
                  <w:color w:val="0000EE"/>
                  <w:w w:val="97"/>
                </w:rPr>
                <w:t>Item 1B.</w:t>
              </w:r>
            </w:hyperlink>
          </w:p>
        </w:tc>
        <w:tc>
          <w:tcPr>
            <w:tcW w:w="440" w:type="dxa"/>
            <w:vAlign w:val="bottom"/>
            <w:gridSpan w:val="2"/>
          </w:tcPr>
          <w:p>
            <w:pPr>
              <w:spacing w:after="0"/>
              <w:rPr>
                <w:sz w:val="19"/>
                <w:szCs w:val="19"/>
                <w:color w:val="auto"/>
              </w:rPr>
            </w:pPr>
          </w:p>
        </w:tc>
        <w:tc>
          <w:tcPr>
            <w:tcW w:w="2020" w:type="dxa"/>
            <w:vAlign w:val="bottom"/>
            <w:tcBorders>
              <w:bottom w:val="single" w:sz="8" w:color="0000EE"/>
            </w:tcBorders>
            <w:gridSpan w:val="11"/>
          </w:tcPr>
          <w:p>
            <w:pPr>
              <w:spacing w:after="0"/>
              <w:rPr>
                <w:rFonts w:ascii="Arial" w:cs="Arial" w:eastAsia="Arial" w:hAnsi="Arial"/>
                <w:sz w:val="16"/>
                <w:szCs w:val="16"/>
                <w:color w:val="0000EE"/>
                <w:w w:val="99"/>
              </w:rPr>
            </w:pPr>
            <w:hyperlink w:anchor="page14">
              <w:r>
                <w:rPr>
                  <w:rFonts w:ascii="Arial" w:cs="Arial" w:eastAsia="Arial" w:hAnsi="Arial"/>
                  <w:sz w:val="16"/>
                  <w:szCs w:val="16"/>
                  <w:color w:val="0000EE"/>
                  <w:w w:val="99"/>
                </w:rPr>
                <w:t>Unresolved Staff Comments</w:t>
              </w:r>
            </w:hyperlink>
          </w:p>
        </w:tc>
        <w:tc>
          <w:tcPr>
            <w:tcW w:w="8120" w:type="dxa"/>
            <w:vAlign w:val="bottom"/>
            <w:gridSpan w:val="12"/>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14</w:t>
              </w:r>
            </w:hyperlink>
          </w:p>
        </w:tc>
        <w:tc>
          <w:tcPr>
            <w:tcW w:w="0" w:type="dxa"/>
            <w:vAlign w:val="bottom"/>
          </w:tcPr>
          <w:p>
            <w:pPr>
              <w:spacing w:after="0"/>
              <w:rPr>
                <w:sz w:val="1"/>
                <w:szCs w:val="1"/>
                <w:color w:val="auto"/>
              </w:rPr>
            </w:pPr>
          </w:p>
        </w:tc>
      </w:tr>
      <w:tr>
        <w:trPr>
          <w:trHeight w:val="223"/>
        </w:trPr>
        <w:tc>
          <w:tcPr>
            <w:tcW w:w="500" w:type="dxa"/>
            <w:vAlign w:val="bottom"/>
            <w:tcBorders>
              <w:bottom w:val="single" w:sz="8" w:color="0000EE"/>
            </w:tcBorders>
          </w:tcPr>
          <w:p>
            <w:pPr>
              <w:spacing w:after="0"/>
              <w:rPr>
                <w:rFonts w:ascii="Arial" w:cs="Arial" w:eastAsia="Arial" w:hAnsi="Arial"/>
                <w:sz w:val="16"/>
                <w:szCs w:val="16"/>
                <w:color w:val="0000EE"/>
                <w:w w:val="98"/>
              </w:rPr>
            </w:pPr>
            <w:hyperlink w:anchor="page14">
              <w:r>
                <w:rPr>
                  <w:rFonts w:ascii="Arial" w:cs="Arial" w:eastAsia="Arial" w:hAnsi="Arial"/>
                  <w:sz w:val="16"/>
                  <w:szCs w:val="16"/>
                  <w:color w:val="0000EE"/>
                  <w:w w:val="98"/>
                </w:rPr>
                <w:t>Item 2.</w:t>
              </w:r>
            </w:hyperlink>
          </w:p>
        </w:tc>
        <w:tc>
          <w:tcPr>
            <w:tcW w:w="540" w:type="dxa"/>
            <w:vAlign w:val="bottom"/>
            <w:gridSpan w:val="6"/>
          </w:tcPr>
          <w:p>
            <w:pPr>
              <w:spacing w:after="0"/>
              <w:rPr>
                <w:sz w:val="19"/>
                <w:szCs w:val="19"/>
                <w:color w:val="auto"/>
              </w:rPr>
            </w:pPr>
          </w:p>
        </w:tc>
        <w:tc>
          <w:tcPr>
            <w:tcW w:w="740" w:type="dxa"/>
            <w:vAlign w:val="bottom"/>
            <w:tcBorders>
              <w:bottom w:val="single" w:sz="8" w:color="0000EE"/>
            </w:tcBorders>
            <w:gridSpan w:val="2"/>
          </w:tcPr>
          <w:p>
            <w:pPr>
              <w:spacing w:after="0"/>
              <w:rPr>
                <w:rFonts w:ascii="Arial" w:cs="Arial" w:eastAsia="Arial" w:hAnsi="Arial"/>
                <w:sz w:val="16"/>
                <w:szCs w:val="16"/>
                <w:color w:val="0000EE"/>
                <w:w w:val="98"/>
              </w:rPr>
            </w:pPr>
            <w:hyperlink w:anchor="page14">
              <w:r>
                <w:rPr>
                  <w:rFonts w:ascii="Arial" w:cs="Arial" w:eastAsia="Arial" w:hAnsi="Arial"/>
                  <w:sz w:val="16"/>
                  <w:szCs w:val="16"/>
                  <w:color w:val="0000EE"/>
                  <w:w w:val="98"/>
                </w:rPr>
                <w:t>Properties</w:t>
              </w:r>
            </w:hyperlink>
          </w:p>
        </w:tc>
        <w:tc>
          <w:tcPr>
            <w:tcW w:w="9400" w:type="dxa"/>
            <w:vAlign w:val="bottom"/>
            <w:gridSpan w:val="21"/>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14</w:t>
              </w:r>
            </w:hyperlink>
          </w:p>
        </w:tc>
        <w:tc>
          <w:tcPr>
            <w:tcW w:w="0" w:type="dxa"/>
            <w:vAlign w:val="bottom"/>
          </w:tcPr>
          <w:p>
            <w:pPr>
              <w:spacing w:after="0"/>
              <w:rPr>
                <w:sz w:val="1"/>
                <w:szCs w:val="1"/>
                <w:color w:val="auto"/>
              </w:rPr>
            </w:pPr>
          </w:p>
        </w:tc>
      </w:tr>
      <w:tr>
        <w:trPr>
          <w:trHeight w:val="223"/>
        </w:trPr>
        <w:tc>
          <w:tcPr>
            <w:tcW w:w="500" w:type="dxa"/>
            <w:vAlign w:val="bottom"/>
            <w:tcBorders>
              <w:bottom w:val="single" w:sz="8" w:color="0000EE"/>
            </w:tcBorders>
          </w:tcPr>
          <w:p>
            <w:pPr>
              <w:spacing w:after="0"/>
              <w:rPr>
                <w:rFonts w:ascii="Arial" w:cs="Arial" w:eastAsia="Arial" w:hAnsi="Arial"/>
                <w:sz w:val="16"/>
                <w:szCs w:val="16"/>
                <w:color w:val="0000EE"/>
                <w:w w:val="98"/>
              </w:rPr>
            </w:pPr>
            <w:hyperlink w:anchor="page14">
              <w:r>
                <w:rPr>
                  <w:rFonts w:ascii="Arial" w:cs="Arial" w:eastAsia="Arial" w:hAnsi="Arial"/>
                  <w:sz w:val="16"/>
                  <w:szCs w:val="16"/>
                  <w:color w:val="0000EE"/>
                  <w:w w:val="98"/>
                </w:rPr>
                <w:t>Item 3.</w:t>
              </w:r>
            </w:hyperlink>
          </w:p>
        </w:tc>
        <w:tc>
          <w:tcPr>
            <w:tcW w:w="540" w:type="dxa"/>
            <w:vAlign w:val="bottom"/>
            <w:gridSpan w:val="6"/>
          </w:tcPr>
          <w:p>
            <w:pPr>
              <w:spacing w:after="0"/>
              <w:rPr>
                <w:sz w:val="19"/>
                <w:szCs w:val="19"/>
                <w:color w:val="auto"/>
              </w:rPr>
            </w:pPr>
          </w:p>
        </w:tc>
        <w:tc>
          <w:tcPr>
            <w:tcW w:w="1340" w:type="dxa"/>
            <w:vAlign w:val="bottom"/>
            <w:tcBorders>
              <w:bottom w:val="single" w:sz="8" w:color="0000EE"/>
            </w:tcBorders>
            <w:gridSpan w:val="6"/>
          </w:tcPr>
          <w:p>
            <w:pPr>
              <w:spacing w:after="0"/>
              <w:rPr>
                <w:rFonts w:ascii="Arial" w:cs="Arial" w:eastAsia="Arial" w:hAnsi="Arial"/>
                <w:sz w:val="16"/>
                <w:szCs w:val="16"/>
                <w:color w:val="0000EE"/>
                <w:w w:val="99"/>
              </w:rPr>
            </w:pPr>
            <w:hyperlink w:anchor="page14">
              <w:r>
                <w:rPr>
                  <w:rFonts w:ascii="Arial" w:cs="Arial" w:eastAsia="Arial" w:hAnsi="Arial"/>
                  <w:sz w:val="16"/>
                  <w:szCs w:val="16"/>
                  <w:color w:val="0000EE"/>
                  <w:w w:val="99"/>
                </w:rPr>
                <w:t>Legal Proceedings</w:t>
              </w:r>
            </w:hyperlink>
          </w:p>
        </w:tc>
        <w:tc>
          <w:tcPr>
            <w:tcW w:w="8800" w:type="dxa"/>
            <w:vAlign w:val="bottom"/>
            <w:gridSpan w:val="17"/>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14</w:t>
              </w:r>
            </w:hyperlink>
          </w:p>
        </w:tc>
        <w:tc>
          <w:tcPr>
            <w:tcW w:w="0" w:type="dxa"/>
            <w:vAlign w:val="bottom"/>
          </w:tcPr>
          <w:p>
            <w:pPr>
              <w:spacing w:after="0"/>
              <w:rPr>
                <w:sz w:val="1"/>
                <w:szCs w:val="1"/>
                <w:color w:val="auto"/>
              </w:rPr>
            </w:pPr>
          </w:p>
        </w:tc>
      </w:tr>
      <w:tr>
        <w:trPr>
          <w:trHeight w:val="223"/>
        </w:trPr>
        <w:tc>
          <w:tcPr>
            <w:tcW w:w="500" w:type="dxa"/>
            <w:vAlign w:val="bottom"/>
            <w:tcBorders>
              <w:bottom w:val="single" w:sz="8" w:color="0000EE"/>
            </w:tcBorders>
          </w:tcPr>
          <w:p>
            <w:pPr>
              <w:spacing w:after="0"/>
              <w:rPr>
                <w:rFonts w:ascii="Arial" w:cs="Arial" w:eastAsia="Arial" w:hAnsi="Arial"/>
                <w:sz w:val="16"/>
                <w:szCs w:val="16"/>
                <w:color w:val="0000EE"/>
                <w:w w:val="98"/>
              </w:rPr>
            </w:pPr>
            <w:hyperlink w:anchor="page15">
              <w:r>
                <w:rPr>
                  <w:rFonts w:ascii="Arial" w:cs="Arial" w:eastAsia="Arial" w:hAnsi="Arial"/>
                  <w:sz w:val="16"/>
                  <w:szCs w:val="16"/>
                  <w:color w:val="0000EE"/>
                  <w:w w:val="98"/>
                </w:rPr>
                <w:t>Item 4.</w:t>
              </w:r>
            </w:hyperlink>
          </w:p>
        </w:tc>
        <w:tc>
          <w:tcPr>
            <w:tcW w:w="540" w:type="dxa"/>
            <w:vAlign w:val="bottom"/>
            <w:gridSpan w:val="6"/>
          </w:tcPr>
          <w:p>
            <w:pPr>
              <w:spacing w:after="0"/>
              <w:rPr>
                <w:sz w:val="19"/>
                <w:szCs w:val="19"/>
                <w:color w:val="auto"/>
              </w:rPr>
            </w:pPr>
          </w:p>
        </w:tc>
        <w:tc>
          <w:tcPr>
            <w:tcW w:w="1740" w:type="dxa"/>
            <w:vAlign w:val="bottom"/>
            <w:tcBorders>
              <w:bottom w:val="single" w:sz="8" w:color="0000EE"/>
            </w:tcBorders>
            <w:gridSpan w:val="9"/>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Mine Safety Disclosures</w:t>
              </w:r>
            </w:hyperlink>
          </w:p>
        </w:tc>
        <w:tc>
          <w:tcPr>
            <w:tcW w:w="8400" w:type="dxa"/>
            <w:vAlign w:val="bottom"/>
            <w:gridSpan w:val="14"/>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15</w:t>
              </w:r>
            </w:hyperlink>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40" w:type="dxa"/>
            <w:vAlign w:val="bottom"/>
            <w:tcBorders>
              <w:bottom w:val="single" w:sz="8" w:color="0000EE"/>
            </w:tcBorders>
            <w:gridSpan w:val="12"/>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Executive Officers of the Registrant</w:t>
              </w:r>
            </w:hyperlink>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15</w:t>
              </w:r>
            </w:hyperlink>
          </w:p>
        </w:tc>
        <w:tc>
          <w:tcPr>
            <w:tcW w:w="0" w:type="dxa"/>
            <w:vAlign w:val="bottom"/>
          </w:tcPr>
          <w:p>
            <w:pPr>
              <w:spacing w:after="0"/>
              <w:rPr>
                <w:sz w:val="1"/>
                <w:szCs w:val="1"/>
                <w:color w:val="auto"/>
              </w:rPr>
            </w:pPr>
          </w:p>
        </w:tc>
      </w:tr>
      <w:tr>
        <w:trPr>
          <w:trHeight w:val="20"/>
        </w:trPr>
        <w:tc>
          <w:tcPr>
            <w:tcW w:w="560" w:type="dxa"/>
            <w:vAlign w:val="bottom"/>
            <w:gridSpan w:val="3"/>
            <w:vMerge w:val="restart"/>
          </w:tcPr>
          <w:p>
            <w:pPr>
              <w:spacing w:after="0"/>
              <w:rPr>
                <w:rFonts w:ascii="Arial" w:cs="Arial" w:eastAsia="Arial" w:hAnsi="Arial"/>
                <w:sz w:val="16"/>
                <w:szCs w:val="16"/>
                <w:b w:val="1"/>
                <w:bCs w:val="1"/>
                <w:color w:val="0000EE"/>
                <w:w w:val="94"/>
              </w:rPr>
            </w:pPr>
            <w:hyperlink w:anchor="page17">
              <w:r>
                <w:rPr>
                  <w:rFonts w:ascii="Arial" w:cs="Arial" w:eastAsia="Arial" w:hAnsi="Arial"/>
                  <w:sz w:val="16"/>
                  <w:szCs w:val="16"/>
                  <w:b w:val="1"/>
                  <w:bCs w:val="1"/>
                  <w:color w:val="0000EE"/>
                  <w:w w:val="94"/>
                </w:rPr>
                <w:t>PART II</w:t>
              </w:r>
            </w:hyperlink>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560" w:type="dxa"/>
            <w:vAlign w:val="bottom"/>
            <w:tcBorders>
              <w:bottom w:val="single" w:sz="8" w:color="0000EE"/>
            </w:tcBorders>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17</w:t>
              </w:r>
            </w:hyperlink>
          </w:p>
        </w:tc>
        <w:tc>
          <w:tcPr>
            <w:tcW w:w="0" w:type="dxa"/>
            <w:vAlign w:val="bottom"/>
          </w:tcPr>
          <w:p>
            <w:pPr>
              <w:spacing w:after="0"/>
              <w:rPr>
                <w:sz w:val="1"/>
                <w:szCs w:val="1"/>
                <w:color w:val="auto"/>
              </w:rPr>
            </w:pPr>
          </w:p>
        </w:tc>
      </w:tr>
      <w:tr>
        <w:trPr>
          <w:trHeight w:val="20"/>
        </w:trPr>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rFonts w:ascii="Arial" w:cs="Arial" w:eastAsia="Arial" w:hAnsi="Arial"/>
                <w:sz w:val="16"/>
                <w:szCs w:val="16"/>
                <w:color w:val="0000EE"/>
                <w:w w:val="98"/>
              </w:rPr>
            </w:pPr>
            <w:hyperlink w:anchor="page17">
              <w:r>
                <w:rPr>
                  <w:rFonts w:ascii="Arial" w:cs="Arial" w:eastAsia="Arial" w:hAnsi="Arial"/>
                  <w:sz w:val="16"/>
                  <w:szCs w:val="16"/>
                  <w:color w:val="0000EE"/>
                  <w:w w:val="98"/>
                </w:rPr>
                <w:t>Item 5.</w:t>
              </w:r>
            </w:hyperlink>
          </w:p>
        </w:tc>
        <w:tc>
          <w:tcPr>
            <w:tcW w:w="540" w:type="dxa"/>
            <w:vAlign w:val="bottom"/>
            <w:gridSpan w:val="6"/>
          </w:tcPr>
          <w:p>
            <w:pPr>
              <w:spacing w:after="0"/>
              <w:rPr>
                <w:sz w:val="18"/>
                <w:szCs w:val="18"/>
                <w:color w:val="auto"/>
              </w:rPr>
            </w:pPr>
          </w:p>
        </w:tc>
        <w:tc>
          <w:tcPr>
            <w:tcW w:w="10140" w:type="dxa"/>
            <w:vAlign w:val="bottom"/>
            <w:gridSpan w:val="23"/>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Market for the Registrant's Common Equity, Related Stockholder Matters, and Issuer Purchases of Equity Securities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17</w:t>
              </w:r>
            </w:hyperlink>
          </w:p>
        </w:tc>
        <w:tc>
          <w:tcPr>
            <w:tcW w:w="0" w:type="dxa"/>
            <w:vAlign w:val="bottom"/>
          </w:tcPr>
          <w:p>
            <w:pPr>
              <w:spacing w:after="0"/>
              <w:rPr>
                <w:sz w:val="1"/>
                <w:szCs w:val="1"/>
                <w:color w:val="auto"/>
              </w:rPr>
            </w:pPr>
          </w:p>
        </w:tc>
      </w:tr>
      <w:tr>
        <w:trPr>
          <w:trHeight w:val="223"/>
        </w:trPr>
        <w:tc>
          <w:tcPr>
            <w:tcW w:w="500" w:type="dxa"/>
            <w:vAlign w:val="bottom"/>
            <w:tcBorders>
              <w:top w:val="single" w:sz="8" w:color="0000EE"/>
            </w:tcBorders>
          </w:tcPr>
          <w:p>
            <w:pPr>
              <w:spacing w:after="0"/>
              <w:rPr>
                <w:rFonts w:ascii="Arial" w:cs="Arial" w:eastAsia="Arial" w:hAnsi="Arial"/>
                <w:sz w:val="16"/>
                <w:szCs w:val="16"/>
                <w:color w:val="0000EE"/>
                <w:w w:val="98"/>
              </w:rPr>
            </w:pPr>
            <w:hyperlink w:anchor="page20">
              <w:r>
                <w:rPr>
                  <w:rFonts w:ascii="Arial" w:cs="Arial" w:eastAsia="Arial" w:hAnsi="Arial"/>
                  <w:sz w:val="16"/>
                  <w:szCs w:val="16"/>
                  <w:color w:val="0000EE"/>
                  <w:w w:val="98"/>
                </w:rPr>
                <w:t>Item 6.</w:t>
              </w:r>
            </w:hyperlink>
          </w:p>
        </w:tc>
        <w:tc>
          <w:tcPr>
            <w:tcW w:w="540" w:type="dxa"/>
            <w:vAlign w:val="bottom"/>
            <w:gridSpan w:val="6"/>
          </w:tcPr>
          <w:p>
            <w:pPr>
              <w:spacing w:after="0"/>
              <w:rPr>
                <w:sz w:val="19"/>
                <w:szCs w:val="19"/>
                <w:color w:val="auto"/>
              </w:rPr>
            </w:pPr>
          </w:p>
        </w:tc>
        <w:tc>
          <w:tcPr>
            <w:tcW w:w="8300" w:type="dxa"/>
            <w:vAlign w:val="bottom"/>
            <w:tcBorders>
              <w:top w:val="single" w:sz="8" w:color="0000EE"/>
            </w:tcBorders>
            <w:gridSpan w:val="22"/>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Selected Financial Data</w:t>
              </w:r>
            </w:hyperlink>
          </w:p>
        </w:tc>
        <w:tc>
          <w:tcPr>
            <w:tcW w:w="1840" w:type="dxa"/>
            <w:vAlign w:val="bottom"/>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color w:val="0000EE"/>
                <w:w w:val="89"/>
              </w:rPr>
            </w:pPr>
            <w:hyperlink w:anchor="page20">
              <w:r>
                <w:rPr>
                  <w:rFonts w:ascii="Arial" w:cs="Arial" w:eastAsia="Arial" w:hAnsi="Arial"/>
                  <w:sz w:val="16"/>
                  <w:szCs w:val="16"/>
                  <w:color w:val="0000EE"/>
                  <w:w w:val="89"/>
                </w:rPr>
                <w:t>20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8"/>
              </w:rPr>
            </w:pPr>
            <w:hyperlink w:anchor="page20">
              <w:r>
                <w:rPr>
                  <w:rFonts w:ascii="Arial" w:cs="Arial" w:eastAsia="Arial" w:hAnsi="Arial"/>
                  <w:sz w:val="16"/>
                  <w:szCs w:val="16"/>
                  <w:color w:val="0000EE"/>
                  <w:w w:val="98"/>
                </w:rPr>
                <w:t>Item 7.</w:t>
              </w:r>
            </w:hyperlink>
          </w:p>
        </w:tc>
        <w:tc>
          <w:tcPr>
            <w:tcW w:w="540" w:type="dxa"/>
            <w:vAlign w:val="bottom"/>
            <w:gridSpan w:val="6"/>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20">
              <w:r>
                <w:rPr>
                  <w:rFonts w:ascii="Arial" w:cs="Arial" w:eastAsia="Arial" w:hAnsi="Arial"/>
                  <w:sz w:val="16"/>
                  <w:szCs w:val="16"/>
                  <w:color w:val="0000EE"/>
                  <w:w w:val="89"/>
                </w:rPr>
                <w:t>20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32">
              <w:r>
                <w:rPr>
                  <w:rFonts w:ascii="Arial" w:cs="Arial" w:eastAsia="Arial" w:hAnsi="Arial"/>
                  <w:sz w:val="16"/>
                  <w:szCs w:val="16"/>
                  <w:color w:val="0000EE"/>
                  <w:w w:val="97"/>
                </w:rPr>
                <w:t>Item 7A.</w:t>
              </w:r>
            </w:hyperlink>
          </w:p>
        </w:tc>
        <w:tc>
          <w:tcPr>
            <w:tcW w:w="440" w:type="dxa"/>
            <w:vAlign w:val="bottom"/>
            <w:gridSpan w:val="2"/>
          </w:tcPr>
          <w:p>
            <w:pPr>
              <w:spacing w:after="0"/>
              <w:rPr>
                <w:sz w:val="19"/>
                <w:szCs w:val="19"/>
                <w:color w:val="auto"/>
              </w:rPr>
            </w:pPr>
          </w:p>
        </w:tc>
        <w:tc>
          <w:tcPr>
            <w:tcW w:w="4240" w:type="dxa"/>
            <w:vAlign w:val="bottom"/>
            <w:tcBorders>
              <w:bottom w:val="single" w:sz="8" w:color="0000EE"/>
            </w:tcBorders>
            <w:gridSpan w:val="17"/>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Quantitative and Qualitative Disclosures About Market Risk</w:t>
              </w:r>
            </w:hyperlink>
          </w:p>
        </w:tc>
        <w:tc>
          <w:tcPr>
            <w:tcW w:w="5900" w:type="dxa"/>
            <w:vAlign w:val="bottom"/>
            <w:gridSpan w:val="6"/>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32</w:t>
              </w:r>
            </w:hyperlink>
          </w:p>
        </w:tc>
        <w:tc>
          <w:tcPr>
            <w:tcW w:w="0" w:type="dxa"/>
            <w:vAlign w:val="bottom"/>
          </w:tcPr>
          <w:p>
            <w:pPr>
              <w:spacing w:after="0"/>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8"/>
              </w:rPr>
            </w:pPr>
            <w:hyperlink w:anchor="page34">
              <w:r>
                <w:rPr>
                  <w:rFonts w:ascii="Arial" w:cs="Arial" w:eastAsia="Arial" w:hAnsi="Arial"/>
                  <w:sz w:val="16"/>
                  <w:szCs w:val="16"/>
                  <w:color w:val="0000EE"/>
                  <w:w w:val="98"/>
                </w:rPr>
                <w:t>Item 8.</w:t>
              </w:r>
            </w:hyperlink>
          </w:p>
        </w:tc>
        <w:tc>
          <w:tcPr>
            <w:tcW w:w="540" w:type="dxa"/>
            <w:vAlign w:val="bottom"/>
            <w:gridSpan w:val="6"/>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Financial Statements and Supplementary Data</w:t>
              </w:r>
            </w:hyperlink>
          </w:p>
        </w:tc>
        <w:tc>
          <w:tcPr>
            <w:tcW w:w="180" w:type="dxa"/>
            <w:vAlign w:val="bottom"/>
            <w:gridSpan w:val="2"/>
          </w:tcPr>
          <w:p>
            <w:pPr>
              <w:jc w:val="right"/>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Borders>
              <w:bottom w:val="single" w:sz="8" w:color="0000EE"/>
            </w:tcBorders>
          </w:tcPr>
          <w:p>
            <w:pPr>
              <w:spacing w:after="0"/>
              <w:rPr>
                <w:rFonts w:ascii="Arial" w:cs="Arial" w:eastAsia="Arial" w:hAnsi="Arial"/>
                <w:sz w:val="16"/>
                <w:szCs w:val="16"/>
                <w:color w:val="0000EE"/>
                <w:w w:val="98"/>
              </w:rPr>
            </w:pPr>
            <w:hyperlink w:anchor="page63">
              <w:r>
                <w:rPr>
                  <w:rFonts w:ascii="Arial" w:cs="Arial" w:eastAsia="Arial" w:hAnsi="Arial"/>
                  <w:sz w:val="16"/>
                  <w:szCs w:val="16"/>
                  <w:color w:val="0000EE"/>
                  <w:w w:val="98"/>
                </w:rPr>
                <w:t>Item 9.</w:t>
              </w:r>
            </w:hyperlink>
          </w:p>
        </w:tc>
        <w:tc>
          <w:tcPr>
            <w:tcW w:w="540" w:type="dxa"/>
            <w:vAlign w:val="bottom"/>
            <w:gridSpan w:val="6"/>
          </w:tcPr>
          <w:p>
            <w:pPr>
              <w:spacing w:after="0"/>
              <w:rPr>
                <w:sz w:val="19"/>
                <w:szCs w:val="19"/>
                <w:color w:val="auto"/>
              </w:rPr>
            </w:pPr>
          </w:p>
        </w:tc>
        <w:tc>
          <w:tcPr>
            <w:tcW w:w="6420" w:type="dxa"/>
            <w:vAlign w:val="bottom"/>
            <w:tcBorders>
              <w:bottom w:val="single" w:sz="8" w:color="0000EE"/>
            </w:tcBorders>
            <w:gridSpan w:val="20"/>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Changes in and Disagreements with Accountants on Accounting and Financial Disclosure</w:t>
              </w:r>
            </w:hyperlink>
          </w:p>
        </w:tc>
        <w:tc>
          <w:tcPr>
            <w:tcW w:w="3720" w:type="dxa"/>
            <w:vAlign w:val="bottom"/>
            <w:gridSpan w:val="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63">
              <w:r>
                <w:rPr>
                  <w:rFonts w:ascii="Arial" w:cs="Arial" w:eastAsia="Arial" w:hAnsi="Arial"/>
                  <w:sz w:val="16"/>
                  <w:szCs w:val="16"/>
                  <w:color w:val="0000EE"/>
                  <w:w w:val="89"/>
                </w:rPr>
                <w:t>63</w:t>
              </w:r>
            </w:hyperlink>
          </w:p>
        </w:tc>
        <w:tc>
          <w:tcPr>
            <w:tcW w:w="0" w:type="dxa"/>
            <w:vAlign w:val="bottom"/>
          </w:tcPr>
          <w:p>
            <w:pPr>
              <w:spacing w:after="0"/>
              <w:rPr>
                <w:sz w:val="1"/>
                <w:szCs w:val="1"/>
                <w:color w:val="auto"/>
              </w:rPr>
            </w:pPr>
          </w:p>
        </w:tc>
      </w:tr>
      <w:tr>
        <w:trPr>
          <w:trHeight w:val="223"/>
        </w:trPr>
        <w:tc>
          <w:tcPr>
            <w:tcW w:w="600" w:type="dxa"/>
            <w:vAlign w:val="bottom"/>
            <w:gridSpan w:val="5"/>
          </w:tcPr>
          <w:p>
            <w:pPr>
              <w:spacing w:after="0"/>
              <w:rPr>
                <w:rFonts w:ascii="Arial" w:cs="Arial" w:eastAsia="Arial" w:hAnsi="Arial"/>
                <w:sz w:val="16"/>
                <w:szCs w:val="16"/>
                <w:color w:val="0000EE"/>
                <w:w w:val="97"/>
              </w:rPr>
            </w:pPr>
            <w:hyperlink w:anchor="page63">
              <w:r>
                <w:rPr>
                  <w:rFonts w:ascii="Arial" w:cs="Arial" w:eastAsia="Arial" w:hAnsi="Arial"/>
                  <w:sz w:val="16"/>
                  <w:szCs w:val="16"/>
                  <w:color w:val="0000EE"/>
                  <w:w w:val="97"/>
                </w:rPr>
                <w:t>Item 9A.</w:t>
              </w:r>
            </w:hyperlink>
          </w:p>
        </w:tc>
        <w:tc>
          <w:tcPr>
            <w:tcW w:w="440" w:type="dxa"/>
            <w:vAlign w:val="bottom"/>
            <w:gridSpan w:val="2"/>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Controls and Procedures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63">
              <w:r>
                <w:rPr>
                  <w:rFonts w:ascii="Arial" w:cs="Arial" w:eastAsia="Arial" w:hAnsi="Arial"/>
                  <w:sz w:val="16"/>
                  <w:szCs w:val="16"/>
                  <w:color w:val="0000EE"/>
                  <w:w w:val="89"/>
                </w:rPr>
                <w:t>63</w:t>
              </w:r>
            </w:hyperlink>
          </w:p>
        </w:tc>
        <w:tc>
          <w:tcPr>
            <w:tcW w:w="0" w:type="dxa"/>
            <w:vAlign w:val="bottom"/>
          </w:tcPr>
          <w:p>
            <w:pPr>
              <w:spacing w:after="0"/>
              <w:rPr>
                <w:sz w:val="1"/>
                <w:szCs w:val="1"/>
                <w:color w:val="auto"/>
              </w:rPr>
            </w:pPr>
          </w:p>
        </w:tc>
      </w:tr>
      <w:tr>
        <w:trPr>
          <w:trHeight w:val="223"/>
        </w:trPr>
        <w:tc>
          <w:tcPr>
            <w:tcW w:w="600" w:type="dxa"/>
            <w:vAlign w:val="bottom"/>
            <w:tcBorders>
              <w:top w:val="single" w:sz="8" w:color="0000EE"/>
            </w:tcBorders>
            <w:gridSpan w:val="5"/>
          </w:tcPr>
          <w:p>
            <w:pPr>
              <w:spacing w:after="0"/>
              <w:rPr>
                <w:rFonts w:ascii="Arial" w:cs="Arial" w:eastAsia="Arial" w:hAnsi="Arial"/>
                <w:sz w:val="16"/>
                <w:szCs w:val="16"/>
                <w:color w:val="0000EE"/>
                <w:w w:val="97"/>
              </w:rPr>
            </w:pPr>
            <w:hyperlink w:anchor="page63">
              <w:r>
                <w:rPr>
                  <w:rFonts w:ascii="Arial" w:cs="Arial" w:eastAsia="Arial" w:hAnsi="Arial"/>
                  <w:sz w:val="16"/>
                  <w:szCs w:val="16"/>
                  <w:color w:val="0000EE"/>
                  <w:w w:val="97"/>
                </w:rPr>
                <w:t>Item 9B.</w:t>
              </w:r>
            </w:hyperlink>
          </w:p>
        </w:tc>
        <w:tc>
          <w:tcPr>
            <w:tcW w:w="440" w:type="dxa"/>
            <w:vAlign w:val="bottom"/>
            <w:gridSpan w:val="2"/>
          </w:tcPr>
          <w:p>
            <w:pPr>
              <w:spacing w:after="0"/>
              <w:rPr>
                <w:sz w:val="19"/>
                <w:szCs w:val="19"/>
                <w:color w:val="auto"/>
              </w:rPr>
            </w:pPr>
          </w:p>
        </w:tc>
        <w:tc>
          <w:tcPr>
            <w:tcW w:w="1780" w:type="dxa"/>
            <w:vAlign w:val="bottom"/>
            <w:tcBorders>
              <w:top w:val="single" w:sz="8" w:color="0000EE"/>
            </w:tcBorders>
            <w:gridSpan w:val="10"/>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Other Information</w:t>
              </w:r>
            </w:hyperlink>
          </w:p>
        </w:tc>
        <w:tc>
          <w:tcPr>
            <w:tcW w:w="8360" w:type="dxa"/>
            <w:vAlign w:val="bottom"/>
            <w:gridSpan w:val="13"/>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color w:val="0000EE"/>
                <w:w w:val="89"/>
              </w:rPr>
            </w:pPr>
            <w:hyperlink w:anchor="page63">
              <w:r>
                <w:rPr>
                  <w:rFonts w:ascii="Arial" w:cs="Arial" w:eastAsia="Arial" w:hAnsi="Arial"/>
                  <w:sz w:val="16"/>
                  <w:szCs w:val="16"/>
                  <w:color w:val="0000EE"/>
                  <w:w w:val="89"/>
                </w:rPr>
                <w:t>63</w:t>
              </w:r>
            </w:hyperlink>
          </w:p>
        </w:tc>
        <w:tc>
          <w:tcPr>
            <w:tcW w:w="0" w:type="dxa"/>
            <w:vAlign w:val="bottom"/>
          </w:tcPr>
          <w:p>
            <w:pPr>
              <w:spacing w:after="0"/>
              <w:rPr>
                <w:sz w:val="1"/>
                <w:szCs w:val="1"/>
                <w:color w:val="auto"/>
              </w:rPr>
            </w:pPr>
          </w:p>
        </w:tc>
      </w:tr>
      <w:tr>
        <w:trPr>
          <w:trHeight w:val="520"/>
        </w:trPr>
        <w:tc>
          <w:tcPr>
            <w:tcW w:w="600" w:type="dxa"/>
            <w:vAlign w:val="bottom"/>
            <w:tcBorders>
              <w:top w:val="single" w:sz="8" w:color="0000EE"/>
              <w:bottom w:val="single" w:sz="8" w:color="0000EE"/>
            </w:tcBorders>
            <w:gridSpan w:val="5"/>
          </w:tcPr>
          <w:p>
            <w:pPr>
              <w:spacing w:after="0"/>
              <w:rPr>
                <w:rFonts w:ascii="Arial" w:cs="Arial" w:eastAsia="Arial" w:hAnsi="Arial"/>
                <w:sz w:val="16"/>
                <w:szCs w:val="16"/>
                <w:b w:val="1"/>
                <w:bCs w:val="1"/>
                <w:color w:val="0000EE"/>
                <w:w w:val="94"/>
              </w:rPr>
            </w:pPr>
            <w:hyperlink w:anchor="page64">
              <w:r>
                <w:rPr>
                  <w:rFonts w:ascii="Arial" w:cs="Arial" w:eastAsia="Arial" w:hAnsi="Arial"/>
                  <w:sz w:val="16"/>
                  <w:szCs w:val="16"/>
                  <w:b w:val="1"/>
                  <w:bCs w:val="1"/>
                  <w:color w:val="0000EE"/>
                  <w:w w:val="94"/>
                </w:rPr>
                <w:t>PART III</w:t>
              </w:r>
            </w:hyperlink>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64">
              <w:r>
                <w:rPr>
                  <w:rFonts w:ascii="Arial" w:cs="Arial" w:eastAsia="Arial" w:hAnsi="Arial"/>
                  <w:sz w:val="16"/>
                  <w:szCs w:val="16"/>
                  <w:color w:val="0000EE"/>
                  <w:w w:val="89"/>
                </w:rPr>
                <w:t>64</w:t>
              </w:r>
            </w:hyperlink>
          </w:p>
        </w:tc>
        <w:tc>
          <w:tcPr>
            <w:tcW w:w="0" w:type="dxa"/>
            <w:vAlign w:val="bottom"/>
          </w:tcPr>
          <w:p>
            <w:pPr>
              <w:spacing w:after="0"/>
              <w:rPr>
                <w:sz w:val="1"/>
                <w:szCs w:val="1"/>
                <w:color w:val="auto"/>
              </w:rPr>
            </w:pPr>
          </w:p>
        </w:tc>
      </w:tr>
      <w:tr>
        <w:trPr>
          <w:trHeight w:val="20"/>
        </w:trPr>
        <w:tc>
          <w:tcPr>
            <w:tcW w:w="5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7"/>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Item 10.</w:t>
              </w:r>
            </w:hyperlink>
          </w:p>
        </w:tc>
        <w:tc>
          <w:tcPr>
            <w:tcW w:w="10140" w:type="dxa"/>
            <w:vAlign w:val="bottom"/>
            <w:gridSpan w:val="23"/>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Directors, Executive Officers, and Corporate Governance</w:t>
              </w:r>
            </w:hyperlink>
          </w:p>
        </w:tc>
        <w:tc>
          <w:tcPr>
            <w:tcW w:w="180" w:type="dxa"/>
            <w:vAlign w:val="bottom"/>
            <w:gridSpan w:val="2"/>
          </w:tcPr>
          <w:p>
            <w:pPr>
              <w:jc w:val="right"/>
              <w:spacing w:after="0"/>
              <w:rPr>
                <w:rFonts w:ascii="Arial" w:cs="Arial" w:eastAsia="Arial" w:hAnsi="Arial"/>
                <w:sz w:val="16"/>
                <w:szCs w:val="16"/>
                <w:color w:val="0000EE"/>
                <w:w w:val="89"/>
              </w:rPr>
            </w:pPr>
            <w:hyperlink w:anchor="page64">
              <w:r>
                <w:rPr>
                  <w:rFonts w:ascii="Arial" w:cs="Arial" w:eastAsia="Arial" w:hAnsi="Arial"/>
                  <w:sz w:val="16"/>
                  <w:szCs w:val="16"/>
                  <w:color w:val="0000EE"/>
                  <w:w w:val="89"/>
                </w:rPr>
                <w:t>64</w:t>
              </w:r>
            </w:hyperlink>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7"/>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Item 11.</w:t>
              </w:r>
            </w:hyperlink>
          </w:p>
        </w:tc>
        <w:tc>
          <w:tcPr>
            <w:tcW w:w="10140" w:type="dxa"/>
            <w:vAlign w:val="bottom"/>
            <w:gridSpan w:val="23"/>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Executive Compensation</w:t>
              </w:r>
            </w:hyperlink>
          </w:p>
        </w:tc>
        <w:tc>
          <w:tcPr>
            <w:tcW w:w="180" w:type="dxa"/>
            <w:vAlign w:val="bottom"/>
            <w:gridSpan w:val="2"/>
          </w:tcPr>
          <w:p>
            <w:pPr>
              <w:jc w:val="right"/>
              <w:spacing w:after="0"/>
              <w:rPr>
                <w:rFonts w:ascii="Arial" w:cs="Arial" w:eastAsia="Arial" w:hAnsi="Arial"/>
                <w:sz w:val="16"/>
                <w:szCs w:val="16"/>
                <w:color w:val="0000EE"/>
                <w:w w:val="89"/>
              </w:rPr>
            </w:pPr>
            <w:hyperlink w:anchor="page64">
              <w:r>
                <w:rPr>
                  <w:rFonts w:ascii="Arial" w:cs="Arial" w:eastAsia="Arial" w:hAnsi="Arial"/>
                  <w:sz w:val="16"/>
                  <w:szCs w:val="16"/>
                  <w:color w:val="0000EE"/>
                  <w:w w:val="89"/>
                </w:rPr>
                <w:t>64</w:t>
              </w:r>
            </w:hyperlink>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7"/>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Item 12.</w:t>
              </w:r>
            </w:hyperlink>
          </w:p>
        </w:tc>
        <w:tc>
          <w:tcPr>
            <w:tcW w:w="10140" w:type="dxa"/>
            <w:vAlign w:val="bottom"/>
            <w:gridSpan w:val="23"/>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64">
              <w:r>
                <w:rPr>
                  <w:rFonts w:ascii="Arial" w:cs="Arial" w:eastAsia="Arial" w:hAnsi="Arial"/>
                  <w:sz w:val="16"/>
                  <w:szCs w:val="16"/>
                  <w:color w:val="0000EE"/>
                  <w:w w:val="89"/>
                </w:rPr>
                <w:t>64</w:t>
              </w:r>
            </w:hyperlink>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7"/>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Item 13.</w:t>
              </w:r>
            </w:hyperlink>
          </w:p>
        </w:tc>
        <w:tc>
          <w:tcPr>
            <w:tcW w:w="10140" w:type="dxa"/>
            <w:vAlign w:val="bottom"/>
            <w:gridSpan w:val="23"/>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6"/>
                <w:szCs w:val="16"/>
                <w:color w:val="0000EE"/>
                <w:w w:val="89"/>
              </w:rPr>
            </w:pPr>
            <w:hyperlink w:anchor="page64">
              <w:r>
                <w:rPr>
                  <w:rFonts w:ascii="Arial" w:cs="Arial" w:eastAsia="Arial" w:hAnsi="Arial"/>
                  <w:sz w:val="16"/>
                  <w:szCs w:val="16"/>
                  <w:color w:val="0000EE"/>
                  <w:w w:val="89"/>
                </w:rPr>
                <w:t>64</w:t>
              </w:r>
            </w:hyperlink>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7"/>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Item 14.</w:t>
              </w:r>
            </w:hyperlink>
          </w:p>
        </w:tc>
        <w:tc>
          <w:tcPr>
            <w:tcW w:w="10140" w:type="dxa"/>
            <w:vAlign w:val="bottom"/>
            <w:gridSpan w:val="23"/>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Principal Accounting Fees and Services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64">
              <w:r>
                <w:rPr>
                  <w:rFonts w:ascii="Arial" w:cs="Arial" w:eastAsia="Arial" w:hAnsi="Arial"/>
                  <w:sz w:val="16"/>
                  <w:szCs w:val="16"/>
                  <w:color w:val="0000EE"/>
                  <w:w w:val="89"/>
                </w:rPr>
                <w:t>64</w:t>
              </w:r>
            </w:hyperlink>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20" w:type="dxa"/>
            <w:vAlign w:val="bottom"/>
            <w:tcBorders>
              <w:bottom w:val="single" w:sz="8" w:color="0000EE"/>
            </w:tcBorders>
            <w:gridSpan w:val="6"/>
          </w:tcPr>
          <w:p>
            <w:pPr>
              <w:spacing w:after="0"/>
              <w:rPr>
                <w:rFonts w:ascii="Arial" w:cs="Arial" w:eastAsia="Arial" w:hAnsi="Arial"/>
                <w:sz w:val="16"/>
                <w:szCs w:val="16"/>
                <w:b w:val="1"/>
                <w:bCs w:val="1"/>
                <w:color w:val="0000EE"/>
                <w:w w:val="94"/>
              </w:rPr>
            </w:pPr>
            <w:hyperlink w:anchor="page65">
              <w:r>
                <w:rPr>
                  <w:rFonts w:ascii="Arial" w:cs="Arial" w:eastAsia="Arial" w:hAnsi="Arial"/>
                  <w:sz w:val="16"/>
                  <w:szCs w:val="16"/>
                  <w:b w:val="1"/>
                  <w:bCs w:val="1"/>
                  <w:color w:val="0000EE"/>
                  <w:w w:val="94"/>
                </w:rPr>
                <w:t>PART IV</w:t>
              </w:r>
            </w:hyperlink>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6"/>
                <w:szCs w:val="16"/>
                <w:color w:val="0000EE"/>
                <w:w w:val="89"/>
              </w:rPr>
            </w:pPr>
            <w:hyperlink w:anchor="page65">
              <w:r>
                <w:rPr>
                  <w:rFonts w:ascii="Arial" w:cs="Arial" w:eastAsia="Arial" w:hAnsi="Arial"/>
                  <w:sz w:val="16"/>
                  <w:szCs w:val="16"/>
                  <w:color w:val="0000EE"/>
                  <w:w w:val="89"/>
                </w:rPr>
                <w:t>65</w:t>
              </w:r>
            </w:hyperlink>
          </w:p>
        </w:tc>
        <w:tc>
          <w:tcPr>
            <w:tcW w:w="0" w:type="dxa"/>
            <w:vAlign w:val="bottom"/>
          </w:tcPr>
          <w:p>
            <w:pPr>
              <w:spacing w:after="0"/>
              <w:rPr>
                <w:sz w:val="1"/>
                <w:szCs w:val="1"/>
                <w:color w:val="auto"/>
              </w:rPr>
            </w:pPr>
          </w:p>
        </w:tc>
      </w:tr>
      <w:tr>
        <w:trPr>
          <w:trHeight w:val="20"/>
        </w:trPr>
        <w:tc>
          <w:tcPr>
            <w:tcW w:w="58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7"/>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Item 15.</w:t>
              </w:r>
            </w:hyperlink>
          </w:p>
        </w:tc>
        <w:tc>
          <w:tcPr>
            <w:tcW w:w="10140" w:type="dxa"/>
            <w:vAlign w:val="bottom"/>
            <w:gridSpan w:val="23"/>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Exhibits, Financial Statement Schedules</w:t>
              </w:r>
            </w:hyperlink>
          </w:p>
        </w:tc>
        <w:tc>
          <w:tcPr>
            <w:tcW w:w="180" w:type="dxa"/>
            <w:vAlign w:val="bottom"/>
            <w:gridSpan w:val="2"/>
          </w:tcPr>
          <w:p>
            <w:pPr>
              <w:jc w:val="right"/>
              <w:spacing w:after="0"/>
              <w:rPr>
                <w:rFonts w:ascii="Arial" w:cs="Arial" w:eastAsia="Arial" w:hAnsi="Arial"/>
                <w:sz w:val="16"/>
                <w:szCs w:val="16"/>
                <w:color w:val="0000EE"/>
                <w:w w:val="89"/>
              </w:rPr>
            </w:pPr>
            <w:hyperlink w:anchor="page65">
              <w:r>
                <w:rPr>
                  <w:rFonts w:ascii="Arial" w:cs="Arial" w:eastAsia="Arial" w:hAnsi="Arial"/>
                  <w:sz w:val="16"/>
                  <w:szCs w:val="16"/>
                  <w:color w:val="0000EE"/>
                  <w:w w:val="89"/>
                </w:rPr>
                <w:t>65</w:t>
              </w:r>
            </w:hyperlink>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7"/>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Item 16.</w:t>
              </w:r>
            </w:hyperlink>
          </w:p>
        </w:tc>
        <w:tc>
          <w:tcPr>
            <w:tcW w:w="10140" w:type="dxa"/>
            <w:vAlign w:val="bottom"/>
            <w:gridSpan w:val="23"/>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Form 10-K Summary</w:t>
              </w:r>
            </w:hyperlink>
          </w:p>
        </w:tc>
        <w:tc>
          <w:tcPr>
            <w:tcW w:w="180" w:type="dxa"/>
            <w:vAlign w:val="bottom"/>
            <w:gridSpan w:val="2"/>
          </w:tcPr>
          <w:p>
            <w:pPr>
              <w:jc w:val="right"/>
              <w:spacing w:after="0"/>
              <w:rPr>
                <w:rFonts w:ascii="Arial" w:cs="Arial" w:eastAsia="Arial" w:hAnsi="Arial"/>
                <w:sz w:val="16"/>
                <w:szCs w:val="16"/>
                <w:color w:val="0000EE"/>
                <w:w w:val="89"/>
              </w:rPr>
            </w:pPr>
            <w:hyperlink w:anchor="page68">
              <w:r>
                <w:rPr>
                  <w:rFonts w:ascii="Arial" w:cs="Arial" w:eastAsia="Arial" w:hAnsi="Arial"/>
                  <w:sz w:val="16"/>
                  <w:szCs w:val="16"/>
                  <w:color w:val="0000EE"/>
                  <w:w w:val="89"/>
                </w:rPr>
                <w:t>68</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97"/>
              </w:rPr>
            </w:pPr>
            <w:hyperlink w:anchor="page69">
              <w:r>
                <w:rPr>
                  <w:rFonts w:ascii="Arial" w:cs="Arial" w:eastAsia="Arial" w:hAnsi="Arial"/>
                  <w:sz w:val="16"/>
                  <w:szCs w:val="16"/>
                  <w:b w:val="1"/>
                  <w:bCs w:val="1"/>
                  <w:color w:val="0000EE"/>
                  <w:w w:val="97"/>
                </w:rPr>
                <w:t>SIGNATURES</w:t>
              </w:r>
            </w:hyperlink>
          </w:p>
        </w:tc>
        <w:tc>
          <w:tcPr>
            <w:tcW w:w="460" w:type="dxa"/>
            <w:vAlign w:val="bottom"/>
            <w:tcBorders>
              <w:top w:val="single" w:sz="8" w:color="0000EE"/>
              <w:bottom w:val="single" w:sz="8" w:color="0000EE"/>
            </w:tcBorders>
            <w:gridSpan w:val="3"/>
          </w:tcPr>
          <w:p>
            <w:pPr>
              <w:spacing w:after="0"/>
              <w:rPr>
                <w:sz w:val="24"/>
                <w:szCs w:val="24"/>
                <w:color w:val="auto"/>
              </w:rPr>
            </w:pPr>
          </w:p>
        </w:tc>
        <w:tc>
          <w:tcPr>
            <w:tcW w:w="8640" w:type="dxa"/>
            <w:vAlign w:val="bottom"/>
            <w:gridSpan w:val="1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69">
              <w:r>
                <w:rPr>
                  <w:rFonts w:ascii="Arial" w:cs="Arial" w:eastAsia="Arial" w:hAnsi="Arial"/>
                  <w:sz w:val="16"/>
                  <w:szCs w:val="16"/>
                  <w:color w:val="0000EE"/>
                  <w:w w:val="89"/>
                </w:rPr>
                <w:t>69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gridSpan w:val="18"/>
            <w:vMerge w:val="restart"/>
          </w:tcPr>
          <w:p>
            <w:pPr>
              <w:ind w:left="4580"/>
              <w:spacing w:after="0"/>
              <w:rPr>
                <w:sz w:val="20"/>
                <w:szCs w:val="20"/>
                <w:color w:val="auto"/>
              </w:rPr>
            </w:pPr>
            <w:r>
              <w:rPr>
                <w:rFonts w:ascii="Arial" w:cs="Arial" w:eastAsia="Arial" w:hAnsi="Arial"/>
                <w:sz w:val="16"/>
                <w:szCs w:val="16"/>
                <w:color w:val="auto"/>
              </w:rPr>
              <w:t>2</w:t>
            </w: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18"/>
            <w:vMerge w:val="continue"/>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line="184"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Report for the Fiscal Year Ended August 25, 2018</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competition and new product introductions by competitors, our ability to attract and retain qualified personnel, business or production disruptions, sales order cancellations, risk related to compliance with debt covenants and leverage ratios, stock price volatility, availability of labor, a slowdown in the economy, low consumer confidence, the effect of global tensions, increases in interest rates, availability of credit, risk related to cyclicality and seasonality, slower than anticipated sales of new or existing products, integration of operations relating to merger and acquisition activities generally,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the implementation of our Enterprise Resource Planning system, risk related to data security, governmental regulation, including for climate change, risk related to anti-takeover provisions applicable to us,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 We advise you, however, to consult any further disclosures made on related subjects in future quarterly reports on Form 10-Q and current reports on Form 8-K that are filed or furnished with the U.S. Securities and Exchange Commission ("SEC").</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4"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wholly-owned subsidiaries, as appropriate in the context.</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Inc., headquartered in Forest City, Iowa, is a leading U.S. manufacturer with a diversified portfolio of recreation vehicles ("RV"s) and marine products used primarily in leisure travel and outdoor recreation activities. We produce our motorhomes in manufacturing facilities in Iowa and Oregon; our travel trailer and fifth wheel trailers in Indiana; and our marine products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17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website, located at www.wgo.net,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214"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 xml:space="preserve">Beginning in the fourth quarter of Fiscal 2018, we have five operating segments: 1) Winnebago motorhomes, 2) Winnebago towables, 3) Grand Design towables, 4) Winnebago specialty vehicles, and 5) Chris-Craft marine. We evaluate performance based on each operating segment's Adjusted EBITDA, as defined within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of this Annual Report on Form 10-K, which excludes certain corporate administration expenses and non-operating income and expense.</w:t>
      </w:r>
    </w:p>
    <w:p>
      <w:pPr>
        <w:spacing w:after="0" w:line="17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Our two reportable segments include: 1) Motorhome (comprised of products that include a motorized chassis as well as other related manufactured products and services) and 2) Towable (comprised of products which are not motorized and are generally towed by another vehicle as well as other related manufactured products and services), which is an aggregation of the Winnebago towables and Grand Design towables operating segments.</w:t>
      </w:r>
    </w:p>
    <w:p>
      <w:pPr>
        <w:spacing w:after="0" w:line="17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 Previously, these expenses were allocated to each operating segment.</w:t>
      </w:r>
    </w:p>
    <w:p>
      <w:pPr>
        <w:spacing w:after="0" w:line="17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Prior year segment information has been reclassified to conform to the current reportable segment presentation. The reclassifications included removing the corporate administration expenses from both the Motorhome and Towable reportable segments and removing Winnebago specialty vehicles from the Motorhome reportable segment, as we begin to dedicate leadership and focus on these operations separately from our Winnebago motorhomes operations.</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60"/>
          </w:cols>
          <w:pgMar w:left="240" w:top="141" w:right="29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2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 motorhome is a self-propelled mobile dwelling used primarily as temporary living quarters during vacation and camping trips, or to support active and mobile lifestyles. The Recreation Vehicle Industry Association ("RVIA") classifies motorhomes into three types, all of which we manufacture and sell under the Winnebago brand name, which are defined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7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Description</w:t>
            </w: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products offerings</w:t>
            </w:r>
          </w:p>
        </w:tc>
        <w:tc>
          <w:tcPr>
            <w:tcW w:w="0" w:type="dxa"/>
            <w:vAlign w:val="bottom"/>
          </w:tcPr>
          <w:p>
            <w:pPr>
              <w:spacing w:after="0"/>
              <w:rPr>
                <w:sz w:val="1"/>
                <w:szCs w:val="1"/>
                <w:color w:val="auto"/>
              </w:rPr>
            </w:pPr>
          </w:p>
        </w:tc>
      </w:tr>
      <w:tr>
        <w:trPr>
          <w:trHeight w:val="218"/>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Conventional motorhomes constructed directly on medium- and heavy-duty</w:t>
            </w:r>
          </w:p>
        </w:tc>
        <w:tc>
          <w:tcPr>
            <w:tcW w:w="4240" w:type="dxa"/>
            <w:vAlign w:val="bottom"/>
            <w:shd w:val="clear" w:color="auto" w:fill="CCEEFF"/>
          </w:tcPr>
          <w:p>
            <w:pPr>
              <w:ind w:left="60"/>
              <w:spacing w:after="0" w:line="218" w:lineRule="exact"/>
              <w:rPr>
                <w:sz w:val="20"/>
                <w:szCs w:val="20"/>
                <w:color w:val="auto"/>
              </w:rPr>
            </w:pPr>
            <w:r>
              <w:rPr>
                <w:rFonts w:ascii="Arial" w:cs="Arial" w:eastAsia="Arial" w:hAnsi="Arial"/>
                <w:sz w:val="16"/>
                <w:szCs w:val="16"/>
                <w:color w:val="auto"/>
              </w:rPr>
              <w:t>Gas: Adventurer, Intent</w:t>
            </w:r>
            <w:r>
              <w:rPr>
                <w:rFonts w:ascii="Arial" w:cs="Arial" w:eastAsia="Arial" w:hAnsi="Arial"/>
                <w:sz w:val="21"/>
                <w:szCs w:val="21"/>
                <w:color w:val="auto"/>
                <w:vertAlign w:val="superscript"/>
              </w:rPr>
              <w:t>(1)</w:t>
            </w:r>
            <w:r>
              <w:rPr>
                <w:rFonts w:ascii="Arial" w:cs="Arial" w:eastAsia="Arial" w:hAnsi="Arial"/>
                <w:sz w:val="16"/>
                <w:szCs w:val="16"/>
                <w:color w:val="auto"/>
              </w:rPr>
              <w:t>, Sightseer, Suncruiser, Sunova,</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truck chassis, which include the engine and drivetrain components. The</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Sunstar, Sunstar LX, Vista, Vista LX</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living area and driver's compartment are designed and produced by the</w:t>
            </w:r>
          </w:p>
        </w:tc>
        <w:tc>
          <w:tcPr>
            <w:tcW w:w="424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Diesel: Forza, Grand Tour, Horizon</w:t>
            </w:r>
            <w:r>
              <w:rPr>
                <w:rFonts w:ascii="Arial" w:cs="Arial" w:eastAsia="Arial" w:hAnsi="Arial"/>
                <w:sz w:val="21"/>
                <w:szCs w:val="21"/>
                <w:color w:val="auto"/>
                <w:vertAlign w:val="superscript"/>
              </w:rPr>
              <w:t>(1)</w:t>
            </w:r>
            <w:r>
              <w:rPr>
                <w:rFonts w:ascii="Arial" w:cs="Arial" w:eastAsia="Arial" w:hAnsi="Arial"/>
                <w:sz w:val="16"/>
                <w:szCs w:val="16"/>
                <w:color w:val="auto"/>
              </w:rPr>
              <w:t>, Journey, Tour, Via</w:t>
            </w:r>
          </w:p>
        </w:tc>
        <w:tc>
          <w:tcPr>
            <w:tcW w:w="0" w:type="dxa"/>
            <w:vAlign w:val="bottom"/>
          </w:tcPr>
          <w:p>
            <w:pPr>
              <w:spacing w:after="0"/>
              <w:rPr>
                <w:sz w:val="1"/>
                <w:szCs w:val="1"/>
                <w:color w:val="auto"/>
              </w:rPr>
            </w:pPr>
          </w:p>
        </w:tc>
      </w:tr>
      <w:tr>
        <w:trPr>
          <w:trHeight w:val="147"/>
        </w:trPr>
        <w:tc>
          <w:tcPr>
            <w:tcW w:w="1460" w:type="dxa"/>
            <w:vAlign w:val="bottom"/>
            <w:shd w:val="clear" w:color="auto" w:fill="CCEEFF"/>
          </w:tcPr>
          <w:p>
            <w:pPr>
              <w:spacing w:after="0"/>
              <w:rPr>
                <w:sz w:val="12"/>
                <w:szCs w:val="12"/>
                <w:color w:val="auto"/>
              </w:rPr>
            </w:pPr>
          </w:p>
        </w:tc>
        <w:tc>
          <w:tcPr>
            <w:tcW w:w="572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motorhome manufacturer.</w:t>
            </w:r>
          </w:p>
        </w:tc>
        <w:tc>
          <w:tcPr>
            <w:tcW w:w="4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60" w:type="dxa"/>
            <w:vAlign w:val="bottom"/>
            <w:shd w:val="clear" w:color="auto" w:fill="CCEEFF"/>
          </w:tcPr>
          <w:p>
            <w:pPr>
              <w:spacing w:after="0"/>
              <w:rPr>
                <w:sz w:val="5"/>
                <w:szCs w:val="5"/>
                <w:color w:val="auto"/>
              </w:rPr>
            </w:pPr>
          </w:p>
        </w:tc>
        <w:tc>
          <w:tcPr>
            <w:tcW w:w="5720" w:type="dxa"/>
            <w:vAlign w:val="bottom"/>
            <w:vMerge w:val="continue"/>
            <w:shd w:val="clear" w:color="auto" w:fill="CCEEFF"/>
          </w:tcPr>
          <w:p>
            <w:pPr>
              <w:spacing w:after="0"/>
              <w:rPr>
                <w:sz w:val="5"/>
                <w:szCs w:val="5"/>
                <w:color w:val="auto"/>
              </w:rPr>
            </w:pPr>
          </w:p>
        </w:tc>
        <w:tc>
          <w:tcPr>
            <w:tcW w:w="4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460" w:type="dxa"/>
            <w:vAlign w:val="bottom"/>
          </w:tcPr>
          <w:p>
            <w:pPr>
              <w:ind w:left="40"/>
              <w:spacing w:after="0"/>
              <w:rPr>
                <w:sz w:val="20"/>
                <w:szCs w:val="20"/>
                <w:color w:val="auto"/>
              </w:rPr>
            </w:pPr>
            <w:r>
              <w:rPr>
                <w:rFonts w:ascii="Arial" w:cs="Arial" w:eastAsia="Arial" w:hAnsi="Arial"/>
                <w:sz w:val="16"/>
                <w:szCs w:val="16"/>
                <w:color w:val="auto"/>
              </w:rPr>
              <w:t>Class B</w:t>
            </w:r>
          </w:p>
        </w:tc>
        <w:tc>
          <w:tcPr>
            <w:tcW w:w="5720" w:type="dxa"/>
            <w:vAlign w:val="bottom"/>
          </w:tcPr>
          <w:p>
            <w:pPr>
              <w:ind w:left="300"/>
              <w:spacing w:after="0"/>
              <w:rPr>
                <w:sz w:val="20"/>
                <w:szCs w:val="20"/>
                <w:color w:val="auto"/>
              </w:rPr>
            </w:pPr>
            <w:r>
              <w:rPr>
                <w:rFonts w:ascii="Arial" w:cs="Arial" w:eastAsia="Arial" w:hAnsi="Arial"/>
                <w:sz w:val="16"/>
                <w:szCs w:val="16"/>
                <w:color w:val="auto"/>
              </w:rPr>
              <w:t>Panel-type vans to which sleeping, kitchen, and/or toilet facilities are</w:t>
            </w:r>
          </w:p>
        </w:tc>
        <w:tc>
          <w:tcPr>
            <w:tcW w:w="4240" w:type="dxa"/>
            <w:vAlign w:val="bottom"/>
          </w:tcPr>
          <w:p>
            <w:pPr>
              <w:ind w:left="60"/>
              <w:spacing w:after="0" w:line="218" w:lineRule="exact"/>
              <w:rPr>
                <w:sz w:val="20"/>
                <w:szCs w:val="20"/>
                <w:color w:val="auto"/>
              </w:rPr>
            </w:pPr>
            <w:r>
              <w:rPr>
                <w:rFonts w:ascii="Arial" w:cs="Arial" w:eastAsia="Arial" w:hAnsi="Arial"/>
                <w:sz w:val="16"/>
                <w:szCs w:val="16"/>
                <w:color w:val="auto"/>
              </w:rPr>
              <w:t>Winnebago Touring Coach (Era, Paseo, Revel</w:t>
            </w:r>
            <w:r>
              <w:rPr>
                <w:rFonts w:ascii="Arial" w:cs="Arial" w:eastAsia="Arial" w:hAnsi="Arial"/>
                <w:sz w:val="21"/>
                <w:szCs w:val="21"/>
                <w:color w:val="auto"/>
                <w:vertAlign w:val="superscript"/>
              </w:rPr>
              <w:t>(1)</w:t>
            </w:r>
            <w:r>
              <w:rPr>
                <w:rFonts w:ascii="Arial" w:cs="Arial" w:eastAsia="Arial" w:hAnsi="Arial"/>
                <w:sz w:val="16"/>
                <w:szCs w:val="16"/>
                <w:color w:val="auto"/>
              </w:rPr>
              <w:t>, Travato)</w:t>
            </w:r>
          </w:p>
        </w:tc>
        <w:tc>
          <w:tcPr>
            <w:tcW w:w="0" w:type="dxa"/>
            <w:vAlign w:val="bottom"/>
          </w:tcPr>
          <w:p>
            <w:pPr>
              <w:spacing w:after="0"/>
              <w:rPr>
                <w:sz w:val="1"/>
                <w:szCs w:val="1"/>
                <w:color w:val="auto"/>
              </w:rPr>
            </w:pPr>
          </w:p>
        </w:tc>
      </w:tr>
      <w:tr>
        <w:trPr>
          <w:trHeight w:val="189"/>
        </w:trPr>
        <w:tc>
          <w:tcPr>
            <w:tcW w:w="1460" w:type="dxa"/>
            <w:vAlign w:val="bottom"/>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tcPr>
          <w:p>
            <w:pPr>
              <w:ind w:left="300"/>
              <w:spacing w:after="0"/>
              <w:rPr>
                <w:sz w:val="20"/>
                <w:szCs w:val="20"/>
                <w:color w:val="auto"/>
              </w:rPr>
            </w:pPr>
            <w:r>
              <w:rPr>
                <w:rFonts w:ascii="Arial" w:cs="Arial" w:eastAsia="Arial" w:hAnsi="Arial"/>
                <w:sz w:val="16"/>
                <w:szCs w:val="16"/>
                <w:color w:val="auto"/>
              </w:rPr>
              <w:t>added. These models may also have a top extension to provide more</w:t>
            </w: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460" w:type="dxa"/>
            <w:vAlign w:val="bottom"/>
          </w:tcPr>
          <w:p>
            <w:pPr>
              <w:spacing w:after="0"/>
              <w:rPr>
                <w:sz w:val="17"/>
                <w:szCs w:val="17"/>
                <w:color w:val="auto"/>
              </w:rPr>
            </w:pPr>
          </w:p>
        </w:tc>
        <w:tc>
          <w:tcPr>
            <w:tcW w:w="5720" w:type="dxa"/>
            <w:vAlign w:val="bottom"/>
          </w:tcPr>
          <w:p>
            <w:pPr>
              <w:ind w:left="300"/>
              <w:spacing w:after="0"/>
              <w:rPr>
                <w:sz w:val="20"/>
                <w:szCs w:val="20"/>
                <w:color w:val="auto"/>
              </w:rPr>
            </w:pPr>
            <w:r>
              <w:rPr>
                <w:rFonts w:ascii="Arial" w:cs="Arial" w:eastAsia="Arial" w:hAnsi="Arial"/>
                <w:sz w:val="16"/>
                <w:szCs w:val="16"/>
                <w:color w:val="auto"/>
              </w:rPr>
              <w:t>headroom.</w:t>
            </w: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Motorhomes built on van-type chassis onto which the motorhome</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Aspect, Cambria, Fuse, Minnie Winnie, Navion,</w:t>
            </w: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manufacturer constructs a living area with access to the driver's</w:t>
            </w:r>
          </w:p>
        </w:tc>
        <w:tc>
          <w:tcPr>
            <w:tcW w:w="4240" w:type="dxa"/>
            <w:vAlign w:val="bottom"/>
            <w:shd w:val="clear" w:color="auto" w:fill="CCEEFF"/>
          </w:tcPr>
          <w:p>
            <w:pPr>
              <w:ind w:left="60"/>
              <w:spacing w:after="0" w:line="195" w:lineRule="exact"/>
              <w:rPr>
                <w:sz w:val="20"/>
                <w:szCs w:val="20"/>
                <w:color w:val="auto"/>
              </w:rPr>
            </w:pPr>
            <w:r>
              <w:rPr>
                <w:rFonts w:ascii="Arial" w:cs="Arial" w:eastAsia="Arial" w:hAnsi="Arial"/>
                <w:sz w:val="16"/>
                <w:szCs w:val="16"/>
                <w:color w:val="auto"/>
              </w:rPr>
              <w:t>Outlook</w:t>
            </w:r>
            <w:r>
              <w:rPr>
                <w:rFonts w:ascii="Arial" w:cs="Arial" w:eastAsia="Arial" w:hAnsi="Arial"/>
                <w:sz w:val="21"/>
                <w:szCs w:val="21"/>
                <w:color w:val="auto"/>
                <w:vertAlign w:val="superscript"/>
              </w:rPr>
              <w:t>(1)</w:t>
            </w:r>
            <w:r>
              <w:rPr>
                <w:rFonts w:ascii="Arial" w:cs="Arial" w:eastAsia="Arial" w:hAnsi="Arial"/>
                <w:sz w:val="16"/>
                <w:szCs w:val="16"/>
                <w:color w:val="auto"/>
              </w:rPr>
              <w:t>, Spirit, Trend, View</w:t>
            </w:r>
          </w:p>
        </w:tc>
        <w:tc>
          <w:tcPr>
            <w:tcW w:w="0" w:type="dxa"/>
            <w:vAlign w:val="bottom"/>
          </w:tcPr>
          <w:p>
            <w:pPr>
              <w:spacing w:after="0"/>
              <w:rPr>
                <w:sz w:val="1"/>
                <w:szCs w:val="1"/>
                <w:color w:val="auto"/>
              </w:rPr>
            </w:pPr>
          </w:p>
        </w:tc>
      </w:tr>
      <w:tr>
        <w:trPr>
          <w:trHeight w:val="214"/>
        </w:trPr>
        <w:tc>
          <w:tcPr>
            <w:tcW w:w="1460" w:type="dxa"/>
            <w:vAlign w:val="bottom"/>
            <w:shd w:val="clear" w:color="auto" w:fill="CCEEFF"/>
          </w:tcPr>
          <w:p>
            <w:pPr>
              <w:spacing w:after="0"/>
              <w:rPr>
                <w:sz w:val="18"/>
                <w:szCs w:val="18"/>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compartment.</w:t>
            </w:r>
          </w:p>
        </w:tc>
        <w:tc>
          <w:tcPr>
            <w:tcW w:w="4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New product offerings introduced in Fiscal 2018.</w:t>
      </w:r>
    </w:p>
    <w:p>
      <w:pPr>
        <w:spacing w:after="0" w:line="18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Our Class A, B, and C motorhomes are sold by dealers in the retail market with manufacturer's suggested retail prices ranging from approximately $80,000 to $520,000, depending on size and model, plus optional equipment and delivery charges. Our motorhomes range in length from 21 to 44 feet.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motorhomes for the last three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b w:val="1"/>
                <w:bCs w:val="1"/>
                <w:color w:val="auto"/>
                <w:w w:val="96"/>
              </w:rPr>
              <w:t xml:space="preserve">Year Ended </w:t>
            </w:r>
            <w:r>
              <w:rPr>
                <w:rFonts w:ascii="Arial" w:cs="Arial" w:eastAsia="Arial" w:hAnsi="Arial"/>
                <w:sz w:val="21"/>
                <w:szCs w:val="21"/>
                <w:b w:val="1"/>
                <w:bCs w:val="1"/>
                <w:color w:val="auto"/>
                <w:w w:val="96"/>
                <w:vertAlign w:val="superscript"/>
              </w:rPr>
              <w:t>(1)</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57"/>
        </w:trPr>
        <w:tc>
          <w:tcPr>
            <w:tcW w:w="426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2420" w:type="dxa"/>
            <w:vAlign w:val="bottom"/>
            <w:gridSpan w:val="3"/>
          </w:tcPr>
          <w:p>
            <w:pPr>
              <w:ind w:left="560"/>
              <w:spacing w:after="0"/>
              <w:rPr>
                <w:sz w:val="20"/>
                <w:szCs w:val="20"/>
                <w:color w:val="auto"/>
              </w:rPr>
            </w:pPr>
            <w:r>
              <w:rPr>
                <w:rFonts w:ascii="Arial" w:cs="Arial" w:eastAsia="Arial" w:hAnsi="Arial"/>
                <w:sz w:val="16"/>
                <w:szCs w:val="16"/>
                <w:b w:val="1"/>
                <w:bCs w:val="1"/>
                <w:color w:val="auto"/>
              </w:rPr>
              <w:t>August 25, 2018</w:t>
            </w:r>
          </w:p>
        </w:tc>
        <w:tc>
          <w:tcPr>
            <w:tcW w:w="24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August 26, 2017</w:t>
            </w:r>
          </w:p>
        </w:tc>
        <w:tc>
          <w:tcPr>
            <w:tcW w:w="23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4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3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2,997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3,182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2,925</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60"/>
        </w:trPr>
        <w:tc>
          <w:tcPr>
            <w:tcW w:w="4260" w:type="dxa"/>
            <w:vAlign w:val="bottom"/>
          </w:tcPr>
          <w:p>
            <w:pPr>
              <w:ind w:left="40"/>
              <w:spacing w:after="0"/>
              <w:rPr>
                <w:sz w:val="20"/>
                <w:szCs w:val="20"/>
                <w:color w:val="auto"/>
              </w:rPr>
            </w:pPr>
            <w:r>
              <w:rPr>
                <w:rFonts w:ascii="Arial" w:cs="Arial" w:eastAsia="Arial" w:hAnsi="Arial"/>
                <w:sz w:val="16"/>
                <w:szCs w:val="16"/>
                <w:color w:val="auto"/>
              </w:rPr>
              <w:t>Class B</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2,012</w:t>
            </w:r>
          </w:p>
        </w:tc>
        <w:tc>
          <w:tcPr>
            <w:tcW w:w="9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color w:val="auto"/>
              </w:rPr>
              <w:t>1,541</w:t>
            </w:r>
          </w:p>
        </w:tc>
        <w:tc>
          <w:tcPr>
            <w:tcW w:w="58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1,239</w:t>
            </w:r>
          </w:p>
        </w:tc>
        <w:tc>
          <w:tcPr>
            <w:tcW w:w="9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73"/>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4,539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4,537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5,143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r>
      <w:tr>
        <w:trPr>
          <w:trHeight w:val="240"/>
        </w:trPr>
        <w:tc>
          <w:tcPr>
            <w:tcW w:w="426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9,548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9,260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100.0%</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9,307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Percentages may not add due to rounding differences.</w:t>
      </w:r>
    </w:p>
    <w:p>
      <w:pPr>
        <w:spacing w:after="0" w:line="187"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and Junction City, Oregon facilities as well as revenues from sales of RV parts. Our competitive strategy is to provide proprietary manufactured parts through our dealer network, which we believe increases customer satisfaction and the value of our motorhomes.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21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A towable is a non-motorized vehicle that is designed to be towed by automobiles, pickup trucks, SUVs, or vans and is used as temporary living quarters for recreational travel. The RVIA classifies towables in four types: conventional travel trailers, fifth wheels, folding camper trailers, and truck campers. We manufacture and sell conventional travel trailers and fifth wheels under the Winnebago and Grand Design brand names, which are defined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37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Description</w:t>
            </w:r>
          </w:p>
        </w:tc>
        <w:tc>
          <w:tcPr>
            <w:tcW w:w="31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 offerings</w:t>
            </w:r>
          </w:p>
        </w:tc>
        <w:tc>
          <w:tcPr>
            <w:tcW w:w="31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Grand Design product offerings</w:t>
            </w:r>
          </w:p>
        </w:tc>
      </w:tr>
      <w:tr>
        <w:trPr>
          <w:trHeight w:val="218"/>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3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Conventional travel trailers are towed by</w:t>
            </w:r>
          </w:p>
        </w:tc>
        <w:tc>
          <w:tcPr>
            <w:tcW w:w="3160" w:type="dxa"/>
            <w:vAlign w:val="bottom"/>
            <w:shd w:val="clear" w:color="auto" w:fill="CCEEFF"/>
          </w:tcPr>
          <w:p>
            <w:pPr>
              <w:ind w:left="60"/>
              <w:spacing w:after="0"/>
              <w:rPr>
                <w:sz w:val="20"/>
                <w:szCs w:val="20"/>
                <w:color w:val="auto"/>
              </w:rPr>
            </w:pPr>
            <w:r>
              <w:rPr>
                <w:rFonts w:ascii="Arial" w:cs="Arial" w:eastAsia="Arial" w:hAnsi="Arial"/>
                <w:sz w:val="16"/>
                <w:szCs w:val="16"/>
                <w:color w:val="auto"/>
              </w:rPr>
              <w:t>Micro Minnie, Minnie, Minnie Drop, Minnie</w:t>
            </w:r>
          </w:p>
        </w:tc>
        <w:tc>
          <w:tcPr>
            <w:tcW w:w="3140" w:type="dxa"/>
            <w:vAlign w:val="bottom"/>
            <w:shd w:val="clear" w:color="auto" w:fill="CCEEFF"/>
          </w:tcPr>
          <w:p>
            <w:pPr>
              <w:ind w:left="80"/>
              <w:spacing w:after="0" w:line="218" w:lineRule="exact"/>
              <w:rPr>
                <w:sz w:val="20"/>
                <w:szCs w:val="20"/>
                <w:color w:val="auto"/>
              </w:rPr>
            </w:pPr>
            <w:r>
              <w:rPr>
                <w:rFonts w:ascii="Arial" w:cs="Arial" w:eastAsia="Arial" w:hAnsi="Arial"/>
                <w:sz w:val="16"/>
                <w:szCs w:val="16"/>
                <w:color w:val="auto"/>
              </w:rPr>
              <w:t>Imagine, Reflection, Transcend</w:t>
            </w:r>
            <w:r>
              <w:rPr>
                <w:rFonts w:ascii="Arial" w:cs="Arial" w:eastAsia="Arial" w:hAnsi="Arial"/>
                <w:sz w:val="21"/>
                <w:szCs w:val="21"/>
                <w:color w:val="auto"/>
                <w:vertAlign w:val="superscript"/>
              </w:rPr>
              <w:t>(1)</w:t>
            </w:r>
          </w:p>
        </w:tc>
      </w:tr>
      <w:tr>
        <w:trPr>
          <w:trHeight w:val="189"/>
        </w:trPr>
        <w:tc>
          <w:tcPr>
            <w:tcW w:w="1340" w:type="dxa"/>
            <w:vAlign w:val="bottom"/>
            <w:shd w:val="clear" w:color="auto" w:fill="CCEEFF"/>
          </w:tcPr>
          <w:p>
            <w:pPr>
              <w:spacing w:after="0"/>
              <w:rPr>
                <w:sz w:val="16"/>
                <w:szCs w:val="16"/>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means of a hitch attached to the frame of the</w:t>
            </w:r>
          </w:p>
        </w:tc>
        <w:tc>
          <w:tcPr>
            <w:tcW w:w="3160" w:type="dxa"/>
            <w:vAlign w:val="bottom"/>
            <w:shd w:val="clear" w:color="auto" w:fill="CCEEFF"/>
          </w:tcPr>
          <w:p>
            <w:pPr>
              <w:ind w:left="60"/>
              <w:spacing w:after="0"/>
              <w:rPr>
                <w:sz w:val="20"/>
                <w:szCs w:val="20"/>
                <w:color w:val="auto"/>
              </w:rPr>
            </w:pPr>
            <w:r>
              <w:rPr>
                <w:rFonts w:ascii="Arial" w:cs="Arial" w:eastAsia="Arial" w:hAnsi="Arial"/>
                <w:sz w:val="16"/>
                <w:szCs w:val="16"/>
                <w:color w:val="auto"/>
              </w:rPr>
              <w:t>Plus</w:t>
            </w:r>
          </w:p>
        </w:tc>
        <w:tc>
          <w:tcPr>
            <w:tcW w:w="3140" w:type="dxa"/>
            <w:vAlign w:val="bottom"/>
            <w:shd w:val="clear" w:color="auto" w:fill="CCEEFF"/>
          </w:tcPr>
          <w:p>
            <w:pPr>
              <w:spacing w:after="0"/>
              <w:rPr>
                <w:sz w:val="16"/>
                <w:szCs w:val="16"/>
                <w:color w:val="auto"/>
              </w:rPr>
            </w:pPr>
          </w:p>
        </w:tc>
      </w:tr>
      <w:tr>
        <w:trPr>
          <w:trHeight w:val="214"/>
        </w:trPr>
        <w:tc>
          <w:tcPr>
            <w:tcW w:w="1340" w:type="dxa"/>
            <w:vAlign w:val="bottom"/>
            <w:shd w:val="clear" w:color="auto" w:fill="CCEEFF"/>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vehicle.</w:t>
            </w:r>
          </w:p>
        </w:tc>
        <w:tc>
          <w:tcPr>
            <w:tcW w:w="31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r>
      <w:tr>
        <w:trPr>
          <w:trHeight w:val="218"/>
        </w:trPr>
        <w:tc>
          <w:tcPr>
            <w:tcW w:w="134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3780" w:type="dxa"/>
            <w:vAlign w:val="bottom"/>
          </w:tcPr>
          <w:p>
            <w:pPr>
              <w:ind w:left="420"/>
              <w:spacing w:after="0"/>
              <w:rPr>
                <w:sz w:val="20"/>
                <w:szCs w:val="20"/>
                <w:color w:val="auto"/>
              </w:rPr>
            </w:pPr>
            <w:r>
              <w:rPr>
                <w:rFonts w:ascii="Arial" w:cs="Arial" w:eastAsia="Arial" w:hAnsi="Arial"/>
                <w:sz w:val="16"/>
                <w:szCs w:val="16"/>
                <w:color w:val="auto"/>
              </w:rPr>
              <w:t>Fifth wheel trailers are constructed with a</w:t>
            </w:r>
          </w:p>
        </w:tc>
        <w:tc>
          <w:tcPr>
            <w:tcW w:w="3160" w:type="dxa"/>
            <w:vAlign w:val="bottom"/>
          </w:tcPr>
          <w:p>
            <w:pPr>
              <w:ind w:left="60"/>
              <w:spacing w:after="0"/>
              <w:rPr>
                <w:sz w:val="20"/>
                <w:szCs w:val="20"/>
                <w:color w:val="auto"/>
              </w:rPr>
            </w:pPr>
            <w:r>
              <w:rPr>
                <w:rFonts w:ascii="Arial" w:cs="Arial" w:eastAsia="Arial" w:hAnsi="Arial"/>
                <w:sz w:val="16"/>
                <w:szCs w:val="16"/>
                <w:color w:val="auto"/>
              </w:rPr>
              <w:t>Minnie Plus</w:t>
            </w:r>
          </w:p>
        </w:tc>
        <w:tc>
          <w:tcPr>
            <w:tcW w:w="3140" w:type="dxa"/>
            <w:vAlign w:val="bottom"/>
          </w:tcPr>
          <w:p>
            <w:pPr>
              <w:ind w:left="80"/>
              <w:spacing w:after="0"/>
              <w:rPr>
                <w:sz w:val="20"/>
                <w:szCs w:val="20"/>
                <w:color w:val="auto"/>
              </w:rPr>
            </w:pPr>
            <w:r>
              <w:rPr>
                <w:rFonts w:ascii="Arial" w:cs="Arial" w:eastAsia="Arial" w:hAnsi="Arial"/>
                <w:sz w:val="16"/>
                <w:szCs w:val="16"/>
                <w:color w:val="auto"/>
              </w:rPr>
              <w:t>Momentum, Reflection, Solitude</w:t>
            </w:r>
          </w:p>
        </w:tc>
      </w:tr>
      <w:tr>
        <w:trPr>
          <w:trHeight w:val="189"/>
        </w:trPr>
        <w:tc>
          <w:tcPr>
            <w:tcW w:w="1340" w:type="dxa"/>
            <w:vAlign w:val="bottom"/>
          </w:tcPr>
          <w:p>
            <w:pPr>
              <w:spacing w:after="0"/>
              <w:rPr>
                <w:sz w:val="16"/>
                <w:szCs w:val="16"/>
                <w:color w:val="auto"/>
              </w:rPr>
            </w:pPr>
          </w:p>
        </w:tc>
        <w:tc>
          <w:tcPr>
            <w:tcW w:w="3780" w:type="dxa"/>
            <w:vAlign w:val="bottom"/>
          </w:tcPr>
          <w:p>
            <w:pPr>
              <w:ind w:left="420"/>
              <w:spacing w:after="0"/>
              <w:rPr>
                <w:sz w:val="20"/>
                <w:szCs w:val="20"/>
                <w:color w:val="auto"/>
              </w:rPr>
            </w:pPr>
            <w:r>
              <w:rPr>
                <w:rFonts w:ascii="Arial" w:cs="Arial" w:eastAsia="Arial" w:hAnsi="Arial"/>
                <w:sz w:val="16"/>
                <w:szCs w:val="16"/>
                <w:color w:val="auto"/>
              </w:rPr>
              <w:t>raised forward section that is connected to the</w:t>
            </w:r>
          </w:p>
        </w:tc>
        <w:tc>
          <w:tcPr>
            <w:tcW w:w="316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95"/>
        </w:trPr>
        <w:tc>
          <w:tcPr>
            <w:tcW w:w="1340" w:type="dxa"/>
            <w:vAlign w:val="bottom"/>
          </w:tcPr>
          <w:p>
            <w:pPr>
              <w:spacing w:after="0"/>
              <w:rPr>
                <w:sz w:val="16"/>
                <w:szCs w:val="16"/>
                <w:color w:val="auto"/>
              </w:rPr>
            </w:pPr>
          </w:p>
        </w:tc>
        <w:tc>
          <w:tcPr>
            <w:tcW w:w="3780" w:type="dxa"/>
            <w:vAlign w:val="bottom"/>
          </w:tcPr>
          <w:p>
            <w:pPr>
              <w:ind w:left="420"/>
              <w:spacing w:after="0"/>
              <w:rPr>
                <w:sz w:val="20"/>
                <w:szCs w:val="20"/>
                <w:color w:val="auto"/>
              </w:rPr>
            </w:pPr>
            <w:r>
              <w:rPr>
                <w:rFonts w:ascii="Arial" w:cs="Arial" w:eastAsia="Arial" w:hAnsi="Arial"/>
                <w:sz w:val="16"/>
                <w:szCs w:val="16"/>
                <w:color w:val="auto"/>
              </w:rPr>
              <w:t>vehicle with a special fifth wheel hitch.</w:t>
            </w:r>
          </w:p>
        </w:tc>
        <w:tc>
          <w:tcPr>
            <w:tcW w:w="3160" w:type="dxa"/>
            <w:vAlign w:val="bottom"/>
          </w:tcPr>
          <w:p>
            <w:pPr>
              <w:spacing w:after="0"/>
              <w:rPr>
                <w:sz w:val="16"/>
                <w:szCs w:val="16"/>
                <w:color w:val="auto"/>
              </w:rPr>
            </w:pPr>
          </w:p>
        </w:tc>
        <w:tc>
          <w:tcPr>
            <w:tcW w:w="3140" w:type="dxa"/>
            <w:vAlign w:val="bottom"/>
          </w:tcPr>
          <w:p>
            <w:pPr>
              <w:spacing w:after="0"/>
              <w:rPr>
                <w:sz w:val="16"/>
                <w:szCs w:val="16"/>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(1) New product offerings introduced in Fiscal 2018.</w:t>
      </w:r>
    </w:p>
    <w:p>
      <w:pPr>
        <w:spacing w:after="0" w:line="160"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Our travel trailer and fifth wheel towables are sold by dealers in the retail market with manufacturer's suggested retail prices ranging from approximately $15,000 to $110,000, depending on size and model, plus optional equipment and delivery charges.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towables for the last three fiscal years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b w:val="1"/>
                <w:bCs w:val="1"/>
                <w:color w:val="auto"/>
                <w:w w:val="96"/>
              </w:rPr>
              <w:t xml:space="preserve">Year Ended </w:t>
            </w:r>
            <w:r>
              <w:rPr>
                <w:rFonts w:ascii="Arial" w:cs="Arial" w:eastAsia="Arial" w:hAnsi="Arial"/>
                <w:sz w:val="21"/>
                <w:szCs w:val="21"/>
                <w:b w:val="1"/>
                <w:bCs w:val="1"/>
                <w:color w:val="auto"/>
                <w:w w:val="96"/>
                <w:vertAlign w:val="superscript"/>
              </w:rPr>
              <w:t>(1)</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2420" w:type="dxa"/>
            <w:vAlign w:val="bottom"/>
            <w:gridSpan w:val="3"/>
          </w:tcPr>
          <w:p>
            <w:pPr>
              <w:ind w:left="540"/>
              <w:spacing w:after="0"/>
              <w:rPr>
                <w:sz w:val="20"/>
                <w:szCs w:val="20"/>
                <w:color w:val="auto"/>
              </w:rPr>
            </w:pPr>
            <w:r>
              <w:rPr>
                <w:rFonts w:ascii="Arial" w:cs="Arial" w:eastAsia="Arial" w:hAnsi="Arial"/>
                <w:sz w:val="16"/>
                <w:szCs w:val="16"/>
                <w:b w:val="1"/>
                <w:bCs w:val="1"/>
                <w:color w:val="auto"/>
              </w:rPr>
              <w:t>August 25, 2018</w:t>
            </w:r>
          </w:p>
        </w:tc>
        <w:tc>
          <w:tcPr>
            <w:tcW w:w="24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August 26, 2017</w:t>
            </w:r>
          </w:p>
        </w:tc>
        <w:tc>
          <w:tcPr>
            <w:tcW w:w="234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4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3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22,360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Borders>
              <w:top w:val="single" w:sz="8" w:color="CCEEFF"/>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13,650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3,613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14,229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8,824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586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4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13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36,589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22,474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4,199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Percentages may not add due to rounding differences.</w:t>
      </w:r>
    </w:p>
    <w:p>
      <w:pPr>
        <w:spacing w:after="0" w:line="18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On November 8, 2016, we closed on our acquisition of Grand Design RV, LLC ("Grand Design"), a fast-growing towables manufacturer in Middlebury, Indiana. Grand Design manufactures travel trailers and fifth wheel products. With this acquisition, we have a broader and more balanced portfolio of motorized and towable products and intend to capitalize on the opportunities across the RV market and to drive improved profitability and long-term value for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Winnebago Specialty Vehicles</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also manufacture other specialty commercial vehicles primarily custom designed for the buyer's specific needs and requirements, such as law enforcement command centers, mobile medical clinics, and mobile office space. These specialty commercial vehicles are manufactured in Forest City, Iowa and sold through our dealer network. In addition, we also provide commercial vehicles as bare shells to third-party upfitters for conversion at their facilities.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Chris-Craft</w:t>
      </w: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On June 4, 2018, we acquired 100% of the ownership interests of Chris-Craft USA, Inc. ("Chris-Craft"), a privately-owned company based in Sarasota, Florida. As a result of this acquisition, we manufacture and sell premium quality boats in the recreational powerboat industry through an established global network of independent authorized dealers.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21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generally produce motorhomes and towables to stock for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and sizes as well as design and decor modifications. Most of our raw materials such as steel, aluminum, fiberglass, and wood products are obtainable from numerous sources.</w:t>
      </w:r>
    </w:p>
    <w:p>
      <w:pPr>
        <w:spacing w:after="0" w:line="17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motorhomes are primarily produced in the state of Iowa at four different campuses. Beginning in Fiscal 2016, we also began assembling Class A diesel motorhomes in our Junction City, Oregon facility. Our Motorhome business utilizes vertically integrated supply streams, with the principal exceptions being chassis, engines, generators, and appliances that we purchase from reputable manufacturers. Certain parts, especially motorhome chassis, are available from a small group of suppliers. In Fiscal 2018, we had two chassis suppliers, that each individually accounted for more than 10% of our Motorhome raw material purchases.</w:t>
      </w:r>
    </w:p>
    <w:p>
      <w:pPr>
        <w:spacing w:after="0" w:line="17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towables are produced at two assembly campuses located in Middlebury, Indiana. The majority of components are comprised of frames, appliances, and furniture, and are purchased from suppliers. In Fiscal 2018, we had one supplier that accounted for more than 10% of our Towable raw material purchases.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21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We strive to balance timely order fulfillment to our dealers with the lead times suppliers require to efficiently source materials and manage costs. Production facility constraints at peak periods also lead to fluctuations in backlog orders which we manage closely. The approximate revenue of our Motorhome backlog was $157.6 million and $122.1 million as of August 25, 2018 and August 26, 2017, respectively. The approximate revenue of our Towable backlog was $244.9 million and $229.7 million as of August 25, 2018 and August 26, 2017, respectively. A more detailed description of our Motorhome and Towable order backlog is included in Item 7, </w:t>
      </w:r>
      <w:r>
        <w:rPr>
          <w:rFonts w:ascii="Arial" w:cs="Arial" w:eastAsia="Arial" w:hAnsi="Arial"/>
          <w:sz w:val="16"/>
          <w:szCs w:val="16"/>
          <w:i w:val="1"/>
          <w:iCs w:val="1"/>
          <w:color w:val="auto"/>
        </w:rPr>
        <w:t>Management's Discussion and Analysis of Financial Condition and Results of Operation</w:t>
      </w:r>
      <w:r>
        <w:rPr>
          <w:rFonts w:ascii="Arial" w:cs="Arial" w:eastAsia="Arial" w:hAnsi="Arial"/>
          <w:sz w:val="16"/>
          <w:szCs w:val="16"/>
          <w:color w:val="auto"/>
        </w:rPr>
        <w:t>s, of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214"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We market our products on a wholesale basis to a diversified independent dealer network located throughout the U.S. and, to a limited extent, in Canada, Africa, Asia, Europe, Australia, and South America. Foreign sales were 10.0% or less of net revenues during each of the past three fiscal years.</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of August 25, 2018, our RV dealer network in the U.S. and Canada included approximately 550 Motorhome and Towable physical dealer locations, many of which carry both products. One of our dealer organizations, La Mesa RV Center, Inc., accounted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for 9.8% of our consolidated net revenue for Fiscal 2018, as this dealer sold our products in 11 dealership locations across four U.S. states.</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have sales and service agreements with dealers which are subject to annual review. Many of the dealers are also engaged in other areas of business, including the sale of automobiles, trailers, or boats, and most dealers carry one or more competitive lines of RVs. We continue to place high emphasis on the capability of our dealers to provide complete service for our products. Dealers are obligated to provide full service for owners of our products or, in lieu thereof, to secure such service from other authorized providers.</w:t>
      </w:r>
    </w:p>
    <w:p>
      <w:pPr>
        <w:spacing w:after="0" w:line="176"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We advertise and promote our products through national trade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Sales to dealers are made on cash terms. Most dealers are financed on a "floorplan" basis under which a bank or finance company lends the dealer all, or substantially all, of the purchase price, collateralized by a security interest in the merchandise purchased. As is customary in our industries,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an RV unit is financed and up to 24 months after a marine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varies significantly from time to time, depending upon the level of dealer inventory, general economic conditions, demand for our products, dealer location, and access to and the cost of financing. See Note 11,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xml:space="preserve"> ,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RV and marine markets are highly competitive with many other manufacturers selling products which compete directly with our products. Some of our competitors are much larger than us, most notably in the towable RV market, which may provide these competitors additional purchasing power. The competition in our industry is based upon design, price, quality, and service of the products. We believe our principal competitive advantages are our brand strength, product quality, and our service after the sale. We also believe that our motorhome products have historically commanded a price premium as a result of these competitive advantages.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primary use of RVs and marine products for leisure travel and outdoor recreation has historically led to a peak retail selling season concentrated in the spring and summer months and lower sales during winter months. Our sales are generally influenced by this pattern in retail sales, but sales can also be affected by the level of dealer inventory. As a result, our RV sales are historically lowest during our second fiscal quarter, which ends in February.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are subject to a variety of federal, state, local, and, to a limited extent, international laws and regulations, including the federal Motor Vehicle Act ("MVA"), under which the National Highway Traffic Safety Administration ("NHTSA") may require manufacturers to recall RVs that contain safety-related defects, and numerous state consumer protection laws and regulations relating to the operation of motor vehicles, including so-called "Lemon Laws." The Boat Safety Act of 1971 has similar safety-related recall requirements for marine units. In addition, marine units sold in the U.S. and Europe must meet the certification standards of the U.S. Coast Guard and the European Community, respectively.</w:t>
      </w:r>
    </w:p>
    <w:p>
      <w:pPr>
        <w:spacing w:after="0" w:line="17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are also subject to regulations established by the Occupational Safety and Health Administration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176"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21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have several domestic and foreign trademark registrations associated with our products which include: Winnebago, Adventurer, Affinity, Airlie, Aspect, Benchmark, Brave, Bryon, Cambria, Chalet, Chris-Craft (logo), Commander, Cottesloe, County Coach, Destination, Dynomax, Ellipse, Era, Forza, Fuse, Glide &amp; Dine, Gowinnebago, Grand Design, Grand Design Recreational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Vehicles, Grand Design RV, Horizon, Imagine, Inlounge, Inspire, Instinct, Intable, Intent, Itasca, Intrigue, Journey, Latitude, Maxum Chassis, Meridian, Micro Minnie, Minnie, Minnie Drop, Minnie Winnie, Navion, 0ne Place, Momentum, Reflection, Powerline Energy Management System and Design, Rest Easy, Revel, Rialta, Roamer, Scorpion, Sightseer, Solei, Solitude, Spirit, Storemore and Design, Suncruiser, Sunova, Sunstar, The most recognized name in motorhomes, Thermo-Panel, Transcend, Travato, Trend, Tribute, True Air, Via, View, Vista, Viva!, Voyage, W, Flying W (logo), WIT Club, Winnie Drop, Winnebago Ind (logo), Winnebagolife, Winnebago Minnie, Winnebago Towables (logo), Winnebago Touring Coach, and Winnebago trade dress (three dimensional design of the front roof panel, front grill panel, and front body panel of motor homes). We believe that our trademarks and trade names are significant assets to our business. and we have in the past and will in the future vigorously protect them against infringement by third parties. We are not dependent upon any patents or technology licenses of others for the conduct of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21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At the end of Fiscal 2018, 2017, and 2016, we employed approximately 4,700, 4,060, and 3,050 persons, respectively. None of our employees are covered under a collective bargaining agreement. We believe our relations with our employees are good.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Described below are certain risks that we believe apply to our business and the industry in which we operate. The following risk factors should be considered carefully in addition to the other information contained in this Annual Report on Form 10-K. The risks and uncertainties highlighted represent the most significant risk factors that we believe may adversely affect our business, financial condition, results of operations, cash flows, liquidity or access to sources of financing, and, consequently, the market value of our common stock. The risks and uncertainties discussed in this report are not exclusive and other risk factors that we may consider immaterial or do not anticipate may emerge as significant risks and uncertainties.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markets for RVs and marine products are very competitive. Competitive factors in the industry include price, design, value, quality, service, brand awareness, and reputation. There can be no assurance that existing or new competitors will not develop products that are superior to our products or that achieve better consumer acceptance, thereby adversely affecting our market share, sales volume, and profit margins. Some of our competitors are much larger than we are and this size advantage provides these competitors with more financial resources and access to capital, additional purchasing power, and greater leverage with the dealer networks.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These competitive pressures may have a material adverse effect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Hiring Constraints and Retaining Key Employees</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Disruptions</w:t>
      </w:r>
    </w:p>
    <w:p>
      <w:pPr>
        <w:spacing w:after="0" w:line="21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currently manufacture most of our products in northern Iowa and northern Indiana.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14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terms of our Credit Agreement could adversely affect our operating flexibility and pose risks of default under our Credit Agreement</w:t>
      </w:r>
    </w:p>
    <w:p>
      <w:pPr>
        <w:spacing w:after="0" w:line="214"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We incurred substantial indebtedness to finance the acquisition of Grand Design. We entered into new asset-based revolving credit ("ABL") and term loan ("Term Loan") agreements (collectively, the "Credit Agreement") with JPMorgan Chase. Under the terms of the Credit Agreement, we have a $165.0 million ABL credit facility, which includes a $10.0 million letter of credit facility, and a $300.0 million term loan as of September 21, 2018.</w:t>
      </w:r>
    </w:p>
    <w:p>
      <w:pPr>
        <w:spacing w:after="0" w:line="17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Credit Agreement is secured by certain assets, primarily cash, inventory, accounts receivable, and certain machinery and equipment. The Credit Agreement contains certain requirements, including affirmative and negative financial covenants. If we are unable to comply with these requirements and covenants, we may be restricted in our ability to pay dividends or engage in certain other business transactions, the lender may obtain control of our cash accounts, and we may experience an event of default. If a default occurs, the lenders under the Credit Agreement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Borrowing availability under the Credit Agreement is limited to the lesser of the facility total and the calculated borrowing base, which is based on stipulated loan percentages applied to our eligible trade accounts receivable and eligible inventories plus a defined amount related to certain machinery and equipment. Should the borrowing base decline, our ability to borrow to fund future operations and business transactions could be limited. In addition, the Credit Agreement contains certain restrictions on our ability to undertake certain types of transactions. Therefore, we may need to seek permission from our lenders in order to engage in certain corporate actions. Through the Credit Agreement, we were required to enter into a hedging arrangement that fixed certain interest rates as defined in the Credit Agreement. To satisfy this requirement, an interest rate swap contract was entered into during the second quarter of Fiscal 2017. The results of the Swap Contract could create quarterly fluctuations in operating results. When we repriced our Credit Agreements during the second quarter of Fiscal 2018, the requirement to hedge a portion of the debt was removed.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additional indebtedness could:</w:t>
      </w:r>
    </w:p>
    <w:p>
      <w:pPr>
        <w:spacing w:after="0" w:line="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Make us more vulnerable to general adverse economic, regulatory, and industry conditions;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and opportunities in the markets in which we compete;</w:t>
      </w:r>
    </w:p>
    <w:p>
      <w:pPr>
        <w:spacing w:after="0" w:line="5" w:lineRule="exact"/>
        <w:rPr>
          <w:rFonts w:ascii="Arial" w:cs="Arial" w:eastAsia="Arial" w:hAnsi="Arial"/>
          <w:sz w:val="16"/>
          <w:szCs w:val="16"/>
          <w:color w:val="auto"/>
        </w:rPr>
      </w:pPr>
    </w:p>
    <w:p>
      <w:pPr>
        <w:ind w:left="660" w:right="240" w:hanging="328"/>
        <w:spacing w:after="0" w:line="246"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or could require us to dedicate a substantial portion of our cash flow to service our debt; and</w:t>
      </w: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exploiting other business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Stock Price is Subject to Volatility</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stock price may fluctuate based on many factors. Our acquisition of Grand Design, for example, provided important strategic positioning and earnings growth potential, but to partially finance the transaction we issued $124.1 million worth of common stock to the owners of Grand Design and registered these shares for resale after the transaction closed. Any future stock issuance by us or liquidation of stock holding by the former owners of Grand Design may cause dilution of earnings per share or put selling pressure on our share price. Changing credit agreements and leverage ratios may also impact stock price. In general, analysts' expectations and our ability to meet those expectations quarterly may cause stock price fluctuations. If we fail to meet expectations related to future growth, profitability, debt repayment, dividends, share issuance or repurchase, or other market expectations, our stock price may decline significantly.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w:t>
      </w:r>
    </w:p>
    <w:p>
      <w:pPr>
        <w:spacing w:after="0" w:line="214" w:lineRule="exact"/>
        <w:rPr>
          <w:sz w:val="20"/>
          <w:szCs w:val="20"/>
          <w:color w:val="auto"/>
        </w:rPr>
      </w:pPr>
    </w:p>
    <w:p>
      <w:pPr>
        <w:jc w:val="both"/>
        <w:ind w:right="540"/>
        <w:spacing w:after="0" w:line="253" w:lineRule="auto"/>
        <w:rPr>
          <w:sz w:val="20"/>
          <w:szCs w:val="20"/>
          <w:color w:val="auto"/>
        </w:rPr>
      </w:pPr>
      <w:r>
        <w:rPr>
          <w:rFonts w:ascii="Arial" w:cs="Arial" w:eastAsia="Arial" w:hAnsi="Arial"/>
          <w:sz w:val="16"/>
          <w:szCs w:val="16"/>
          <w:color w:val="auto"/>
        </w:rPr>
        <w:t>We are expanding our production capabilities within our Towable segment. The expansion and renovation entails risks that could cause disruption in the operations of our business and unanticipated cost increases. Should we experience production variances, quality, or safety issues as we ramp up these operations, our business and operating results could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Adverse Effects of Union Activities</w:t>
      </w:r>
    </w:p>
    <w:p>
      <w:pPr>
        <w:spacing w:after="0" w:line="214"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Although none of our employees are currently represented by a labor union, unionization could result in higher employee costs and increased risk of work stoppages. We are, directly or indirectly, dependent upon companies with unionized work forces, such as parts suppliers and trucking and freight companies, and work stoppages or strikes organized by such unions could have a material adverse impact on our business, financial condition, or operating results. If a work stoppage occurs, it could delay the manufacture and sale of our products and have a material adverse effect on our business, prospects, operating results, or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Conditions and Certain Other External Factors</w:t>
      </w:r>
    </w:p>
    <w:p>
      <w:pPr>
        <w:spacing w:after="0" w:line="214"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Companies within the RV and marine industries are subject to volatility in operating results due primarily to general economic conditions because the purchase of an RV or marine products is often viewed as a consumer discretionary purchase. Demand for discretionary goods in general can fluctuate with recessionary conditions, slow or negative economic growth rates, negative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141"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factors affecting the RV and marine industries include:</w:t>
      </w:r>
    </w:p>
    <w:p>
      <w:pPr>
        <w:spacing w:after="0" w:line="1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adverse impact on margins due to increases in raw material costs, which we are unable to pass on to customers without negatively affecting sales.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Trade Name Impairment</w:t>
      </w:r>
    </w:p>
    <w:p>
      <w:pPr>
        <w:spacing w:after="0" w:line="214"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Goodwill and indefinite-lived intangible assets, such as our trade names, are recorded at fair value at the time of acquisition and are not amortized but are reviewed for impairment at least annually or more frequently if impairment indicators arise. Our determination of whether goodwill impairment has occurred is based on a comparison of each of our reporting units’ fair value with its carrying value. Significant and unanticipated changes in circumstances, such as significant and long-term adverse changes in business climate, unanticipated competition, and/or changes in technology or markets, could require a provision for impairment in a future period that could negatively impact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Credit Availability and Interest Rates to Dealers and Retail Purchasers</w:t>
      </w:r>
    </w:p>
    <w:p>
      <w:pPr>
        <w:spacing w:after="0" w:line="21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business is affected by the availability and terms of the financing to dealers. Generally, RV and marine dealers finance their purchases of inventory with financing provided by lending institutions. One financial flooring institution held 54.8% of our total financed dealer inventory dollars that were outstanding at August 25, 2018. In the event that this lending institution limits or discontinues dealer financing, we could experience a material adverse effect on our results of operations.</w:t>
      </w:r>
    </w:p>
    <w:p>
      <w:pPr>
        <w:spacing w:after="0" w:line="176"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Our business is also affected by the availability and terms of financing to retail purchasers. Retail buyers purchasing one of our products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Cyclicality and Seasonality</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RV and marine industries have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RV and marine industries generally declines over the winter season, while sales are generally highest during the spring and summer months. Also, unusually severe weather conditions in some markets may impact demand.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Managing Growth Opportunities</w:t>
      </w:r>
    </w:p>
    <w:p>
      <w:pPr>
        <w:spacing w:after="0" w:line="21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One of our growth strategies is to drive growth through targeted acquisitions and alliances, stronger customer relations, and new joint ventures and partnerships that contribute profitable growth while supplementing our existing brands and product portfolio. Our ability to grow through acquisitions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3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Diversion of management’s attention;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 to our existing operations and plans;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effectively manage our expanded operations;</w:t>
      </w:r>
    </w:p>
    <w:p>
      <w:pPr>
        <w:spacing w:after="0" w:line="5" w:lineRule="exact"/>
        <w:rPr>
          <w:rFonts w:ascii="Arial" w:cs="Arial" w:eastAsia="Arial" w:hAnsi="Arial"/>
          <w:sz w:val="16"/>
          <w:szCs w:val="16"/>
          <w:color w:val="auto"/>
        </w:rPr>
      </w:pPr>
    </w:p>
    <w:p>
      <w:pPr>
        <w:ind w:left="660" w:right="480" w:hanging="328"/>
        <w:spacing w:after="0" w:line="24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successfully integrate or develop a distribution channel for acquired product lines;</w:t>
      </w:r>
    </w:p>
    <w:p>
      <w:pPr>
        <w:spacing w:after="0" w:line="5" w:lineRule="exact"/>
        <w:rPr>
          <w:rFonts w:ascii="Arial" w:cs="Arial" w:eastAsia="Arial" w:hAnsi="Arial"/>
          <w:sz w:val="16"/>
          <w:szCs w:val="16"/>
          <w:color w:val="auto"/>
        </w:rPr>
      </w:pPr>
    </w:p>
    <w:p>
      <w:pPr>
        <w:ind w:left="660" w:right="200" w:hanging="328"/>
        <w:spacing w:after="0" w:line="24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loss of key employees, customers, distributors, or dealers of the acquired businesses or adverse effects on existing business relationships with suppliers, customers, distributors, and dealers;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impact on overall profitability, if our expanded operations do not achieve the financial results projected in our valuation model;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660" w:right="400" w:hanging="328"/>
        <w:spacing w:after="0" w:line="24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660" w:right="240" w:hanging="328"/>
        <w:spacing w:after="0" w:line="26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Incorrect estimates made in the accounting for acquisitions, occurrence of non-recurring charges, and write-off of significant amounts of goodwill or other assets that could adversely affect our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Demand Forecasting and Inventory Management</w:t>
      </w:r>
    </w:p>
    <w:p>
      <w:pPr>
        <w:spacing w:after="0" w:line="21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Channel Management</w:t>
      </w:r>
    </w:p>
    <w:p>
      <w:pPr>
        <w:spacing w:after="0" w:line="21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sell many of our products through distribution channels and are subject to risks relating to their inventory management decisions and operational and sourcing practices. Our distribution channel customers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Responsiveness to Market Changes</w:t>
      </w:r>
    </w:p>
    <w:p>
      <w:pPr>
        <w:spacing w:after="0" w:line="21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Loss of a Large Dealer Organization</w:t>
      </w:r>
    </w:p>
    <w:p>
      <w:pPr>
        <w:spacing w:after="0" w:line="21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One of our dealer organizations accounted for 9.8% of our net revenue for Fiscal 2018. A second dealer organization, accounted for 9.0% of our net revenue for Fiscal 2018. The loss of either or both of these dealer organizations could have a significant adverse effect on our business. In addition, deterioration in the liquidity or creditworthiness of either or both of these dealers could negatively impact our sales and could trigger repurchase obligations under our repurchase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Repurchase Liabilities</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accordance with customary practice in our industries,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24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units in the future than we estimate, this would increase our costs and could have a material adverse effect on our results of operations, financial condition,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Suppliers</w:t>
      </w:r>
    </w:p>
    <w:p>
      <w:pPr>
        <w:spacing w:after="0" w:line="21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Most of our RV and marine components are readily available from numerous sources. However, a few of our components are produced by a small group of suppliers. In the case of motorhome chassis, Ford Motor Company, Mercedes-Benz (USA and Canada), and Freightliner Custom Chassis Corporation are our major suppliers. Our relationship with our chassis suppliers is similar to our other supplier relationships in that no specific contractual commitments are engaged in by either party. This means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41"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motorhomes rely on chassis supply and are affected by shortages from time to time. Decisions by our suppliers to decrease production, production delays, or work stoppages by the employees of such suppliers, or price increases could have a material adverse effect on our ability to produce motorhomes and ultimately, on our results of operations, financial condition, and cash flows. In Fiscal 2018, none of our manufacturers individually accounted for more than 10% of our raw material purchases.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Raw Material Costs</w:t>
      </w:r>
    </w:p>
    <w:p>
      <w:pPr>
        <w:spacing w:after="0" w:line="21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and components and parts may adversely affect our profit margins if we are unable to pass along to our customers these cost increases in the form of price increases or otherwise reduce our cost of goods sold. 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Claims</w:t>
      </w:r>
    </w:p>
    <w:p>
      <w:pPr>
        <w:spacing w:after="0" w:line="21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7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Protection of our Brand</w:t>
      </w:r>
    </w:p>
    <w:p>
      <w:pPr>
        <w:spacing w:after="0" w:line="21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believe that one of the strengths of our business is our brands, which are widely known around the world. We vigorously defend our brands and our other intellectual property rights against third parties on a global basis. We have, from time to time, had to bring claims against third parties to protect or prevent unauthorized use of our brand. If we are unable to protect and defend our brands or other intellectual property, it could have a material adverse effect on our results of operations or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are subject, in the ordinary course of business, to litigation including a variety of warranty, "Lemon Law" and product liability claims typical in the RV and marine industries. Although we have an insurance policy with a $50.0 million limit covering product liability, we are self-insured for the first $2.5 million of product liability claims on a per occurrence basis, with a $6.0 million aggregate per policy year.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 and Web Applications</w:t>
      </w:r>
    </w:p>
    <w:p>
      <w:pPr>
        <w:spacing w:after="0" w:line="214"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misuse, leakage, or falsification of information could result in a violation of privacy laws and damage our reputation which could, in turn, have a negative impact on our results.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addition to our general reliance on information systems, we began implementation of a new enterprise resource planning system at the end of fiscal year 2015. Though we perform planning and testing to reduce risks associated with such a complex, enterprise-wide systems change, failure to meet requirements of the business could disrupt our business and harm our reputation, which may result in decreased sales, increased overhead costs, excess or obsolete inventory, and product shortages, causing our business, reputation, financial condition, and operating results to suffer.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Security</w:t>
      </w:r>
    </w:p>
    <w:p>
      <w:pPr>
        <w:spacing w:after="0" w:line="21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security systems in place with the intent of maintaining the physical security of our facilities and protecting our customers', clients', and suppliers' confidential information and information related to identifiable individuals against unauthorized access through our information systems or by other electronic transmission or through the misdirection, theft, or loss of physical media. These include, for example, the appropriate encryption of information. Despite such efforts, we are subject to breach of security systems which may result in unauthorized access to our facilities or the information we are trying to protect.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If unauthorized parties gain physical access to one of our facilities or electronic access to our information systems or such information is misdirected, lost, or stolen during transmission or transport, any theft or misuse of such information could result in, among other things,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 any of which could have a material adverse effect on our business.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numerous federal, state, and local regulations and the following summarizes some, but not all, of the laws and regulations that apply to us.</w:t>
      </w:r>
    </w:p>
    <w:p>
      <w:pPr>
        <w:spacing w:after="0" w:line="1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Federal Motor Vehicle Safety Standards govern the design, manufacture and sale of our RV products, which standards are promulgated by the NHTSA. NHTSA requires manufacturers to recall and repair vehicles which are non-compliant with a Federal Motor Vehicle Safety Standard or contain safety defects. In addition, the U.S. Coast Guard maintains certification standards for the manufacture of our marine products, and the safety of recreational boats in the U.S. is subject to federal regulation under the Boat Safety Act of 1971, which requires boat manufacturers to recall products for replacement of parts or components that have demonstrated defects affecting safety. Any major recalls of our products, voluntary or involuntary, could have a material adverse effect on our results of operations, financial condition, and cash flows. While we believe we are substantially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spacing w:after="0" w:line="17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176"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Failure to comply with the New York Stock Exchange and SEC laws or regulations could also have an adverse impact on our business. Additionally, amendments to these regulations and the implementation of new regulations could increase the cost of manufacturing, purchasing, operating, or selling our products and therefore could have an adverse impact on our business.</w:t>
      </w:r>
    </w:p>
    <w:p>
      <w:pPr>
        <w:spacing w:after="0" w:line="17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that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Climate Change and Related Regulation</w:t>
      </w:r>
    </w:p>
    <w:p>
      <w:pPr>
        <w:spacing w:after="0" w:line="2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There is growing concern from members of the scientific community and the general public that an increase in global average temperatures due to emissions of greenhouse gases ("GHG") and other human activities have or will cause significant changes in weather patterns and increase the frequency and severity of natural disasters. We are currently subject to rules limiting emissions and other climate related rules and regulations in certain jurisdictions where we operate. In addition, we may become subject to additional legislation and regulation regarding climate change, and compliance with any new rules could be difficult and costly. Concerned parties, such as legislators, regulators, and non-governmental organizations, are considering ways to reduce GHG emissions. Foreign, federal, state, and local regulatory and legislative bodies have proposed various legislative and regulatory</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or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w:t>
      </w:r>
    </w:p>
    <w:p>
      <w:pPr>
        <w:spacing w:after="0" w:line="21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Provisions of our articles of incorporation, by-laws, the Iowa Business Corporation Act, and provisions in our credit agreements and certain of our compensation programs that we may enter into from time to time could make it more difficult for a third party to acquire us, even if doing so would be perceived to be beneficial by our shareholders.The combination of these provisions effectively inhibits a non-negotiated merger or other business combination, which, in turn, could adversely affect the market price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28"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Our principal manufacturing, maintenance, and service operations are conducted in multi-building complexes owned or leased by us. The following sets forth our material facilities as of August 25, 2018: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40" w:type="dxa"/>
            <w:vAlign w:val="bottom"/>
          </w:tcPr>
          <w:p>
            <w:pPr>
              <w:jc w:val="center"/>
              <w:ind w:left="299"/>
              <w:spacing w:after="0"/>
              <w:rPr>
                <w:sz w:val="20"/>
                <w:szCs w:val="20"/>
                <w:color w:val="auto"/>
              </w:rPr>
            </w:pPr>
            <w:r>
              <w:rPr>
                <w:rFonts w:ascii="Arial" w:cs="Arial" w:eastAsia="Arial" w:hAnsi="Arial"/>
                <w:sz w:val="16"/>
                <w:szCs w:val="16"/>
                <w:b w:val="1"/>
                <w:bCs w:val="1"/>
                <w:color w:val="auto"/>
              </w:rPr>
              <w:t>Reportable</w:t>
            </w: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Owned or</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Square</w:t>
            </w:r>
          </w:p>
        </w:tc>
      </w:tr>
      <w:tr>
        <w:trPr>
          <w:trHeight w:val="228"/>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Location</w:t>
            </w:r>
          </w:p>
        </w:tc>
        <w:tc>
          <w:tcPr>
            <w:tcW w:w="43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Facility Type/Use</w:t>
            </w:r>
          </w:p>
        </w:tc>
        <w:tc>
          <w:tcPr>
            <w:tcW w:w="164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Segment</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Buildings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Footage</w:t>
            </w:r>
          </w:p>
        </w:tc>
      </w:tr>
      <w:tr>
        <w:trPr>
          <w:trHeight w:val="24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Forest City, IA</w:t>
            </w:r>
          </w:p>
        </w:tc>
        <w:tc>
          <w:tcPr>
            <w:tcW w:w="4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Manufacturing, maintenance, service, and office</w:t>
            </w:r>
          </w:p>
        </w:tc>
        <w:tc>
          <w:tcPr>
            <w:tcW w:w="164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Motorhome</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1,546,772</w:t>
            </w:r>
          </w:p>
        </w:tc>
      </w:tr>
      <w:tr>
        <w:trPr>
          <w:trHeight w:val="233"/>
        </w:trPr>
        <w:tc>
          <w:tcPr>
            <w:tcW w:w="1700" w:type="dxa"/>
            <w:vAlign w:val="bottom"/>
          </w:tcPr>
          <w:p>
            <w:pPr>
              <w:ind w:left="40"/>
              <w:spacing w:after="0"/>
              <w:rPr>
                <w:sz w:val="20"/>
                <w:szCs w:val="20"/>
                <w:color w:val="auto"/>
              </w:rPr>
            </w:pPr>
            <w:r>
              <w:rPr>
                <w:rFonts w:ascii="Arial" w:cs="Arial" w:eastAsia="Arial" w:hAnsi="Arial"/>
                <w:sz w:val="16"/>
                <w:szCs w:val="16"/>
                <w:color w:val="auto"/>
              </w:rPr>
              <w:t>Forest City, IA</w:t>
            </w:r>
          </w:p>
        </w:tc>
        <w:tc>
          <w:tcPr>
            <w:tcW w:w="4340" w:type="dxa"/>
            <w:vAlign w:val="bottom"/>
          </w:tcPr>
          <w:p>
            <w:pPr>
              <w:ind w:left="400"/>
              <w:spacing w:after="0"/>
              <w:rPr>
                <w:sz w:val="20"/>
                <w:szCs w:val="20"/>
                <w:color w:val="auto"/>
              </w:rPr>
            </w:pPr>
            <w:r>
              <w:rPr>
                <w:rFonts w:ascii="Arial" w:cs="Arial" w:eastAsia="Arial" w:hAnsi="Arial"/>
                <w:sz w:val="16"/>
                <w:szCs w:val="16"/>
                <w:color w:val="auto"/>
              </w:rPr>
              <w:t>Warehouse</w:t>
            </w:r>
          </w:p>
        </w:tc>
        <w:tc>
          <w:tcPr>
            <w:tcW w:w="1640" w:type="dxa"/>
            <w:vAlign w:val="bottom"/>
          </w:tcPr>
          <w:p>
            <w:pPr>
              <w:jc w:val="center"/>
              <w:ind w:left="299"/>
              <w:spacing w:after="0"/>
              <w:rPr>
                <w:sz w:val="20"/>
                <w:szCs w:val="20"/>
                <w:color w:val="auto"/>
              </w:rPr>
            </w:pPr>
            <w:r>
              <w:rPr>
                <w:rFonts w:ascii="Arial" w:cs="Arial" w:eastAsia="Arial" w:hAnsi="Arial"/>
                <w:sz w:val="16"/>
                <w:szCs w:val="16"/>
                <w:color w:val="auto"/>
              </w:rPr>
              <w:t>Motorhome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459,136</w:t>
            </w:r>
          </w:p>
        </w:tc>
      </w:tr>
      <w:tr>
        <w:trPr>
          <w:trHeight w:val="25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Charles City, IA</w:t>
            </w:r>
          </w:p>
        </w:tc>
        <w:tc>
          <w:tcPr>
            <w:tcW w:w="4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Manufacturing</w:t>
            </w:r>
          </w:p>
        </w:tc>
        <w:tc>
          <w:tcPr>
            <w:tcW w:w="164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Motorhome</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160,950</w:t>
            </w:r>
          </w:p>
        </w:tc>
      </w:tr>
      <w:tr>
        <w:trPr>
          <w:trHeight w:val="233"/>
        </w:trPr>
        <w:tc>
          <w:tcPr>
            <w:tcW w:w="1700" w:type="dxa"/>
            <w:vAlign w:val="bottom"/>
          </w:tcPr>
          <w:p>
            <w:pPr>
              <w:ind w:left="40"/>
              <w:spacing w:after="0"/>
              <w:rPr>
                <w:sz w:val="20"/>
                <w:szCs w:val="20"/>
                <w:color w:val="auto"/>
              </w:rPr>
            </w:pPr>
            <w:r>
              <w:rPr>
                <w:rFonts w:ascii="Arial" w:cs="Arial" w:eastAsia="Arial" w:hAnsi="Arial"/>
                <w:sz w:val="16"/>
                <w:szCs w:val="16"/>
                <w:color w:val="auto"/>
              </w:rPr>
              <w:t>Waverly, IA</w:t>
            </w:r>
          </w:p>
        </w:tc>
        <w:tc>
          <w:tcPr>
            <w:tcW w:w="4340" w:type="dxa"/>
            <w:vAlign w:val="bottom"/>
          </w:tcPr>
          <w:p>
            <w:pPr>
              <w:ind w:left="400"/>
              <w:spacing w:after="0"/>
              <w:rPr>
                <w:sz w:val="20"/>
                <w:szCs w:val="20"/>
                <w:color w:val="auto"/>
              </w:rPr>
            </w:pPr>
            <w:r>
              <w:rPr>
                <w:rFonts w:ascii="Arial" w:cs="Arial" w:eastAsia="Arial" w:hAnsi="Arial"/>
                <w:sz w:val="16"/>
                <w:szCs w:val="16"/>
                <w:color w:val="auto"/>
              </w:rPr>
              <w:t>Manufacturing</w:t>
            </w:r>
          </w:p>
        </w:tc>
        <w:tc>
          <w:tcPr>
            <w:tcW w:w="1640" w:type="dxa"/>
            <w:vAlign w:val="bottom"/>
          </w:tcPr>
          <w:p>
            <w:pPr>
              <w:jc w:val="center"/>
              <w:ind w:left="299"/>
              <w:spacing w:after="0"/>
              <w:rPr>
                <w:sz w:val="20"/>
                <w:szCs w:val="20"/>
                <w:color w:val="auto"/>
              </w:rPr>
            </w:pPr>
            <w:r>
              <w:rPr>
                <w:rFonts w:ascii="Arial" w:cs="Arial" w:eastAsia="Arial" w:hAnsi="Arial"/>
                <w:sz w:val="16"/>
                <w:szCs w:val="16"/>
                <w:color w:val="auto"/>
              </w:rPr>
              <w:t>Motorhome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33,400</w:t>
            </w:r>
          </w:p>
        </w:tc>
      </w:tr>
      <w:tr>
        <w:trPr>
          <w:trHeight w:val="25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Junction City, OR</w:t>
            </w:r>
          </w:p>
        </w:tc>
        <w:tc>
          <w:tcPr>
            <w:tcW w:w="4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Manufacturing, service, and office</w:t>
            </w:r>
          </w:p>
        </w:tc>
        <w:tc>
          <w:tcPr>
            <w:tcW w:w="164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Motorhome</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304,962</w:t>
            </w:r>
          </w:p>
        </w:tc>
      </w:tr>
      <w:tr>
        <w:trPr>
          <w:trHeight w:val="233"/>
        </w:trPr>
        <w:tc>
          <w:tcPr>
            <w:tcW w:w="1700" w:type="dxa"/>
            <w:vAlign w:val="bottom"/>
          </w:tcPr>
          <w:p>
            <w:pPr>
              <w:ind w:left="40"/>
              <w:spacing w:after="0"/>
              <w:rPr>
                <w:sz w:val="20"/>
                <w:szCs w:val="20"/>
                <w:color w:val="auto"/>
              </w:rPr>
            </w:pPr>
            <w:r>
              <w:rPr>
                <w:rFonts w:ascii="Arial" w:cs="Arial" w:eastAsia="Arial" w:hAnsi="Arial"/>
                <w:sz w:val="16"/>
                <w:szCs w:val="16"/>
                <w:color w:val="auto"/>
              </w:rPr>
              <w:t>Middlebury, IN</w:t>
            </w:r>
          </w:p>
        </w:tc>
        <w:tc>
          <w:tcPr>
            <w:tcW w:w="4340" w:type="dxa"/>
            <w:vAlign w:val="bottom"/>
          </w:tcPr>
          <w:p>
            <w:pPr>
              <w:ind w:left="400"/>
              <w:spacing w:after="0"/>
              <w:rPr>
                <w:sz w:val="20"/>
                <w:szCs w:val="20"/>
                <w:color w:val="auto"/>
              </w:rPr>
            </w:pPr>
            <w:r>
              <w:rPr>
                <w:rFonts w:ascii="Arial" w:cs="Arial" w:eastAsia="Arial" w:hAnsi="Arial"/>
                <w:sz w:val="16"/>
                <w:szCs w:val="16"/>
                <w:color w:val="auto"/>
              </w:rPr>
              <w:t>Manufacturing and office</w:t>
            </w:r>
          </w:p>
        </w:tc>
        <w:tc>
          <w:tcPr>
            <w:tcW w:w="1640" w:type="dxa"/>
            <w:vAlign w:val="bottom"/>
          </w:tcPr>
          <w:p>
            <w:pPr>
              <w:jc w:val="center"/>
              <w:ind w:left="299"/>
              <w:spacing w:after="0"/>
              <w:rPr>
                <w:sz w:val="20"/>
                <w:szCs w:val="20"/>
                <w:color w:val="auto"/>
              </w:rPr>
            </w:pPr>
            <w:r>
              <w:rPr>
                <w:rFonts w:ascii="Arial" w:cs="Arial" w:eastAsia="Arial" w:hAnsi="Arial"/>
                <w:sz w:val="16"/>
                <w:szCs w:val="16"/>
                <w:color w:val="auto"/>
                <w:w w:val="95"/>
              </w:rPr>
              <w:t>Towable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444,830</w:t>
            </w:r>
          </w:p>
        </w:tc>
      </w:tr>
      <w:tr>
        <w:trPr>
          <w:trHeight w:val="25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Lake Mills, IA</w:t>
            </w:r>
          </w:p>
        </w:tc>
        <w:tc>
          <w:tcPr>
            <w:tcW w:w="4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Manufacturing</w:t>
            </w:r>
          </w:p>
        </w:tc>
        <w:tc>
          <w:tcPr>
            <w:tcW w:w="164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Motorhome</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Leased</w:t>
            </w:r>
            <w:r>
              <w:rPr>
                <w:rFonts w:ascii="Arial" w:cs="Arial" w:eastAsia="Arial" w:hAnsi="Arial"/>
                <w:sz w:val="21"/>
                <w:szCs w:val="21"/>
                <w:color w:val="auto"/>
                <w:w w:val="94"/>
                <w:vertAlign w:val="superscript"/>
              </w:rPr>
              <w:t>(1)</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98,546</w:t>
            </w:r>
          </w:p>
        </w:tc>
      </w:tr>
      <w:tr>
        <w:trPr>
          <w:trHeight w:val="243"/>
        </w:trPr>
        <w:tc>
          <w:tcPr>
            <w:tcW w:w="1700" w:type="dxa"/>
            <w:vAlign w:val="bottom"/>
          </w:tcPr>
          <w:p>
            <w:pPr>
              <w:ind w:left="40"/>
              <w:spacing w:after="0"/>
              <w:rPr>
                <w:sz w:val="20"/>
                <w:szCs w:val="20"/>
                <w:color w:val="auto"/>
              </w:rPr>
            </w:pPr>
            <w:r>
              <w:rPr>
                <w:rFonts w:ascii="Arial" w:cs="Arial" w:eastAsia="Arial" w:hAnsi="Arial"/>
                <w:sz w:val="16"/>
                <w:szCs w:val="16"/>
                <w:color w:val="auto"/>
              </w:rPr>
              <w:t>Middlebury, IN</w:t>
            </w:r>
          </w:p>
        </w:tc>
        <w:tc>
          <w:tcPr>
            <w:tcW w:w="4340" w:type="dxa"/>
            <w:vAlign w:val="bottom"/>
          </w:tcPr>
          <w:p>
            <w:pPr>
              <w:ind w:left="400"/>
              <w:spacing w:after="0"/>
              <w:rPr>
                <w:sz w:val="20"/>
                <w:szCs w:val="20"/>
                <w:color w:val="auto"/>
              </w:rPr>
            </w:pPr>
            <w:r>
              <w:rPr>
                <w:rFonts w:ascii="Arial" w:cs="Arial" w:eastAsia="Arial" w:hAnsi="Arial"/>
                <w:sz w:val="16"/>
                <w:szCs w:val="16"/>
                <w:color w:val="auto"/>
              </w:rPr>
              <w:t>Manufacturing, service, and office</w:t>
            </w:r>
          </w:p>
        </w:tc>
        <w:tc>
          <w:tcPr>
            <w:tcW w:w="1640" w:type="dxa"/>
            <w:vAlign w:val="bottom"/>
          </w:tcPr>
          <w:p>
            <w:pPr>
              <w:jc w:val="center"/>
              <w:ind w:left="299"/>
              <w:spacing w:after="0"/>
              <w:rPr>
                <w:sz w:val="20"/>
                <w:szCs w:val="20"/>
                <w:color w:val="auto"/>
              </w:rPr>
            </w:pPr>
            <w:r>
              <w:rPr>
                <w:rFonts w:ascii="Arial" w:cs="Arial" w:eastAsia="Arial" w:hAnsi="Arial"/>
                <w:sz w:val="16"/>
                <w:szCs w:val="16"/>
                <w:color w:val="auto"/>
                <w:w w:val="95"/>
              </w:rPr>
              <w:t>Towable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Leased</w:t>
            </w:r>
            <w:r>
              <w:rPr>
                <w:rFonts w:ascii="Arial" w:cs="Arial" w:eastAsia="Arial" w:hAnsi="Arial"/>
                <w:sz w:val="21"/>
                <w:szCs w:val="21"/>
                <w:color w:val="auto"/>
                <w:w w:val="94"/>
                <w:vertAlign w:val="superscript"/>
              </w:rPr>
              <w:t>(2)</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1,044,950</w:t>
            </w:r>
          </w:p>
        </w:tc>
      </w:tr>
      <w:tr>
        <w:trPr>
          <w:trHeight w:val="243"/>
        </w:trPr>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Eden Prairie, MN</w:t>
            </w:r>
          </w:p>
        </w:tc>
        <w:tc>
          <w:tcPr>
            <w:tcW w:w="4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Corporate</w:t>
            </w:r>
          </w:p>
        </w:tc>
        <w:tc>
          <w:tcPr>
            <w:tcW w:w="164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Motorhome</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Leased</w:t>
            </w:r>
            <w:r>
              <w:rPr>
                <w:rFonts w:ascii="Arial" w:cs="Arial" w:eastAsia="Arial" w:hAnsi="Arial"/>
                <w:sz w:val="21"/>
                <w:szCs w:val="21"/>
                <w:color w:val="auto"/>
                <w:w w:val="94"/>
                <w:vertAlign w:val="superscript"/>
              </w:rPr>
              <w:t>(3)</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30,068</w:t>
            </w:r>
          </w:p>
        </w:tc>
      </w:tr>
      <w:tr>
        <w:trPr>
          <w:trHeight w:val="218"/>
        </w:trPr>
        <w:tc>
          <w:tcPr>
            <w:tcW w:w="17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40" w:type="dxa"/>
            <w:vAlign w:val="bottom"/>
          </w:tcPr>
          <w:p>
            <w:pPr>
              <w:jc w:val="center"/>
              <w:ind w:left="299"/>
              <w:spacing w:after="0"/>
              <w:rPr>
                <w:sz w:val="20"/>
                <w:szCs w:val="20"/>
                <w:color w:val="auto"/>
              </w:rPr>
            </w:pPr>
            <w:r>
              <w:rPr>
                <w:rFonts w:ascii="Arial" w:cs="Arial" w:eastAsia="Arial" w:hAnsi="Arial"/>
                <w:sz w:val="16"/>
                <w:szCs w:val="16"/>
                <w:color w:val="auto"/>
                <w:w w:val="99"/>
              </w:rPr>
              <w:t>Corporate / All</w:t>
            </w: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8"/>
        </w:trPr>
        <w:tc>
          <w:tcPr>
            <w:tcW w:w="1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Sarasota, FL</w:t>
            </w:r>
          </w:p>
        </w:tc>
        <w:tc>
          <w:tcPr>
            <w:tcW w:w="43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Manufacturing and office</w:t>
            </w:r>
          </w:p>
        </w:tc>
        <w:tc>
          <w:tcPr>
            <w:tcW w:w="1640" w:type="dxa"/>
            <w:vAlign w:val="bottom"/>
            <w:tcBorders>
              <w:bottom w:val="single" w:sz="8" w:color="CCEEFF"/>
            </w:tcBorders>
          </w:tcPr>
          <w:p>
            <w:pPr>
              <w:jc w:val="center"/>
              <w:ind w:left="299"/>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188,779</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4,312,393</w:t>
            </w:r>
          </w:p>
        </w:tc>
      </w:tr>
      <w:tr>
        <w:trPr>
          <w:trHeight w:val="20"/>
        </w:trPr>
        <w:tc>
          <w:tcPr>
            <w:tcW w:w="1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60" w:right="340" w:hanging="252"/>
        <w:spacing w:after="0" w:line="241"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November 2013, we entered into a five-year lease with the city of Lake Mills, IA for a manufacturing plant with two options to renew for five years each. We are currently evaluating whether to renew the lease or purchase the facility.</w:t>
      </w:r>
    </w:p>
    <w:p>
      <w:pPr>
        <w:ind w:left="260" w:right="120" w:hanging="252"/>
        <w:spacing w:after="0" w:line="241"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November 2016 as part of our acquisition of Grand Design, we assumed leases to two properties which hold their current principal facilities and facilities under construction for expansion.</w:t>
      </w: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January 2017, we entered into a six-year lease, expiring in 2023, for an office facility in Eden Prairie, MN.</w:t>
      </w:r>
    </w:p>
    <w:p>
      <w:pPr>
        <w:spacing w:after="0" w:line="160" w:lineRule="exact"/>
        <w:rPr>
          <w:sz w:val="20"/>
          <w:szCs w:val="20"/>
          <w:color w:val="auto"/>
        </w:rPr>
      </w:pPr>
    </w:p>
    <w:p>
      <w:pPr>
        <w:ind w:right="40"/>
        <w:spacing w:after="0" w:line="191" w:lineRule="exact"/>
        <w:rPr>
          <w:sz w:val="20"/>
          <w:szCs w:val="20"/>
          <w:color w:val="auto"/>
        </w:rPr>
      </w:pPr>
      <w:r>
        <w:rPr>
          <w:rFonts w:ascii="Arial" w:cs="Arial" w:eastAsia="Arial" w:hAnsi="Arial"/>
          <w:sz w:val="16"/>
          <w:szCs w:val="16"/>
          <w:color w:val="auto"/>
        </w:rPr>
        <w:t>The facilities that we own in Forest City, Charles City, and Waverly are located on a total of approximately 320 acres of land. The facilities that we own in Junction City, Oregon are located on approximately 42 acres of land. The facilities that we own in Middlebury, Indiana are located on approximately 60 acres of land. The facilities that we own in Sarasota, Florida are located on approximately 19 acres of land. Most of our buildings are of steel or steel and concrete construction and are protected from fire with high</w:t>
      </w:r>
      <w:r>
        <w:rPr>
          <w:rFonts w:ascii="MS PGothic" w:cs="MS PGothic" w:eastAsia="MS PGothic" w:hAnsi="MS PGothic"/>
          <w:sz w:val="16"/>
          <w:szCs w:val="16"/>
          <w:color w:val="auto"/>
        </w:rPr>
        <w:t>‑</w:t>
      </w:r>
      <w:r>
        <w:rPr>
          <w:rFonts w:ascii="Arial" w:cs="Arial" w:eastAsia="Arial" w:hAnsi="Arial"/>
          <w:sz w:val="16"/>
          <w:szCs w:val="16"/>
          <w:color w:val="auto"/>
        </w:rPr>
        <w:t>pressure sprinkler systems, dust collector systems, automatic fire doors, and alarm systems. We believe that our facilities and equipment are well maintained and suitable for the purposes for which they are intended.</w:t>
      </w:r>
    </w:p>
    <w:p>
      <w:pPr>
        <w:spacing w:after="0" w:line="18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Under terms of our Credit Agreement, we have encumbered substantially all of our real property for the benefit of the lender under such facility. For additional information,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w:t>
      </w:r>
      <w:r>
        <w:rPr>
          <w:rFonts w:ascii="Arial" w:cs="Arial" w:eastAsia="Arial" w:hAnsi="Arial"/>
          <w:sz w:val="16"/>
          <w:szCs w:val="16"/>
          <w:color w:val="auto"/>
        </w:rPr>
        <w:t>, of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9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 xml:space="preserve">For a description of our legal proceedings, see Note 11,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25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69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47"/>
        </w:trPr>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Item 4. Mine Safety Disclosure.</w:t>
            </w:r>
          </w:p>
        </w:tc>
        <w:tc>
          <w:tcPr>
            <w:tcW w:w="69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560" w:type="dxa"/>
            <w:vAlign w:val="bottom"/>
            <w:gridSpan w:val="2"/>
          </w:tcPr>
          <w:p>
            <w:pPr>
              <w:spacing w:after="0"/>
              <w:rPr>
                <w:sz w:val="20"/>
                <w:szCs w:val="20"/>
                <w:color w:val="auto"/>
              </w:rPr>
            </w:pPr>
            <w:r>
              <w:rPr>
                <w:rFonts w:ascii="Arial" w:cs="Arial" w:eastAsia="Arial" w:hAnsi="Arial"/>
                <w:sz w:val="16"/>
                <w:szCs w:val="16"/>
                <w:color w:val="auto"/>
              </w:rPr>
              <w:t>Not Applicable.</w:t>
            </w:r>
          </w:p>
        </w:tc>
        <w:tc>
          <w:tcPr>
            <w:tcW w:w="69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9520" w:type="dxa"/>
            <w:vAlign w:val="bottom"/>
            <w:gridSpan w:val="3"/>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1780" w:type="dxa"/>
            <w:vAlign w:val="bottom"/>
          </w:tcPr>
          <w:p>
            <w:pPr>
              <w:spacing w:after="0"/>
              <w:rPr>
                <w:sz w:val="24"/>
                <w:szCs w:val="24"/>
                <w:color w:val="auto"/>
              </w:rPr>
            </w:pPr>
          </w:p>
        </w:tc>
      </w:tr>
      <w:tr>
        <w:trPr>
          <w:trHeight w:val="364"/>
        </w:trPr>
        <w:tc>
          <w:tcPr>
            <w:tcW w:w="25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6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Office (Year First Elected an Officer)</w:t>
            </w:r>
          </w:p>
        </w:tc>
        <w:tc>
          <w:tcPr>
            <w:tcW w:w="178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b w:val="1"/>
                <w:bCs w:val="1"/>
                <w:color w:val="auto"/>
                <w:w w:val="99"/>
              </w:rPr>
              <w:t>Age</w:t>
            </w:r>
          </w:p>
        </w:tc>
      </w:tr>
      <w:tr>
        <w:trPr>
          <w:trHeight w:val="243"/>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President and Chief Executive Officer (2016)</w:t>
            </w:r>
          </w:p>
        </w:tc>
        <w:tc>
          <w:tcPr>
            <w:tcW w:w="178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rPr>
              <w:t>47</w:t>
            </w:r>
          </w:p>
        </w:tc>
      </w:tr>
      <w:tr>
        <w:trPr>
          <w:trHeight w:val="233"/>
        </w:trPr>
        <w:tc>
          <w:tcPr>
            <w:tcW w:w="2560" w:type="dxa"/>
            <w:vAlign w:val="bottom"/>
            <w:gridSpan w:val="2"/>
          </w:tcPr>
          <w:p>
            <w:pPr>
              <w:ind w:left="40"/>
              <w:spacing w:after="0"/>
              <w:rPr>
                <w:sz w:val="20"/>
                <w:szCs w:val="20"/>
                <w:color w:val="auto"/>
              </w:rPr>
            </w:pPr>
            <w:r>
              <w:rPr>
                <w:rFonts w:ascii="Arial" w:cs="Arial" w:eastAsia="Arial" w:hAnsi="Arial"/>
                <w:sz w:val="16"/>
                <w:szCs w:val="16"/>
                <w:color w:val="auto"/>
              </w:rPr>
              <w:t>Ashis N. Bhattacharya</w:t>
            </w:r>
          </w:p>
        </w:tc>
        <w:tc>
          <w:tcPr>
            <w:tcW w:w="6960" w:type="dxa"/>
            <w:vAlign w:val="bottom"/>
          </w:tcPr>
          <w:p>
            <w:pPr>
              <w:ind w:left="180"/>
              <w:spacing w:after="0"/>
              <w:rPr>
                <w:sz w:val="20"/>
                <w:szCs w:val="20"/>
                <w:color w:val="auto"/>
              </w:rPr>
            </w:pPr>
            <w:r>
              <w:rPr>
                <w:rFonts w:ascii="Arial" w:cs="Arial" w:eastAsia="Arial" w:hAnsi="Arial"/>
                <w:sz w:val="16"/>
                <w:szCs w:val="16"/>
                <w:color w:val="auto"/>
              </w:rPr>
              <w:t>Vice President, Strategic Planning and Development (2016)</w:t>
            </w:r>
          </w:p>
        </w:tc>
        <w:tc>
          <w:tcPr>
            <w:tcW w:w="1780" w:type="dxa"/>
            <w:vAlign w:val="bottom"/>
          </w:tcPr>
          <w:p>
            <w:pPr>
              <w:jc w:val="center"/>
              <w:ind w:left="799"/>
              <w:spacing w:after="0"/>
              <w:rPr>
                <w:sz w:val="20"/>
                <w:szCs w:val="20"/>
                <w:color w:val="auto"/>
              </w:rPr>
            </w:pPr>
            <w:r>
              <w:rPr>
                <w:rFonts w:ascii="Arial" w:cs="Arial" w:eastAsia="Arial" w:hAnsi="Arial"/>
                <w:sz w:val="16"/>
                <w:szCs w:val="16"/>
                <w:color w:val="auto"/>
              </w:rPr>
              <w:t>55</w:t>
            </w:r>
          </w:p>
        </w:tc>
      </w:tr>
      <w:tr>
        <w:trPr>
          <w:trHeight w:val="253"/>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Stacy Bogart</w:t>
            </w:r>
          </w:p>
        </w:tc>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General Counsel and Secretary (2018)</w:t>
            </w:r>
          </w:p>
        </w:tc>
        <w:tc>
          <w:tcPr>
            <w:tcW w:w="178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rPr>
              <w:t>54</w:t>
            </w:r>
          </w:p>
        </w:tc>
      </w:tr>
      <w:tr>
        <w:trPr>
          <w:trHeight w:val="233"/>
        </w:trPr>
        <w:tc>
          <w:tcPr>
            <w:tcW w:w="2560" w:type="dxa"/>
            <w:vAlign w:val="bottom"/>
            <w:gridSpan w:val="2"/>
          </w:tcPr>
          <w:p>
            <w:pPr>
              <w:ind w:left="40"/>
              <w:spacing w:after="0"/>
              <w:rPr>
                <w:sz w:val="20"/>
                <w:szCs w:val="20"/>
                <w:color w:val="auto"/>
              </w:rPr>
            </w:pPr>
            <w:r>
              <w:rPr>
                <w:rFonts w:ascii="Arial" w:cs="Arial" w:eastAsia="Arial" w:hAnsi="Arial"/>
                <w:sz w:val="16"/>
                <w:szCs w:val="16"/>
                <w:color w:val="auto"/>
              </w:rPr>
              <w:t>Donald J. Clark</w:t>
            </w:r>
          </w:p>
        </w:tc>
        <w:tc>
          <w:tcPr>
            <w:tcW w:w="6960" w:type="dxa"/>
            <w:vAlign w:val="bottom"/>
          </w:tcPr>
          <w:p>
            <w:pPr>
              <w:ind w:left="180"/>
              <w:spacing w:after="0"/>
              <w:rPr>
                <w:sz w:val="20"/>
                <w:szCs w:val="20"/>
                <w:color w:val="auto"/>
              </w:rPr>
            </w:pPr>
            <w:r>
              <w:rPr>
                <w:rFonts w:ascii="Arial" w:cs="Arial" w:eastAsia="Arial" w:hAnsi="Arial"/>
                <w:sz w:val="16"/>
                <w:szCs w:val="16"/>
                <w:color w:val="auto"/>
              </w:rPr>
              <w:t>President of Grand Design RV; Vice President of Winnebago Industries (2016)</w:t>
            </w:r>
          </w:p>
        </w:tc>
        <w:tc>
          <w:tcPr>
            <w:tcW w:w="1780" w:type="dxa"/>
            <w:vAlign w:val="bottom"/>
          </w:tcPr>
          <w:p>
            <w:pPr>
              <w:jc w:val="center"/>
              <w:ind w:left="799"/>
              <w:spacing w:after="0"/>
              <w:rPr>
                <w:sz w:val="20"/>
                <w:szCs w:val="20"/>
                <w:color w:val="auto"/>
              </w:rPr>
            </w:pPr>
            <w:r>
              <w:rPr>
                <w:rFonts w:ascii="Arial" w:cs="Arial" w:eastAsia="Arial" w:hAnsi="Arial"/>
                <w:sz w:val="16"/>
                <w:szCs w:val="16"/>
                <w:color w:val="auto"/>
              </w:rPr>
              <w:t>58</w:t>
            </w:r>
          </w:p>
        </w:tc>
      </w:tr>
      <w:tr>
        <w:trPr>
          <w:trHeight w:val="253"/>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and General Manager, Towables Business (2012)</w:t>
            </w:r>
          </w:p>
        </w:tc>
        <w:tc>
          <w:tcPr>
            <w:tcW w:w="178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rPr>
              <w:t>53</w:t>
            </w:r>
          </w:p>
        </w:tc>
      </w:tr>
      <w:tr>
        <w:trPr>
          <w:trHeight w:val="233"/>
        </w:trPr>
        <w:tc>
          <w:tcPr>
            <w:tcW w:w="2560" w:type="dxa"/>
            <w:vAlign w:val="bottom"/>
            <w:gridSpan w:val="2"/>
          </w:tcPr>
          <w:p>
            <w:pPr>
              <w:ind w:left="40"/>
              <w:spacing w:after="0"/>
              <w:rPr>
                <w:sz w:val="20"/>
                <w:szCs w:val="20"/>
                <w:color w:val="auto"/>
              </w:rPr>
            </w:pPr>
            <w:r>
              <w:rPr>
                <w:rFonts w:ascii="Arial" w:cs="Arial" w:eastAsia="Arial" w:hAnsi="Arial"/>
                <w:sz w:val="16"/>
                <w:szCs w:val="16"/>
                <w:color w:val="auto"/>
              </w:rPr>
              <w:t>Brian D. Hazelton</w:t>
            </w:r>
          </w:p>
        </w:tc>
        <w:tc>
          <w:tcPr>
            <w:tcW w:w="6960" w:type="dxa"/>
            <w:vAlign w:val="bottom"/>
          </w:tcPr>
          <w:p>
            <w:pPr>
              <w:ind w:left="180"/>
              <w:spacing w:after="0"/>
              <w:rPr>
                <w:sz w:val="20"/>
                <w:szCs w:val="20"/>
                <w:color w:val="auto"/>
              </w:rPr>
            </w:pPr>
            <w:r>
              <w:rPr>
                <w:rFonts w:ascii="Arial" w:cs="Arial" w:eastAsia="Arial" w:hAnsi="Arial"/>
                <w:sz w:val="16"/>
                <w:szCs w:val="16"/>
                <w:color w:val="auto"/>
              </w:rPr>
              <w:t>Vice President and General Manager, Motorhome Business (2016)</w:t>
            </w:r>
          </w:p>
        </w:tc>
        <w:tc>
          <w:tcPr>
            <w:tcW w:w="1780" w:type="dxa"/>
            <w:vAlign w:val="bottom"/>
          </w:tcPr>
          <w:p>
            <w:pPr>
              <w:jc w:val="center"/>
              <w:ind w:left="799"/>
              <w:spacing w:after="0"/>
              <w:rPr>
                <w:sz w:val="20"/>
                <w:szCs w:val="20"/>
                <w:color w:val="auto"/>
              </w:rPr>
            </w:pPr>
            <w:r>
              <w:rPr>
                <w:rFonts w:ascii="Arial" w:cs="Arial" w:eastAsia="Arial" w:hAnsi="Arial"/>
                <w:sz w:val="16"/>
                <w:szCs w:val="16"/>
                <w:color w:val="auto"/>
              </w:rPr>
              <w:t>52</w:t>
            </w:r>
          </w:p>
        </w:tc>
      </w:tr>
      <w:tr>
        <w:trPr>
          <w:trHeight w:val="253"/>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Bryan L. Hughes</w:t>
            </w:r>
          </w:p>
        </w:tc>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Chief Financial Officer (2017)</w:t>
            </w:r>
          </w:p>
        </w:tc>
        <w:tc>
          <w:tcPr>
            <w:tcW w:w="178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rPr>
              <w:t>49</w:t>
            </w:r>
          </w:p>
        </w:tc>
      </w:tr>
      <w:tr>
        <w:trPr>
          <w:trHeight w:val="233"/>
        </w:trPr>
        <w:tc>
          <w:tcPr>
            <w:tcW w:w="2560" w:type="dxa"/>
            <w:vAlign w:val="bottom"/>
            <w:gridSpan w:val="2"/>
          </w:tcPr>
          <w:p>
            <w:pPr>
              <w:ind w:left="40"/>
              <w:spacing w:after="0"/>
              <w:rPr>
                <w:sz w:val="20"/>
                <w:szCs w:val="20"/>
                <w:color w:val="auto"/>
              </w:rPr>
            </w:pPr>
            <w:r>
              <w:rPr>
                <w:rFonts w:ascii="Arial" w:cs="Arial" w:eastAsia="Arial" w:hAnsi="Arial"/>
                <w:sz w:val="16"/>
                <w:szCs w:val="16"/>
                <w:color w:val="auto"/>
              </w:rPr>
              <w:t>Jeff D. Kubacki</w:t>
            </w:r>
          </w:p>
        </w:tc>
        <w:tc>
          <w:tcPr>
            <w:tcW w:w="6960" w:type="dxa"/>
            <w:vAlign w:val="bottom"/>
          </w:tcPr>
          <w:p>
            <w:pPr>
              <w:ind w:left="180"/>
              <w:spacing w:after="0"/>
              <w:rPr>
                <w:sz w:val="20"/>
                <w:szCs w:val="20"/>
                <w:color w:val="auto"/>
              </w:rPr>
            </w:pPr>
            <w:r>
              <w:rPr>
                <w:rFonts w:ascii="Arial" w:cs="Arial" w:eastAsia="Arial" w:hAnsi="Arial"/>
                <w:sz w:val="16"/>
                <w:szCs w:val="16"/>
                <w:color w:val="auto"/>
              </w:rPr>
              <w:t>Vice President, Information Technology, Chief Information Officer (2016)</w:t>
            </w:r>
          </w:p>
        </w:tc>
        <w:tc>
          <w:tcPr>
            <w:tcW w:w="1780" w:type="dxa"/>
            <w:vAlign w:val="bottom"/>
          </w:tcPr>
          <w:p>
            <w:pPr>
              <w:jc w:val="center"/>
              <w:ind w:left="799"/>
              <w:spacing w:after="0"/>
              <w:rPr>
                <w:sz w:val="20"/>
                <w:szCs w:val="20"/>
                <w:color w:val="auto"/>
              </w:rPr>
            </w:pPr>
            <w:r>
              <w:rPr>
                <w:rFonts w:ascii="Arial" w:cs="Arial" w:eastAsia="Arial" w:hAnsi="Arial"/>
                <w:sz w:val="16"/>
                <w:szCs w:val="16"/>
                <w:color w:val="auto"/>
              </w:rPr>
              <w:t>60</w:t>
            </w:r>
          </w:p>
        </w:tc>
      </w:tr>
      <w:tr>
        <w:trPr>
          <w:trHeight w:val="253"/>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Christopher D. West</w:t>
            </w:r>
          </w:p>
        </w:tc>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Operations (2016)</w:t>
            </w:r>
          </w:p>
        </w:tc>
        <w:tc>
          <w:tcPr>
            <w:tcW w:w="178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rPr>
              <w:t>46</w:t>
            </w:r>
          </w:p>
        </w:tc>
      </w:tr>
      <w:tr>
        <w:trPr>
          <w:trHeight w:val="224"/>
        </w:trPr>
        <w:tc>
          <w:tcPr>
            <w:tcW w:w="2560" w:type="dxa"/>
            <w:vAlign w:val="bottom"/>
            <w:gridSpan w:val="2"/>
          </w:tcPr>
          <w:p>
            <w:pPr>
              <w:ind w:left="40"/>
              <w:spacing w:after="0"/>
              <w:rPr>
                <w:sz w:val="20"/>
                <w:szCs w:val="20"/>
                <w:color w:val="auto"/>
              </w:rPr>
            </w:pPr>
            <w:r>
              <w:rPr>
                <w:rFonts w:ascii="Arial" w:cs="Arial" w:eastAsia="Arial" w:hAnsi="Arial"/>
                <w:sz w:val="16"/>
                <w:szCs w:val="16"/>
                <w:color w:val="auto"/>
              </w:rPr>
              <w:t>Bret A. Woodson</w:t>
            </w:r>
          </w:p>
        </w:tc>
        <w:tc>
          <w:tcPr>
            <w:tcW w:w="6960" w:type="dxa"/>
            <w:vAlign w:val="bottom"/>
          </w:tcPr>
          <w:p>
            <w:pPr>
              <w:ind w:left="180"/>
              <w:spacing w:after="0"/>
              <w:rPr>
                <w:sz w:val="20"/>
                <w:szCs w:val="20"/>
                <w:color w:val="auto"/>
              </w:rPr>
            </w:pPr>
            <w:r>
              <w:rPr>
                <w:rFonts w:ascii="Arial" w:cs="Arial" w:eastAsia="Arial" w:hAnsi="Arial"/>
                <w:sz w:val="16"/>
                <w:szCs w:val="16"/>
                <w:color w:val="auto"/>
              </w:rPr>
              <w:t>Vice President, Administration (2015)</w:t>
            </w:r>
          </w:p>
        </w:tc>
        <w:tc>
          <w:tcPr>
            <w:tcW w:w="1780" w:type="dxa"/>
            <w:vAlign w:val="bottom"/>
          </w:tcPr>
          <w:p>
            <w:pPr>
              <w:jc w:val="center"/>
              <w:ind w:left="799"/>
              <w:spacing w:after="0"/>
              <w:rPr>
                <w:sz w:val="20"/>
                <w:szCs w:val="20"/>
                <w:color w:val="auto"/>
              </w:rPr>
            </w:pPr>
            <w:r>
              <w:rPr>
                <w:rFonts w:ascii="Arial" w:cs="Arial" w:eastAsia="Arial" w:hAnsi="Arial"/>
                <w:sz w:val="16"/>
                <w:szCs w:val="16"/>
                <w:color w:val="auto"/>
              </w:rPr>
              <w:t>48</w:t>
            </w:r>
          </w:p>
        </w:tc>
      </w:tr>
    </w:tbl>
    <w:p>
      <w:pPr>
        <w:spacing w:after="0" w:line="21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Officers are elected annually by the Board of Directors and hold office until their successors are chosen and qualify or until their death or resignation. There are no family relationships between or among any of the Executive Officers or Directors of the Company.</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Happe joined Winnebago Industries in January 2016 as President and Chief Executive Officer. Prior to joining Winnebago, he had been employed by The Toro Company, a provider of outdoor maintenance and beautification products, from 1997 to 2016. He served as Executive Officer and Group Vice President of Toro's Residential and Contractor businesses from March 2012 to December 2015. From August 2010 to March 2012, he served as Vice President, Residential and Landscape Contractor Businesses. Prior to that he held a series of senior leadership positions throughout his career across a variety of Toro's domestic and international divisions.</w:t>
      </w:r>
    </w:p>
    <w:p>
      <w:pPr>
        <w:spacing w:after="0" w:line="17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Mr. Bhattacharya joined Winnebago Industries in May 2016 as Vice President, Strategic Planning and Development. Prior to joining Winnebago, Mr. Bhattacharya served at Honeywell International, Inc., a software industrial company, as Vice President, Strategy, Alliances &amp; Internet of Things for the Sensing and Productivity Solutions division from 2010 to 2016. Prior to that, he was employed with Moog, Motorola, and Bain &amp; Company in a variety of roles.</w:t>
      </w:r>
    </w:p>
    <w:p>
      <w:pPr>
        <w:spacing w:after="0" w:line="17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Ms. Stacy Bogart joined Winnebago Industries in January 2018 as Vice President, General Counsel and Secretary. Prior to joining Winnebago Industries, Ms. Bogart was Senior Vice President, General Counsel and Compliance Officer, Corporate Secretary at Polaris Industries Inc., a manufacturer and marketer of powersports products, where she joined in November 2009. Previously, Ms. Bogart was General Counsel of Liberty Diversified International; Assistant General Counsel and Assistant Secretary at The Toro Company; and a Senior Attorney for Honeywell International, Inc.</w:t>
      </w:r>
    </w:p>
    <w:p>
      <w:pPr>
        <w:spacing w:after="0" w:line="17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Mr. Clark, President of Grand Design RV; Vice President of Winnebago Industries, became an officer of Winnebago Industries in November 2016 in accordance with terms of the Grand Design acquisition. He co-founded Grand Design RV, LLC in 2012 and built the team at Grand Design RV. Mr. Clark has over 30 years of successful RV industry experience.</w:t>
      </w:r>
    </w:p>
    <w:p>
      <w:pPr>
        <w:spacing w:after="0" w:line="17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Mr. Degnan joined Winnebago Industries in May 2012 as Vice President of Sales and Product Management. He became Vice President and General Manager, Towables Business in 2016. Prior to joining Winnebago, Mr. Degnan served as Vice President of Sales for Riverside, California's MVP RV from 2010 to 2012. He also previously served in management and sales positions with Coachmen RV from 2008 to 2010, with National RV from 2007 to 2008, and Fleetwood Enterprises from 1987 to 2007.</w:t>
      </w:r>
    </w:p>
    <w:p>
      <w:pPr>
        <w:spacing w:after="0" w:line="176"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Mr. Hazelton joined Winnebago Industries in August 2016 as Vice President and General Manager, Motorhome Business. He previously was CEO of Schwing America, Inc., a manufacturer of concrete pumps and truck mixers, from 2009 to 2016. Prior to his employment with Schwing, he worked for Terex Corporation and Detroit Diesel Corporation in various executive roles.</w:t>
      </w:r>
    </w:p>
    <w:p>
      <w:pPr>
        <w:spacing w:after="0" w:line="174"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Mr. Hughes joined Winnebago Industries in April 2017 and was appointed Vice President, Chief Financial Officer of the Company in May 2017. Mr. Hughes joined Winnebago Industries from Ecolab, Inc., where he served as Senior Vice President and Corporate Controller from 2014 to 2017, as Vice President of Finance from 2008 to 2014 and in various management positions from 1996 to 2008. Prior to his employment with Ecolab, Inc., a water technologies and services company, he worked for Ernst &amp; Young, a public accounting firm.</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Mr. Kubacki joined Winnebago Industries in November 2016 as Vice President, Information Technology, Chief Information Officer. He previously was Vice President and Chief Information Officer at Westinghouse Electric Company, a global provider of nuclear power plant products and services, in 2016. Prior to his employment with Westinghouse, he worked as Chief Information Officer at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Alliant Techsystems, a defense, aerospace, sporting goods, and retail markets company, from 2010 to 2015, and at Kroll, a global risk consulting firm, from 2007 to 2010. He also held various IT roles with Ecolab, Inc.</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Mr. West joined Winnebago Industries in September 2016 as Vice President, Operations. He previously was Vice President of Global Supply Chain for Joy Global, a worldwide equipment manufacturer, from 2014 to 2016, and Operations Director from 2012 to 2014. Mr. West served as Director of Manufacturing for AGCO Corporation, an agricultural equipment manufacturer, from 2008 to 2012 and as Director of Operations and in other management positions for the Nordam Group, a manufacturer of aircraft interiors, from 1999 to 2009.</w:t>
      </w:r>
    </w:p>
    <w:p>
      <w:pPr>
        <w:spacing w:after="0" w:line="176"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Mr. Woodson joined Winnebago Industries in January 2015 as Vice President, Administration. Prior to joining Winnebago, Mr. Woodson was Vice President of Human Resources at Corbion N.V., a food and biochemicals company, from 2007 to 2014 and Director, Human Resources at Sara Lee Corporation from 1999 to 2007. Mr. Woodson has over 24 years of business and human resources experience.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141" w:right="2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the Registrant's Common Equity, Related Stockholder Matters, and 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and Chicago Stock Exchanges with the ticker symbol of WGO.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15, 2018: 2,593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214" w:lineRule="exact"/>
        <w:rPr>
          <w:sz w:val="20"/>
          <w:szCs w:val="20"/>
          <w:color w:val="auto"/>
        </w:rPr>
      </w:pPr>
    </w:p>
    <w:p>
      <w:pPr>
        <w:ind w:right="480"/>
        <w:spacing w:after="0" w:line="251" w:lineRule="auto"/>
        <w:rPr>
          <w:sz w:val="20"/>
          <w:szCs w:val="20"/>
          <w:color w:val="auto"/>
        </w:rPr>
      </w:pPr>
      <w:r>
        <w:rPr>
          <w:rFonts w:ascii="Arial" w:cs="Arial" w:eastAsia="Arial" w:hAnsi="Arial"/>
          <w:sz w:val="16"/>
          <w:szCs w:val="16"/>
          <w:color w:val="auto"/>
        </w:rPr>
        <w:t>On August 15, 2018, our Board of Directors declared a quarterly cash dividend of $0.10 per share, totaling $3.2 million, paid on September 26, 2018 to common stockholders of record at the close of business on September 12, 2018. The Board currently intends to continue to pay quarterly cash dividends payments in the future; however, declaration of future dividends, if any, will be based on several factors including our financial performance, outlook, and liquidity.</w:t>
      </w:r>
    </w:p>
    <w:p>
      <w:pPr>
        <w:spacing w:after="0" w:line="160"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 xml:space="preserve">Our Credit Agreement, as further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of this Annual Report on Form 10-K, contains restrictions that may limit our ability to pay dividends, if we fail to maintain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financial covenants.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1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Our Credit Agreement contains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credit agreement ("ABL"), which was increased from $125.0 million to $165.0 million on September 21, 2018. See additional information on our ABL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of this Annual Report on Form 10-K.</w:t>
      </w:r>
    </w:p>
    <w:p>
      <w:pPr>
        <w:spacing w:after="0" w:line="17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On December 19, 2007, our Board of Directors authorized the repurchase of outstanding shares of our common stock, depending on market conditions, for an aggregate consideration of up to $60.0 million. On October 18, 2017, our Board of Directors authorized a share repurchase program in the amount of $70.0 million. There is no time restriction on either authorization. During Fiscal 2018, we repurchased 134,803 shares of our common stock at a cost of $5.0 million. An additional 33,560 shares of our common stock at a cost of $1.5 million were repurchased to satisfy tax obligations on employee equity awards as they vested. We continually evaluate if share repurchases reflect a prudent use of our capital and, subject to compliance with our Credit Agreement, we may purchase shares in the future. As of August 25, 2018, there was approximately $66.0 million remaining on our board repurchase authorization.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fourth quarter of Fiscal 2018 were:</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tcPr>
          <w:p>
            <w:pPr>
              <w:jc w:val="center"/>
              <w:ind w:right="79"/>
              <w:spacing w:after="0"/>
              <w:rPr>
                <w:sz w:val="20"/>
                <w:szCs w:val="20"/>
                <w:color w:val="auto"/>
              </w:rPr>
            </w:pPr>
            <w:r>
              <w:rPr>
                <w:rFonts w:ascii="Arial" w:cs="Arial" w:eastAsia="Arial" w:hAnsi="Arial"/>
                <w:sz w:val="16"/>
                <w:szCs w:val="16"/>
                <w:b w:val="1"/>
                <w:bCs w:val="1"/>
                <w:color w:val="auto"/>
              </w:rPr>
              <w:t>Approximate Dollar Value of</w:t>
            </w:r>
          </w:p>
        </w:tc>
      </w:tr>
      <w:tr>
        <w:trPr>
          <w:trHeight w:val="189"/>
        </w:trPr>
        <w:tc>
          <w:tcPr>
            <w:tcW w:w="23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 Purchased as</w:t>
            </w:r>
          </w:p>
        </w:tc>
        <w:tc>
          <w:tcPr>
            <w:tcW w:w="160" w:type="dxa"/>
            <w:vAlign w:val="bottom"/>
          </w:tcPr>
          <w:p>
            <w:pPr>
              <w:spacing w:after="0"/>
              <w:rPr>
                <w:sz w:val="16"/>
                <w:szCs w:val="16"/>
                <w:color w:val="auto"/>
              </w:rPr>
            </w:pPr>
          </w:p>
        </w:tc>
        <w:tc>
          <w:tcPr>
            <w:tcW w:w="2560" w:type="dxa"/>
            <w:vAlign w:val="bottom"/>
          </w:tcPr>
          <w:p>
            <w:pPr>
              <w:jc w:val="center"/>
              <w:ind w:right="79"/>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23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1820" w:type="dxa"/>
            <w:vAlign w:val="bottom"/>
            <w:gridSpan w:val="2"/>
          </w:tcPr>
          <w:p>
            <w:pPr>
              <w:ind w:left="580"/>
              <w:spacing w:after="0"/>
              <w:rPr>
                <w:sz w:val="20"/>
                <w:szCs w:val="20"/>
                <w:color w:val="auto"/>
              </w:rPr>
            </w:pPr>
            <w:r>
              <w:rPr>
                <w:rFonts w:ascii="Arial" w:cs="Arial" w:eastAsia="Arial" w:hAnsi="Arial"/>
                <w:sz w:val="16"/>
                <w:szCs w:val="16"/>
                <w:b w:val="1"/>
                <w:bCs w:val="1"/>
                <w:color w:val="auto"/>
              </w:rPr>
              <w:t>Average Price</w:t>
            </w:r>
          </w:p>
        </w:tc>
        <w:tc>
          <w:tcPr>
            <w:tcW w:w="2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Part of Publicly Announced Plans</w:t>
            </w:r>
          </w:p>
        </w:tc>
        <w:tc>
          <w:tcPr>
            <w:tcW w:w="160" w:type="dxa"/>
            <w:vAlign w:val="bottom"/>
          </w:tcPr>
          <w:p>
            <w:pPr>
              <w:spacing w:after="0"/>
              <w:rPr>
                <w:sz w:val="16"/>
                <w:szCs w:val="16"/>
                <w:color w:val="auto"/>
              </w:rPr>
            </w:pPr>
          </w:p>
        </w:tc>
        <w:tc>
          <w:tcPr>
            <w:tcW w:w="2560" w:type="dxa"/>
            <w:vAlign w:val="bottom"/>
          </w:tcPr>
          <w:p>
            <w:pPr>
              <w:jc w:val="center"/>
              <w:ind w:right="79"/>
              <w:spacing w:after="0"/>
              <w:rPr>
                <w:sz w:val="20"/>
                <w:szCs w:val="20"/>
                <w:color w:val="auto"/>
              </w:rPr>
            </w:pPr>
            <w:r>
              <w:rPr>
                <w:rFonts w:ascii="Arial" w:cs="Arial" w:eastAsia="Arial" w:hAnsi="Arial"/>
                <w:sz w:val="16"/>
                <w:szCs w:val="16"/>
                <w:b w:val="1"/>
                <w:bCs w:val="1"/>
                <w:color w:val="auto"/>
              </w:rPr>
              <w:t>Purchased Under the Plans or</w:t>
            </w:r>
          </w:p>
        </w:tc>
      </w:tr>
      <w:tr>
        <w:trPr>
          <w:trHeight w:val="234"/>
        </w:trPr>
        <w:tc>
          <w:tcPr>
            <w:tcW w:w="2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7"/>
              </w:rPr>
              <w:t>Purchased</w:t>
            </w:r>
            <w:r>
              <w:rPr>
                <w:rFonts w:ascii="Arial" w:cs="Arial" w:eastAsia="Arial" w:hAnsi="Arial"/>
                <w:sz w:val="21"/>
                <w:szCs w:val="21"/>
                <w:b w:val="1"/>
                <w:bCs w:val="1"/>
                <w:color w:val="auto"/>
                <w:w w:val="97"/>
                <w:vertAlign w:val="superscript"/>
              </w:rPr>
              <w:t>(1)</w:t>
            </w:r>
          </w:p>
        </w:tc>
        <w:tc>
          <w:tcPr>
            <w:tcW w:w="182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Paid per Share</w:t>
            </w:r>
          </w:p>
        </w:tc>
        <w:tc>
          <w:tcPr>
            <w:tcW w:w="2780" w:type="dxa"/>
            <w:vAlign w:val="bottom"/>
            <w:tcBorders>
              <w:bottom w:val="single" w:sz="8" w:color="auto"/>
            </w:tcBorders>
            <w:gridSpan w:val="2"/>
          </w:tcPr>
          <w:p>
            <w:pPr>
              <w:jc w:val="center"/>
              <w:ind w:right="100"/>
              <w:spacing w:after="0" w:line="234" w:lineRule="exact"/>
              <w:rPr>
                <w:sz w:val="20"/>
                <w:szCs w:val="20"/>
                <w:color w:val="auto"/>
              </w:rPr>
            </w:pPr>
            <w:r>
              <w:rPr>
                <w:rFonts w:ascii="Arial" w:cs="Arial" w:eastAsia="Arial" w:hAnsi="Arial"/>
                <w:sz w:val="16"/>
                <w:szCs w:val="16"/>
                <w:b w:val="1"/>
                <w:bCs w:val="1"/>
                <w:color w:val="auto"/>
                <w:w w:val="96"/>
              </w:rPr>
              <w:t>or Programs</w:t>
            </w:r>
            <w:r>
              <w:rPr>
                <w:rFonts w:ascii="Arial" w:cs="Arial" w:eastAsia="Arial" w:hAnsi="Arial"/>
                <w:sz w:val="21"/>
                <w:szCs w:val="21"/>
                <w:b w:val="1"/>
                <w:bCs w:val="1"/>
                <w:color w:val="auto"/>
                <w:w w:val="96"/>
                <w:vertAlign w:val="superscript"/>
              </w:rPr>
              <w:t>(1)</w:t>
            </w: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Programs</w:t>
            </w:r>
            <w:r>
              <w:rPr>
                <w:rFonts w:ascii="Arial" w:cs="Arial" w:eastAsia="Arial" w:hAnsi="Arial"/>
                <w:sz w:val="21"/>
                <w:szCs w:val="21"/>
                <w:b w:val="1"/>
                <w:bCs w:val="1"/>
                <w:color w:val="auto"/>
                <w:w w:val="95"/>
                <w:vertAlign w:val="superscript"/>
              </w:rPr>
              <w:t>(2)</w:t>
            </w:r>
          </w:p>
        </w:tc>
      </w:tr>
      <w:tr>
        <w:trPr>
          <w:trHeight w:val="264"/>
        </w:trPr>
        <w:tc>
          <w:tcPr>
            <w:tcW w:w="23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05/27/18 - 06/30/18</w:t>
            </w:r>
          </w:p>
        </w:tc>
        <w:tc>
          <w:tcPr>
            <w:tcW w:w="1520" w:type="dxa"/>
            <w:vAlign w:val="bottom"/>
            <w:shd w:val="clear" w:color="auto" w:fill="BFE4FF"/>
          </w:tcPr>
          <w:p>
            <w:pPr>
              <w:ind w:left="1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E4FF"/>
          </w:tcPr>
          <w:p>
            <w:pPr>
              <w:ind w:left="540"/>
              <w:spacing w:after="0"/>
              <w:rPr>
                <w:sz w:val="20"/>
                <w:szCs w:val="20"/>
                <w:color w:val="auto"/>
              </w:rPr>
            </w:pPr>
            <w:r>
              <w:rPr>
                <w:rFonts w:ascii="Arial" w:cs="Arial" w:eastAsia="Arial" w:hAnsi="Arial"/>
                <w:sz w:val="16"/>
                <w:szCs w:val="16"/>
                <w:color w:val="auto"/>
              </w:rPr>
              <w:t>$</w:t>
            </w:r>
          </w:p>
        </w:tc>
        <w:tc>
          <w:tcPr>
            <w:tcW w:w="780" w:type="dxa"/>
            <w:vAlign w:val="bottom"/>
            <w:shd w:val="clear" w:color="auto" w:fill="BFE4FF"/>
          </w:tcPr>
          <w:p>
            <w:pPr>
              <w:ind w:left="400"/>
              <w:spacing w:after="0"/>
              <w:rPr>
                <w:sz w:val="20"/>
                <w:szCs w:val="20"/>
                <w:color w:val="auto"/>
              </w:rPr>
            </w:pPr>
            <w:r>
              <w:rPr>
                <w:rFonts w:ascii="Arial" w:cs="Arial" w:eastAsia="Arial" w:hAnsi="Arial"/>
                <w:sz w:val="16"/>
                <w:szCs w:val="16"/>
                <w:color w:val="auto"/>
              </w:rPr>
              <w:t>—</w:t>
            </w:r>
          </w:p>
        </w:tc>
        <w:tc>
          <w:tcPr>
            <w:tcW w:w="2780" w:type="dxa"/>
            <w:vAlign w:val="bottom"/>
            <w:gridSpan w:val="2"/>
            <w:shd w:val="clear" w:color="auto" w:fill="BFE4FF"/>
          </w:tcPr>
          <w:p>
            <w:pPr>
              <w:ind w:left="2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25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65,989,000</w:t>
            </w:r>
          </w:p>
        </w:tc>
      </w:tr>
      <w:tr>
        <w:trPr>
          <w:trHeight w:val="260"/>
        </w:trPr>
        <w:tc>
          <w:tcPr>
            <w:tcW w:w="2320" w:type="dxa"/>
            <w:vAlign w:val="bottom"/>
          </w:tcPr>
          <w:p>
            <w:pPr>
              <w:jc w:val="right"/>
              <w:ind w:right="819"/>
              <w:spacing w:after="0"/>
              <w:rPr>
                <w:sz w:val="20"/>
                <w:szCs w:val="20"/>
                <w:color w:val="auto"/>
              </w:rPr>
            </w:pPr>
            <w:r>
              <w:rPr>
                <w:rFonts w:ascii="Arial" w:cs="Arial" w:eastAsia="Arial" w:hAnsi="Arial"/>
                <w:sz w:val="16"/>
                <w:szCs w:val="16"/>
                <w:color w:val="auto"/>
              </w:rPr>
              <w:t>07/01/18 - 07/28/18</w:t>
            </w:r>
          </w:p>
        </w:tc>
        <w:tc>
          <w:tcPr>
            <w:tcW w:w="1520" w:type="dxa"/>
            <w:vAlign w:val="bottom"/>
          </w:tcPr>
          <w:p>
            <w:pPr>
              <w:ind w:left="1260"/>
              <w:spacing w:after="0"/>
              <w:rPr>
                <w:sz w:val="20"/>
                <w:szCs w:val="20"/>
                <w:color w:val="auto"/>
              </w:rPr>
            </w:pPr>
            <w:r>
              <w:rPr>
                <w:rFonts w:ascii="Arial" w:cs="Arial" w:eastAsia="Arial" w:hAnsi="Arial"/>
                <w:sz w:val="16"/>
                <w:szCs w:val="16"/>
                <w:color w:val="auto"/>
              </w:rPr>
              <w:t>—</w:t>
            </w:r>
          </w:p>
        </w:tc>
        <w:tc>
          <w:tcPr>
            <w:tcW w:w="1040" w:type="dxa"/>
            <w:vAlign w:val="bottom"/>
          </w:tcPr>
          <w:p>
            <w:pPr>
              <w:ind w:left="540"/>
              <w:spacing w:after="0"/>
              <w:rPr>
                <w:sz w:val="20"/>
                <w:szCs w:val="20"/>
                <w:color w:val="auto"/>
              </w:rPr>
            </w:pPr>
            <w:r>
              <w:rPr>
                <w:rFonts w:ascii="Arial" w:cs="Arial" w:eastAsia="Arial" w:hAnsi="Arial"/>
                <w:sz w:val="16"/>
                <w:szCs w:val="16"/>
                <w:color w:val="auto"/>
              </w:rPr>
              <w:t>$</w:t>
            </w:r>
          </w:p>
        </w:tc>
        <w:tc>
          <w:tcPr>
            <w:tcW w:w="780" w:type="dxa"/>
            <w:vAlign w:val="bottom"/>
          </w:tcPr>
          <w:p>
            <w:pPr>
              <w:ind w:left="400"/>
              <w:spacing w:after="0"/>
              <w:rPr>
                <w:sz w:val="20"/>
                <w:szCs w:val="20"/>
                <w:color w:val="auto"/>
              </w:rPr>
            </w:pPr>
            <w:r>
              <w:rPr>
                <w:rFonts w:ascii="Arial" w:cs="Arial" w:eastAsia="Arial" w:hAnsi="Arial"/>
                <w:sz w:val="16"/>
                <w:szCs w:val="16"/>
                <w:color w:val="auto"/>
              </w:rPr>
              <w:t>—</w:t>
            </w:r>
          </w:p>
        </w:tc>
        <w:tc>
          <w:tcPr>
            <w:tcW w:w="2780" w:type="dxa"/>
            <w:vAlign w:val="bottom"/>
            <w:gridSpan w:val="2"/>
          </w:tcPr>
          <w:p>
            <w:pPr>
              <w:ind w:left="2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19"/>
              <w:spacing w:after="0"/>
              <w:rPr>
                <w:sz w:val="20"/>
                <w:szCs w:val="20"/>
                <w:color w:val="auto"/>
              </w:rPr>
            </w:pPr>
            <w:r>
              <w:rPr>
                <w:rFonts w:ascii="Arial" w:cs="Arial" w:eastAsia="Arial" w:hAnsi="Arial"/>
                <w:sz w:val="16"/>
                <w:szCs w:val="16"/>
                <w:color w:val="auto"/>
              </w:rPr>
              <w:t>65,989,000</w:t>
            </w:r>
          </w:p>
        </w:tc>
      </w:tr>
      <w:tr>
        <w:trPr>
          <w:trHeight w:val="273"/>
        </w:trPr>
        <w:tc>
          <w:tcPr>
            <w:tcW w:w="23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07/29/18 - 08/25/18</w:t>
            </w:r>
          </w:p>
        </w:tc>
        <w:tc>
          <w:tcPr>
            <w:tcW w:w="1520" w:type="dxa"/>
            <w:vAlign w:val="bottom"/>
            <w:tcBorders>
              <w:bottom w:val="single" w:sz="8" w:color="auto"/>
            </w:tcBorders>
            <w:shd w:val="clear" w:color="auto" w:fill="BFE4FF"/>
          </w:tcPr>
          <w:p>
            <w:pPr>
              <w:ind w:left="1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E4FF"/>
          </w:tcPr>
          <w:p>
            <w:pPr>
              <w:ind w:left="540"/>
              <w:spacing w:after="0"/>
              <w:rPr>
                <w:sz w:val="20"/>
                <w:szCs w:val="20"/>
                <w:color w:val="auto"/>
              </w:rPr>
            </w:pPr>
            <w:r>
              <w:rPr>
                <w:rFonts w:ascii="Arial" w:cs="Arial" w:eastAsia="Arial" w:hAnsi="Arial"/>
                <w:sz w:val="16"/>
                <w:szCs w:val="16"/>
                <w:color w:val="auto"/>
              </w:rPr>
              <w:t>$</w:t>
            </w:r>
          </w:p>
        </w:tc>
        <w:tc>
          <w:tcPr>
            <w:tcW w:w="780" w:type="dxa"/>
            <w:vAlign w:val="bottom"/>
            <w:shd w:val="clear" w:color="auto" w:fill="BFE4FF"/>
          </w:tcPr>
          <w:p>
            <w:pPr>
              <w:ind w:left="40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shd w:val="clear" w:color="auto" w:fill="BFE4FF"/>
          </w:tcPr>
          <w:p>
            <w:pPr>
              <w:ind w:left="2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BFE4FF"/>
          </w:tcPr>
          <w:p>
            <w:pPr>
              <w:spacing w:after="0"/>
              <w:rPr>
                <w:sz w:val="23"/>
                <w:szCs w:val="23"/>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256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65,989,000</w:t>
            </w:r>
          </w:p>
        </w:tc>
      </w:tr>
      <w:tr>
        <w:trPr>
          <w:trHeight w:val="240"/>
        </w:trPr>
        <w:tc>
          <w:tcPr>
            <w:tcW w:w="2320" w:type="dxa"/>
            <w:vAlign w:val="bottom"/>
          </w:tcPr>
          <w:p>
            <w:pPr>
              <w:jc w:val="right"/>
              <w:ind w:right="1739"/>
              <w:spacing w:after="0"/>
              <w:rPr>
                <w:sz w:val="20"/>
                <w:szCs w:val="20"/>
                <w:color w:val="auto"/>
              </w:rPr>
            </w:pPr>
            <w:r>
              <w:rPr>
                <w:rFonts w:ascii="Arial" w:cs="Arial" w:eastAsia="Arial" w:hAnsi="Arial"/>
                <w:sz w:val="16"/>
                <w:szCs w:val="16"/>
                <w:color w:val="auto"/>
              </w:rPr>
              <w:t>Total</w:t>
            </w:r>
          </w:p>
        </w:tc>
        <w:tc>
          <w:tcPr>
            <w:tcW w:w="1520" w:type="dxa"/>
            <w:vAlign w:val="bottom"/>
          </w:tcPr>
          <w:p>
            <w:pPr>
              <w:ind w:left="1260"/>
              <w:spacing w:after="0"/>
              <w:rPr>
                <w:sz w:val="20"/>
                <w:szCs w:val="20"/>
                <w:color w:val="auto"/>
              </w:rPr>
            </w:pPr>
            <w:r>
              <w:rPr>
                <w:rFonts w:ascii="Arial" w:cs="Arial" w:eastAsia="Arial" w:hAnsi="Arial"/>
                <w:sz w:val="16"/>
                <w:szCs w:val="16"/>
                <w:color w:val="auto"/>
              </w:rPr>
              <w:t>—</w:t>
            </w:r>
          </w:p>
        </w:tc>
        <w:tc>
          <w:tcPr>
            <w:tcW w:w="1040" w:type="dxa"/>
            <w:vAlign w:val="bottom"/>
          </w:tcPr>
          <w:p>
            <w:pPr>
              <w:ind w:left="540"/>
              <w:spacing w:after="0"/>
              <w:rPr>
                <w:sz w:val="20"/>
                <w:szCs w:val="20"/>
                <w:color w:val="auto"/>
              </w:rPr>
            </w:pPr>
            <w:r>
              <w:rPr>
                <w:rFonts w:ascii="Arial" w:cs="Arial" w:eastAsia="Arial" w:hAnsi="Arial"/>
                <w:sz w:val="16"/>
                <w:szCs w:val="16"/>
                <w:color w:val="auto"/>
              </w:rPr>
              <w:t>$</w:t>
            </w:r>
          </w:p>
        </w:tc>
        <w:tc>
          <w:tcPr>
            <w:tcW w:w="780" w:type="dxa"/>
            <w:vAlign w:val="bottom"/>
          </w:tcPr>
          <w:p>
            <w:pPr>
              <w:ind w:left="400"/>
              <w:spacing w:after="0"/>
              <w:rPr>
                <w:sz w:val="20"/>
                <w:szCs w:val="20"/>
                <w:color w:val="auto"/>
              </w:rPr>
            </w:pPr>
            <w:r>
              <w:rPr>
                <w:rFonts w:ascii="Arial" w:cs="Arial" w:eastAsia="Arial" w:hAnsi="Arial"/>
                <w:sz w:val="16"/>
                <w:szCs w:val="16"/>
                <w:color w:val="auto"/>
              </w:rPr>
              <w:t>—</w:t>
            </w:r>
          </w:p>
        </w:tc>
        <w:tc>
          <w:tcPr>
            <w:tcW w:w="2780" w:type="dxa"/>
            <w:vAlign w:val="bottom"/>
            <w:gridSpan w:val="2"/>
          </w:tcPr>
          <w:p>
            <w:pPr>
              <w:ind w:left="2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19"/>
              <w:spacing w:after="0"/>
              <w:rPr>
                <w:sz w:val="20"/>
                <w:szCs w:val="20"/>
                <w:color w:val="auto"/>
              </w:rPr>
            </w:pPr>
            <w:r>
              <w:rPr>
                <w:rFonts w:ascii="Arial" w:cs="Arial" w:eastAsia="Arial" w:hAnsi="Arial"/>
                <w:sz w:val="16"/>
                <w:szCs w:val="16"/>
                <w:color w:val="auto"/>
              </w:rPr>
              <w:t>65,989,000</w:t>
            </w:r>
          </w:p>
        </w:tc>
      </w:tr>
      <w:tr>
        <w:trPr>
          <w:trHeight w:val="20"/>
        </w:trPr>
        <w:tc>
          <w:tcPr>
            <w:tcW w:w="23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60" w:right="160" w:hanging="252"/>
        <w:spacing w:after="0" w:line="241"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right="160" w:hanging="252"/>
        <w:spacing w:after="0" w:line="258"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Pursuant to a combined $130.0 million share repurchase program authorized by our Board of Directors. On December 18, 2007, $60.0 million was approved, and on October 18, 2017, $70.0 million was approved. There is no time restriction on either authorization.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28"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auto"/>
        </w:rPr>
        <w:t>The following table provides information as of August 25, 2018 with respect to shares of our common stock that may be issued under our existing equity compensation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980" w:type="dxa"/>
            <w:vAlign w:val="bottom"/>
          </w:tcPr>
          <w:p>
            <w:pPr>
              <w:jc w:val="center"/>
              <w:ind w:left="259"/>
              <w:spacing w:after="0"/>
              <w:rPr>
                <w:sz w:val="20"/>
                <w:szCs w:val="20"/>
                <w:color w:val="auto"/>
              </w:rPr>
            </w:pPr>
            <w:r>
              <w:rPr>
                <w:rFonts w:ascii="Arial" w:cs="Arial" w:eastAsia="Arial" w:hAnsi="Arial"/>
                <w:sz w:val="16"/>
                <w:szCs w:val="16"/>
                <w:b w:val="1"/>
                <w:bCs w:val="1"/>
                <w:color w:val="auto"/>
              </w:rPr>
              <w:t>(a)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w:t>
            </w:r>
          </w:p>
        </w:tc>
        <w:tc>
          <w:tcPr>
            <w:tcW w:w="2600" w:type="dxa"/>
            <w:vAlign w:val="bottom"/>
          </w:tcPr>
          <w:p>
            <w:pPr>
              <w:jc w:val="center"/>
              <w:ind w:left="279"/>
              <w:spacing w:after="0"/>
              <w:rPr>
                <w:sz w:val="20"/>
                <w:szCs w:val="20"/>
                <w:color w:val="auto"/>
              </w:rPr>
            </w:pPr>
            <w:r>
              <w:rPr>
                <w:rFonts w:ascii="Arial" w:cs="Arial" w:eastAsia="Arial" w:hAnsi="Arial"/>
                <w:sz w:val="16"/>
                <w:szCs w:val="16"/>
                <w:b w:val="1"/>
                <w:bCs w:val="1"/>
                <w:color w:val="auto"/>
              </w:rPr>
              <w:t>(c)</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top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Number of Securities</w:t>
            </w:r>
          </w:p>
        </w:tc>
        <w:tc>
          <w:tcPr>
            <w:tcW w:w="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980" w:type="dxa"/>
            <w:vAlign w:val="bottom"/>
          </w:tcPr>
          <w:p>
            <w:pPr>
              <w:jc w:val="center"/>
              <w:ind w:left="259"/>
              <w:spacing w:after="0"/>
              <w:rPr>
                <w:sz w:val="20"/>
                <w:szCs w:val="20"/>
                <w:color w:val="auto"/>
              </w:rPr>
            </w:pPr>
            <w:r>
              <w:rPr>
                <w:rFonts w:ascii="Arial" w:cs="Arial" w:eastAsia="Arial" w:hAnsi="Arial"/>
                <w:sz w:val="16"/>
                <w:szCs w:val="16"/>
                <w:b w:val="1"/>
                <w:bCs w:val="1"/>
                <w:color w:val="auto"/>
              </w:rPr>
              <w:t>Number of Securities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ind w:left="319"/>
              <w:spacing w:after="0"/>
              <w:rPr>
                <w:sz w:val="20"/>
                <w:szCs w:val="20"/>
                <w:color w:val="auto"/>
              </w:rPr>
            </w:pPr>
            <w:r>
              <w:rPr>
                <w:rFonts w:ascii="Arial" w:cs="Arial" w:eastAsia="Arial" w:hAnsi="Arial"/>
                <w:sz w:val="16"/>
                <w:szCs w:val="16"/>
                <w:b w:val="1"/>
                <w:bCs w:val="1"/>
                <w:color w:val="auto"/>
              </w:rPr>
              <w:t>Remaining Available for</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980" w:type="dxa"/>
            <w:vAlign w:val="bottom"/>
          </w:tcPr>
          <w:p>
            <w:pPr>
              <w:jc w:val="center"/>
              <w:ind w:left="259"/>
              <w:spacing w:after="0"/>
              <w:rPr>
                <w:sz w:val="20"/>
                <w:szCs w:val="20"/>
                <w:color w:val="auto"/>
              </w:rPr>
            </w:pPr>
            <w:r>
              <w:rPr>
                <w:rFonts w:ascii="Arial" w:cs="Arial" w:eastAsia="Arial" w:hAnsi="Arial"/>
                <w:sz w:val="16"/>
                <w:szCs w:val="16"/>
                <w:b w:val="1"/>
                <w:bCs w:val="1"/>
                <w:color w:val="auto"/>
              </w:rPr>
              <w:t>to be Issued Upon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 Average</w:t>
            </w:r>
          </w:p>
        </w:tc>
        <w:tc>
          <w:tcPr>
            <w:tcW w:w="2600" w:type="dxa"/>
            <w:vAlign w:val="bottom"/>
          </w:tcPr>
          <w:p>
            <w:pPr>
              <w:jc w:val="center"/>
              <w:ind w:left="279"/>
              <w:spacing w:after="0"/>
              <w:rPr>
                <w:sz w:val="20"/>
                <w:szCs w:val="20"/>
                <w:color w:val="auto"/>
              </w:rPr>
            </w:pPr>
            <w:r>
              <w:rPr>
                <w:rFonts w:ascii="Arial" w:cs="Arial" w:eastAsia="Arial" w:hAnsi="Arial"/>
                <w:sz w:val="16"/>
                <w:szCs w:val="16"/>
                <w:b w:val="1"/>
                <w:bCs w:val="1"/>
                <w:color w:val="auto"/>
              </w:rPr>
              <w:t>Future Issuance Under</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980" w:type="dxa"/>
            <w:vAlign w:val="bottom"/>
          </w:tcPr>
          <w:p>
            <w:pPr>
              <w:jc w:val="center"/>
              <w:ind w:left="279"/>
              <w:spacing w:after="0"/>
              <w:rPr>
                <w:sz w:val="20"/>
                <w:szCs w:val="20"/>
                <w:color w:val="auto"/>
              </w:rPr>
            </w:pPr>
            <w:r>
              <w:rPr>
                <w:rFonts w:ascii="Arial" w:cs="Arial" w:eastAsia="Arial" w:hAnsi="Arial"/>
                <w:sz w:val="16"/>
                <w:szCs w:val="16"/>
                <w:b w:val="1"/>
                <w:bCs w:val="1"/>
                <w:color w:val="auto"/>
              </w:rPr>
              <w:t>Exercise of</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Exercise Price of</w:t>
            </w:r>
          </w:p>
        </w:tc>
        <w:tc>
          <w:tcPr>
            <w:tcW w:w="2600" w:type="dxa"/>
            <w:vAlign w:val="bottom"/>
          </w:tcPr>
          <w:p>
            <w:pPr>
              <w:jc w:val="center"/>
              <w:ind w:left="279"/>
              <w:spacing w:after="0"/>
              <w:rPr>
                <w:sz w:val="20"/>
                <w:szCs w:val="20"/>
                <w:color w:val="auto"/>
              </w:rPr>
            </w:pPr>
            <w:r>
              <w:rPr>
                <w:rFonts w:ascii="Arial" w:cs="Arial" w:eastAsia="Arial" w:hAnsi="Arial"/>
                <w:sz w:val="16"/>
                <w:szCs w:val="16"/>
                <w:b w:val="1"/>
                <w:bCs w:val="1"/>
                <w:color w:val="auto"/>
              </w:rPr>
              <w:t>Equity Compensation 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4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Outstanding Options,</w:t>
            </w: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Outstanding Options,</w:t>
            </w:r>
          </w:p>
        </w:tc>
        <w:tc>
          <w:tcPr>
            <w:tcW w:w="2600" w:type="dxa"/>
            <w:vAlign w:val="bottom"/>
          </w:tcPr>
          <w:p>
            <w:pPr>
              <w:jc w:val="center"/>
              <w:ind w:left="319"/>
              <w:spacing w:after="0"/>
              <w:rPr>
                <w:sz w:val="20"/>
                <w:szCs w:val="20"/>
                <w:color w:val="auto"/>
              </w:rPr>
            </w:pPr>
            <w:r>
              <w:rPr>
                <w:rFonts w:ascii="Arial" w:cs="Arial" w:eastAsia="Arial" w:hAnsi="Arial"/>
                <w:sz w:val="16"/>
                <w:szCs w:val="16"/>
                <w:b w:val="1"/>
                <w:bCs w:val="1"/>
                <w:color w:val="auto"/>
              </w:rPr>
              <w:t>(Excluding Securities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1980" w:type="dxa"/>
            <w:vAlign w:val="bottom"/>
          </w:tcPr>
          <w:p>
            <w:pPr>
              <w:jc w:val="center"/>
              <w:ind w:left="319"/>
              <w:spacing w:after="0"/>
              <w:rPr>
                <w:sz w:val="20"/>
                <w:szCs w:val="20"/>
                <w:color w:val="auto"/>
              </w:rPr>
            </w:pPr>
            <w:r>
              <w:rPr>
                <w:rFonts w:ascii="Arial" w:cs="Arial" w:eastAsia="Arial" w:hAnsi="Arial"/>
                <w:sz w:val="16"/>
                <w:szCs w:val="16"/>
                <w:b w:val="1"/>
                <w:bCs w:val="1"/>
                <w:color w:val="auto"/>
              </w:rPr>
              <w:t>Warrants and Rights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jc w:val="center"/>
              <w:ind w:right="60"/>
              <w:spacing w:after="0" w:line="234" w:lineRule="exact"/>
              <w:rPr>
                <w:sz w:val="20"/>
                <w:szCs w:val="20"/>
                <w:color w:val="auto"/>
              </w:rPr>
            </w:pPr>
            <w:r>
              <w:rPr>
                <w:rFonts w:ascii="Arial" w:cs="Arial" w:eastAsia="Arial" w:hAnsi="Arial"/>
                <w:sz w:val="16"/>
                <w:szCs w:val="16"/>
                <w:b w:val="1"/>
                <w:bCs w:val="1"/>
                <w:color w:val="auto"/>
                <w:w w:val="97"/>
              </w:rPr>
              <w:t>Warrants and Rights</w:t>
            </w:r>
            <w:r>
              <w:rPr>
                <w:rFonts w:ascii="Arial" w:cs="Arial" w:eastAsia="Arial" w:hAnsi="Arial"/>
                <w:sz w:val="21"/>
                <w:szCs w:val="21"/>
                <w:b w:val="1"/>
                <w:bCs w:val="1"/>
                <w:color w:val="auto"/>
                <w:w w:val="97"/>
                <w:vertAlign w:val="superscript"/>
              </w:rPr>
              <w:t>(1)</w:t>
            </w:r>
          </w:p>
        </w:tc>
        <w:tc>
          <w:tcPr>
            <w:tcW w:w="2600" w:type="dxa"/>
            <w:vAlign w:val="bottom"/>
          </w:tcPr>
          <w:p>
            <w:pPr>
              <w:jc w:val="center"/>
              <w:ind w:left="339"/>
              <w:spacing w:after="0"/>
              <w:rPr>
                <w:sz w:val="20"/>
                <w:szCs w:val="20"/>
                <w:color w:val="auto"/>
              </w:rPr>
            </w:pPr>
            <w:r>
              <w:rPr>
                <w:rFonts w:ascii="Arial" w:cs="Arial" w:eastAsia="Arial" w:hAnsi="Arial"/>
                <w:sz w:val="16"/>
                <w:szCs w:val="16"/>
                <w:b w:val="1"/>
                <w:bCs w:val="1"/>
                <w:color w:val="auto"/>
              </w:rPr>
              <w:t>Reflected in (a))</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1"/>
                <w:szCs w:val="11"/>
                <w:color w:val="auto"/>
                <w:w w:val="88"/>
              </w:rPr>
              <w:t>(2)</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approved by shareholders - 2004 Plan</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9,000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40"/>
              <w:spacing w:after="0"/>
              <w:rPr>
                <w:sz w:val="20"/>
                <w:szCs w:val="20"/>
                <w:color w:val="auto"/>
              </w:rPr>
            </w:pPr>
            <w:r>
              <w:rPr>
                <w:rFonts w:ascii="Arial" w:cs="Arial" w:eastAsia="Arial" w:hAnsi="Arial"/>
                <w:sz w:val="16"/>
                <w:szCs w:val="16"/>
                <w:color w:val="auto"/>
              </w:rPr>
              <w:t>Equity compensation plans</w:t>
            </w:r>
          </w:p>
        </w:tc>
        <w:tc>
          <w:tcPr>
            <w:tcW w:w="1980" w:type="dxa"/>
            <w:vAlign w:val="bottom"/>
          </w:tcPr>
          <w:p>
            <w:pPr>
              <w:spacing w:after="0"/>
              <w:rPr>
                <w:sz w:val="18"/>
                <w:szCs w:val="18"/>
                <w:color w:val="auto"/>
              </w:rPr>
            </w:pPr>
          </w:p>
        </w:tc>
        <w:tc>
          <w:tcPr>
            <w:tcW w:w="320" w:type="dxa"/>
            <w:vAlign w:val="bottom"/>
            <w:vMerge w:val="restart"/>
          </w:tcPr>
          <w:p>
            <w:pPr>
              <w:jc w:val="right"/>
              <w:ind w:right="126"/>
              <w:spacing w:after="0"/>
              <w:rPr>
                <w:sz w:val="20"/>
                <w:szCs w:val="20"/>
                <w:color w:val="auto"/>
              </w:rPr>
            </w:pPr>
            <w:r>
              <w:rPr>
                <w:rFonts w:ascii="Arial" w:cs="Arial" w:eastAsia="Arial" w:hAnsi="Arial"/>
                <w:sz w:val="11"/>
                <w:szCs w:val="11"/>
                <w:color w:val="auto"/>
                <w:w w:val="88"/>
              </w:rPr>
              <w:t>(3)</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vMerge w:val="restart"/>
          </w:tcPr>
          <w:p>
            <w:pPr>
              <w:jc w:val="right"/>
              <w:ind w:right="12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4"/>
        </w:trPr>
        <w:tc>
          <w:tcPr>
            <w:tcW w:w="3780" w:type="dxa"/>
            <w:vAlign w:val="bottom"/>
          </w:tcPr>
          <w:p>
            <w:pPr>
              <w:ind w:left="40"/>
              <w:spacing w:after="0"/>
              <w:rPr>
                <w:sz w:val="20"/>
                <w:szCs w:val="20"/>
                <w:color w:val="auto"/>
              </w:rPr>
            </w:pPr>
            <w:r>
              <w:rPr>
                <w:rFonts w:ascii="Arial" w:cs="Arial" w:eastAsia="Arial" w:hAnsi="Arial"/>
                <w:sz w:val="16"/>
                <w:szCs w:val="16"/>
                <w:color w:val="auto"/>
              </w:rPr>
              <w:t>approved by shareholders - 2014 Plan</w:t>
            </w:r>
          </w:p>
        </w:tc>
        <w:tc>
          <w:tcPr>
            <w:tcW w:w="1980" w:type="dxa"/>
            <w:vAlign w:val="bottom"/>
          </w:tcPr>
          <w:p>
            <w:pPr>
              <w:jc w:val="right"/>
              <w:ind w:right="59"/>
              <w:spacing w:after="0"/>
              <w:rPr>
                <w:sz w:val="20"/>
                <w:szCs w:val="20"/>
                <w:color w:val="auto"/>
              </w:rPr>
            </w:pPr>
            <w:r>
              <w:rPr>
                <w:rFonts w:ascii="Arial" w:cs="Arial" w:eastAsia="Arial" w:hAnsi="Arial"/>
                <w:sz w:val="16"/>
                <w:szCs w:val="16"/>
                <w:color w:val="auto"/>
              </w:rPr>
              <w:t>469,704</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17"/>
                <w:szCs w:val="17"/>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color w:val="auto"/>
              </w:rPr>
              <w:t>1,677,481</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not</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40"/>
              <w:spacing w:after="0" w:line="219" w:lineRule="exact"/>
              <w:rPr>
                <w:sz w:val="20"/>
                <w:szCs w:val="20"/>
                <w:color w:val="auto"/>
              </w:rPr>
            </w:pPr>
            <w:r>
              <w:rPr>
                <w:rFonts w:ascii="Arial" w:cs="Arial" w:eastAsia="Arial" w:hAnsi="Arial"/>
                <w:sz w:val="16"/>
                <w:szCs w:val="16"/>
                <w:color w:val="auto"/>
              </w:rPr>
              <w:t>approved by shareholders</w:t>
            </w:r>
            <w:r>
              <w:rPr>
                <w:rFonts w:ascii="Arial" w:cs="Arial" w:eastAsia="Arial" w:hAnsi="Arial"/>
                <w:sz w:val="21"/>
                <w:szCs w:val="21"/>
                <w:color w:val="auto"/>
                <w:vertAlign w:val="superscript"/>
              </w:rPr>
              <w:t>(5)</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47,366</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88"/>
              </w:rPr>
              <w:t>(6)</w:t>
            </w: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61"/>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526,070</w:t>
            </w:r>
          </w:p>
        </w:tc>
        <w:tc>
          <w:tcPr>
            <w:tcW w:w="3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22"/>
                <w:szCs w:val="22"/>
                <w:color w:val="auto"/>
              </w:rPr>
            </w:pPr>
          </w:p>
        </w:tc>
        <w:tc>
          <w:tcPr>
            <w:tcW w:w="2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1,677,481</w:t>
            </w:r>
          </w:p>
        </w:tc>
        <w:tc>
          <w:tcPr>
            <w:tcW w:w="3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260" w:right="120" w:hanging="238"/>
        <w:spacing w:after="0" w:line="24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number represents the weighted average exercise price of outstanding stock options only. Restricted share awards do not have an exercise price so weighted average is not applicable.</w:t>
      </w:r>
    </w:p>
    <w:p>
      <w:pPr>
        <w:ind w:left="260" w:hanging="238"/>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number represents unvested share awards granted under the 2004 Plan. No new grants may be made under the 2004 Plan.</w:t>
      </w:r>
    </w:p>
    <w:p>
      <w:pPr>
        <w:spacing w:after="0" w:line="1" w:lineRule="exact"/>
        <w:rPr>
          <w:rFonts w:ascii="Arial" w:cs="Arial" w:eastAsia="Arial" w:hAnsi="Arial"/>
          <w:sz w:val="14"/>
          <w:szCs w:val="14"/>
          <w:color w:val="auto"/>
        </w:rPr>
      </w:pPr>
    </w:p>
    <w:p>
      <w:pPr>
        <w:ind w:left="260" w:right="600" w:hanging="238"/>
        <w:spacing w:after="0" w:line="24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number represents stock options and unvested stock awards granted under the 2014 Omnibus Equity, Performance Award, and Incentive Compensation Plan, as amended ("2014 Plan"). The 2014 Plan replaced the 2004 Plan effective January 1, 2014.</w:t>
      </w:r>
    </w:p>
    <w:p>
      <w:pPr>
        <w:ind w:left="260" w:hanging="238"/>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number represents stock options available for grant under the 2014 Plan as of August 25, 2018.</w:t>
      </w:r>
    </w:p>
    <w:p>
      <w:pPr>
        <w:spacing w:after="0" w:line="1" w:lineRule="exact"/>
        <w:rPr>
          <w:rFonts w:ascii="Arial" w:cs="Arial" w:eastAsia="Arial" w:hAnsi="Arial"/>
          <w:sz w:val="14"/>
          <w:szCs w:val="14"/>
          <w:color w:val="auto"/>
        </w:rPr>
      </w:pPr>
    </w:p>
    <w:p>
      <w:pPr>
        <w:ind w:left="260" w:right="80" w:hanging="238"/>
        <w:spacing w:after="0" w:line="24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sole equity compensation plan not previously submitted to our shareholders for approval is the Directors' Deferred Compensation Plan, as amended ("Directors' Plan"). The Board of Directors may terminate the Directors' Plan at any time. If not terminated earlier, the Directors' Plan will automatically terminate on June 30, 2023. For a description of the key provisions of the Directors' Plan, see the information in our Proxy Statement for the Annual Meeting of Shareholders scheduled to be held December 11, 2018 under the caption "Director Compensation," which information is incorporated by reference herein.</w:t>
      </w:r>
    </w:p>
    <w:p>
      <w:pPr>
        <w:spacing w:after="0" w:line="1" w:lineRule="exact"/>
        <w:rPr>
          <w:rFonts w:ascii="Arial" w:cs="Arial" w:eastAsia="Arial" w:hAnsi="Arial"/>
          <w:sz w:val="14"/>
          <w:szCs w:val="14"/>
          <w:color w:val="auto"/>
        </w:rPr>
      </w:pPr>
    </w:p>
    <w:p>
      <w:pPr>
        <w:ind w:left="260" w:right="160" w:hanging="238"/>
        <w:spacing w:after="0" w:line="24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shares of common stock issued to a trust which underlie stock units, payable on a one-for-one basis, credited to stock unit accounts as of August 25, 2018 under the Directors' Plan.</w:t>
      </w:r>
    </w:p>
    <w:p>
      <w:pPr>
        <w:ind w:left="260" w:hanging="238"/>
        <w:spacing w:after="0" w:line="250"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table does not reflect a specific number of stock units which may be distributed pursuant to the Directors' Plan. The Directors' Plan does not limit the number of stock units issuable thereunder. The number of stock units to be distributed pursuant to the Directors' Plan will be based on the amount of the director's compensation deferred and the per share price of our common stock at the time of deferral.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21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31, 2013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5969000" cy="3361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00"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Base Period</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8"/>
        </w:trPr>
        <w:tc>
          <w:tcPr>
            <w:tcW w:w="32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August 31,</w:t>
            </w: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30,</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29,</w:t>
            </w:r>
          </w:p>
        </w:tc>
        <w:tc>
          <w:tcPr>
            <w:tcW w:w="136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27,</w:t>
            </w:r>
          </w:p>
        </w:tc>
        <w:tc>
          <w:tcPr>
            <w:tcW w:w="134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26,</w:t>
            </w: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Company/Index</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2013</w:t>
            </w: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Winnebago Industries, Inc.</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111.05</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93.25</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111.33</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163.06</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177.65</w:t>
            </w:r>
          </w:p>
        </w:tc>
      </w:tr>
      <w:tr>
        <w:trPr>
          <w:trHeight w:val="233"/>
        </w:trPr>
        <w:tc>
          <w:tcPr>
            <w:tcW w:w="320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125.25</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126.89</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141.45</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162.65</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195.09</w:t>
            </w:r>
          </w:p>
        </w:tc>
      </w:tr>
      <w:tr>
        <w:trPr>
          <w:trHeight w:val="25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Peer Group</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125.80</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125.54</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114.31</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133.51</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147.90</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Zacks Investment Research, Inc.</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41"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47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47"/>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Item 6. Selected Financial Data.</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9"/>
              </w:rPr>
              <w:t>Fiscal Years Ended</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25,</w:t>
            </w:r>
          </w:p>
        </w:tc>
        <w:tc>
          <w:tcPr>
            <w:tcW w:w="1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August 27,</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29,</w:t>
            </w:r>
          </w:p>
        </w:tc>
        <w:tc>
          <w:tcPr>
            <w:tcW w:w="160" w:type="dxa"/>
            <w:vAlign w:val="bottom"/>
          </w:tcPr>
          <w:p>
            <w:pPr>
              <w:spacing w:after="0"/>
              <w:rPr>
                <w:sz w:val="17"/>
                <w:szCs w:val="17"/>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30,</w:t>
            </w:r>
          </w:p>
        </w:tc>
      </w:tr>
      <w:tr>
        <w:trPr>
          <w:trHeight w:val="234"/>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9"/>
              <w:spacing w:after="0" w:line="234" w:lineRule="exact"/>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6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statement data:</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Net revenues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2,016,829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1,547,119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975,226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976,505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945,163</w:t>
            </w:r>
          </w:p>
        </w:tc>
      </w:tr>
      <w:tr>
        <w:trPr>
          <w:trHeight w:val="28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102,357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45,496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45,053</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Net income - basic</w:t>
            </w: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28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 - diluted</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r>
        <w:trPr>
          <w:trHeight w:val="26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Dividends declared and paid per common share</w:t>
            </w: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26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Balance sheet data:</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1,051,805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390,718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362,174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358,302</w:t>
            </w:r>
          </w:p>
        </w:tc>
      </w:tr>
      <w:tr>
        <w:trPr>
          <w:trHeight w:val="251"/>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313,175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293,680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29,410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59,601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65,835</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(1) Includes Grand Design operations from the date of its acquisition on November 8, 2016.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six sections:</w:t>
      </w:r>
    </w:p>
    <w:p>
      <w:pPr>
        <w:spacing w:after="0" w:line="17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Overview</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Results of Operations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Analysis of Financial Condition, Liquidity, and Capital Resources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Contractual Obligations and Commercial Commitments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Critical Accounting Estimates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New Accounting Pronouncements</w:t>
      </w:r>
    </w:p>
    <w:p>
      <w:pPr>
        <w:spacing w:after="0" w:line="178" w:lineRule="exact"/>
        <w:rPr>
          <w:sz w:val="20"/>
          <w:szCs w:val="20"/>
          <w:color w:val="auto"/>
        </w:rPr>
      </w:pPr>
    </w:p>
    <w:p>
      <w:pPr>
        <w:ind w:right="760"/>
        <w:spacing w:after="0" w:line="281" w:lineRule="auto"/>
        <w:rPr>
          <w:sz w:val="20"/>
          <w:szCs w:val="20"/>
          <w:color w:val="auto"/>
        </w:rPr>
      </w:pPr>
      <w:r>
        <w:rPr>
          <w:rFonts w:ascii="Arial" w:cs="Arial" w:eastAsia="Arial" w:hAnsi="Arial"/>
          <w:sz w:val="16"/>
          <w:szCs w:val="16"/>
          <w:color w:val="auto"/>
        </w:rPr>
        <w:t xml:space="preserve">Our MD&amp;A should be read in conjunction with the Consolidated Financial Statements and related Notes included in Item 8, </w:t>
      </w:r>
      <w:r>
        <w:rPr>
          <w:rFonts w:ascii="Arial" w:cs="Arial" w:eastAsia="Arial" w:hAnsi="Arial"/>
          <w:sz w:val="16"/>
          <w:szCs w:val="16"/>
          <w:i w:val="1"/>
          <w:iCs w:val="1"/>
          <w:color w:val="auto"/>
        </w:rPr>
        <w:t>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of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Winnebago Industries, Inc. is one of the leading U.S. manufacturers with a diversified portfolio of recreation vehicles ("RV"s) and marine products used primarily in leisure travel and outdoor recreation activities. We produce our motorhomes in manufacturing facilities in Iowa and Oregon; our towable units in Indiana; and our marine products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14"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81"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Refer to the Consolidated Results of Operations-Fiscal 2018 Compared to Fiscal 2017 and the Consolidated Results of Operations-Fiscal 2017 Compared to Fiscal 2016 for a detailed reconciliation of items that impacted EBITDA and Adjusted EBITDA. We have included this non-GAAP performance measure as a comparable measure to illustrate the effect of non-recurring transactions occurring during the year and improve comparability of our results from period to period.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the postretirement health care benefit income from terminating the plan and transaction costs related to acquisitions. These types of adjustments are also specified in the definition of certain measures required under the terms of our</w:t>
      </w:r>
    </w:p>
    <w:p>
      <w:pPr>
        <w:sectPr>
          <w:pgSz w:w="11900" w:h="16838" w:orient="portrait"/>
          <w:cols w:equalWidth="0" w:num="1">
            <w:col w:w="11420"/>
          </w:cols>
          <w:pgMar w:left="240" w:top="118" w:right="2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 xml:space="preserve">Credit Agreement. For additional information,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of this Annual Report on Form 10-K.</w:t>
      </w:r>
    </w:p>
    <w:p>
      <w:pPr>
        <w:spacing w:after="0" w:line="15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Credit Agreement. We believe these non-GAAP financial measures are frequently used by securities analysts, investors, and other interested parties to evaluate companies in our industry.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June 4, 2018, we acquired 100% of the ownership interests of Chris-Craft, a privately-owned company based in Sarasota, Florida. Chris-Craft manufactures and sells premium quality boats in the recreational powerboat industry through an established global network of independent authorized dealers.</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On November 8, 2016, we closed on the acquisition of all the issued and outstanding capital stock of towable RV manufacturer Grand Design RV, LLC ("Grand Design") for an aggregate purchase price of $520.5 million. This acquisition was funded from our cash on hand, $353.0 million from asset-based revolving and term loan credit facilities, as well as stock consideration as is more fully described in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 of this Annual Report on Form 10-K. We purchased Grand Design to significantly expand our existing towable RV product offerings and dealer base and acquire additional talent in the RV industry.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21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Beginning in the fourth quarter of Fiscal 2018, we have five operating segments: 1) Winnebago motorhomes, 2) Winnebago towables, 3) Grand Design towables, 4) Winnebago specialty vehicles, and 5) Chris-Craft marine. We evaluate performance based on each operating segment's Adjusted EBITDA, as defined above, which excludes certain corporate administration expenses and non-operating income and expense.</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Our two reportable segments include: 1) Motorhome (comprised of products that include a motorized chassis as well as other related manufactured products and services) and 2) Towable (comprised of products which are not motorized and are generally towed by another vehicle as well as other related manufactured products and services), which is an aggregation of the Winnebago towables and Grand Design towables operating segments.</w:t>
      </w:r>
    </w:p>
    <w:p>
      <w:pPr>
        <w:spacing w:after="0" w:line="17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 Previously, these expenses were allocated to each operating segment.</w:t>
      </w:r>
    </w:p>
    <w:p>
      <w:pPr>
        <w:spacing w:after="0" w:line="17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Prior year segment information has been reclassified to conform to the current reportable segment presentation. The reclassifications included removing the corporate administration expenses from both the Motorhome and Towable reportable segments and removing Winnebago specialty vehicles from the Motorhome reportable segment, as we begin to dedicate leadership and focus on these operations separately from our Winnebago motorhomes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141" w:right="2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2018 and 2017, as noted below, illustrates that the RV industry continues to grow at the wholesale and retail level. We believe retail demand is the key driver to continued growth in the industry.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US and Canada Industry</w:t>
            </w: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51"/>
        </w:trPr>
        <w:tc>
          <w:tcPr>
            <w:tcW w:w="1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60" w:type="dxa"/>
            <w:vAlign w:val="bottom"/>
            <w:gridSpan w:val="4"/>
          </w:tcPr>
          <w:p>
            <w:pPr>
              <w:spacing w:after="0"/>
              <w:rPr>
                <w:sz w:val="20"/>
                <w:szCs w:val="20"/>
                <w:color w:val="auto"/>
              </w:rPr>
            </w:pPr>
            <w:r>
              <w:rPr>
                <w:rFonts w:ascii="Arial" w:cs="Arial" w:eastAsia="Arial" w:hAnsi="Arial"/>
                <w:sz w:val="16"/>
                <w:szCs w:val="16"/>
                <w:b w:val="1"/>
                <w:bCs w:val="1"/>
                <w:color w:val="auto"/>
              </w:rPr>
              <w:t>Wholesale Unit Shipments per RVIA</w:t>
            </w:r>
          </w:p>
        </w:tc>
        <w:tc>
          <w:tcPr>
            <w:tcW w:w="47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83"/>
        </w:trPr>
        <w:tc>
          <w:tcPr>
            <w:tcW w:w="18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rPr>
              <w:t>Rolling 12 Months through August</w:t>
            </w: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rPr>
              <w:t>Rolling 12 Months through August</w:t>
            </w:r>
          </w:p>
        </w:tc>
      </w:tr>
      <w:tr>
        <w:trPr>
          <w:trHeight w:val="250"/>
        </w:trPr>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1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Towable</w:t>
            </w:r>
            <w:r>
              <w:rPr>
                <w:rFonts w:ascii="Arial" w:cs="Arial" w:eastAsia="Arial" w:hAnsi="Arial"/>
                <w:sz w:val="21"/>
                <w:szCs w:val="21"/>
                <w:b w:val="1"/>
                <w:bCs w:val="1"/>
                <w:color w:val="auto"/>
                <w:vertAlign w:val="superscript"/>
              </w:rPr>
              <w:t>(1)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443,572</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402,258</w:t>
            </w:r>
          </w:p>
        </w:tc>
        <w:tc>
          <w:tcPr>
            <w:tcW w:w="11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41,314</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10.3%</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417,013</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383,248</w:t>
            </w:r>
          </w:p>
        </w:tc>
        <w:tc>
          <w:tcPr>
            <w:tcW w:w="11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33,765</w:t>
            </w:r>
          </w:p>
        </w:tc>
        <w:tc>
          <w:tcPr>
            <w:tcW w:w="13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8.8%</w:t>
            </w:r>
          </w:p>
        </w:tc>
      </w:tr>
      <w:tr>
        <w:trPr>
          <w:trHeight w:val="270"/>
        </w:trPr>
        <w:tc>
          <w:tcPr>
            <w:tcW w:w="1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Motorhome</w:t>
            </w:r>
            <w:r>
              <w:rPr>
                <w:rFonts w:ascii="Arial" w:cs="Arial" w:eastAsia="Arial" w:hAnsi="Arial"/>
                <w:sz w:val="21"/>
                <w:szCs w:val="21"/>
                <w:color w:val="auto"/>
                <w:vertAlign w:val="superscript"/>
              </w:rPr>
              <w:t>(2)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62,095</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59,891</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2,204</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58,452</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56,187</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2,265</w:t>
            </w: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w:t>
            </w:r>
          </w:p>
        </w:tc>
      </w:tr>
      <w:tr>
        <w:trPr>
          <w:trHeight w:val="234"/>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Combined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505,667</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462,149</w:t>
            </w: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43,518</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475,465</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439,435</w:t>
            </w: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36,030</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8.2%</w:t>
            </w:r>
          </w:p>
        </w:tc>
      </w:tr>
      <w:tr>
        <w:trPr>
          <w:trHeight w:val="20"/>
        </w:trPr>
        <w:tc>
          <w:tcPr>
            <w:tcW w:w="1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Towable: Fifth wheel and travel trailer products.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Motorhome: Class A, B and C products.</w:t>
      </w:r>
    </w:p>
    <w:p>
      <w:pPr>
        <w:spacing w:after="0" w:line="187" w:lineRule="exact"/>
        <w:rPr>
          <w:sz w:val="20"/>
          <w:szCs w:val="20"/>
          <w:color w:val="auto"/>
        </w:rPr>
      </w:pPr>
    </w:p>
    <w:p>
      <w:pPr>
        <w:jc w:val="both"/>
        <w:ind w:right="540"/>
        <w:spacing w:after="0" w:line="253" w:lineRule="auto"/>
        <w:rPr>
          <w:sz w:val="20"/>
          <w:szCs w:val="20"/>
          <w:color w:val="auto"/>
        </w:rPr>
      </w:pPr>
      <w:r>
        <w:rPr>
          <w:rFonts w:ascii="Arial" w:cs="Arial" w:eastAsia="Arial" w:hAnsi="Arial"/>
          <w:sz w:val="16"/>
          <w:szCs w:val="16"/>
          <w:color w:val="auto"/>
        </w:rPr>
        <w:t>The most recent RVIA wholesale shipment forecasts for calendar year 2019, as noted in the table below, indicate that industry shipments are most likely expected to decline slightly in 2019. The RV sales outlook is based on anticipated increases in inflation and interest rates and rising costs of production, partially offset by strong job and wage growth.</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Calendar Year</w:t>
            </w:r>
          </w:p>
        </w:tc>
        <w:tc>
          <w:tcPr>
            <w:tcW w:w="1360" w:type="dxa"/>
            <w:vAlign w:val="bottom"/>
            <w:tcBorders>
              <w:bottom w:val="single" w:sz="8" w:color="auto"/>
            </w:tcBorders>
          </w:tcPr>
          <w:p>
            <w:pPr>
              <w:spacing w:after="0"/>
              <w:rPr>
                <w:sz w:val="19"/>
                <w:szCs w:val="19"/>
                <w:color w:val="auto"/>
              </w:rPr>
            </w:pPr>
          </w:p>
        </w:tc>
      </w:tr>
      <w:tr>
        <w:trPr>
          <w:trHeight w:val="198"/>
        </w:trPr>
        <w:tc>
          <w:tcPr>
            <w:tcW w:w="6500" w:type="dxa"/>
            <w:vAlign w:val="bottom"/>
          </w:tcPr>
          <w:p>
            <w:pPr>
              <w:spacing w:after="0"/>
              <w:rPr>
                <w:sz w:val="17"/>
                <w:szCs w:val="17"/>
                <w:color w:val="auto"/>
              </w:rPr>
            </w:pPr>
          </w:p>
        </w:tc>
        <w:tc>
          <w:tcPr>
            <w:tcW w:w="1240" w:type="dxa"/>
            <w:vAlign w:val="bottom"/>
          </w:tcPr>
          <w:p>
            <w:pPr>
              <w:ind w:left="440"/>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ind w:left="320"/>
              <w:spacing w:after="0"/>
              <w:rPr>
                <w:sz w:val="20"/>
                <w:szCs w:val="20"/>
                <w:color w:val="auto"/>
              </w:rPr>
            </w:pPr>
            <w:r>
              <w:rPr>
                <w:rFonts w:ascii="Arial" w:cs="Arial" w:eastAsia="Arial" w:hAnsi="Arial"/>
                <w:sz w:val="16"/>
                <w:szCs w:val="16"/>
                <w:b w:val="1"/>
                <w:bCs w:val="1"/>
                <w:color w:val="auto"/>
              </w:rPr>
              <w:t>2018</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650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Forecast</w:t>
            </w: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Actual</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Unit Change</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Aggressive</w:t>
            </w:r>
          </w:p>
        </w:tc>
        <w:tc>
          <w:tcPr>
            <w:tcW w:w="12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510,600</w:t>
            </w:r>
          </w:p>
        </w:tc>
        <w:tc>
          <w:tcPr>
            <w:tcW w:w="1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505,900</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4,700</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0.9 %</w:t>
            </w:r>
          </w:p>
        </w:tc>
      </w:tr>
      <w:tr>
        <w:trPr>
          <w:trHeight w:val="233"/>
        </w:trPr>
        <w:tc>
          <w:tcPr>
            <w:tcW w:w="6500" w:type="dxa"/>
            <w:vAlign w:val="bottom"/>
          </w:tcPr>
          <w:p>
            <w:pPr>
              <w:ind w:left="40"/>
              <w:spacing w:after="0"/>
              <w:rPr>
                <w:sz w:val="20"/>
                <w:szCs w:val="20"/>
                <w:color w:val="auto"/>
              </w:rPr>
            </w:pPr>
            <w:r>
              <w:rPr>
                <w:rFonts w:ascii="Arial" w:cs="Arial" w:eastAsia="Arial" w:hAnsi="Arial"/>
                <w:sz w:val="16"/>
                <w:szCs w:val="16"/>
                <w:color w:val="auto"/>
              </w:rPr>
              <w:t>Most likely</w:t>
            </w:r>
          </w:p>
        </w:tc>
        <w:tc>
          <w:tcPr>
            <w:tcW w:w="1240" w:type="dxa"/>
            <w:vAlign w:val="bottom"/>
          </w:tcPr>
          <w:p>
            <w:pPr>
              <w:ind w:left="420"/>
              <w:spacing w:after="0"/>
              <w:rPr>
                <w:sz w:val="20"/>
                <w:szCs w:val="20"/>
                <w:color w:val="auto"/>
              </w:rPr>
            </w:pPr>
            <w:r>
              <w:rPr>
                <w:rFonts w:ascii="Arial" w:cs="Arial" w:eastAsia="Arial" w:hAnsi="Arial"/>
                <w:sz w:val="16"/>
                <w:szCs w:val="16"/>
                <w:color w:val="auto"/>
              </w:rPr>
              <w:t>497,100</w:t>
            </w:r>
          </w:p>
        </w:tc>
        <w:tc>
          <w:tcPr>
            <w:tcW w:w="1000" w:type="dxa"/>
            <w:vAlign w:val="bottom"/>
          </w:tcPr>
          <w:p>
            <w:pPr>
              <w:ind w:left="300"/>
              <w:spacing w:after="0"/>
              <w:rPr>
                <w:sz w:val="20"/>
                <w:szCs w:val="20"/>
                <w:color w:val="auto"/>
              </w:rPr>
            </w:pPr>
            <w:r>
              <w:rPr>
                <w:rFonts w:ascii="Arial" w:cs="Arial" w:eastAsia="Arial" w:hAnsi="Arial"/>
                <w:sz w:val="16"/>
                <w:szCs w:val="16"/>
                <w:color w:val="auto"/>
              </w:rPr>
              <w:t>505,900</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(8,800)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(1.7)%</w:t>
            </w:r>
          </w:p>
        </w:tc>
      </w:tr>
      <w:tr>
        <w:trPr>
          <w:trHeight w:val="253"/>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Conservative</w:t>
            </w:r>
          </w:p>
        </w:tc>
        <w:tc>
          <w:tcPr>
            <w:tcW w:w="12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485,900</w:t>
            </w:r>
          </w:p>
        </w:tc>
        <w:tc>
          <w:tcPr>
            <w:tcW w:w="1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505,900</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(20,000)</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Prepared by Dr. Richard Curtin of the University of Michigan Consumer Survey Research Center for RVIA and reported in the Roadsigns RV Fall 2018 Industry Forecast Issue.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282"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2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Rolling 12 Months</w:t>
            </w:r>
          </w:p>
        </w:tc>
        <w:tc>
          <w:tcPr>
            <w:tcW w:w="1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2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Through August</w:t>
            </w:r>
          </w:p>
        </w:tc>
        <w:tc>
          <w:tcPr>
            <w:tcW w:w="1320" w:type="dxa"/>
            <w:vAlign w:val="bottom"/>
          </w:tcPr>
          <w:p>
            <w:pPr>
              <w:spacing w:after="0"/>
              <w:rPr>
                <w:sz w:val="19"/>
                <w:szCs w:val="19"/>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b w:val="1"/>
                <w:bCs w:val="1"/>
                <w:color w:val="auto"/>
              </w:rPr>
              <w:t>Calendar Year</w:t>
            </w:r>
          </w:p>
        </w:tc>
        <w:tc>
          <w:tcPr>
            <w:tcW w:w="1200" w:type="dxa"/>
            <w:vAlign w:val="bottom"/>
          </w:tcPr>
          <w:p>
            <w:pPr>
              <w:spacing w:after="0"/>
              <w:rPr>
                <w:sz w:val="19"/>
                <w:szCs w:val="19"/>
                <w:color w:val="auto"/>
              </w:rPr>
            </w:pPr>
          </w:p>
        </w:tc>
      </w:tr>
      <w:tr>
        <w:trPr>
          <w:trHeight w:val="257"/>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US and Canada</w:t>
            </w:r>
          </w:p>
        </w:tc>
        <w:tc>
          <w:tcPr>
            <w:tcW w:w="12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(1)</w:t>
            </w:r>
          </w:p>
        </w:tc>
        <w:tc>
          <w:tcPr>
            <w:tcW w:w="16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5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 A, B, C</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w:t>
            </w:r>
          </w:p>
        </w:tc>
        <w:tc>
          <w:tcPr>
            <w:tcW w:w="1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18.0%</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20.5%</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Travel trailer and fifth wheels</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6.1%</w:t>
            </w:r>
          </w:p>
        </w:tc>
        <w:tc>
          <w:tcPr>
            <w:tcW w:w="1620" w:type="dxa"/>
            <w:vAlign w:val="bottom"/>
          </w:tcPr>
          <w:p>
            <w:pPr>
              <w:jc w:val="right"/>
              <w:ind w:right="379"/>
              <w:spacing w:after="0"/>
              <w:rPr>
                <w:sz w:val="20"/>
                <w:szCs w:val="20"/>
                <w:color w:val="auto"/>
              </w:rPr>
            </w:pPr>
            <w:r>
              <w:rPr>
                <w:rFonts w:ascii="Arial" w:cs="Arial" w:eastAsia="Arial" w:hAnsi="Arial"/>
                <w:sz w:val="16"/>
                <w:szCs w:val="16"/>
                <w:color w:val="auto"/>
              </w:rPr>
              <w:t>1.7%</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0.9%</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(1) Includes retail unit market share for Grand Design since acquisition on November 8, 2016.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w:t>
      </w:r>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During Fiscal 2017, our Board of Directors approved two large facility expansion projects to increase production capacity in the fast growing Towable segment. The Grand Design expansion project consisted of two new production facilities. The first facility was completed in the second quarter of Fiscal 2018, and the second was completed in the third quarter of Fiscal 2018. Both facilities have resulted in an increase in units produced. The facility expansion in the Winnebago towables division is expected to be completed in the first half of Fiscal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Resource Planning System</w:t>
      </w: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20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47"/>
        </w:trPr>
        <w:tc>
          <w:tcPr>
            <w:tcW w:w="4260" w:type="dxa"/>
            <w:vAlign w:val="bottom"/>
            <w:gridSpan w:val="6"/>
          </w:tcPr>
          <w:p>
            <w:pPr>
              <w:spacing w:after="0"/>
              <w:rPr>
                <w:sz w:val="20"/>
                <w:szCs w:val="20"/>
                <w:color w:val="auto"/>
              </w:rPr>
            </w:pPr>
            <w:r>
              <w:rPr>
                <w:rFonts w:ascii="Arial" w:cs="Arial" w:eastAsia="Arial" w:hAnsi="Arial"/>
                <w:sz w:val="16"/>
                <w:szCs w:val="16"/>
                <w:color w:val="auto"/>
              </w:rPr>
              <w:t>The following table illustrates the cumulative project costs: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8"/>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Fiscal</w:t>
            </w:r>
          </w:p>
        </w:tc>
        <w:tc>
          <w:tcPr>
            <w:tcW w:w="50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w:t>
            </w: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w:t>
            </w: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w:t>
            </w:r>
          </w:p>
        </w:tc>
        <w:tc>
          <w:tcPr>
            <w:tcW w:w="500" w:type="dxa"/>
            <w:vAlign w:val="bottom"/>
          </w:tcPr>
          <w:p>
            <w:pPr>
              <w:spacing w:after="0"/>
              <w:rPr>
                <w:sz w:val="24"/>
                <w:szCs w:val="24"/>
                <w:color w:val="auto"/>
              </w:rPr>
            </w:pPr>
          </w:p>
        </w:tc>
        <w:tc>
          <w:tcPr>
            <w:tcW w:w="1420" w:type="dxa"/>
            <w:vAlign w:val="bottom"/>
            <w:gridSpan w:val="3"/>
          </w:tcPr>
          <w:p>
            <w:pPr>
              <w:ind w:left="360"/>
              <w:spacing w:after="0"/>
              <w:rPr>
                <w:sz w:val="20"/>
                <w:szCs w:val="20"/>
                <w:color w:val="auto"/>
              </w:rPr>
            </w:pPr>
            <w:r>
              <w:rPr>
                <w:rFonts w:ascii="Arial" w:cs="Arial" w:eastAsia="Arial" w:hAnsi="Arial"/>
                <w:sz w:val="16"/>
                <w:szCs w:val="16"/>
                <w:b w:val="1"/>
                <w:bCs w:val="1"/>
                <w:color w:val="auto"/>
              </w:rPr>
              <w:t>Cumulative</w:t>
            </w:r>
          </w:p>
        </w:tc>
        <w:tc>
          <w:tcPr>
            <w:tcW w:w="640" w:type="dxa"/>
            <w:vAlign w:val="bottom"/>
          </w:tcPr>
          <w:p>
            <w:pPr>
              <w:spacing w:after="0"/>
              <w:rPr>
                <w:sz w:val="24"/>
                <w:szCs w:val="24"/>
                <w:color w:val="auto"/>
              </w:rPr>
            </w:pPr>
          </w:p>
        </w:tc>
      </w:tr>
      <w:tr>
        <w:trPr>
          <w:trHeight w:val="283"/>
        </w:trPr>
        <w:tc>
          <w:tcPr>
            <w:tcW w:w="2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Investment</w:t>
            </w:r>
          </w:p>
        </w:tc>
        <w:tc>
          <w:tcPr>
            <w:tcW w:w="640" w:type="dxa"/>
            <w:vAlign w:val="bottom"/>
            <w:tcBorders>
              <w:bottom w:val="single" w:sz="8" w:color="auto"/>
            </w:tcBorders>
          </w:tcPr>
          <w:p>
            <w:pPr>
              <w:spacing w:after="0"/>
              <w:rPr>
                <w:sz w:val="24"/>
                <w:szCs w:val="24"/>
                <w:color w:val="auto"/>
              </w:rPr>
            </w:pPr>
          </w:p>
        </w:tc>
      </w:tr>
      <w:tr>
        <w:trPr>
          <w:trHeight w:val="270"/>
        </w:trPr>
        <w:tc>
          <w:tcPr>
            <w:tcW w:w="2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5,941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64"/>
        </w:trPr>
        <w:tc>
          <w:tcPr>
            <w:tcW w:w="2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Expensed</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5,930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13,166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40"/>
        </w:trPr>
        <w:tc>
          <w:tcPr>
            <w:tcW w:w="2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8,048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1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25, 2018 compared to the fiscal year ended August 26,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98"/>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160" w:type="dxa"/>
            <w:vAlign w:val="bottom"/>
          </w:tcPr>
          <w:p>
            <w:pPr>
              <w:spacing w:after="0"/>
              <w:rPr>
                <w:sz w:val="17"/>
                <w:szCs w:val="17"/>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25,</w:t>
            </w: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26,</w:t>
            </w: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b w:val="1"/>
                <w:bCs w:val="1"/>
                <w:color w:val="auto"/>
              </w:rPr>
              <w:t>Increase</w:t>
            </w: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23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340" w:type="dxa"/>
            <w:vAlign w:val="bottom"/>
            <w:tcBorders>
              <w:bottom w:val="single" w:sz="8" w:color="auto"/>
            </w:tcBorders>
          </w:tcPr>
          <w:p>
            <w:pPr>
              <w:jc w:val="right"/>
              <w:ind w:right="1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320" w:type="dxa"/>
            <w:vAlign w:val="bottom"/>
            <w:tcBorders>
              <w:bottom w:val="single" w:sz="8" w:color="auto"/>
            </w:tcBorders>
          </w:tcPr>
          <w:p>
            <w:pPr>
              <w:jc w:val="right"/>
              <w:ind w:right="11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(Decrease)</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2,016,829</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1,547,119</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469,710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30.4 %</w:t>
            </w:r>
          </w:p>
        </w:tc>
      </w:tr>
      <w:tr>
        <w:trPr>
          <w:trHeight w:val="23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1,716,993</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85.1 %</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1,324,542</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85.6 %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392,451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29.6 %</w:t>
            </w: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299,836</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14.9 %</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222,577</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14.4 %</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77,259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34.7 %</w:t>
            </w:r>
          </w:p>
        </w:tc>
      </w:tr>
      <w:tr>
        <w:trPr>
          <w:trHeight w:val="284"/>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49,850</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2.5 %</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35,668</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14,182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39.8 %</w:t>
            </w:r>
          </w:p>
        </w:tc>
      </w:tr>
      <w:tr>
        <w:trPr>
          <w:trHeight w:val="233"/>
        </w:trPr>
        <w:tc>
          <w:tcPr>
            <w:tcW w:w="344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78,089</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3.9 %</w:t>
            </w:r>
          </w:p>
        </w:tc>
        <w:tc>
          <w:tcPr>
            <w:tcW w:w="240" w:type="dxa"/>
            <w:vAlign w:val="bottom"/>
          </w:tcPr>
          <w:p>
            <w:pPr>
              <w:spacing w:after="0"/>
              <w:rPr>
                <w:sz w:val="20"/>
                <w:szCs w:val="20"/>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55,347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22,742</w:t>
            </w:r>
          </w:p>
        </w:tc>
        <w:tc>
          <w:tcPr>
            <w:tcW w:w="1100" w:type="dxa"/>
            <w:vAlign w:val="bottom"/>
          </w:tcPr>
          <w:p>
            <w:pPr>
              <w:jc w:val="right"/>
              <w:spacing w:after="0"/>
              <w:rPr>
                <w:sz w:val="20"/>
                <w:szCs w:val="20"/>
                <w:color w:val="auto"/>
              </w:rPr>
            </w:pPr>
            <w:r>
              <w:rPr>
                <w:rFonts w:ascii="Arial" w:cs="Arial" w:eastAsia="Arial" w:hAnsi="Arial"/>
                <w:sz w:val="16"/>
                <w:szCs w:val="16"/>
                <w:color w:val="auto"/>
              </w:rPr>
              <w:t>41.1 %</w:t>
            </w:r>
          </w:p>
        </w:tc>
      </w:tr>
      <w:tr>
        <w:trPr>
          <w:trHeight w:val="25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(24,796)</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(24,796)</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3"/>
        </w:trPr>
        <w:tc>
          <w:tcPr>
            <w:tcW w:w="3440" w:type="dxa"/>
            <w:vAlign w:val="bottom"/>
          </w:tcPr>
          <w:p>
            <w:pPr>
              <w:ind w:left="180"/>
              <w:spacing w:after="0"/>
              <w:rPr>
                <w:sz w:val="20"/>
                <w:szCs w:val="20"/>
                <w:color w:val="auto"/>
              </w:rPr>
            </w:pPr>
            <w:r>
              <w:rPr>
                <w:rFonts w:ascii="Arial" w:cs="Arial" w:eastAsia="Arial" w:hAnsi="Arial"/>
                <w:sz w:val="16"/>
                <w:szCs w:val="16"/>
                <w:color w:val="auto"/>
              </w:rPr>
              <w:t>Transaction costs</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2,177</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0.1 %</w:t>
            </w:r>
          </w:p>
        </w:tc>
        <w:tc>
          <w:tcPr>
            <w:tcW w:w="240" w:type="dxa"/>
            <w:vAlign w:val="bottom"/>
          </w:tcPr>
          <w:p>
            <w:pPr>
              <w:spacing w:after="0"/>
              <w:rPr>
                <w:sz w:val="20"/>
                <w:szCs w:val="20"/>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6,592</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0.4 %</w:t>
            </w:r>
          </w:p>
        </w:tc>
        <w:tc>
          <w:tcPr>
            <w:tcW w:w="24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(4,415)</w:t>
            </w:r>
          </w:p>
        </w:tc>
        <w:tc>
          <w:tcPr>
            <w:tcW w:w="110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46"/>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9,328</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0.5 %</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24,660</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1.6 %</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(15,332)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r>
      <w:tr>
        <w:trPr>
          <w:trHeight w:val="23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general and administrative</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89,594</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4.4 %</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61,803</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27,791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45.0 %</w:t>
            </w:r>
          </w:p>
        </w:tc>
      </w:tr>
      <w:tr>
        <w:trPr>
          <w:trHeight w:val="20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selling, general, and administrative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8"/>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expenses ("SG&amp;A")</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139,444</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6.9 %</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97,471</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6.3 %</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41,973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43.1 %</w:t>
            </w:r>
          </w:p>
        </w:tc>
      </w:tr>
      <w:tr>
        <w:trPr>
          <w:trHeight w:val="284"/>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160,392</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8.0 %</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125,106</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35,286</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28.2 %</w:t>
            </w:r>
          </w:p>
        </w:tc>
      </w:tr>
      <w:tr>
        <w:trPr>
          <w:trHeight w:val="233"/>
        </w:trPr>
        <w:tc>
          <w:tcPr>
            <w:tcW w:w="3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18,246</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0.9 %</w:t>
            </w:r>
          </w:p>
        </w:tc>
        <w:tc>
          <w:tcPr>
            <w:tcW w:w="240" w:type="dxa"/>
            <w:vAlign w:val="bottom"/>
          </w:tcPr>
          <w:p>
            <w:pPr>
              <w:spacing w:after="0"/>
              <w:rPr>
                <w:sz w:val="20"/>
                <w:szCs w:val="20"/>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16,837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1,409</w:t>
            </w:r>
          </w:p>
        </w:tc>
        <w:tc>
          <w:tcPr>
            <w:tcW w:w="1100" w:type="dxa"/>
            <w:vAlign w:val="bottom"/>
          </w:tcPr>
          <w:p>
            <w:pPr>
              <w:jc w:val="right"/>
              <w:spacing w:after="0"/>
              <w:rPr>
                <w:sz w:val="20"/>
                <w:szCs w:val="20"/>
                <w:color w:val="auto"/>
              </w:rPr>
            </w:pPr>
            <w:r>
              <w:rPr>
                <w:rFonts w:ascii="Arial" w:cs="Arial" w:eastAsia="Arial" w:hAnsi="Arial"/>
                <w:sz w:val="16"/>
                <w:szCs w:val="16"/>
                <w:color w:val="auto"/>
              </w:rPr>
              <w:t>8.4 %</w:t>
            </w:r>
          </w:p>
        </w:tc>
      </w:tr>
      <w:tr>
        <w:trPr>
          <w:trHeight w:val="24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(494)</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(330)</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49.7 %</w:t>
            </w:r>
          </w:p>
        </w:tc>
      </w:tr>
      <w:tr>
        <w:trPr>
          <w:trHeight w:val="233"/>
        </w:trPr>
        <w:tc>
          <w:tcPr>
            <w:tcW w:w="34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142,640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7.1 %</w:t>
            </w:r>
          </w:p>
        </w:tc>
        <w:tc>
          <w:tcPr>
            <w:tcW w:w="240" w:type="dxa"/>
            <w:vAlign w:val="bottom"/>
          </w:tcPr>
          <w:p>
            <w:pPr>
              <w:spacing w:after="0"/>
              <w:rPr>
                <w:sz w:val="20"/>
                <w:szCs w:val="20"/>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108,599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34,041</w:t>
            </w:r>
          </w:p>
        </w:tc>
        <w:tc>
          <w:tcPr>
            <w:tcW w:w="1100" w:type="dxa"/>
            <w:vAlign w:val="bottom"/>
          </w:tcPr>
          <w:p>
            <w:pPr>
              <w:jc w:val="right"/>
              <w:spacing w:after="0"/>
              <w:rPr>
                <w:sz w:val="20"/>
                <w:szCs w:val="20"/>
                <w:color w:val="auto"/>
              </w:rPr>
            </w:pPr>
            <w:r>
              <w:rPr>
                <w:rFonts w:ascii="Arial" w:cs="Arial" w:eastAsia="Arial" w:hAnsi="Arial"/>
                <w:sz w:val="16"/>
                <w:szCs w:val="16"/>
                <w:color w:val="auto"/>
              </w:rPr>
              <w:t>31.3 %</w:t>
            </w:r>
          </w:p>
        </w:tc>
      </w:tr>
      <w:tr>
        <w:trPr>
          <w:trHeight w:val="24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40,283</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2.0 %</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37,269</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2.4 %</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3,014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80"/>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102,357</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71,330</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31,027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43.5 %</w:t>
            </w:r>
          </w:p>
        </w:tc>
      </w:tr>
      <w:tr>
        <w:trPr>
          <w:trHeight w:val="267"/>
        </w:trPr>
        <w:tc>
          <w:tcPr>
            <w:tcW w:w="3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3440" w:type="dxa"/>
            <w:vAlign w:val="bottom"/>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3.22</w:t>
            </w:r>
          </w:p>
        </w:tc>
        <w:tc>
          <w:tcPr>
            <w:tcW w:w="13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2.32</w:t>
            </w:r>
          </w:p>
        </w:tc>
        <w:tc>
          <w:tcPr>
            <w:tcW w:w="13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0.90</w:t>
            </w:r>
          </w:p>
        </w:tc>
        <w:tc>
          <w:tcPr>
            <w:tcW w:w="1100" w:type="dxa"/>
            <w:vAlign w:val="bottom"/>
          </w:tcPr>
          <w:p>
            <w:pPr>
              <w:jc w:val="right"/>
              <w:spacing w:after="0"/>
              <w:rPr>
                <w:sz w:val="20"/>
                <w:szCs w:val="20"/>
                <w:color w:val="auto"/>
              </w:rPr>
            </w:pPr>
            <w:r>
              <w:rPr>
                <w:rFonts w:ascii="Arial" w:cs="Arial" w:eastAsia="Arial" w:hAnsi="Arial"/>
                <w:sz w:val="16"/>
                <w:szCs w:val="16"/>
                <w:color w:val="auto"/>
              </w:rPr>
              <w:t>38.8 %</w:t>
            </w:r>
          </w:p>
        </w:tc>
      </w:tr>
      <w:tr>
        <w:trPr>
          <w:trHeight w:val="28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31,814</w:t>
            </w: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30,766</w:t>
            </w:r>
          </w:p>
        </w:tc>
        <w:tc>
          <w:tcPr>
            <w:tcW w:w="1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1,048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18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Consolidated net revenues increased in Fiscal 2018 compared to Fiscal 2017 primarily due to organic volume growth in our Towable segment and acquisition-related growth.</w:t>
      </w:r>
    </w:p>
    <w:p>
      <w:pPr>
        <w:spacing w:after="0" w:line="169"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Gross profit as a percentage of revenue increased in Fiscal 2018 compared to Fiscal 2017 driven by a favorable mix due to the accelerated growth in the Towable segment.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Selling expenses increased in Fiscal 2018 compared to Fiscal 2017 primarily due to volume growth in our Towable segment.</w:t>
      </w:r>
    </w:p>
    <w:p>
      <w:pPr>
        <w:spacing w:after="0" w:line="167"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Total general and administrative expenses increased in Fiscal 2018 compared to Fiscal 2017 due primarily to the $24.8 million benefit recorded in Fiscal 2017 associated with the termination of the postretirement health care plan, investments in our business, and incentives related to the growth in our business. The increase was partially offset by the reduction of amortization of definite-lived intangible assets, driven by the Grand Design acquisition in Fiscal 2017.</w:t>
      </w:r>
    </w:p>
    <w:p>
      <w:pPr>
        <w:spacing w:after="0" w:line="228"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 xml:space="preserve">Interest expense increased in Fiscal 2018 compared to Fiscal 2017, which was related to our Credit Agreements associated with the acquisition of Grand Design. See Analysis of Financial Condition, Liquidity, and Resources and Note 9, </w:t>
      </w:r>
      <w:r>
        <w:rPr>
          <w:rFonts w:ascii="Arial" w:cs="Arial" w:eastAsia="Arial" w:hAnsi="Arial"/>
          <w:sz w:val="16"/>
          <w:szCs w:val="16"/>
          <w:i w:val="1"/>
          <w:iCs w:val="1"/>
          <w:color w:val="auto"/>
        </w:rPr>
        <w:t>Long-Term Debt</w:t>
      </w:r>
      <w:r>
        <w:rPr>
          <w:rFonts w:ascii="Arial" w:cs="Arial" w:eastAsia="Arial" w:hAnsi="Arial"/>
          <w:sz w:val="16"/>
          <w:szCs w:val="16"/>
          <w:color w:val="auto"/>
        </w:rPr>
        <w:t>, of the</w:t>
      </w:r>
    </w:p>
    <w:p>
      <w:pPr>
        <w:sectPr>
          <w:pgSz w:w="11900" w:h="16838" w:orient="portrait"/>
          <w:cols w:equalWidth="0" w:num="1">
            <w:col w:w="11420"/>
          </w:cols>
          <w:pgMar w:left="240" w:top="118"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18"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 xml:space="preserve">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for further information.</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overall effective income tax rate for Fiscal 2018 was 28.2% compared to the effective income tax rate of 34.3% for Fiscal 2017. The decrease in the tax rate from Fiscal 2017 to Fiscal 2018 was primarily due to the decrease in the Federal statutory rate as part of the enactment of the Tax Cuts and Jobs Act ("Tax Act") on December 22, 2017. The decrease was partially offset by the required remeasurement of our net deferred tax assets due to the change in the Federal statutory tax rate.</w:t>
      </w:r>
    </w:p>
    <w:p>
      <w:pPr>
        <w:spacing w:after="0" w:line="149"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Net income and diluted income per share increased in Fiscal 2018 compared to Fiscal 2017 primarily due to the sales increase in the Towable segment, the increased gross profit rate, and the lower effective income tax rate. These increases were partially offset by an increase in the SG&amp;A rate driven primarily by the termination of the postretirement health care plan, which lowered expense in Fiscal 2017.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 for Fiscal 2018 and Fiscal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1680" w:type="dxa"/>
            <w:vAlign w:val="bottom"/>
            <w:tcBorders>
              <w:bottom w:val="single" w:sz="8" w:color="auto"/>
            </w:tcBorders>
          </w:tcPr>
          <w:p>
            <w:pPr>
              <w:spacing w:after="0"/>
              <w:rPr>
                <w:sz w:val="19"/>
                <w:szCs w:val="19"/>
                <w:color w:val="auto"/>
              </w:rPr>
            </w:pPr>
          </w:p>
        </w:tc>
      </w:tr>
      <w:tr>
        <w:trPr>
          <w:trHeight w:val="264"/>
        </w:trPr>
        <w:tc>
          <w:tcPr>
            <w:tcW w:w="71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2"/>
                <w:szCs w:val="22"/>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25, 2018</w:t>
            </w:r>
          </w:p>
        </w:tc>
        <w:tc>
          <w:tcPr>
            <w:tcW w:w="42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26, 2017</w:t>
            </w:r>
          </w:p>
        </w:tc>
      </w:tr>
      <w:tr>
        <w:trPr>
          <w:trHeight w:val="257"/>
        </w:trPr>
        <w:tc>
          <w:tcPr>
            <w:tcW w:w="7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102,357</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71,330</w:t>
            </w:r>
          </w:p>
        </w:tc>
      </w:tr>
      <w:tr>
        <w:trPr>
          <w:trHeight w:val="260"/>
        </w:trPr>
        <w:tc>
          <w:tcPr>
            <w:tcW w:w="71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18,246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16,837</w:t>
            </w:r>
          </w:p>
        </w:tc>
      </w:tr>
      <w:tr>
        <w:trPr>
          <w:trHeight w:val="280"/>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40,283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37,269</w:t>
            </w:r>
          </w:p>
        </w:tc>
      </w:tr>
      <w:tr>
        <w:trPr>
          <w:trHeight w:val="260"/>
        </w:trPr>
        <w:tc>
          <w:tcPr>
            <w:tcW w:w="712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2"/>
                <w:szCs w:val="22"/>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9,849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7,315</w:t>
            </w:r>
          </w:p>
        </w:tc>
      </w:tr>
      <w:tr>
        <w:trPr>
          <w:trHeight w:val="273"/>
        </w:trPr>
        <w:tc>
          <w:tcPr>
            <w:tcW w:w="7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24,660</w:t>
            </w:r>
          </w:p>
        </w:tc>
      </w:tr>
      <w:tr>
        <w:trPr>
          <w:trHeight w:val="247"/>
        </w:trPr>
        <w:tc>
          <w:tcPr>
            <w:tcW w:w="7120" w:type="dxa"/>
            <w:vAlign w:val="bottom"/>
          </w:tcPr>
          <w:p>
            <w:pPr>
              <w:ind w:left="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21"/>
                <w:szCs w:val="21"/>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180,063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157,411</w:t>
            </w:r>
          </w:p>
        </w:tc>
      </w:tr>
      <w:tr>
        <w:trPr>
          <w:trHeight w:val="280"/>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6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(24,796)</w:t>
            </w:r>
          </w:p>
        </w:tc>
      </w:tr>
      <w:tr>
        <w:trPr>
          <w:trHeight w:val="260"/>
        </w:trPr>
        <w:tc>
          <w:tcPr>
            <w:tcW w:w="7120" w:type="dxa"/>
            <w:vAlign w:val="bottom"/>
          </w:tcPr>
          <w:p>
            <w:pPr>
              <w:ind w:left="18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22"/>
                <w:szCs w:val="22"/>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2,177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6,592</w:t>
            </w:r>
          </w:p>
        </w:tc>
      </w:tr>
      <w:tr>
        <w:trPr>
          <w:trHeight w:val="273"/>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(330)</w:t>
            </w:r>
          </w:p>
        </w:tc>
      </w:tr>
      <w:tr>
        <w:trPr>
          <w:trHeight w:val="240"/>
        </w:trPr>
        <w:tc>
          <w:tcPr>
            <w:tcW w:w="71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181,746</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138,877</w:t>
            </w:r>
          </w:p>
        </w:tc>
      </w:tr>
      <w:tr>
        <w:trPr>
          <w:trHeight w:val="20"/>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Fiscal 2018 compared to Fiscal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Motorhome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860,675</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853,360</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7,315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0.9 %</w:t>
            </w:r>
          </w:p>
        </w:tc>
      </w:tr>
      <w:tr>
        <w:trPr>
          <w:trHeight w:val="251"/>
        </w:trPr>
        <w:tc>
          <w:tcPr>
            <w:tcW w:w="28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35,508</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56,518</w:t>
            </w:r>
          </w:p>
        </w:tc>
        <w:tc>
          <w:tcPr>
            <w:tcW w:w="280" w:type="dxa"/>
            <w:vAlign w:val="bottom"/>
          </w:tcPr>
          <w:p>
            <w:pPr>
              <w:spacing w:after="0"/>
              <w:rPr>
                <w:sz w:val="21"/>
                <w:szCs w:val="21"/>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(21,010)</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(37.2)%</w:t>
            </w:r>
          </w:p>
        </w:tc>
      </w:tr>
      <w:tr>
        <w:trPr>
          <w:trHeight w:val="290"/>
        </w:trPr>
        <w:tc>
          <w:tcPr>
            <w:tcW w:w="2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17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9"/>
              </w:rPr>
              <w:t>Product</w:t>
            </w: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16"/>
                <w:szCs w:val="16"/>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0"/>
                <w:szCs w:val="20"/>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700" w:type="dxa"/>
            <w:vAlign w:val="bottom"/>
            <w:gridSpan w:val="3"/>
          </w:tcPr>
          <w:p>
            <w:pPr>
              <w:jc w:val="center"/>
              <w:ind w:right="30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20"/>
                <w:szCs w:val="20"/>
                <w:color w:val="auto"/>
              </w:rPr>
            </w:pPr>
          </w:p>
        </w:tc>
        <w:tc>
          <w:tcPr>
            <w:tcW w:w="1500" w:type="dxa"/>
            <w:vAlign w:val="bottom"/>
            <w:gridSpan w:val="2"/>
          </w:tcPr>
          <w:p>
            <w:pPr>
              <w:jc w:val="center"/>
              <w:ind w:right="30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80" w:type="dxa"/>
            <w:vAlign w:val="bottom"/>
          </w:tcPr>
          <w:p>
            <w:pPr>
              <w:spacing w:after="0"/>
              <w:rPr>
                <w:sz w:val="20"/>
                <w:szCs w:val="20"/>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2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2,997</w:t>
            </w:r>
          </w:p>
        </w:tc>
        <w:tc>
          <w:tcPr>
            <w:tcW w:w="14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28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(185)</w:t>
            </w: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2,012</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1,541</w:t>
            </w:r>
          </w:p>
        </w:tc>
        <w:tc>
          <w:tcPr>
            <w:tcW w:w="280" w:type="dxa"/>
            <w:vAlign w:val="bottom"/>
          </w:tcPr>
          <w:p>
            <w:pPr>
              <w:spacing w:after="0"/>
              <w:rPr>
                <w:sz w:val="22"/>
                <w:szCs w:val="22"/>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471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30.6 %</w:t>
            </w:r>
          </w:p>
        </w:tc>
      </w:tr>
      <w:tr>
        <w:trPr>
          <w:trHeight w:val="273"/>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4,539</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w:t>
            </w:r>
          </w:p>
        </w:tc>
        <w:tc>
          <w:tcPr>
            <w:tcW w:w="2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40"/>
        </w:trPr>
        <w:tc>
          <w:tcPr>
            <w:tcW w:w="2800" w:type="dxa"/>
            <w:vAlign w:val="bottom"/>
          </w:tcPr>
          <w:p>
            <w:pPr>
              <w:ind w:left="280"/>
              <w:spacing w:after="0"/>
              <w:rPr>
                <w:sz w:val="20"/>
                <w:szCs w:val="20"/>
                <w:color w:val="auto"/>
              </w:rPr>
            </w:pPr>
            <w:r>
              <w:rPr>
                <w:rFonts w:ascii="Arial" w:cs="Arial" w:eastAsia="Arial" w:hAnsi="Arial"/>
                <w:sz w:val="16"/>
                <w:szCs w:val="16"/>
                <w:color w:val="auto"/>
              </w:rPr>
              <w:t>Total Motorhome</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9,548</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9,260</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288</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3.1 %</w:t>
            </w:r>
          </w:p>
        </w:tc>
      </w:tr>
      <w:tr>
        <w:trPr>
          <w:trHeight w:val="20"/>
        </w:trPr>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2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8"/>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 average selling price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89,879</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91,759</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(1,880)</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534"/>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159"/>
              <w:spacing w:after="0"/>
              <w:rPr>
                <w:sz w:val="20"/>
                <w:szCs w:val="20"/>
                <w:color w:val="auto"/>
              </w:rPr>
            </w:pPr>
            <w:r>
              <w:rPr>
                <w:rFonts w:ascii="Arial" w:cs="Arial" w:eastAsia="Arial" w:hAnsi="Arial"/>
                <w:sz w:val="16"/>
                <w:szCs w:val="16"/>
                <w:b w:val="1"/>
                <w:bCs w:val="1"/>
                <w:color w:val="auto"/>
                <w:w w:val="98"/>
              </w:rPr>
              <w:t>As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August 25,</w:t>
            </w:r>
          </w:p>
        </w:tc>
        <w:tc>
          <w:tcPr>
            <w:tcW w:w="2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26,</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280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400</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30.9 %</w:t>
            </w:r>
          </w:p>
        </w:tc>
      </w:tr>
      <w:tr>
        <w:trPr>
          <w:trHeight w:val="251"/>
        </w:trPr>
        <w:tc>
          <w:tcPr>
            <w:tcW w:w="2800" w:type="dxa"/>
            <w:vAlign w:val="bottom"/>
          </w:tcPr>
          <w:p>
            <w:pPr>
              <w:ind w:left="40"/>
              <w:spacing w:after="0"/>
              <w:rPr>
                <w:sz w:val="20"/>
                <w:szCs w:val="20"/>
                <w:color w:val="auto"/>
              </w:rPr>
            </w:pPr>
            <w:r>
              <w:rPr>
                <w:rFonts w:ascii="Arial" w:cs="Arial" w:eastAsia="Arial" w:hAnsi="Arial"/>
                <w:sz w:val="16"/>
                <w:szCs w:val="16"/>
                <w:color w:val="auto"/>
              </w:rPr>
              <w:t>Dollars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157,554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39"/>
              <w:spacing w:after="0"/>
              <w:rPr>
                <w:sz w:val="20"/>
                <w:szCs w:val="20"/>
                <w:color w:val="auto"/>
              </w:rPr>
            </w:pPr>
            <w:r>
              <w:rPr>
                <w:rFonts w:ascii="Arial" w:cs="Arial" w:eastAsia="Arial" w:hAnsi="Arial"/>
                <w:sz w:val="16"/>
                <w:szCs w:val="16"/>
                <w:color w:val="auto"/>
              </w:rPr>
              <w:t>122,142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35,412</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29.0 %</w:t>
            </w:r>
          </w:p>
        </w:tc>
      </w:tr>
      <w:tr>
        <w:trPr>
          <w:trHeight w:val="553"/>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4,282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338</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7.9 %</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1" w:lineRule="exact"/>
        <w:rPr>
          <w:sz w:val="20"/>
          <w:szCs w:val="20"/>
          <w:color w:val="auto"/>
        </w:rPr>
      </w:pPr>
    </w:p>
    <w:p>
      <w:pPr>
        <w:ind w:left="260" w:right="20" w:hanging="252"/>
        <w:spacing w:after="0" w:line="258"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64"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Motorhome net revenues increased in Fiscal 2018 as compared to Fiscal 2017 primarily due to an increase in the number of units sold, partially offset by product mix.</w:t>
      </w:r>
    </w:p>
    <w:p>
      <w:pPr>
        <w:spacing w:after="0" w:line="169"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Motorhome unit deliveries grew slower than recent industry growth in Fiscal 2018 compared to Fiscal 2017. Our overall Motorhome market share moved to 15.7% from 16.4% when comparing shipments during the twelve-month trailing periods ended August 2018 and August 2017 due to a mix change from our Class A-diesel products to our Class B products.</w:t>
      </w:r>
    </w:p>
    <w:p>
      <w:pPr>
        <w:spacing w:after="0" w:line="17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Motorhome Adjusted EBITDA decreased in Fiscal 2018 as compared to Fiscal 2017 due to increased material costs and investments in our business, including higher costs and lower productivity associated with a new facility that produces our Class A diesel product line.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Fiscal 2018 compared to Fiscal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Towable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Increase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1,127,723</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685,197</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442,526</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64.6 %</w:t>
            </w:r>
          </w:p>
        </w:tc>
      </w:tr>
      <w:tr>
        <w:trPr>
          <w:trHeight w:val="251"/>
        </w:trPr>
        <w:tc>
          <w:tcPr>
            <w:tcW w:w="28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157,010</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89,734</w:t>
            </w:r>
          </w:p>
        </w:tc>
        <w:tc>
          <w:tcPr>
            <w:tcW w:w="280" w:type="dxa"/>
            <w:vAlign w:val="bottom"/>
          </w:tcPr>
          <w:p>
            <w:pPr>
              <w:spacing w:after="0"/>
              <w:rPr>
                <w:sz w:val="21"/>
                <w:szCs w:val="21"/>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67,276</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75.0 %</w:t>
            </w:r>
          </w:p>
        </w:tc>
      </w:tr>
      <w:tr>
        <w:trPr>
          <w:trHeight w:val="488"/>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17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August 26,</w:t>
            </w:r>
          </w:p>
        </w:tc>
        <w:tc>
          <w:tcPr>
            <w:tcW w:w="2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720" w:type="dxa"/>
            <w:vAlign w:val="bottom"/>
            <w:tcBorders>
              <w:bottom w:val="single" w:sz="8" w:color="auto"/>
            </w:tcBorders>
            <w:gridSpan w:val="3"/>
          </w:tcPr>
          <w:p>
            <w:pPr>
              <w:jc w:val="center"/>
              <w:ind w:right="300"/>
              <w:spacing w:after="0" w:line="234" w:lineRule="exact"/>
              <w:rPr>
                <w:sz w:val="20"/>
                <w:szCs w:val="20"/>
                <w:color w:val="auto"/>
              </w:rPr>
            </w:pPr>
            <w:r>
              <w:rPr>
                <w:rFonts w:ascii="Arial" w:cs="Arial" w:eastAsia="Arial" w:hAnsi="Arial"/>
                <w:sz w:val="16"/>
                <w:szCs w:val="16"/>
                <w:b w:val="1"/>
                <w:bCs w:val="1"/>
                <w:color w:val="auto"/>
                <w:w w:val="92"/>
              </w:rPr>
              <w:t xml:space="preserve">Mix % </w:t>
            </w:r>
            <w:r>
              <w:rPr>
                <w:rFonts w:ascii="Arial" w:cs="Arial" w:eastAsia="Arial" w:hAnsi="Arial"/>
                <w:sz w:val="21"/>
                <w:szCs w:val="21"/>
                <w:b w:val="1"/>
                <w:bCs w:val="1"/>
                <w:color w:val="auto"/>
                <w:w w:val="92"/>
                <w:vertAlign w:val="superscript"/>
              </w:rPr>
              <w:t>(1)</w:t>
            </w: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0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Increase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22,360</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13,650</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8,710</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63.8 %</w:t>
            </w:r>
          </w:p>
        </w:tc>
      </w:tr>
      <w:tr>
        <w:trPr>
          <w:trHeight w:val="264"/>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14,229</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8,824</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5,405</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61.3 %</w:t>
            </w:r>
          </w:p>
        </w:tc>
      </w:tr>
      <w:tr>
        <w:trPr>
          <w:trHeight w:val="240"/>
        </w:trPr>
        <w:tc>
          <w:tcPr>
            <w:tcW w:w="2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Towable</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36,589</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22,474</w:t>
            </w:r>
          </w:p>
        </w:tc>
        <w:tc>
          <w:tcPr>
            <w:tcW w:w="2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14,115</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62.8 %</w:t>
            </w:r>
          </w:p>
        </w:tc>
      </w:tr>
      <w:tr>
        <w:trPr>
          <w:trHeight w:val="20"/>
        </w:trPr>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2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 ASP</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30,941</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30,571</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370</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1.2 %</w:t>
            </w:r>
          </w:p>
        </w:tc>
      </w:tr>
      <w:tr>
        <w:trPr>
          <w:trHeight w:val="534"/>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159"/>
              <w:spacing w:after="0"/>
              <w:rPr>
                <w:sz w:val="20"/>
                <w:szCs w:val="20"/>
                <w:color w:val="auto"/>
              </w:rPr>
            </w:pPr>
            <w:r>
              <w:rPr>
                <w:rFonts w:ascii="Arial" w:cs="Arial" w:eastAsia="Arial" w:hAnsi="Arial"/>
                <w:sz w:val="16"/>
                <w:szCs w:val="16"/>
                <w:b w:val="1"/>
                <w:bCs w:val="1"/>
                <w:color w:val="auto"/>
                <w:w w:val="98"/>
              </w:rPr>
              <w:t>As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August 25,</w:t>
            </w:r>
          </w:p>
        </w:tc>
        <w:tc>
          <w:tcPr>
            <w:tcW w:w="28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26,</w:t>
            </w:r>
          </w:p>
        </w:tc>
        <w:tc>
          <w:tcPr>
            <w:tcW w:w="180" w:type="dxa"/>
            <w:vAlign w:val="bottom"/>
          </w:tcPr>
          <w:p>
            <w:pPr>
              <w:spacing w:after="0"/>
              <w:rPr>
                <w:sz w:val="17"/>
                <w:szCs w:val="17"/>
                <w:color w:val="auto"/>
              </w:rPr>
            </w:pPr>
          </w:p>
        </w:tc>
        <w:tc>
          <w:tcPr>
            <w:tcW w:w="1240" w:type="dxa"/>
            <w:vAlign w:val="bottom"/>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280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Increase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8,001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(350)</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r>
      <w:tr>
        <w:trPr>
          <w:trHeight w:val="251"/>
        </w:trPr>
        <w:tc>
          <w:tcPr>
            <w:tcW w:w="2800" w:type="dxa"/>
            <w:vAlign w:val="bottom"/>
          </w:tcPr>
          <w:p>
            <w:pPr>
              <w:ind w:left="40"/>
              <w:spacing w:after="0"/>
              <w:rPr>
                <w:sz w:val="20"/>
                <w:szCs w:val="20"/>
                <w:color w:val="auto"/>
              </w:rPr>
            </w:pPr>
            <w:r>
              <w:rPr>
                <w:rFonts w:ascii="Arial" w:cs="Arial" w:eastAsia="Arial" w:hAnsi="Arial"/>
                <w:sz w:val="16"/>
                <w:szCs w:val="16"/>
                <w:color w:val="auto"/>
              </w:rPr>
              <w:t>Dollars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244,854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39"/>
              <w:spacing w:after="0"/>
              <w:rPr>
                <w:sz w:val="20"/>
                <w:szCs w:val="20"/>
                <w:color w:val="auto"/>
              </w:rPr>
            </w:pPr>
            <w:r>
              <w:rPr>
                <w:rFonts w:ascii="Arial" w:cs="Arial" w:eastAsia="Arial" w:hAnsi="Arial"/>
                <w:sz w:val="16"/>
                <w:szCs w:val="16"/>
                <w:color w:val="auto"/>
              </w:rPr>
              <w:t>229,706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15,148</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6.6 %</w:t>
            </w:r>
          </w:p>
        </w:tc>
      </w:tr>
      <w:tr>
        <w:trPr>
          <w:trHeight w:val="553"/>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14,877</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5,332</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55.9 %</w:t>
            </w:r>
          </w:p>
        </w:tc>
      </w:tr>
    </w:tbl>
    <w:p>
      <w:pPr>
        <w:spacing w:after="0" w:line="5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64"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Towable net revenues increased in Fiscal 2018 as compared to Fiscal 2017 primarily due to organic volume growth as well as the annualization of net revenues related to the Fiscal 2017 acquisition of Grand Design.</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Towable unit deliveries grew in Fiscal 2018 as compared to Fiscal 2017 primarily due to Towable growth in excess of recent industry trends and due to the acquisition of Grand Design. With the addition of Grand Design in the first quarter of Fiscal 2017, our Towable market share increased to 7.4% from 5.2% when comparing shipments during the twelve-month trailing periods ended August 2018 and August 2017.</w:t>
      </w:r>
    </w:p>
    <w:p>
      <w:pPr>
        <w:spacing w:after="0" w:line="174"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Towable Adjusted EBITDA increased in Fiscal 2018 as compared to Fiscal 2017 due to the favorable impact of organic growth as well as the annualization of net revenues related to the Fiscal 2017 acquisition of Grand Design. We achieved strong results in our Towable segment, where shipments grew much faster than the industry as a result of greater penetration of our new products and further expansion of our distribution base, as well as higher gross profit from cost savings initiatives and pricing, which more than offset escalating cost inputs.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26, 2017 compared to the fiscal year ended August 27, 2016: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Year Ended</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8"/>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 per</w:t>
            </w:r>
          </w:p>
        </w:tc>
        <w:tc>
          <w:tcPr>
            <w:tcW w:w="160" w:type="dxa"/>
            <w:vAlign w:val="bottom"/>
          </w:tcPr>
          <w:p>
            <w:pPr>
              <w:spacing w:after="0"/>
              <w:rPr>
                <w:sz w:val="17"/>
                <w:szCs w:val="17"/>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26,</w:t>
            </w: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27,</w:t>
            </w: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7"/>
                <w:szCs w:val="17"/>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share data)</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320" w:type="dxa"/>
            <w:vAlign w:val="bottom"/>
            <w:tcBorders>
              <w:bottom w:val="single" w:sz="8" w:color="auto"/>
            </w:tcBorders>
          </w:tcPr>
          <w:p>
            <w:pPr>
              <w:jc w:val="right"/>
              <w:ind w:right="11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320" w:type="dxa"/>
            <w:vAlign w:val="bottom"/>
            <w:tcBorders>
              <w:bottom w:val="single" w:sz="8" w:color="auto"/>
            </w:tcBorders>
          </w:tcPr>
          <w:p>
            <w:pPr>
              <w:jc w:val="right"/>
              <w:ind w:right="11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1,547,119</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975,226</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571,893</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58.6 %</w:t>
            </w:r>
          </w:p>
        </w:tc>
      </w:tr>
      <w:tr>
        <w:trPr>
          <w:trHeight w:val="23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1,324,542</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85.6 %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862,577</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88.4 %</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461,965</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53.6 %</w:t>
            </w: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222,577</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14.4 %</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112,649</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11.6 %</w:t>
            </w: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109,928</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97.6 %</w:t>
            </w:r>
          </w:p>
        </w:tc>
      </w:tr>
      <w:tr>
        <w:trPr>
          <w:trHeight w:val="284"/>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35,668</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19,823</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2.0 %</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15,845</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79.9 %</w:t>
            </w:r>
          </w:p>
        </w:tc>
      </w:tr>
      <w:tr>
        <w:trPr>
          <w:trHeight w:val="233"/>
        </w:trPr>
        <w:tc>
          <w:tcPr>
            <w:tcW w:w="344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55,347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33,209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3.4 %</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22,138</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66.7 %</w:t>
            </w:r>
          </w:p>
        </w:tc>
      </w:tr>
      <w:tr>
        <w:trPr>
          <w:trHeight w:val="25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(24,796)</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(6,124)</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18,672</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304.9 %</w:t>
            </w:r>
          </w:p>
        </w:tc>
      </w:tr>
      <w:tr>
        <w:trPr>
          <w:trHeight w:val="233"/>
        </w:trPr>
        <w:tc>
          <w:tcPr>
            <w:tcW w:w="3440" w:type="dxa"/>
            <w:vAlign w:val="bottom"/>
          </w:tcPr>
          <w:p>
            <w:pPr>
              <w:ind w:left="180"/>
              <w:spacing w:after="0"/>
              <w:rPr>
                <w:sz w:val="20"/>
                <w:szCs w:val="20"/>
                <w:color w:val="auto"/>
              </w:rPr>
            </w:pPr>
            <w:r>
              <w:rPr>
                <w:rFonts w:ascii="Arial" w:cs="Arial" w:eastAsia="Arial" w:hAnsi="Arial"/>
                <w:sz w:val="16"/>
                <w:szCs w:val="16"/>
                <w:color w:val="auto"/>
              </w:rPr>
              <w:t>Transaction costs</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6,592</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0.4 %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6,592</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 %</w:t>
            </w:r>
          </w:p>
        </w:tc>
      </w:tr>
      <w:tr>
        <w:trPr>
          <w:trHeight w:val="246"/>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24,660</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1.6 %</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24,660</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3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general and administrative</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61,803</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27,085</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2.8 %</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34,718</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128.2 %</w:t>
            </w: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SG&amp;A</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97,471</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6.3 %</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46,908</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4.8 %</w:t>
            </w: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50,563</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107.8 %</w:t>
            </w:r>
          </w:p>
        </w:tc>
      </w:tr>
      <w:tr>
        <w:trPr>
          <w:trHeight w:val="284"/>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125,106</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8.1 %</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65,741</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6.7 %</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59,365</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90.3 %</w:t>
            </w:r>
          </w:p>
        </w:tc>
      </w:tr>
      <w:tr>
        <w:trPr>
          <w:trHeight w:val="233"/>
        </w:trPr>
        <w:tc>
          <w:tcPr>
            <w:tcW w:w="3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16,837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16,837</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100.0 %</w:t>
            </w:r>
          </w:p>
        </w:tc>
      </w:tr>
      <w:tr>
        <w:trPr>
          <w:trHeight w:val="24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(330)</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(457)</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(127)</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(27.8)%</w:t>
            </w:r>
          </w:p>
        </w:tc>
      </w:tr>
      <w:tr>
        <w:trPr>
          <w:trHeight w:val="233"/>
        </w:trPr>
        <w:tc>
          <w:tcPr>
            <w:tcW w:w="34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108,599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7.0 %</w:t>
            </w:r>
          </w:p>
        </w:tc>
        <w:tc>
          <w:tcPr>
            <w:tcW w:w="240" w:type="dxa"/>
            <w:vAlign w:val="bottom"/>
          </w:tcPr>
          <w:p>
            <w:pPr>
              <w:spacing w:after="0"/>
              <w:rPr>
                <w:sz w:val="20"/>
                <w:szCs w:val="20"/>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66,198</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6.8 %</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42,401</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64.1 %</w:t>
            </w:r>
          </w:p>
        </w:tc>
      </w:tr>
      <w:tr>
        <w:trPr>
          <w:trHeight w:val="24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37,269</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2.4 %</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20,702</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2.1 %</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16,567</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80.0 %</w:t>
            </w:r>
          </w:p>
        </w:tc>
      </w:tr>
      <w:tr>
        <w:trPr>
          <w:trHeight w:val="280"/>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71,330</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45,496</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25,834</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56.8 %</w:t>
            </w:r>
          </w:p>
        </w:tc>
      </w:tr>
      <w:tr>
        <w:trPr>
          <w:trHeight w:val="267"/>
        </w:trPr>
        <w:tc>
          <w:tcPr>
            <w:tcW w:w="3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3440" w:type="dxa"/>
            <w:vAlign w:val="bottom"/>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2.32</w:t>
            </w:r>
          </w:p>
        </w:tc>
        <w:tc>
          <w:tcPr>
            <w:tcW w:w="13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1.68</w:t>
            </w:r>
          </w:p>
        </w:tc>
        <w:tc>
          <w:tcPr>
            <w:tcW w:w="13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0.64</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38.0 %</w:t>
            </w:r>
          </w:p>
        </w:tc>
      </w:tr>
      <w:tr>
        <w:trPr>
          <w:trHeight w:val="28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30,766</w:t>
            </w:r>
          </w:p>
        </w:tc>
        <w:tc>
          <w:tcPr>
            <w:tcW w:w="1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27,033</w:t>
            </w: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3,733</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13.8 %</w:t>
            </w:r>
          </w:p>
        </w:tc>
      </w:tr>
    </w:tbl>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Percentages may not add due to rounding differences.</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Consolidated net revenues increased in Fiscal 2017 over Fiscal 2016 primarily due to the acquisition of Grand Design, which added revenues of $559.7 million in Fiscal 2017. Winnebago-branded towables products increased $36.1 million in Fiscal 2017. Growth in Towable revenues was partially offset by a $28.0 million decrease in Motorhome revenues caused mainly by the consumer trend towards smaller RVs with a lower ASP. In addition, we exited the aluminum extrusion operation in Fiscal 2016, which caused a reduction of $6.1 million in Fiscal 2017 net revenue.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Cost of goods sold was 85.6% of net revenues for Fiscal 2017 compared to 88.4% of net revenues for Fiscal 2016 due to the following:</w:t>
      </w:r>
    </w:p>
    <w:p>
      <w:pPr>
        <w:spacing w:after="0" w:line="19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w:t>
      </w:r>
    </w:p>
    <w:p>
      <w:pPr>
        <w:spacing w:after="0" w:line="5" w:lineRule="exact"/>
        <w:rPr>
          <w:rFonts w:ascii="Arial" w:cs="Arial" w:eastAsia="Arial" w:hAnsi="Arial"/>
          <w:sz w:val="16"/>
          <w:szCs w:val="16"/>
          <w:color w:val="auto"/>
        </w:rPr>
      </w:pPr>
    </w:p>
    <w:p>
      <w:pPr>
        <w:ind w:left="660" w:right="40"/>
        <w:spacing w:after="0" w:line="246" w:lineRule="auto"/>
        <w:rPr>
          <w:rFonts w:ascii="Arial" w:cs="Arial" w:eastAsia="Arial" w:hAnsi="Arial"/>
          <w:sz w:val="16"/>
          <w:szCs w:val="16"/>
          <w:color w:val="auto"/>
        </w:rPr>
      </w:pPr>
      <w:r>
        <w:rPr>
          <w:rFonts w:ascii="Arial" w:cs="Arial" w:eastAsia="Arial" w:hAnsi="Arial"/>
          <w:sz w:val="16"/>
          <w:szCs w:val="16"/>
          <w:color w:val="auto"/>
        </w:rPr>
        <w:t>to 81.2% from 83.2% primarily due to a higher proportion of Towable revenue as the Towable segment operates at a higher gross profit rate. Also, improvement in Towable segment material efficiency and purchasing synergies reduced costs as a percent of net revenue. Finally, improvement in the Towable segment margin was partially offset by margin pressure in the Motorhome segment due in part to the ramp up of the Junction City, Oregon production facility.</w:t>
      </w:r>
    </w:p>
    <w:p>
      <w:pPr>
        <w:spacing w:after="0" w:line="1" w:lineRule="exact"/>
        <w:rPr>
          <w:rFonts w:ascii="Arial" w:cs="Arial" w:eastAsia="Arial" w:hAnsi="Arial"/>
          <w:sz w:val="16"/>
          <w:szCs w:val="16"/>
          <w:color w:val="auto"/>
        </w:rPr>
      </w:pPr>
    </w:p>
    <w:p>
      <w:pPr>
        <w:ind w:left="660" w:right="460" w:hanging="328"/>
        <w:spacing w:after="0" w:line="24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engineering-related costs were lower at 4.5% of net revenues compared to 5.2% in the prior year due mainly to a higher proportion of Towable revenue that operates at a lower fixed cost per unit.</w:t>
      </w: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11.6% to 14.4% of net revenues.</w:t>
      </w:r>
    </w:p>
    <w:p>
      <w:pPr>
        <w:spacing w:after="0" w:line="194"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Selling expenses were 2.3% and 2.0% of net revenues in Fiscal 2017 and Fiscal 2016, respectively. Selling expenses are largely variable and remained proportional to revenues in Fiscal 2017.</w:t>
      </w:r>
    </w:p>
    <w:p>
      <w:pPr>
        <w:spacing w:after="0" w:line="16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General and administrative expenses were 4.0% and 2.8% of net revenues in Fiscal 2017 and Fiscal 2016, respectively. General and administrative expenses increased in Fiscal 2017 due to the addition of $13.9 million of general and administrative expenses related to the acquired Grand Design operation, an increase of $6.6 million in transaction related expenses, and the addition of $24.7 million in intangible amortization. In addition, Fiscal 2016 results of operations were impacted by $3.4 million in favorable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legal settlements. These increases were partially offset in Fiscal 2017 by the increased benefit of $18.7 million associated with the termination of the postretirement health care plan and reduced ERP implementation expenses.</w:t>
      </w:r>
    </w:p>
    <w:p>
      <w:pPr>
        <w:spacing w:after="0" w:line="16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Non-operating income decreased $0.1 million, in Fiscal 2017, primarily due to lower proceeds from company-owned life insurance ("COLI") policies than we received in Fiscal 2016.</w:t>
      </w:r>
    </w:p>
    <w:p>
      <w:pPr>
        <w:spacing w:after="0" w:line="16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effective tax rate for Fiscal 2017 was 34.3% compared to 31.3% in Fiscal 2016. The increase in the effective tax rate is primarily due to the increased income attributable to the Grand Design acquisition without a proportionate increase in tax credits and other favorable permanent items that provide a benefit to the tax rate.</w:t>
      </w:r>
    </w:p>
    <w:p>
      <w:pPr>
        <w:spacing w:after="0" w:line="174"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Net income and diluted income per share were $71.3 million and $2.32 per share, respectively, for Fiscal 2017. In Fiscal 2016, net income was $45.5 million and diluted income per share was $1.68.</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 for Fiscal 2017 and Fiscal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1660" w:type="dxa"/>
            <w:vAlign w:val="bottom"/>
            <w:tcBorders>
              <w:bottom w:val="single" w:sz="8" w:color="auto"/>
            </w:tcBorders>
          </w:tcPr>
          <w:p>
            <w:pPr>
              <w:spacing w:after="0"/>
              <w:rPr>
                <w:sz w:val="19"/>
                <w:szCs w:val="19"/>
                <w:color w:val="auto"/>
              </w:rPr>
            </w:pPr>
          </w:p>
        </w:tc>
      </w:tr>
      <w:tr>
        <w:trPr>
          <w:trHeight w:val="250"/>
        </w:trPr>
        <w:tc>
          <w:tcPr>
            <w:tcW w:w="70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26, 2017</w:t>
            </w:r>
          </w:p>
        </w:tc>
        <w:tc>
          <w:tcPr>
            <w:tcW w:w="420" w:type="dxa"/>
            <w:vAlign w:val="bottom"/>
          </w:tcPr>
          <w:p>
            <w:pPr>
              <w:spacing w:after="0"/>
              <w:rPr>
                <w:sz w:val="21"/>
                <w:szCs w:val="21"/>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7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71,330</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45,496</w:t>
            </w:r>
          </w:p>
        </w:tc>
      </w:tr>
      <w:tr>
        <w:trPr>
          <w:trHeight w:val="260"/>
        </w:trPr>
        <w:tc>
          <w:tcPr>
            <w:tcW w:w="70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2"/>
                <w:szCs w:val="22"/>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16,837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37,269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20,702</w:t>
            </w:r>
          </w:p>
        </w:tc>
      </w:tr>
      <w:tr>
        <w:trPr>
          <w:trHeight w:val="260"/>
        </w:trPr>
        <w:tc>
          <w:tcPr>
            <w:tcW w:w="704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2"/>
                <w:szCs w:val="22"/>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7,315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5,745</w:t>
            </w:r>
          </w:p>
        </w:tc>
      </w:tr>
      <w:tr>
        <w:trPr>
          <w:trHeight w:val="273"/>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28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24,660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47"/>
        </w:trPr>
        <w:tc>
          <w:tcPr>
            <w:tcW w:w="7040" w:type="dxa"/>
            <w:vAlign w:val="bottom"/>
          </w:tcPr>
          <w:p>
            <w:pPr>
              <w:ind w:left="40"/>
              <w:spacing w:after="0"/>
              <w:rPr>
                <w:sz w:val="20"/>
                <w:szCs w:val="20"/>
                <w:color w:val="auto"/>
              </w:rPr>
            </w:pPr>
            <w:r>
              <w:rPr>
                <w:rFonts w:ascii="Arial" w:cs="Arial" w:eastAsia="Arial" w:hAnsi="Arial"/>
                <w:sz w:val="16"/>
                <w:szCs w:val="16"/>
                <w:color w:val="auto"/>
              </w:rPr>
              <w:t>EBITDA</w:t>
            </w:r>
          </w:p>
        </w:tc>
        <w:tc>
          <w:tcPr>
            <w:tcW w:w="280" w:type="dxa"/>
            <w:vAlign w:val="bottom"/>
          </w:tcPr>
          <w:p>
            <w:pPr>
              <w:spacing w:after="0"/>
              <w:rPr>
                <w:sz w:val="21"/>
                <w:szCs w:val="21"/>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157,411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71,943</w:t>
            </w:r>
          </w:p>
        </w:tc>
      </w:tr>
      <w:tr>
        <w:trPr>
          <w:trHeight w:val="280"/>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(24,796)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(6,124)</w:t>
            </w:r>
          </w:p>
        </w:tc>
      </w:tr>
      <w:tr>
        <w:trPr>
          <w:trHeight w:val="260"/>
        </w:trPr>
        <w:tc>
          <w:tcPr>
            <w:tcW w:w="7040" w:type="dxa"/>
            <w:vAlign w:val="bottom"/>
          </w:tcPr>
          <w:p>
            <w:pPr>
              <w:ind w:left="180"/>
              <w:spacing w:after="0"/>
              <w:rPr>
                <w:sz w:val="20"/>
                <w:szCs w:val="20"/>
                <w:color w:val="auto"/>
              </w:rPr>
            </w:pPr>
            <w:r>
              <w:rPr>
                <w:rFonts w:ascii="Arial" w:cs="Arial" w:eastAsia="Arial" w:hAnsi="Arial"/>
                <w:sz w:val="16"/>
                <w:szCs w:val="16"/>
                <w:color w:val="auto"/>
              </w:rPr>
              <w:t>Legal settlement</w:t>
            </w:r>
          </w:p>
        </w:tc>
        <w:tc>
          <w:tcPr>
            <w:tcW w:w="280" w:type="dxa"/>
            <w:vAlign w:val="bottom"/>
          </w:tcPr>
          <w:p>
            <w:pPr>
              <w:spacing w:after="0"/>
              <w:rPr>
                <w:sz w:val="22"/>
                <w:szCs w:val="22"/>
                <w:color w:val="auto"/>
              </w:rPr>
            </w:pPr>
          </w:p>
        </w:tc>
        <w:tc>
          <w:tcPr>
            <w:tcW w:w="19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(3,400)</w:t>
            </w:r>
          </w:p>
        </w:tc>
      </w:tr>
      <w:tr>
        <w:trPr>
          <w:trHeight w:val="280"/>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2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6,592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355</w:t>
            </w:r>
          </w:p>
        </w:tc>
      </w:tr>
      <w:tr>
        <w:trPr>
          <w:trHeight w:val="264"/>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Non-operating income</w:t>
            </w:r>
          </w:p>
        </w:tc>
        <w:tc>
          <w:tcPr>
            <w:tcW w:w="2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(457)</w:t>
            </w:r>
          </w:p>
        </w:tc>
      </w:tr>
      <w:tr>
        <w:trPr>
          <w:trHeight w:val="24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138,877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62,317</w:t>
            </w: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Fiscal 2017 compared to Fiscal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Motorhome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26,</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b w:val="1"/>
                <w:bCs w:val="1"/>
                <w:color w:val="auto"/>
              </w:rPr>
              <w:t>August 27,</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2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2017</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853,360</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881,363</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(28,003)</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r>
      <w:tr>
        <w:trPr>
          <w:trHeight w:val="251"/>
        </w:trPr>
        <w:tc>
          <w:tcPr>
            <w:tcW w:w="28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56,518</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66,127</w:t>
            </w:r>
          </w:p>
        </w:tc>
        <w:tc>
          <w:tcPr>
            <w:tcW w:w="260" w:type="dxa"/>
            <w:vAlign w:val="bottom"/>
          </w:tcPr>
          <w:p>
            <w:pPr>
              <w:spacing w:after="0"/>
              <w:rPr>
                <w:sz w:val="21"/>
                <w:szCs w:val="21"/>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(9,609)</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(14.5)%</w:t>
            </w:r>
          </w:p>
        </w:tc>
      </w:tr>
      <w:tr>
        <w:trPr>
          <w:trHeight w:val="290"/>
        </w:trPr>
        <w:tc>
          <w:tcPr>
            <w:tcW w:w="2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26,</w:t>
            </w:r>
          </w:p>
        </w:tc>
        <w:tc>
          <w:tcPr>
            <w:tcW w:w="17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9"/>
              </w:rPr>
              <w:t>Product</w:t>
            </w: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27,</w:t>
            </w:r>
          </w:p>
        </w:tc>
        <w:tc>
          <w:tcPr>
            <w:tcW w:w="26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6"/>
                <w:szCs w:val="16"/>
                <w:color w:val="auto"/>
              </w:rPr>
            </w:pPr>
          </w:p>
        </w:tc>
        <w:tc>
          <w:tcPr>
            <w:tcW w:w="122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0"/>
                <w:szCs w:val="20"/>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2017</w:t>
            </w:r>
          </w:p>
        </w:tc>
        <w:tc>
          <w:tcPr>
            <w:tcW w:w="1720" w:type="dxa"/>
            <w:vAlign w:val="bottom"/>
            <w:gridSpan w:val="3"/>
          </w:tcPr>
          <w:p>
            <w:pPr>
              <w:jc w:val="center"/>
              <w:ind w:right="32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20"/>
                <w:szCs w:val="20"/>
                <w:color w:val="auto"/>
              </w:rPr>
            </w:pPr>
          </w:p>
        </w:tc>
        <w:tc>
          <w:tcPr>
            <w:tcW w:w="1520" w:type="dxa"/>
            <w:vAlign w:val="bottom"/>
            <w:gridSpan w:val="2"/>
          </w:tcPr>
          <w:p>
            <w:pPr>
              <w:jc w:val="center"/>
              <w:ind w:right="28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80" w:type="dxa"/>
            <w:vAlign w:val="bottom"/>
          </w:tcPr>
          <w:p>
            <w:pPr>
              <w:spacing w:after="0"/>
              <w:rPr>
                <w:sz w:val="20"/>
                <w:szCs w:val="20"/>
                <w:color w:val="auto"/>
              </w:rPr>
            </w:pPr>
          </w:p>
        </w:tc>
        <w:tc>
          <w:tcPr>
            <w:tcW w:w="1220" w:type="dxa"/>
            <w:vAlign w:val="bottom"/>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2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3,182</w:t>
            </w:r>
          </w:p>
        </w:tc>
        <w:tc>
          <w:tcPr>
            <w:tcW w:w="14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26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257</w:t>
            </w:r>
          </w:p>
        </w:tc>
        <w:tc>
          <w:tcPr>
            <w:tcW w:w="1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8.8 %</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1,541</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1,239</w:t>
            </w:r>
          </w:p>
        </w:tc>
        <w:tc>
          <w:tcPr>
            <w:tcW w:w="26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302</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24.4 %</w:t>
            </w:r>
          </w:p>
        </w:tc>
      </w:tr>
      <w:tr>
        <w:trPr>
          <w:trHeight w:val="273"/>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4,537</w:t>
            </w: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(606)</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(11.8)%</w:t>
            </w:r>
          </w:p>
        </w:tc>
      </w:tr>
      <w:tr>
        <w:trPr>
          <w:trHeight w:val="240"/>
        </w:trPr>
        <w:tc>
          <w:tcPr>
            <w:tcW w:w="2800" w:type="dxa"/>
            <w:vAlign w:val="bottom"/>
          </w:tcPr>
          <w:p>
            <w:pPr>
              <w:ind w:left="280"/>
              <w:spacing w:after="0"/>
              <w:rPr>
                <w:sz w:val="20"/>
                <w:szCs w:val="20"/>
                <w:color w:val="auto"/>
              </w:rPr>
            </w:pPr>
            <w:r>
              <w:rPr>
                <w:rFonts w:ascii="Arial" w:cs="Arial" w:eastAsia="Arial" w:hAnsi="Arial"/>
                <w:sz w:val="16"/>
                <w:szCs w:val="16"/>
                <w:color w:val="auto"/>
              </w:rPr>
              <w:t>Total Motorhome</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9,260</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9,307</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(47)</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r>
      <w:tr>
        <w:trPr>
          <w:trHeight w:val="20"/>
        </w:trPr>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2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91,759</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93,116</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(1,357)</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64"/>
        </w:trPr>
        <w:tc>
          <w:tcPr>
            <w:tcW w:w="2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1159"/>
              <w:spacing w:after="0"/>
              <w:rPr>
                <w:sz w:val="20"/>
                <w:szCs w:val="20"/>
                <w:color w:val="auto"/>
              </w:rPr>
            </w:pPr>
            <w:r>
              <w:rPr>
                <w:rFonts w:ascii="Arial" w:cs="Arial" w:eastAsia="Arial" w:hAnsi="Arial"/>
                <w:sz w:val="16"/>
                <w:szCs w:val="16"/>
                <w:b w:val="1"/>
                <w:bCs w:val="1"/>
                <w:color w:val="auto"/>
                <w:w w:val="98"/>
              </w:rPr>
              <w:t>As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198"/>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b w:val="1"/>
                <w:bCs w:val="1"/>
                <w:color w:val="auto"/>
              </w:rPr>
              <w:t>August 26,</w:t>
            </w:r>
          </w:p>
        </w:tc>
        <w:tc>
          <w:tcPr>
            <w:tcW w:w="26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w:t>
            </w:r>
          </w:p>
        </w:tc>
        <w:tc>
          <w:tcPr>
            <w:tcW w:w="180" w:type="dxa"/>
            <w:vAlign w:val="bottom"/>
          </w:tcPr>
          <w:p>
            <w:pPr>
              <w:spacing w:after="0"/>
              <w:rPr>
                <w:sz w:val="17"/>
                <w:szCs w:val="17"/>
                <w:color w:val="auto"/>
              </w:rPr>
            </w:pPr>
          </w:p>
        </w:tc>
        <w:tc>
          <w:tcPr>
            <w:tcW w:w="122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280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154</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13.5 %</w:t>
            </w:r>
          </w:p>
        </w:tc>
      </w:tr>
      <w:tr>
        <w:trPr>
          <w:trHeight w:val="251"/>
        </w:trPr>
        <w:tc>
          <w:tcPr>
            <w:tcW w:w="2800" w:type="dxa"/>
            <w:vAlign w:val="bottom"/>
          </w:tcPr>
          <w:p>
            <w:pPr>
              <w:ind w:left="40"/>
              <w:spacing w:after="0"/>
              <w:rPr>
                <w:sz w:val="20"/>
                <w:szCs w:val="20"/>
                <w:color w:val="auto"/>
              </w:rPr>
            </w:pPr>
            <w:r>
              <w:rPr>
                <w:rFonts w:ascii="Arial" w:cs="Arial" w:eastAsia="Arial" w:hAnsi="Arial"/>
                <w:sz w:val="16"/>
                <w:szCs w:val="16"/>
                <w:color w:val="auto"/>
              </w:rPr>
              <w:t>Dollars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122,142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39"/>
              <w:spacing w:after="0"/>
              <w:rPr>
                <w:sz w:val="20"/>
                <w:szCs w:val="20"/>
                <w:color w:val="auto"/>
              </w:rPr>
            </w:pPr>
            <w:r>
              <w:rPr>
                <w:rFonts w:ascii="Arial" w:cs="Arial" w:eastAsia="Arial" w:hAnsi="Arial"/>
                <w:sz w:val="16"/>
                <w:szCs w:val="16"/>
                <w:color w:val="auto"/>
              </w:rPr>
              <w:t>107,621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14,521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13.5 %</w:t>
            </w:r>
          </w:p>
        </w:tc>
      </w:tr>
      <w:tr>
        <w:trPr>
          <w:trHeight w:val="553"/>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4,345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41"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1" w:lineRule="exact"/>
        <w:rPr>
          <w:sz w:val="20"/>
          <w:szCs w:val="20"/>
          <w:color w:val="auto"/>
        </w:rPr>
      </w:pPr>
    </w:p>
    <w:p>
      <w:pPr>
        <w:ind w:left="260" w:right="20" w:hanging="252"/>
        <w:spacing w:after="0" w:line="258"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6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Motorhome net revenues decreased 3.2% in Fiscal 2017 as compared to Fiscal 2016. This was primarily due to a decline in Class C sales, a lower ASP on the mix of units sold, and the $6.1 million reduction in sales to aluminum extrusion customers as we have ceased those operations.</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Motorhome unit deliveries decreased by 0.5% in Fiscal 2017, most notably in our Class C products. The unit growth we have generated has been in our Class A and Class B products. The shift in product mix has been towards Class B products, which have a lower ASP. Though total Motorhome unit deliveries were down for Fiscal 2017, we saw an increase in the backlog volumes by 13.5% as of August 26, 2017 versus the prior period.</w:t>
      </w:r>
    </w:p>
    <w:p>
      <w:pPr>
        <w:spacing w:after="0" w:line="174"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Motorhome segment Adjusted EBITDA decreased due to lower revenues as described above, lower pricing, and additional costs associated with the investment in and shift of production to our Junction City, Oregon production facility. Higher personnel expenses were partially offset by a decrease in ERP expenses.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Fiscal 2017 compared to Fiscal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Towable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August 26,</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August 27,</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2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Change</w:t>
            </w: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685,197</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89,412</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595,785</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666.3%</w:t>
            </w:r>
          </w:p>
        </w:tc>
      </w:tr>
      <w:tr>
        <w:trPr>
          <w:trHeight w:val="251"/>
        </w:trPr>
        <w:tc>
          <w:tcPr>
            <w:tcW w:w="28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89,734</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1,721</w:t>
            </w:r>
          </w:p>
        </w:tc>
        <w:tc>
          <w:tcPr>
            <w:tcW w:w="260" w:type="dxa"/>
            <w:vAlign w:val="bottom"/>
          </w:tcPr>
          <w:p>
            <w:pPr>
              <w:spacing w:after="0"/>
              <w:rPr>
                <w:sz w:val="21"/>
                <w:szCs w:val="21"/>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88,013</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5,114.1%</w:t>
            </w:r>
          </w:p>
        </w:tc>
      </w:tr>
      <w:tr>
        <w:trPr>
          <w:trHeight w:val="488"/>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August 26,</w:t>
            </w:r>
          </w:p>
        </w:tc>
        <w:tc>
          <w:tcPr>
            <w:tcW w:w="17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9"/>
              </w:rPr>
              <w:t>Product</w:t>
            </w: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August 27,</w:t>
            </w:r>
          </w:p>
        </w:tc>
        <w:tc>
          <w:tcPr>
            <w:tcW w:w="2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720" w:type="dxa"/>
            <w:vAlign w:val="bottom"/>
            <w:tcBorders>
              <w:bottom w:val="single" w:sz="8" w:color="auto"/>
            </w:tcBorders>
            <w:gridSpan w:val="3"/>
          </w:tcPr>
          <w:p>
            <w:pPr>
              <w:jc w:val="center"/>
              <w:ind w:right="32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80"/>
              <w:spacing w:after="0" w:line="234" w:lineRule="exact"/>
              <w:rPr>
                <w:sz w:val="20"/>
                <w:szCs w:val="20"/>
                <w:color w:val="auto"/>
              </w:rPr>
            </w:pPr>
            <w:r>
              <w:rPr>
                <w:rFonts w:ascii="Arial" w:cs="Arial" w:eastAsia="Arial" w:hAnsi="Arial"/>
                <w:sz w:val="16"/>
                <w:szCs w:val="16"/>
                <w:b w:val="1"/>
                <w:bCs w:val="1"/>
                <w:color w:val="auto"/>
                <w:w w:val="92"/>
              </w:rPr>
              <w:t xml:space="preserve">Mix % </w:t>
            </w:r>
            <w:r>
              <w:rPr>
                <w:rFonts w:ascii="Arial" w:cs="Arial" w:eastAsia="Arial" w:hAnsi="Arial"/>
                <w:sz w:val="21"/>
                <w:szCs w:val="21"/>
                <w:b w:val="1"/>
                <w:bCs w:val="1"/>
                <w:color w:val="auto"/>
                <w:w w:val="92"/>
                <w:vertAlign w:val="superscript"/>
              </w:rPr>
              <w:t>(1)</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13,650</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10,037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277.8%</w:t>
            </w:r>
          </w:p>
        </w:tc>
      </w:tr>
      <w:tr>
        <w:trPr>
          <w:trHeight w:val="264"/>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8,824</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8,238</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1,405.8%</w:t>
            </w:r>
          </w:p>
        </w:tc>
      </w:tr>
      <w:tr>
        <w:trPr>
          <w:trHeight w:val="240"/>
        </w:trPr>
        <w:tc>
          <w:tcPr>
            <w:tcW w:w="2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Towable</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22,474</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18,275</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435.2%</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4"/>
        </w:trPr>
        <w:tc>
          <w:tcPr>
            <w:tcW w:w="2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 ASP</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30,571</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21,322</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9,249</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43.4%</w:t>
            </w:r>
          </w:p>
        </w:tc>
      </w:tr>
      <w:tr>
        <w:trPr>
          <w:trHeight w:val="534"/>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1139"/>
              <w:spacing w:after="0"/>
              <w:rPr>
                <w:sz w:val="20"/>
                <w:szCs w:val="20"/>
                <w:color w:val="auto"/>
              </w:rPr>
            </w:pPr>
            <w:r>
              <w:rPr>
                <w:rFonts w:ascii="Arial" w:cs="Arial" w:eastAsia="Arial" w:hAnsi="Arial"/>
                <w:sz w:val="16"/>
                <w:szCs w:val="16"/>
                <w:b w:val="1"/>
                <w:bCs w:val="1"/>
                <w:color w:val="auto"/>
                <w:w w:val="98"/>
              </w:rPr>
              <w:t>As Of</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8"/>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August 26,</w:t>
            </w:r>
          </w:p>
        </w:tc>
        <w:tc>
          <w:tcPr>
            <w:tcW w:w="26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27,</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280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8,001</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7,509</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1,526.2%</w:t>
            </w:r>
          </w:p>
        </w:tc>
      </w:tr>
      <w:tr>
        <w:trPr>
          <w:trHeight w:val="251"/>
        </w:trPr>
        <w:tc>
          <w:tcPr>
            <w:tcW w:w="2800" w:type="dxa"/>
            <w:vAlign w:val="bottom"/>
          </w:tcPr>
          <w:p>
            <w:pPr>
              <w:ind w:left="40"/>
              <w:spacing w:after="0"/>
              <w:rPr>
                <w:sz w:val="20"/>
                <w:szCs w:val="20"/>
                <w:color w:val="auto"/>
              </w:rPr>
            </w:pPr>
            <w:r>
              <w:rPr>
                <w:rFonts w:ascii="Arial" w:cs="Arial" w:eastAsia="Arial" w:hAnsi="Arial"/>
                <w:sz w:val="16"/>
                <w:szCs w:val="16"/>
                <w:color w:val="auto"/>
              </w:rPr>
              <w:t>Dollars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229,706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39"/>
              <w:spacing w:after="0"/>
              <w:rPr>
                <w:sz w:val="20"/>
                <w:szCs w:val="20"/>
                <w:color w:val="auto"/>
              </w:rPr>
            </w:pPr>
            <w:r>
              <w:rPr>
                <w:rFonts w:ascii="Arial" w:cs="Arial" w:eastAsia="Arial" w:hAnsi="Arial"/>
                <w:sz w:val="16"/>
                <w:szCs w:val="16"/>
                <w:color w:val="auto"/>
              </w:rPr>
              <w:t>8,420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221,286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2,628.1%</w:t>
            </w:r>
          </w:p>
        </w:tc>
      </w:tr>
      <w:tr>
        <w:trPr>
          <w:trHeight w:val="553"/>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r>
      <w:tr>
        <w:trPr>
          <w:trHeight w:val="27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9,545</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2,156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7,389</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342.7%</w:t>
            </w:r>
          </w:p>
        </w:tc>
      </w:tr>
    </w:tbl>
    <w:p>
      <w:pPr>
        <w:spacing w:after="0" w:line="59"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6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Towable net revenues increased 666.3% in Fiscal 2017 as compared to Fiscal 2016. This was primarily due to the acquisition of Grand Design, which added revenues of $559.7 million in Fiscal 2017. In addition, Winnebago-branded towable revenues rose $36.1 million or 40.4% in Fiscal 2017.</w:t>
      </w:r>
    </w:p>
    <w:p>
      <w:pPr>
        <w:spacing w:after="0" w:line="16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Towable unit deliveries grew by 435.2% in Fiscal 2017 primarily due to the acquisition of Grand Design and also due to Towable segment growth in excess of recent industry trends. With the addition of Grand Design in November 2016, our towables market share increased from 1.1% to 5.1% when comparing shipments during the twelve month trailing periods ended August 2016 and August 2017. The addition of Grand Design has also resulted in a higher ASP due to a greater proportion of higher-priced fifth wheel units sold in Fiscal 2017 compared to Fiscal 2016. Strong increases in backlog and the dealer inventory turn ratio in Fiscal 2017 resulted primarily from the acquisition of Grand Design.</w:t>
      </w:r>
    </w:p>
    <w:p>
      <w:pPr>
        <w:spacing w:after="0" w:line="176"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Towable segment Adjusted EBITDA excludes the costs associated with the acquisition and as such increased $88.0 million. This increase illustrates the favorable impact of Grand Design and the organic growth of Winnebago-branded towables. We achieved strong results in our Towable segment, where shipments grew much faster than the industry as a result of greater penetration of our new products and further expansion of our distribution base and higher gross profit on new products. In addition to the growth in our Towable segment, profitability has increased due to material efficiencies and the leverage of higher volume on the fixed cost components of our business.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summarizes our cash flows from total operations for </w:t>
      </w:r>
      <w:r>
        <w:rPr>
          <w:rFonts w:ascii="Arial" w:cs="Arial" w:eastAsia="Arial" w:hAnsi="Arial"/>
          <w:sz w:val="18"/>
          <w:szCs w:val="18"/>
          <w:color w:val="auto"/>
        </w:rPr>
        <w:t>Fiscal 2018</w:t>
      </w:r>
      <w:r>
        <w:rPr>
          <w:rFonts w:ascii="Arial" w:cs="Arial" w:eastAsia="Arial" w:hAnsi="Arial"/>
          <w:sz w:val="16"/>
          <w:szCs w:val="16"/>
          <w:color w:val="auto"/>
        </w:rPr>
        <w:t xml:space="preserve">, </w:t>
      </w:r>
      <w:r>
        <w:rPr>
          <w:rFonts w:ascii="Arial" w:cs="Arial" w:eastAsia="Arial" w:hAnsi="Arial"/>
          <w:sz w:val="18"/>
          <w:szCs w:val="18"/>
          <w:color w:val="auto"/>
        </w:rPr>
        <w:t>2017</w:t>
      </w:r>
      <w:r>
        <w:rPr>
          <w:rFonts w:ascii="Arial" w:cs="Arial" w:eastAsia="Arial" w:hAnsi="Arial"/>
          <w:sz w:val="16"/>
          <w:szCs w:val="16"/>
          <w:color w:val="auto"/>
        </w:rPr>
        <w:t xml:space="preserve">, and </w:t>
      </w:r>
      <w:r>
        <w:rPr>
          <w:rFonts w:ascii="Arial" w:cs="Arial" w:eastAsia="Arial" w:hAnsi="Arial"/>
          <w:sz w:val="18"/>
          <w:szCs w:val="18"/>
          <w:color w:val="auto"/>
        </w:rPr>
        <w:t>2016</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9"/>
              </w:rPr>
              <w:t>Year Ended</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25, 2018</w:t>
            </w:r>
          </w:p>
        </w:tc>
        <w:tc>
          <w:tcPr>
            <w:tcW w:w="220" w:type="dxa"/>
            <w:vAlign w:val="bottom"/>
          </w:tcPr>
          <w:p>
            <w:pPr>
              <w:spacing w:after="0"/>
              <w:rPr>
                <w:sz w:val="22"/>
                <w:szCs w:val="22"/>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26, 2017</w:t>
            </w:r>
          </w:p>
        </w:tc>
        <w:tc>
          <w:tcPr>
            <w:tcW w:w="200" w:type="dxa"/>
            <w:vAlign w:val="bottom"/>
          </w:tcPr>
          <w:p>
            <w:pPr>
              <w:spacing w:after="0"/>
              <w:rPr>
                <w:sz w:val="22"/>
                <w:szCs w:val="22"/>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 2016</w:t>
            </w:r>
          </w:p>
        </w:tc>
      </w:tr>
      <w:tr>
        <w:trPr>
          <w:trHeight w:val="270"/>
        </w:trPr>
        <w:tc>
          <w:tcPr>
            <w:tcW w:w="5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cash provided by (used in):</w:t>
            </w:r>
          </w:p>
        </w:tc>
        <w:tc>
          <w:tcPr>
            <w:tcW w:w="20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83,346</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97,127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52,746</w:t>
            </w:r>
          </w:p>
        </w:tc>
      </w:tr>
      <w:tr>
        <w:trPr>
          <w:trHeight w:val="28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(405,385)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(23,392)</w:t>
            </w:r>
          </w:p>
        </w:tc>
      </w:tr>
      <w:tr>
        <w:trPr>
          <w:trHeight w:val="264"/>
        </w:trPr>
        <w:tc>
          <w:tcPr>
            <w:tcW w:w="5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Financing activities</w:t>
            </w: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258,620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(14,010)</w:t>
            </w:r>
          </w:p>
        </w:tc>
      </w:tr>
      <w:tr>
        <w:trPr>
          <w:trHeight w:val="24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15,344</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10"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Cash provided by operating activities decreased in Fiscal 2018 compared to Fiscal 2017 due to an increase in inventory to support organic growth, partially offset by growth in net income.</w:t>
      </w:r>
    </w:p>
    <w:p>
      <w:pPr>
        <w:spacing w:after="0" w:line="169"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Cash provided by operating activities increased in Fiscal 2017 compared to Fiscal 2016 due to net income and changes in non-cash charges (e.g., amortization of debt issuance costs, depreciation, LIFO, stock-based compensation, deferred income taxes, postretirement benefits).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1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Cash used in investing activities for Fiscal 2018 consisted primarily of the acquisition of Chris-Craft and capital expenditures related to the capacity expansions taking place in our Towable segment. In Fiscal 2017, cash used in investing activities consisted of the acquisition of Grand Design for which we paid cash of $392.5 million, net of cash acquired, in addition to issuing Winnebago stock with a value of $124.1 million at closing. In Fiscal 2016, cash used in investing activities was primarily due to capital spend.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10"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Cash used in financing activities for Fiscal 2018 consisted of payments on the Credit Agreement, dividend payments, and share repurchases; these were partially offset by cash proceeds on the Credit Agreement. Cash provided by financing activities for Fiscal 2017 consisted of cash proceeds from the Credit Agreement, partially offset by payments on the Credit Agreement, payment of debt issuance costs, and dividend payments. Cash used in financing for Fiscal 2016 was primarily due to dividend payments and share repurchases.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and Capital</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As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w:t>
      </w:r>
      <w:r>
        <w:rPr>
          <w:rFonts w:ascii="Arial" w:cs="Arial" w:eastAsia="Arial" w:hAnsi="Arial"/>
          <w:sz w:val="16"/>
          <w:szCs w:val="16"/>
          <w:color w:val="auto"/>
        </w:rPr>
        <w:t>, of this Annual Report on Form 10-K, effective December 8, 2017, our Credit Agreement consists of a $300.0 million loan agreement ("Term Loan") and a</w:t>
      </w:r>
      <w:r>
        <w:rPr>
          <w:rFonts w:ascii="Arial" w:cs="Arial" w:eastAsia="Arial" w:hAnsi="Arial"/>
          <w:sz w:val="16"/>
          <w:szCs w:val="16"/>
          <w:i w:val="1"/>
          <w:iCs w:val="1"/>
          <w:color w:val="auto"/>
        </w:rPr>
        <w:t xml:space="preserve"> </w:t>
      </w:r>
      <w:r>
        <w:rPr>
          <w:rFonts w:ascii="Arial" w:cs="Arial" w:eastAsia="Arial" w:hAnsi="Arial"/>
          <w:sz w:val="16"/>
          <w:szCs w:val="16"/>
          <w:color w:val="auto"/>
        </w:rPr>
        <w:t>$125.0 million asset-based revolving credit agreement ("ABL") (collectively, the "Credit Agreement") with JPMorgan Chase. The requirement to hedge a portion of the Term Loan floating rate interest exposure was removed from the ABL on December 8, 2017, which provided greater flexibility under the Credit Agreement. The ABL was increased to a $165.0 million revolving credit agreement as of September 21, 2018.</w:t>
      </w:r>
    </w:p>
    <w:p>
      <w:pPr>
        <w:spacing w:after="0" w:line="17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this registration provides for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this Registration Statement; however, it does provide another potential source of liquidity to raise capital if we need it, in addition to the alternatives already in place.</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Financial Measures</w:t>
      </w:r>
    </w:p>
    <w:p>
      <w:pPr>
        <w:spacing w:after="0" w:line="214" w:lineRule="exact"/>
        <w:rPr>
          <w:sz w:val="20"/>
          <w:szCs w:val="20"/>
          <w:color w:val="auto"/>
        </w:rPr>
      </w:pPr>
    </w:p>
    <w:p>
      <w:pPr>
        <w:ind w:right="660"/>
        <w:spacing w:after="0" w:line="253" w:lineRule="auto"/>
        <w:rPr>
          <w:sz w:val="20"/>
          <w:szCs w:val="20"/>
          <w:color w:val="auto"/>
        </w:rPr>
      </w:pPr>
      <w:r>
        <w:rPr>
          <w:rFonts w:ascii="Arial" w:cs="Arial" w:eastAsia="Arial" w:hAnsi="Arial"/>
          <w:sz w:val="16"/>
          <w:szCs w:val="16"/>
          <w:color w:val="auto"/>
        </w:rPr>
        <w:t>Working capital at August 25, 2018 and August 26, 2017 was $167.8 million and $147.0 million, respectively. We currently expect cash on hand, funds generated from operations, and the borrowing available under our Credit Agreement to be sufficient to cover both short-term and long-term operating requirements.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214"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We anticipate capital expenditures in Fiscal 2019 of approximately $40.0 million to $50.0 million. We will continue to invest in our ERP system as well as expand our towable and marine facilities and make improvements to our motorhome facilities.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 and Dividends</w:t>
      </w:r>
    </w:p>
    <w:p>
      <w:pPr>
        <w:spacing w:after="0" w:line="214"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17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On December 19, 2007, our Board of Directors authorized the repurchase of outstanding shares of our common stock, depending on market conditions, for an aggregate consideration of up to $60.0 million. On October 18, 2017, our Board of Directors authorized a share repurchase program in the amount of $70.0 million. There is no time restriction on either authorization. During Fiscal 2018, we repurchased 134,803 shares of our common stock at a cost of $5.0 million. An additional 33,560 shares of our common stock at a cost of $1.5 million were repurchased to satisfy tax obligations on employee equity awards as they vested. We continually evaluate if share repurchases reflect a prudent use of our capital and, subject to compliance with our Credit Agreement, we may purchase shares in the future. At August 25, 2018, we have $66.0 million remaining on our board repurchase authorization.</w:t>
      </w:r>
    </w:p>
    <w:p>
      <w:pPr>
        <w:spacing w:after="0" w:line="178"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On August 15, 2018, our Board of Directors declared a quarterly cash dividend of $0.10 per share, totaling $3.2 million, paid on September 26, 2018 to common stockholders of record at the close of business on September 12, 2018.</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25, 2018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2020-2021</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2022-2023</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line="243" w:lineRule="exact"/>
              <w:rPr>
                <w:sz w:val="20"/>
                <w:szCs w:val="20"/>
                <w:color w:val="auto"/>
              </w:rPr>
            </w:pPr>
            <w:r>
              <w:rPr>
                <w:rFonts w:ascii="Arial" w:cs="Arial" w:eastAsia="Arial" w:hAnsi="Arial"/>
                <w:sz w:val="28"/>
                <w:szCs w:val="28"/>
                <w:color w:val="auto"/>
                <w:vertAlign w:val="subscript"/>
              </w:rPr>
              <w:t>ABL</w:t>
            </w:r>
            <w:r>
              <w:rPr>
                <w:rFonts w:ascii="Arial" w:cs="Arial" w:eastAsia="Arial" w:hAnsi="Arial"/>
                <w:sz w:val="10"/>
                <w:szCs w:val="10"/>
                <w:color w:val="auto"/>
              </w:rPr>
              <w:t>(1)(7)</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Term loan</w:t>
            </w:r>
            <w:r>
              <w:rPr>
                <w:rFonts w:ascii="Arial" w:cs="Arial" w:eastAsia="Arial" w:hAnsi="Arial"/>
                <w:sz w:val="21"/>
                <w:szCs w:val="21"/>
                <w:color w:val="auto"/>
                <w:vertAlign w:val="superscript"/>
              </w:rPr>
              <w:t>(2)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260,000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25,250</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234,750</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at variable rate</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72,313</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10,016</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20,032</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20,032</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22,233</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Net swap payments</w:t>
            </w:r>
            <w:r>
              <w:rPr>
                <w:rFonts w:ascii="Arial" w:cs="Arial" w:eastAsia="Arial" w:hAnsi="Arial"/>
                <w:sz w:val="21"/>
                <w:szCs w:val="21"/>
                <w:color w:val="auto"/>
                <w:vertAlign w:val="superscript"/>
              </w:rPr>
              <w:t>(4)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8,266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2,068</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2,344</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obligations</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18,496</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4,862</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4,328</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16,463</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2,700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4,794</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4,928</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4,041</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Contracted services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5,574</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Unrecognized tax benefits</w:t>
            </w:r>
            <w:r>
              <w:rPr>
                <w:rFonts w:ascii="Arial" w:cs="Arial" w:eastAsia="Arial" w:hAnsi="Arial"/>
                <w:sz w:val="21"/>
                <w:szCs w:val="21"/>
                <w:color w:val="auto"/>
                <w:vertAlign w:val="superscript"/>
              </w:rPr>
              <w:t>(7)</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421,389</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267,211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30,749</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jc w:val="center"/>
              <w:ind w:right="299"/>
              <w:spacing w:after="0"/>
              <w:rPr>
                <w:sz w:val="20"/>
                <w:szCs w:val="20"/>
                <w:color w:val="auto"/>
              </w:rPr>
            </w:pPr>
            <w:r>
              <w:rPr>
                <w:rFonts w:ascii="Arial" w:cs="Arial" w:eastAsia="Arial" w:hAnsi="Arial"/>
                <w:sz w:val="16"/>
                <w:szCs w:val="16"/>
                <w:b w:val="1"/>
                <w:bCs w:val="1"/>
                <w:color w:val="auto"/>
              </w:rPr>
              <w:t>Expiration By Period</w:t>
            </w: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11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Fiscal</w:t>
            </w: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2020-2021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2022-2023</w:t>
            </w: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Contingent repurchase obligations </w:t>
            </w:r>
            <w:r>
              <w:rPr>
                <w:rFonts w:ascii="Arial" w:cs="Arial" w:eastAsia="Arial" w:hAnsi="Arial"/>
                <w:sz w:val="21"/>
                <w:szCs w:val="21"/>
                <w:color w:val="auto"/>
                <w:vertAlign w:val="superscript"/>
              </w:rPr>
              <w:t>(6)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878,989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815,704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r>
    </w:tbl>
    <w:p>
      <w:pPr>
        <w:spacing w:after="0" w:line="113"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August 25, 2018, we had $38.5 million in borrowings under our ABL. Borrowings and repayments are expected to fluctuate over the term.</w:t>
      </w:r>
    </w:p>
    <w:p>
      <w:pPr>
        <w:spacing w:after="0" w:line="1" w:lineRule="exact"/>
        <w:rPr>
          <w:rFonts w:ascii="Arial" w:cs="Arial" w:eastAsia="Arial" w:hAnsi="Arial"/>
          <w:sz w:val="14"/>
          <w:szCs w:val="14"/>
          <w:color w:val="auto"/>
        </w:rPr>
      </w:pPr>
    </w:p>
    <w:p>
      <w:pPr>
        <w:ind w:left="240" w:right="40" w:hanging="232"/>
        <w:spacing w:after="0" w:line="241"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August 25, 2018, we had $260.0 million outstanding under our Term Loan that matures on November 8, 2023. The contractual principal payments are included in the table. Additional principal payments are potentially due annually on a formula based on excess cash flow and the leverage ratio at that time as defined in the Credit Agreement. No amounts for this contingency are included in the above table.</w:t>
      </w:r>
    </w:p>
    <w:p>
      <w:pPr>
        <w:spacing w:after="0" w:line="1" w:lineRule="exact"/>
        <w:rPr>
          <w:rFonts w:ascii="Arial" w:cs="Arial" w:eastAsia="Arial" w:hAnsi="Arial"/>
          <w:sz w:val="14"/>
          <w:szCs w:val="14"/>
          <w:color w:val="auto"/>
        </w:rPr>
      </w:pPr>
    </w:p>
    <w:p>
      <w:pPr>
        <w:ind w:left="240" w:right="40" w:hanging="232"/>
        <w:spacing w:after="0" w:line="241"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Term Loan is at a variable rate and the interest in the table assumes the variable rate of 5.8% at August 25, 2018 is constant through the maturity dates of the debt and the principal payments on the term debt are made as scheduled. The variable rate is subject to change. For example, a 1.0% change in Term Loan rates for Fiscal 2018, would change the interest expense by $2.5 million. Additionally, included in interest payments due by period is a 0.25% - 0.375% commitment fee on the ABL for unused borrowings, which are assumed to be at $125.0 million. In addition to interest assumed to be paid, non-cash amortization of debt issuance costs will also be recorded within interest expense on the Consolidated Statements of Income and Comprehensive Income in future periods.</w:t>
      </w:r>
    </w:p>
    <w:p>
      <w:pPr>
        <w:spacing w:after="0" w:line="1" w:lineRule="exact"/>
        <w:rPr>
          <w:rFonts w:ascii="Arial" w:cs="Arial" w:eastAsia="Arial" w:hAnsi="Arial"/>
          <w:sz w:val="14"/>
          <w:szCs w:val="14"/>
          <w:color w:val="auto"/>
        </w:rPr>
      </w:pPr>
    </w:p>
    <w:p>
      <w:pPr>
        <w:ind w:left="240" w:right="40" w:hanging="232"/>
        <w:spacing w:after="0" w:line="241"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have an interest rate swap agreement with a notional amount of $170.0 million as of August 25, 2018 that decreases to $120.0 million on December 8, 2018, to $60.0 million on December 8, 2019, and expires on December 8, 2020. We pay a fixed rate at 1.82%, and receive a floating rate that was 2.3% at August 25, 2018. In the table, we have assumed the floating rate will be constant through the expiration of the interest rate swap when calculating the net swap payments. The variable rate is subject to change. For example, a 1.0% increase in the floating rate for Fiscal 2018 would decrease the payments noted in footnote 3 by $2.1 million.</w:t>
      </w:r>
    </w:p>
    <w:p>
      <w:pPr>
        <w:spacing w:after="0" w:line="1" w:lineRule="exact"/>
        <w:rPr>
          <w:rFonts w:ascii="Arial" w:cs="Arial" w:eastAsia="Arial" w:hAnsi="Arial"/>
          <w:sz w:val="14"/>
          <w:szCs w:val="14"/>
          <w:color w:val="auto"/>
        </w:rPr>
      </w:pPr>
    </w:p>
    <w:p>
      <w:pPr>
        <w:ind w:left="240" w:right="320" w:hanging="232"/>
        <w:spacing w:after="0" w:line="241"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See Note 10, </w:t>
      </w:r>
      <w:r>
        <w:rPr>
          <w:rFonts w:ascii="Arial" w:cs="Arial" w:eastAsia="Arial" w:hAnsi="Arial"/>
          <w:sz w:val="14"/>
          <w:szCs w:val="14"/>
          <w:i w:val="1"/>
          <w:iCs w:val="1"/>
          <w:color w:val="auto"/>
        </w:rPr>
        <w:t>Employee and Retiree Benefits</w:t>
      </w:r>
      <w:r>
        <w:rPr>
          <w:rFonts w:ascii="Arial" w:cs="Arial" w:eastAsia="Arial" w:hAnsi="Arial"/>
          <w:sz w:val="14"/>
          <w:szCs w:val="14"/>
          <w:color w:val="auto"/>
        </w:rPr>
        <w:t xml:space="preserve">, of the Notes to Consolidated Financial Statements, included in Item 8, </w:t>
      </w:r>
      <w:r>
        <w:rPr>
          <w:rFonts w:ascii="Arial" w:cs="Arial" w:eastAsia="Arial" w:hAnsi="Arial"/>
          <w:sz w:val="14"/>
          <w:szCs w:val="14"/>
          <w:i w:val="1"/>
          <w:iCs w:val="1"/>
          <w:color w:val="auto"/>
        </w:rPr>
        <w:t>Financial Statements and Supplementary Data</w:t>
      </w:r>
      <w:r>
        <w:rPr>
          <w:rFonts w:ascii="Arial" w:cs="Arial" w:eastAsia="Arial" w:hAnsi="Arial"/>
          <w:sz w:val="14"/>
          <w:szCs w:val="14"/>
          <w:color w:val="auto"/>
        </w:rPr>
        <w:t>, of this Annual Report on Form 10-K.</w:t>
      </w:r>
    </w:p>
    <w:p>
      <w:pPr>
        <w:ind w:left="240" w:right="20" w:hanging="232"/>
        <w:spacing w:after="0" w:line="241"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See Note 11, </w:t>
      </w:r>
      <w:r>
        <w:rPr>
          <w:rFonts w:ascii="Arial" w:cs="Arial" w:eastAsia="Arial" w:hAnsi="Arial"/>
          <w:sz w:val="14"/>
          <w:szCs w:val="14"/>
          <w:i w:val="1"/>
          <w:iCs w:val="1"/>
          <w:color w:val="auto"/>
        </w:rPr>
        <w:t>Contingent Liabilities and Commitments</w:t>
      </w:r>
      <w:r>
        <w:rPr>
          <w:rFonts w:ascii="Arial" w:cs="Arial" w:eastAsia="Arial" w:hAnsi="Arial"/>
          <w:sz w:val="14"/>
          <w:szCs w:val="14"/>
          <w:color w:val="auto"/>
        </w:rPr>
        <w:t xml:space="preserve">, of the Notes to Consolidated Financial Statements, included in Item 8, </w:t>
      </w:r>
      <w:r>
        <w:rPr>
          <w:rFonts w:ascii="Arial" w:cs="Arial" w:eastAsia="Arial" w:hAnsi="Arial"/>
          <w:sz w:val="14"/>
          <w:szCs w:val="14"/>
          <w:i w:val="1"/>
          <w:iCs w:val="1"/>
          <w:color w:val="auto"/>
        </w:rPr>
        <w:t>Financial Statements and Supplementary Data</w:t>
      </w:r>
      <w:r>
        <w:rPr>
          <w:rFonts w:ascii="Arial" w:cs="Arial" w:eastAsia="Arial" w:hAnsi="Arial"/>
          <w:sz w:val="14"/>
          <w:szCs w:val="14"/>
          <w:color w:val="auto"/>
        </w:rPr>
        <w:t>, of this Annual Report on Form 10-K.</w:t>
      </w:r>
    </w:p>
    <w:p>
      <w:pPr>
        <w:ind w:left="240" w:hanging="232"/>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are not able to reasonably estimate in which future periods these amounts will ultimately be settled.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consolidated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believed to be relevant at the time our consolidated financial statements are prepared. Because future events and their effects cannot be determined with certainty, actual results could differ from our assumptions and estimates, and such differences could be material.</w:t>
      </w:r>
    </w:p>
    <w:p>
      <w:pPr>
        <w:spacing w:after="0" w:line="16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Our significant accounting policies are discussed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We believe that the following accounting estimates are the most critical to aid in fully understanding and evaluating our reported financial results. These estimates require our most difficult, subjective, or complex judgments because they relate to matters that are inherently uncertain. We have reviewed these critical accounting estimates and related disclosures with the Audit Committee of our Board of Directors.</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have not made any material changes during the past three fiscal years, nor do we believe there is a reasonable likelihood of a material future change to the accounting methodologies for the areas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Indefinite-lived Intangible Assets</w:t>
      </w:r>
    </w:p>
    <w:p>
      <w:pPr>
        <w:spacing w:after="0" w:line="210"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test goodwill and indefinite-lived intangible assets (trade names) for impairment at least annually in the fourth quarter and more frequently if events or circumstances occur that would indicate a reduction in fair value. Our test of impairment begins by either performing a qualitative evaluation or a quantitative test:</w:t>
      </w:r>
    </w:p>
    <w:p>
      <w:pPr>
        <w:spacing w:after="0" w:line="174" w:lineRule="exact"/>
        <w:rPr>
          <w:sz w:val="20"/>
          <w:szCs w:val="20"/>
          <w:color w:val="auto"/>
        </w:rPr>
      </w:pPr>
    </w:p>
    <w:p>
      <w:pPr>
        <w:ind w:left="660" w:right="20" w:hanging="328"/>
        <w:spacing w:after="0" w:line="25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Qualitative evaluation - Performed to determine whether it is more likely than not that the carrying value of goodwill or the trade name exceeds the fair value of the asset. During our qualitative assessment, we make significant estimates, assumptions, and judgments, including, but not limited to, the macroeconomic conditions, industry and market conditions, cost factors, overall financial performance of the Company and the reporting units, changes in our share price, and relevant company-specific events. If we determine that it is more likely than not that the carrying value of goodwill exceeds the fair value of goodwill, we perform the quantitative test to determine the amount of the impairment.</w:t>
      </w:r>
    </w:p>
    <w:p>
      <w:pPr>
        <w:spacing w:after="0" w:line="176" w:lineRule="exact"/>
        <w:rPr>
          <w:rFonts w:ascii="Arial" w:cs="Arial" w:eastAsia="Arial" w:hAnsi="Arial"/>
          <w:sz w:val="16"/>
          <w:szCs w:val="16"/>
          <w:color w:val="auto"/>
        </w:rPr>
      </w:pPr>
    </w:p>
    <w:p>
      <w:pPr>
        <w:ind w:left="660" w:hanging="328"/>
        <w:spacing w:after="0" w:line="24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Quantitative test - Used to calculate the fair value of goodwill or the trade name. If the carrying value of goodwill or the trade name exceeds the fair value of the asset, the impairment is calculated as the difference between the carrying value and fair value. Our goodwill fair value model uses a blend of the income (discounted future cash flow) and market (guideline public company) approaches, which includes the use of significant unobservable inputs (Level 3 inputs). Our trade name fair value model uses the income (relief-from-royalty) approach, which includes the use of significant unobservable inputs (Level 3 inputs). During these valuations, we make significant estimates, assumptions, and judgments, including, current and projected future levels of income based on management’s plans, business trends, market and economic conditions, and market-participant considerations.</w:t>
      </w:r>
    </w:p>
    <w:p>
      <w:pPr>
        <w:spacing w:after="0" w:line="18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Actual results may differ from assumed and estimated amounts. As of August 25, 2018, our goodwill balance includes $244.7 million within our Towable segment and $29.7 million within our Corporate / All Other category, and our indefinite-lived intangible asset balance is $177.3 million. The qualitative test was not performed in the current year. No impairments were recorded in Fiscal 2018, 2017, and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The impairment testing involves comparing the carrying amount of the asset to the fair value of the asset as determined by calculating the undiscounted future cash flows generated by the asset. During these valuations, we make significant estimates, assumptions, and judgments, including current and projected future levels of income based on management’s plans, business trends, and market and economic conditions. In the event the carrying amount of the asset exceeds the fair value and the carrying amount is not considered recoverable, an impairment exists. An impairment loss is measured as the excess of the asset’s carrying amount over its fair value. In addition, the reasonableness of the useful lives of these assets is regularly evaluated. No impairments were recorded in Fiscal 2018, 2017, and 2016.</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41"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It is customary practice for manufacturers in our industries to enter into repurchase agreements with financing institutions that provide financing to their dealers. Our repurchase agreements generally provide that, in the event of a default by a dealer in its obligation to these lenders, we will repurchase units sold to the dealer that have not been resold to retail customers. The terms of these agreements, which can last up to 24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Based on these repurchase agreements, we establish an associated loss reserve. Our loss reserve for repurchase commitments contains uncertainties because the calculation requires management to make assumptions and apply judgment regarding a number of factors. We base our reserve primarily on our historical loss experience rate per dollar of dealer inventory. The historical experience has been affected by a number of factors which are evaluated, such as macro-market conditions, current retail demand for our product, location of the dealer, and the financing source. The percentage of dealer inventory we estimate we will repurchase and the associated estimated loss is based on historical loss experience and current trends and economic conditions.</w:t>
      </w:r>
    </w:p>
    <w:p>
      <w:pPr>
        <w:spacing w:after="0" w:line="17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Repurchase risk is affected by the credit worthiness of our dealer network and if we are obligated to repurchase a substantially larger number of units in the future, this would increase our costs and could have a material adverse effect on our results of operations, financial condition, and cash flows. A hypothetical change of a 10% increase or decrease in our repurchases commitments as of August 25, 2018 would have an immaterial effect on net income.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provide certain service and warranty on our products. Estimated costs related to product warranty are accrued at the time of sale and are based upon past warranty claims and unit sales history. Estimates are adjusted as needed to reflect actual costs incurred as information becomes available.</w:t>
      </w:r>
    </w:p>
    <w:p>
      <w:pPr>
        <w:spacing w:after="0" w:line="16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74"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warranty liability as of August 25, 2018 would have affected net income by approximately $2.8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 xml:space="preserve">We account for income taxes in accordance with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In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will continue to assess the likelihood that our deferred tax assets are properly measured and will be realizable at each reporting period. Any adjustment to the deferred tax assets could materially impact our financial position and results of operations. As of August 25, 2018, we have determined that our deferred tax assets are properly measured and realizable and, therefore, no valuation allowance has been recorded.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9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For a summary of new applicable accounting pronouncements, See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1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We are exposed to market risks related to fluctuations in interest rates on the outstanding variable rate debt. As of August 25, 2018, we had $260.0 million outstanding under our Term Loan, subject to variable interest rates. This risk is partially mitigated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through the use of an interest rate swap contract as detailed below.</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Under terms of the Credit Agreement, we were previously required to maintain interest rate swaps to manage our interest rate exposure related to the variable component of interest cost on the Term Loan. In accordance with this requirement, we entered into an interest swap contract on January 23, 2017, to effectively convert $200.0 million of the Term Loan balance to a fixed rate. The notional amount of the swap reduced to $170.0 million on December 8, 2017 and will be reduced to $120.0 million on December 8, 2018 and $60.0 million on December 9, 2019. The swap contract expires on December 8, 2020. A hypothetical one percentage point increase in interest rates on the Term Loan would increase our interest expense (after consideration of the interest rate swap) for 2018 by approximately $0.9 million. A 1.0% decrease in interest rates on the Term Loan would decrease our interest expense for Fiscal 2018 by approximately $0.9 million. The requirement to hedge a portion of the Term Loan floating rate interest exposure was removed through an amendment to the ABL. See Note</w:t>
      </w:r>
    </w:p>
    <w:p>
      <w:pPr>
        <w:spacing w:after="0" w:line="3"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 xml:space="preserve">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169"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Derivative instruments are accounted for at fair value and have been designated for hedge accounting. The fair value of the interest rate swap is based on observable market data (Level 2) and was $2.0 million on August 25, 2018. The interest rate swap requires us to pay interest at a fixed rate of 1.82% through the December 8, 2020 expiration of the swap. A 1.0% increase in the interest rate would have changed the fair value of the swap as of August 25, 2018 by approximately $2.1 million and a 1.0% decrease would have changed the fair value by $2.2 million. These increases and decreases would be recorded in other comprehensive income and the hedged value on our consolidated balance sheet within other assets, if the balance is an asset and within other non-current liabilities, if the balance is a liability. While these are our best estimates of the impact of the specified interest rate scenario, actual results could differ from those projected. The sensitivity analysis presented assumes interest rate changes are instantaneous, parallel shifts in the yield curve. In reality, interest rate changes of this magnitude are rarely instantaneous or parallel.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660" w:right="560" w:hanging="328"/>
        <w:spacing w:after="0" w:line="26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41" w:lineRule="exact"/>
        <w:rPr>
          <w:rFonts w:ascii="Arial" w:cs="Arial" w:eastAsia="Arial" w:hAnsi="Arial"/>
          <w:sz w:val="16"/>
          <w:szCs w:val="16"/>
          <w:color w:val="auto"/>
        </w:rPr>
      </w:pPr>
    </w:p>
    <w:p>
      <w:pPr>
        <w:ind w:left="660" w:right="100" w:hanging="328"/>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of the Company,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Management of the Company's assessment included an evaluation of the design of the Company's internal control over financial reporting and testing of the operational effectiveness of the Company's internal control over financial reporting.</w:t>
      </w:r>
    </w:p>
    <w:p>
      <w:pPr>
        <w:spacing w:after="0" w:line="14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 xml:space="preserve">During Fiscal 2018, management excluded certain elements of internal control over financial reporting pertaining to the activities of the Chris-Craft business acquired in the fourth quarter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 Exclusion in the year of acquisition is customary to allow management sufficient time to evaluate and integrate our internal control over financial reporting. The exclusion for Chris-Craft represented less than 1.0% of consolidated total revenue and less than 1.0% of our consolidated total operating income for the year ended August 25, 2018 as well as 9.5% of our consolidated total assets as of August 25, 2018.</w:t>
      </w:r>
    </w:p>
    <w:p>
      <w:pPr>
        <w:spacing w:after="0" w:line="14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Based on its assessment and considering the exclusion noted above, management has concluded that the Company's internal control over financial reporting was effective as of August 25, 2018.</w:t>
      </w:r>
    </w:p>
    <w:p>
      <w:pPr>
        <w:spacing w:after="0" w:line="14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Michael J. Happe</w:t>
            </w:r>
          </w:p>
        </w:tc>
        <w:tc>
          <w:tcPr>
            <w:tcW w:w="1480" w:type="dxa"/>
            <w:vAlign w:val="bottom"/>
          </w:tcPr>
          <w:p>
            <w:pPr>
              <w:spacing w:after="0"/>
              <w:rPr>
                <w:sz w:val="19"/>
                <w:szCs w:val="19"/>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Bryan L. Hughes</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Michael J. Happe</w:t>
            </w:r>
          </w:p>
        </w:tc>
        <w:tc>
          <w:tcPr>
            <w:tcW w:w="14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Bryan L. Hughes</w:t>
            </w:r>
          </w:p>
        </w:tc>
      </w:tr>
      <w:tr>
        <w:trPr>
          <w:trHeight w:val="243"/>
        </w:trPr>
        <w:tc>
          <w:tcPr>
            <w:tcW w:w="4920" w:type="dxa"/>
            <w:vAlign w:val="bottom"/>
          </w:tcPr>
          <w:p>
            <w:pPr>
              <w:ind w:left="40"/>
              <w:spacing w:after="0"/>
              <w:rPr>
                <w:sz w:val="20"/>
                <w:szCs w:val="20"/>
                <w:color w:val="auto"/>
              </w:rPr>
            </w:pPr>
            <w:r>
              <w:rPr>
                <w:rFonts w:ascii="Arial" w:cs="Arial" w:eastAsia="Arial" w:hAnsi="Arial"/>
                <w:sz w:val="16"/>
                <w:szCs w:val="16"/>
                <w:color w:val="auto"/>
              </w:rPr>
              <w:t>President, Chief Executive Officer</w:t>
            </w:r>
          </w:p>
        </w:tc>
        <w:tc>
          <w:tcPr>
            <w:tcW w:w="14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Chief Financial Officer</w:t>
            </w:r>
          </w:p>
        </w:tc>
      </w:tr>
      <w:tr>
        <w:trPr>
          <w:trHeight w:val="567"/>
        </w:trPr>
        <w:tc>
          <w:tcPr>
            <w:tcW w:w="4920" w:type="dxa"/>
            <w:vAlign w:val="bottom"/>
          </w:tcPr>
          <w:p>
            <w:pPr>
              <w:ind w:left="40"/>
              <w:spacing w:after="0"/>
              <w:rPr>
                <w:sz w:val="20"/>
                <w:szCs w:val="20"/>
                <w:color w:val="auto"/>
              </w:rPr>
            </w:pPr>
            <w:r>
              <w:rPr>
                <w:rFonts w:ascii="Arial" w:cs="Arial" w:eastAsia="Arial" w:hAnsi="Arial"/>
                <w:sz w:val="16"/>
                <w:szCs w:val="16"/>
                <w:color w:val="auto"/>
              </w:rPr>
              <w:t>October 18, 2018</w:t>
            </w:r>
          </w:p>
        </w:tc>
        <w:tc>
          <w:tcPr>
            <w:tcW w:w="14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October 18, 2018</w:t>
            </w:r>
          </w:p>
        </w:tc>
      </w:tr>
      <w:tr>
        <w:trPr>
          <w:trHeight w:val="648"/>
        </w:trPr>
        <w:tc>
          <w:tcPr>
            <w:tcW w:w="4920" w:type="dxa"/>
            <w:vAlign w:val="bottom"/>
          </w:tcPr>
          <w:p>
            <w:pPr>
              <w:spacing w:after="0"/>
              <w:rPr>
                <w:sz w:val="24"/>
                <w:szCs w:val="24"/>
                <w:color w:val="auto"/>
              </w:rPr>
            </w:pP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34</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Winnebago Industries, Inc.</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349"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We have audited the accompanying consolidated balance sheets of Winnebago Industries, Inc. and subsidiaries (the "Company") as of August 25, 2018 and August 26, 2017, the related consolidated statements of income and comprehensive income, changes in stockholders' equity, and cash flows, for each of the three years in the period ended August 25, 2018, and the related notes (collectively referred to as the "financial statements"). In our opinion, the financial statements present fairly, in all material respects, the financial position of the Company as of August 25, 2018 and August 26, 2017, and the results of its operations and its cash flows for each of the three years in the period ended August 25, 2018, in conformity with accounting principles generally accepted in the United States of America.</w:t>
      </w: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August 25,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October 18, 2018,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34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0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18,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1986.</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141" w:right="27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Winnebago Industries, Inc.</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34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have audited the internal control over financial reporting of Winnebago Industries, Inc. and subsidiaries (the “Company”) as of August 25, 2018,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August 25, 2018, based on criteria established in Internal Control - Integrated Framework (2013) issued by COSO.</w:t>
      </w: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August 25, 2018, of the Company and our report dated October 18, 2018, expressed an unqualified opinion on those financial statements.</w:t>
      </w:r>
    </w:p>
    <w:p>
      <w:pPr>
        <w:spacing w:after="0" w:line="30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Chris-Craft USA, Inc., which was acquired on June 4, 2018 and whose financial statements constitute 9.5% of total assets, less than 1.0% of net revenues, and less than 1.0% of operating income of the consolidated financial statements amounts as of and for the year ended August 25, 2018. Accordingly, our audit did not include the internal control over financial reporting at Chris-Craft USA, Inc.</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3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1"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34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1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18, 2018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1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2"/>
                <w:szCs w:val="22"/>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25, 2018</w:t>
            </w:r>
          </w:p>
        </w:tc>
        <w:tc>
          <w:tcPr>
            <w:tcW w:w="260" w:type="dxa"/>
            <w:vAlign w:val="bottom"/>
          </w:tcPr>
          <w:p>
            <w:pPr>
              <w:spacing w:after="0"/>
              <w:rPr>
                <w:sz w:val="22"/>
                <w:szCs w:val="22"/>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August 26, 2017</w:t>
            </w:r>
          </w:p>
        </w:tc>
        <w:tc>
          <w:tcPr>
            <w:tcW w:w="260" w:type="dxa"/>
            <w:vAlign w:val="bottom"/>
          </w:tcPr>
          <w:p>
            <w:pPr>
              <w:spacing w:after="0"/>
              <w:rPr>
                <w:sz w:val="22"/>
                <w:szCs w:val="22"/>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27, 2016</w:t>
            </w:r>
          </w:p>
        </w:tc>
        <w:tc>
          <w:tcPr>
            <w:tcW w:w="0" w:type="dxa"/>
            <w:vAlign w:val="bottom"/>
          </w:tcPr>
          <w:p>
            <w:pPr>
              <w:spacing w:after="0"/>
              <w:rPr>
                <w:sz w:val="1"/>
                <w:szCs w:val="1"/>
                <w:color w:val="auto"/>
              </w:rPr>
            </w:pPr>
          </w:p>
        </w:tc>
      </w:tr>
      <w:tr>
        <w:trPr>
          <w:trHeight w:val="257"/>
        </w:trPr>
        <w:tc>
          <w:tcPr>
            <w:tcW w:w="5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2,016,829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1,547,119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975,226</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1,716,993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1,324,542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862,577</w:t>
            </w: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299,836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222,577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112,649</w:t>
            </w:r>
          </w:p>
        </w:tc>
        <w:tc>
          <w:tcPr>
            <w:tcW w:w="0" w:type="dxa"/>
            <w:vAlign w:val="bottom"/>
          </w:tcPr>
          <w:p>
            <w:pPr>
              <w:spacing w:after="0"/>
              <w:rPr>
                <w:sz w:val="1"/>
                <w:szCs w:val="1"/>
                <w:color w:val="auto"/>
              </w:rPr>
            </w:pPr>
          </w:p>
        </w:tc>
      </w:tr>
      <w:tr>
        <w:trPr>
          <w:trHeight w:val="254"/>
        </w:trPr>
        <w:tc>
          <w:tcPr>
            <w:tcW w:w="51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 ("SG&amp;A"):</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Selling</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49,850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35,668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19,823</w:t>
            </w:r>
          </w:p>
        </w:tc>
        <w:tc>
          <w:tcPr>
            <w:tcW w:w="0" w:type="dxa"/>
            <w:vAlign w:val="bottom"/>
          </w:tcPr>
          <w:p>
            <w:pPr>
              <w:spacing w:after="0"/>
              <w:rPr>
                <w:sz w:val="1"/>
                <w:szCs w:val="1"/>
                <w:color w:val="auto"/>
              </w:rPr>
            </w:pPr>
          </w:p>
        </w:tc>
      </w:tr>
      <w:tr>
        <w:trPr>
          <w:trHeight w:val="260"/>
        </w:trPr>
        <w:tc>
          <w:tcPr>
            <w:tcW w:w="51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78,089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55,347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33,209</w:t>
            </w:r>
          </w:p>
        </w:tc>
        <w:tc>
          <w:tcPr>
            <w:tcW w:w="0" w:type="dxa"/>
            <w:vAlign w:val="bottom"/>
          </w:tcPr>
          <w:p>
            <w:pPr>
              <w:spacing w:after="0"/>
              <w:rPr>
                <w:sz w:val="1"/>
                <w:szCs w:val="1"/>
                <w:color w:val="auto"/>
              </w:rPr>
            </w:pPr>
          </w:p>
        </w:tc>
      </w:tr>
      <w:tr>
        <w:trPr>
          <w:trHeight w:val="280"/>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6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(6,124)</w:t>
            </w:r>
          </w:p>
        </w:tc>
        <w:tc>
          <w:tcPr>
            <w:tcW w:w="0" w:type="dxa"/>
            <w:vAlign w:val="bottom"/>
          </w:tcPr>
          <w:p>
            <w:pPr>
              <w:spacing w:after="0"/>
              <w:rPr>
                <w:sz w:val="1"/>
                <w:szCs w:val="1"/>
                <w:color w:val="auto"/>
              </w:rPr>
            </w:pPr>
          </w:p>
        </w:tc>
      </w:tr>
      <w:tr>
        <w:trPr>
          <w:trHeight w:val="260"/>
        </w:trPr>
        <w:tc>
          <w:tcPr>
            <w:tcW w:w="5100" w:type="dxa"/>
            <w:vAlign w:val="bottom"/>
          </w:tcPr>
          <w:p>
            <w:pPr>
              <w:ind w:left="18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2,177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6,592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9,328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24,660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SG&amp;A</w:t>
            </w: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139,444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97,471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46,908</w:t>
            </w: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160,392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125,106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65,741</w:t>
            </w:r>
          </w:p>
        </w:tc>
        <w:tc>
          <w:tcPr>
            <w:tcW w:w="0" w:type="dxa"/>
            <w:vAlign w:val="bottom"/>
          </w:tcPr>
          <w:p>
            <w:pPr>
              <w:spacing w:after="0"/>
              <w:rPr>
                <w:sz w:val="1"/>
                <w:szCs w:val="1"/>
                <w:color w:val="auto"/>
              </w:rPr>
            </w:pPr>
          </w:p>
        </w:tc>
      </w:tr>
      <w:tr>
        <w:trPr>
          <w:trHeight w:val="260"/>
        </w:trPr>
        <w:tc>
          <w:tcPr>
            <w:tcW w:w="51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18,246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16,837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47"/>
        </w:trPr>
        <w:tc>
          <w:tcPr>
            <w:tcW w:w="51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142,640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108,599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66,198</w:t>
            </w:r>
          </w:p>
        </w:tc>
        <w:tc>
          <w:tcPr>
            <w:tcW w:w="0" w:type="dxa"/>
            <w:vAlign w:val="bottom"/>
          </w:tcPr>
          <w:p>
            <w:pPr>
              <w:spacing w:after="0"/>
              <w:rPr>
                <w:sz w:val="1"/>
                <w:szCs w:val="1"/>
                <w:color w:val="auto"/>
              </w:rPr>
            </w:pPr>
          </w:p>
        </w:tc>
      </w:tr>
      <w:tr>
        <w:trPr>
          <w:trHeight w:val="273"/>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40,283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37,269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20,702</w:t>
            </w:r>
          </w:p>
        </w:tc>
        <w:tc>
          <w:tcPr>
            <w:tcW w:w="0" w:type="dxa"/>
            <w:vAlign w:val="bottom"/>
          </w:tcPr>
          <w:p>
            <w:pPr>
              <w:spacing w:after="0"/>
              <w:rPr>
                <w:sz w:val="1"/>
                <w:szCs w:val="1"/>
                <w:color w:val="auto"/>
              </w:rPr>
            </w:pPr>
          </w:p>
        </w:tc>
      </w:tr>
      <w:tr>
        <w:trPr>
          <w:trHeight w:val="280"/>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102,357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71,330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45,496</w:t>
            </w:r>
          </w:p>
        </w:tc>
        <w:tc>
          <w:tcPr>
            <w:tcW w:w="0" w:type="dxa"/>
            <w:vAlign w:val="bottom"/>
          </w:tcPr>
          <w:p>
            <w:pPr>
              <w:spacing w:after="0"/>
              <w:rPr>
                <w:sz w:val="1"/>
                <w:szCs w:val="1"/>
                <w:color w:val="auto"/>
              </w:rPr>
            </w:pPr>
          </w:p>
        </w:tc>
      </w:tr>
      <w:tr>
        <w:trPr>
          <w:trHeight w:val="267"/>
        </w:trPr>
        <w:tc>
          <w:tcPr>
            <w:tcW w:w="5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0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60"/>
        </w:trPr>
        <w:tc>
          <w:tcPr>
            <w:tcW w:w="5100" w:type="dxa"/>
            <w:vAlign w:val="bottom"/>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93"/>
        </w:trPr>
        <w:tc>
          <w:tcPr>
            <w:tcW w:w="5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31,596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30,648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26,925</w:t>
            </w:r>
          </w:p>
        </w:tc>
        <w:tc>
          <w:tcPr>
            <w:tcW w:w="0" w:type="dxa"/>
            <w:vAlign w:val="bottom"/>
          </w:tcPr>
          <w:p>
            <w:pPr>
              <w:spacing w:after="0"/>
              <w:rPr>
                <w:sz w:val="1"/>
                <w:szCs w:val="1"/>
                <w:color w:val="auto"/>
              </w:rPr>
            </w:pPr>
          </w:p>
        </w:tc>
      </w:tr>
      <w:tr>
        <w:trPr>
          <w:trHeight w:val="260"/>
        </w:trPr>
        <w:tc>
          <w:tcPr>
            <w:tcW w:w="5100" w:type="dxa"/>
            <w:vAlign w:val="bottom"/>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31,814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30,766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27,033</w:t>
            </w:r>
          </w:p>
        </w:tc>
        <w:tc>
          <w:tcPr>
            <w:tcW w:w="0" w:type="dxa"/>
            <w:vAlign w:val="bottom"/>
          </w:tcPr>
          <w:p>
            <w:pPr>
              <w:spacing w:after="0"/>
              <w:rPr>
                <w:sz w:val="1"/>
                <w:szCs w:val="1"/>
                <w:color w:val="auto"/>
              </w:rPr>
            </w:pPr>
          </w:p>
        </w:tc>
      </w:tr>
      <w:tr>
        <w:trPr>
          <w:trHeight w:val="293"/>
        </w:trPr>
        <w:tc>
          <w:tcPr>
            <w:tcW w:w="5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00" w:type="dxa"/>
            <w:vAlign w:val="bottom"/>
          </w:tcPr>
          <w:p>
            <w:pPr>
              <w:ind w:left="40"/>
              <w:spacing w:after="0"/>
              <w:rPr>
                <w:sz w:val="20"/>
                <w:szCs w:val="20"/>
                <w:color w:val="auto"/>
              </w:rPr>
            </w:pPr>
            <w:r>
              <w:rPr>
                <w:rFonts w:ascii="Arial" w:cs="Arial" w:eastAsia="Arial" w:hAnsi="Arial"/>
                <w:sz w:val="16"/>
                <w:szCs w:val="16"/>
                <w:color w:val="auto"/>
              </w:rPr>
              <w:t>Dividends paid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93"/>
        </w:trPr>
        <w:tc>
          <w:tcPr>
            <w:tcW w:w="5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102,357</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71,330</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45,496</w:t>
            </w:r>
          </w:p>
        </w:tc>
        <w:tc>
          <w:tcPr>
            <w:tcW w:w="0" w:type="dxa"/>
            <w:vAlign w:val="bottom"/>
          </w:tcPr>
          <w:p>
            <w:pPr>
              <w:spacing w:after="0"/>
              <w:rPr>
                <w:sz w:val="1"/>
                <w:szCs w:val="1"/>
                <w:color w:val="auto"/>
              </w:rPr>
            </w:pPr>
          </w:p>
        </w:tc>
      </w:tr>
      <w:tr>
        <w:trPr>
          <w:trHeight w:val="280"/>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18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180"/>
              <w:spacing w:after="0"/>
              <w:rPr>
                <w:sz w:val="20"/>
                <w:szCs w:val="20"/>
                <w:color w:val="auto"/>
              </w:rPr>
            </w:pPr>
            <w:r>
              <w:rPr>
                <w:rFonts w:ascii="Arial" w:cs="Arial" w:eastAsia="Arial" w:hAnsi="Arial"/>
                <w:sz w:val="16"/>
                <w:szCs w:val="16"/>
                <w:color w:val="auto"/>
              </w:rPr>
              <w:t>(net of tax of $0, $15,409, and $2,947)</w:t>
            </w:r>
          </w:p>
        </w:tc>
        <w:tc>
          <w:tcPr>
            <w:tcW w:w="260" w:type="dxa"/>
            <w:vAlign w:val="bottom"/>
          </w:tcPr>
          <w:p>
            <w:pPr>
              <w:spacing w:after="0"/>
              <w:rPr>
                <w:sz w:val="17"/>
                <w:szCs w:val="17"/>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(25,035)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(4,788)</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of tax of $11, $5,976, and $621)</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9,705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8"/>
        </w:trPr>
        <w:tc>
          <w:tcPr>
            <w:tcW w:w="5100" w:type="dxa"/>
            <w:vAlign w:val="bottom"/>
          </w:tcPr>
          <w:p>
            <w:pPr>
              <w:ind w:left="180"/>
              <w:spacing w:after="0"/>
              <w:rPr>
                <w:sz w:val="20"/>
                <w:szCs w:val="20"/>
                <w:color w:val="auto"/>
              </w:rPr>
            </w:pPr>
            <w:r>
              <w:rPr>
                <w:rFonts w:ascii="Arial" w:cs="Arial" w:eastAsia="Arial" w:hAnsi="Arial"/>
                <w:sz w:val="16"/>
                <w:szCs w:val="16"/>
                <w:color w:val="auto"/>
              </w:rPr>
              <w:t>Increase in actuarial loss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180"/>
              <w:spacing w:after="0"/>
              <w:rPr>
                <w:sz w:val="20"/>
                <w:szCs w:val="20"/>
                <w:color w:val="auto"/>
              </w:rPr>
            </w:pPr>
            <w:r>
              <w:rPr>
                <w:rFonts w:ascii="Arial" w:cs="Arial" w:eastAsia="Arial" w:hAnsi="Arial"/>
                <w:sz w:val="16"/>
                <w:szCs w:val="16"/>
                <w:color w:val="auto"/>
              </w:rPr>
              <w:t>(net of tax of $0, $35, and $415)</w:t>
            </w:r>
          </w:p>
        </w:tc>
        <w:tc>
          <w:tcPr>
            <w:tcW w:w="260" w:type="dxa"/>
            <w:vAlign w:val="bottom"/>
          </w:tcPr>
          <w:p>
            <w:pPr>
              <w:spacing w:after="0"/>
              <w:rPr>
                <w:sz w:val="17"/>
                <w:szCs w:val="17"/>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Plan amendment</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of tax of $0, $2,402, and $10,895)</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3,903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17,701</w:t>
            </w:r>
          </w:p>
        </w:tc>
        <w:tc>
          <w:tcPr>
            <w:tcW w:w="0" w:type="dxa"/>
            <w:vAlign w:val="bottom"/>
          </w:tcPr>
          <w:p>
            <w:pPr>
              <w:spacing w:after="0"/>
              <w:rPr>
                <w:sz w:val="1"/>
                <w:szCs w:val="1"/>
                <w:color w:val="auto"/>
              </w:rPr>
            </w:pPr>
          </w:p>
        </w:tc>
      </w:tr>
      <w:tr>
        <w:trPr>
          <w:trHeight w:val="218"/>
        </w:trPr>
        <w:tc>
          <w:tcPr>
            <w:tcW w:w="5100" w:type="dxa"/>
            <w:vAlign w:val="bottom"/>
          </w:tcPr>
          <w:p>
            <w:pPr>
              <w:ind w:left="180"/>
              <w:spacing w:after="0"/>
              <w:rPr>
                <w:sz w:val="20"/>
                <w:szCs w:val="20"/>
                <w:color w:val="auto"/>
              </w:rPr>
            </w:pPr>
            <w:r>
              <w:rPr>
                <w:rFonts w:ascii="Arial" w:cs="Arial" w:eastAsia="Arial" w:hAnsi="Arial"/>
                <w:sz w:val="16"/>
                <w:szCs w:val="16"/>
                <w:color w:val="auto"/>
              </w:rPr>
              <w:t>Change in fair value of interest rate swap</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of tax of $840, $314, and $0)</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1,974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(11,998)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13,249</w:t>
            </w: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104,331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59,332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58,745</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6"/>
                <w:szCs w:val="16"/>
                <w:color w:val="auto"/>
              </w:rPr>
              <w:t>See notes to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ind w:right="125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71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25, 2018</w:t>
            </w:r>
          </w:p>
        </w:tc>
        <w:tc>
          <w:tcPr>
            <w:tcW w:w="280" w:type="dxa"/>
            <w:vAlign w:val="bottom"/>
          </w:tcPr>
          <w:p>
            <w:pPr>
              <w:spacing w:after="0"/>
              <w:rPr>
                <w:sz w:val="24"/>
                <w:szCs w:val="24"/>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26, 2017</w:t>
            </w:r>
          </w:p>
        </w:tc>
        <w:tc>
          <w:tcPr>
            <w:tcW w:w="0" w:type="dxa"/>
            <w:vAlign w:val="bottom"/>
          </w:tcPr>
          <w:p>
            <w:pPr>
              <w:spacing w:after="0"/>
              <w:rPr>
                <w:sz w:val="1"/>
                <w:szCs w:val="1"/>
                <w:color w:val="auto"/>
              </w:rPr>
            </w:pPr>
          </w:p>
        </w:tc>
      </w:tr>
      <w:tr>
        <w:trPr>
          <w:trHeight w:val="270"/>
        </w:trPr>
        <w:tc>
          <w:tcPr>
            <w:tcW w:w="7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16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35,945</w:t>
            </w:r>
          </w:p>
        </w:tc>
        <w:tc>
          <w:tcPr>
            <w:tcW w:w="0" w:type="dxa"/>
            <w:vAlign w:val="bottom"/>
          </w:tcPr>
          <w:p>
            <w:pPr>
              <w:spacing w:after="0"/>
              <w:rPr>
                <w:sz w:val="1"/>
                <w:szCs w:val="1"/>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Receivables, less allowance for doubtful accounts ($197 and $183, respectively)</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164,585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124,539</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195,128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142,265</w:t>
            </w: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9,883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11,388</w:t>
            </w:r>
          </w:p>
        </w:tc>
        <w:tc>
          <w:tcPr>
            <w:tcW w:w="0" w:type="dxa"/>
            <w:vAlign w:val="bottom"/>
          </w:tcPr>
          <w:p>
            <w:pPr>
              <w:spacing w:after="0"/>
              <w:rPr>
                <w:sz w:val="1"/>
                <w:szCs w:val="1"/>
                <w:color w:val="auto"/>
              </w:rPr>
            </w:pPr>
          </w:p>
        </w:tc>
      </w:tr>
      <w:tr>
        <w:trPr>
          <w:trHeight w:val="250"/>
        </w:trPr>
        <w:tc>
          <w:tcPr>
            <w:tcW w:w="7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371,938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314,137</w:t>
            </w:r>
          </w:p>
        </w:tc>
        <w:tc>
          <w:tcPr>
            <w:tcW w:w="0" w:type="dxa"/>
            <w:vAlign w:val="bottom"/>
          </w:tcPr>
          <w:p>
            <w:pPr>
              <w:spacing w:after="0"/>
              <w:rPr>
                <w:sz w:val="1"/>
                <w:szCs w:val="1"/>
                <w:color w:val="auto"/>
              </w:rPr>
            </w:pPr>
          </w:p>
        </w:tc>
      </w:tr>
      <w:tr>
        <w:trPr>
          <w:trHeight w:val="247"/>
        </w:trPr>
        <w:tc>
          <w:tcPr>
            <w:tcW w:w="716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1"/>
                <w:szCs w:val="21"/>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101,193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71,560</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274,370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242,728</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265,717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228,440</w:t>
            </w:r>
          </w:p>
        </w:tc>
        <w:tc>
          <w:tcPr>
            <w:tcW w:w="0" w:type="dxa"/>
            <w:vAlign w:val="bottom"/>
          </w:tcPr>
          <w:p>
            <w:pPr>
              <w:spacing w:after="0"/>
              <w:rPr>
                <w:sz w:val="1"/>
                <w:szCs w:val="1"/>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Investment in life insurance</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28,297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27,418</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12,736</w:t>
            </w: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10,290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5,493</w:t>
            </w:r>
          </w:p>
        </w:tc>
        <w:tc>
          <w:tcPr>
            <w:tcW w:w="0" w:type="dxa"/>
            <w:vAlign w:val="bottom"/>
          </w:tcPr>
          <w:p>
            <w:pPr>
              <w:spacing w:after="0"/>
              <w:rPr>
                <w:sz w:val="1"/>
                <w:szCs w:val="1"/>
                <w:color w:val="auto"/>
              </w:rPr>
            </w:pPr>
          </w:p>
        </w:tc>
      </w:tr>
      <w:tr>
        <w:trPr>
          <w:trHeight w:val="24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1,051,805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16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81,039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79,194</w:t>
            </w:r>
          </w:p>
        </w:tc>
        <w:tc>
          <w:tcPr>
            <w:tcW w:w="0" w:type="dxa"/>
            <w:vAlign w:val="bottom"/>
          </w:tcPr>
          <w:p>
            <w:pPr>
              <w:spacing w:after="0"/>
              <w:rPr>
                <w:sz w:val="1"/>
                <w:szCs w:val="1"/>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spacing w:after="0"/>
              <w:rPr>
                <w:sz w:val="22"/>
                <w:szCs w:val="22"/>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2,850</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15,655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29,350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24,546</w:t>
            </w:r>
          </w:p>
        </w:tc>
        <w:tc>
          <w:tcPr>
            <w:tcW w:w="0" w:type="dxa"/>
            <w:vAlign w:val="bottom"/>
          </w:tcPr>
          <w:p>
            <w:pPr>
              <w:spacing w:after="0"/>
              <w:rPr>
                <w:sz w:val="1"/>
                <w:szCs w:val="1"/>
                <w:color w:val="auto"/>
              </w:rPr>
            </w:pPr>
          </w:p>
        </w:tc>
      </w:tr>
      <w:tr>
        <w:trPr>
          <w:trHeight w:val="260"/>
        </w:trPr>
        <w:tc>
          <w:tcPr>
            <w:tcW w:w="7160" w:type="dxa"/>
            <w:vAlign w:val="bottom"/>
            <w:gridSpan w:val="2"/>
          </w:tcPr>
          <w:p>
            <w:pPr>
              <w:ind w:left="280"/>
              <w:spacing w:after="0"/>
              <w:rPr>
                <w:sz w:val="20"/>
                <w:szCs w:val="20"/>
                <w:color w:val="auto"/>
              </w:rPr>
            </w:pPr>
            <w:r>
              <w:rPr>
                <w:rFonts w:ascii="Arial" w:cs="Arial" w:eastAsia="Arial" w:hAnsi="Arial"/>
                <w:sz w:val="16"/>
                <w:szCs w:val="16"/>
                <w:color w:val="auto"/>
              </w:rPr>
              <w:t>Product warranties</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40,498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30,805</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6,122</w:t>
            </w:r>
          </w:p>
        </w:tc>
        <w:tc>
          <w:tcPr>
            <w:tcW w:w="0" w:type="dxa"/>
            <w:vAlign w:val="bottom"/>
          </w:tcPr>
          <w:p>
            <w:pPr>
              <w:spacing w:after="0"/>
              <w:rPr>
                <w:sz w:val="1"/>
                <w:szCs w:val="1"/>
                <w:color w:val="auto"/>
              </w:rPr>
            </w:pPr>
          </w:p>
        </w:tc>
      </w:tr>
      <w:tr>
        <w:trPr>
          <w:trHeight w:val="260"/>
        </w:trPr>
        <w:tc>
          <w:tcPr>
            <w:tcW w:w="716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11,017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6,560</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3,128</w:t>
            </w: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11,269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57"/>
        </w:trPr>
        <w:tc>
          <w:tcPr>
            <w:tcW w:w="71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204,185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167,158</w:t>
            </w:r>
          </w:p>
        </w:tc>
        <w:tc>
          <w:tcPr>
            <w:tcW w:w="0" w:type="dxa"/>
            <w:vAlign w:val="bottom"/>
          </w:tcPr>
          <w:p>
            <w:pPr>
              <w:spacing w:after="0"/>
              <w:rPr>
                <w:sz w:val="1"/>
                <w:szCs w:val="1"/>
                <w:color w:val="auto"/>
              </w:rPr>
            </w:pPr>
          </w:p>
        </w:tc>
      </w:tr>
      <w:tr>
        <w:trPr>
          <w:trHeight w:val="254"/>
        </w:trPr>
        <w:tc>
          <w:tcPr>
            <w:tcW w:w="716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2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Long-term debt, less current maturities</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291,441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271,726</w:t>
            </w:r>
          </w:p>
        </w:tc>
        <w:tc>
          <w:tcPr>
            <w:tcW w:w="0" w:type="dxa"/>
            <w:vAlign w:val="bottom"/>
          </w:tcPr>
          <w:p>
            <w:pPr>
              <w:spacing w:after="0"/>
              <w:rPr>
                <w:sz w:val="1"/>
                <w:szCs w:val="1"/>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4,457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Unrecognized tax benefits</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15,282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19,270</w:t>
            </w:r>
          </w:p>
        </w:tc>
        <w:tc>
          <w:tcPr>
            <w:tcW w:w="0" w:type="dxa"/>
            <w:vAlign w:val="bottom"/>
          </w:tcPr>
          <w:p>
            <w:pPr>
              <w:spacing w:after="0"/>
              <w:rPr>
                <w:sz w:val="1"/>
                <w:szCs w:val="1"/>
                <w:color w:val="auto"/>
              </w:rPr>
            </w:pPr>
          </w:p>
        </w:tc>
      </w:tr>
      <w:tr>
        <w:trPr>
          <w:trHeight w:val="273"/>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313,175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293,680</w:t>
            </w:r>
          </w:p>
        </w:tc>
        <w:tc>
          <w:tcPr>
            <w:tcW w:w="0" w:type="dxa"/>
            <w:vAlign w:val="bottom"/>
          </w:tcPr>
          <w:p>
            <w:pPr>
              <w:spacing w:after="0"/>
              <w:rPr>
                <w:sz w:val="1"/>
                <w:szCs w:val="1"/>
                <w:color w:val="auto"/>
              </w:rPr>
            </w:pPr>
          </w:p>
        </w:tc>
      </w:tr>
      <w:tr>
        <w:trPr>
          <w:trHeight w:val="270"/>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 (Note 11)</w:t>
            </w:r>
          </w:p>
        </w:tc>
        <w:tc>
          <w:tcPr>
            <w:tcW w:w="2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16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Preferred stock, par value $0.01: Authorized-10,000 shares; Issued-none</w:t>
            </w:r>
          </w:p>
        </w:tc>
        <w:tc>
          <w:tcPr>
            <w:tcW w:w="26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Common stock, par value $0.50: Authorized-60,000 shares; Issued-51,776 shares</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86,223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80,401</w:t>
            </w:r>
          </w:p>
        </w:tc>
        <w:tc>
          <w:tcPr>
            <w:tcW w:w="0" w:type="dxa"/>
            <w:vAlign w:val="bottom"/>
          </w:tcPr>
          <w:p>
            <w:pPr>
              <w:spacing w:after="0"/>
              <w:rPr>
                <w:sz w:val="1"/>
                <w:szCs w:val="1"/>
                <w:color w:val="auto"/>
              </w:rPr>
            </w:pPr>
          </w:p>
        </w:tc>
      </w:tr>
      <w:tr>
        <w:trPr>
          <w:trHeight w:val="260"/>
        </w:trPr>
        <w:tc>
          <w:tcPr>
            <w:tcW w:w="7160" w:type="dxa"/>
            <w:vAlign w:val="bottom"/>
            <w:gridSpan w:val="2"/>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768,816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679,138</w:t>
            </w:r>
          </w:p>
        </w:tc>
        <w:tc>
          <w:tcPr>
            <w:tcW w:w="0" w:type="dxa"/>
            <w:vAlign w:val="bottom"/>
          </w:tcPr>
          <w:p>
            <w:pPr>
              <w:spacing w:after="0"/>
              <w:rPr>
                <w:sz w:val="1"/>
                <w:szCs w:val="1"/>
                <w:color w:val="auto"/>
              </w:rPr>
            </w:pPr>
          </w:p>
        </w:tc>
      </w:tr>
      <w:tr>
        <w:trPr>
          <w:trHeight w:val="28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Treasury stock, at cost: 20,243 and 20,183 shares, respectively</w:t>
            </w:r>
          </w:p>
        </w:tc>
        <w:tc>
          <w:tcPr>
            <w:tcW w:w="2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(347,374)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(342,730)</w:t>
            </w:r>
          </w:p>
        </w:tc>
        <w:tc>
          <w:tcPr>
            <w:tcW w:w="0" w:type="dxa"/>
            <w:vAlign w:val="bottom"/>
          </w:tcPr>
          <w:p>
            <w:pPr>
              <w:spacing w:after="0"/>
              <w:rPr>
                <w:sz w:val="1"/>
                <w:szCs w:val="1"/>
                <w:color w:val="auto"/>
              </w:rPr>
            </w:pPr>
          </w:p>
        </w:tc>
      </w:tr>
      <w:tr>
        <w:trPr>
          <w:trHeight w:val="257"/>
        </w:trPr>
        <w:tc>
          <w:tcPr>
            <w:tcW w:w="7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534,445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441,674</w:t>
            </w:r>
          </w:p>
        </w:tc>
        <w:tc>
          <w:tcPr>
            <w:tcW w:w="0" w:type="dxa"/>
            <w:vAlign w:val="bottom"/>
          </w:tcPr>
          <w:p>
            <w:pPr>
              <w:spacing w:after="0"/>
              <w:rPr>
                <w:sz w:val="1"/>
                <w:szCs w:val="1"/>
                <w:color w:val="auto"/>
              </w:rPr>
            </w:pPr>
          </w:p>
        </w:tc>
      </w:tr>
      <w:tr>
        <w:trPr>
          <w:trHeight w:val="231"/>
        </w:trPr>
        <w:tc>
          <w:tcPr>
            <w:tcW w:w="71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1,051,805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6"/>
                <w:szCs w:val="16"/>
                <w:color w:val="auto"/>
              </w:rPr>
              <w:t>See notes to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80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28"/>
              <w:spacing w:after="0"/>
              <w:rPr>
                <w:sz w:val="20"/>
                <w:szCs w:val="20"/>
                <w:color w:val="auto"/>
              </w:rPr>
            </w:pPr>
            <w:r>
              <w:rPr>
                <w:rFonts w:ascii="Arial" w:cs="Arial" w:eastAsia="Arial" w:hAnsi="Arial"/>
                <w:sz w:val="14"/>
                <w:szCs w:val="14"/>
                <w:b w:val="1"/>
                <w:bCs w:val="1"/>
                <w:color w:val="auto"/>
              </w:rPr>
              <w:t>Accumulated Other</w:t>
            </w:r>
          </w:p>
        </w:tc>
        <w:tc>
          <w:tcPr>
            <w:tcW w:w="190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4"/>
        </w:trPr>
        <w:tc>
          <w:tcPr>
            <w:tcW w:w="26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gridSpan w:val="3"/>
            <w:vMerge w:val="continue"/>
          </w:tcPr>
          <w:p>
            <w:pPr>
              <w:spacing w:after="0"/>
              <w:rPr>
                <w:sz w:val="11"/>
                <w:szCs w:val="11"/>
                <w:color w:val="auto"/>
              </w:rPr>
            </w:pPr>
          </w:p>
        </w:tc>
        <w:tc>
          <w:tcPr>
            <w:tcW w:w="13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11"/>
                <w:szCs w:val="11"/>
                <w:color w:val="auto"/>
              </w:rPr>
            </w:pPr>
          </w:p>
        </w:tc>
        <w:tc>
          <w:tcPr>
            <w:tcW w:w="840" w:type="dxa"/>
            <w:vAlign w:val="bottom"/>
          </w:tcPr>
          <w:p>
            <w:pPr>
              <w:jc w:val="right"/>
              <w:ind w:right="108"/>
              <w:spacing w:after="0" w:line="12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440" w:type="dxa"/>
            <w:vAlign w:val="bottom"/>
          </w:tcPr>
          <w:p>
            <w:pPr>
              <w:jc w:val="center"/>
              <w:ind w:right="8"/>
              <w:spacing w:after="0" w:line="129" w:lineRule="exact"/>
              <w:rPr>
                <w:sz w:val="20"/>
                <w:szCs w:val="20"/>
                <w:color w:val="auto"/>
              </w:rPr>
            </w:pPr>
            <w:r>
              <w:rPr>
                <w:rFonts w:ascii="Arial" w:cs="Arial" w:eastAsia="Arial" w:hAnsi="Arial"/>
                <w:sz w:val="14"/>
                <w:szCs w:val="14"/>
                <w:b w:val="1"/>
                <w:bCs w:val="1"/>
                <w:color w:val="auto"/>
              </w:rPr>
              <w:t>Comprehensive</w:t>
            </w:r>
          </w:p>
        </w:tc>
        <w:tc>
          <w:tcPr>
            <w:tcW w:w="190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except per share data)</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Capital ("APIC")</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August 29, 2015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585,941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(2,274)</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(420,610)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220,963</w:t>
            </w:r>
          </w:p>
        </w:tc>
        <w:tc>
          <w:tcPr>
            <w:tcW w:w="0" w:type="dxa"/>
            <w:vAlign w:val="bottom"/>
          </w:tcPr>
          <w:p>
            <w:pPr>
              <w:spacing w:after="0"/>
              <w:rPr>
                <w:sz w:val="1"/>
                <w:szCs w:val="1"/>
                <w:color w:val="auto"/>
              </w:rPr>
            </w:pPr>
          </w:p>
        </w:tc>
      </w:tr>
      <w:tr>
        <w:trPr>
          <w:trHeight w:val="193"/>
        </w:trPr>
        <w:tc>
          <w:tcPr>
            <w:tcW w:w="2620" w:type="dxa"/>
            <w:vAlign w:val="bottom"/>
          </w:tcPr>
          <w:p>
            <w:pPr>
              <w:ind w:left="40"/>
              <w:spacing w:after="0"/>
              <w:rPr>
                <w:sz w:val="20"/>
                <w:szCs w:val="20"/>
                <w:color w:val="auto"/>
              </w:rPr>
            </w:pPr>
            <w:r>
              <w:rPr>
                <w:rFonts w:ascii="Arial" w:cs="Arial" w:eastAsia="Arial" w:hAnsi="Arial"/>
                <w:sz w:val="14"/>
                <w:szCs w:val="14"/>
                <w:color w:val="auto"/>
              </w:rPr>
              <w:t>Creation of APIC pool due to 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20" w:type="dxa"/>
            <w:vAlign w:val="bottom"/>
          </w:tcPr>
          <w:p>
            <w:pPr>
              <w:ind w:left="40"/>
              <w:spacing w:after="0"/>
              <w:rPr>
                <w:sz w:val="20"/>
                <w:szCs w:val="20"/>
                <w:color w:val="auto"/>
              </w:rPr>
            </w:pPr>
            <w:r>
              <w:rPr>
                <w:rFonts w:ascii="Arial" w:cs="Arial" w:eastAsia="Arial" w:hAnsi="Arial"/>
                <w:sz w:val="14"/>
                <w:szCs w:val="14"/>
                <w:color w:val="auto"/>
              </w:rPr>
              <w:t>award</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22"/>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(1,309)</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94"/>
        </w:trPr>
        <w:tc>
          <w:tcPr>
            <w:tcW w:w="2620" w:type="dxa"/>
            <w:vAlign w:val="bottom"/>
          </w:tcPr>
          <w:p>
            <w:pPr>
              <w:ind w:left="40"/>
              <w:spacing w:after="0"/>
              <w:rPr>
                <w:sz w:val="20"/>
                <w:szCs w:val="20"/>
                <w:color w:val="auto"/>
              </w:rPr>
            </w:pPr>
            <w:r>
              <w:rPr>
                <w:rFonts w:ascii="Arial" w:cs="Arial" w:eastAsia="Arial" w:hAnsi="Arial"/>
                <w:sz w:val="14"/>
                <w:szCs w:val="14"/>
                <w:color w:val="auto"/>
              </w:rPr>
              <w:t>Stock-based compensation, net of</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2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1,975</w:t>
            </w:r>
          </w:p>
        </w:tc>
        <w:tc>
          <w:tcPr>
            <w:tcW w:w="16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222"/>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194"/>
        </w:trPr>
        <w:tc>
          <w:tcPr>
            <w:tcW w:w="2620" w:type="dxa"/>
            <w:vAlign w:val="bottom"/>
          </w:tcPr>
          <w:p>
            <w:pPr>
              <w:ind w:left="40"/>
              <w:spacing w:after="0"/>
              <w:rPr>
                <w:sz w:val="20"/>
                <w:szCs w:val="20"/>
                <w:color w:val="auto"/>
              </w:rPr>
            </w:pPr>
            <w:r>
              <w:rPr>
                <w:rFonts w:ascii="Arial" w:cs="Arial" w:eastAsia="Arial" w:hAnsi="Arial"/>
                <w:sz w:val="14"/>
                <w:szCs w:val="14"/>
                <w:color w:val="auto"/>
              </w:rPr>
              <w:t>Cash dividends paid on common 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20" w:type="dxa"/>
            <w:vAlign w:val="bottom"/>
          </w:tcPr>
          <w:p>
            <w:pPr>
              <w:ind w:left="40"/>
              <w:spacing w:after="0"/>
              <w:rPr>
                <w:sz w:val="20"/>
                <w:szCs w:val="20"/>
                <w:color w:val="auto"/>
              </w:rPr>
            </w:pPr>
            <w:r>
              <w:rPr>
                <w:rFonts w:ascii="Arial" w:cs="Arial" w:eastAsia="Arial" w:hAnsi="Arial"/>
                <w:sz w:val="14"/>
                <w:szCs w:val="14"/>
                <w:color w:val="auto"/>
              </w:rPr>
              <w:t>$0.40 per share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(10,891)</w:t>
            </w:r>
          </w:p>
        </w:tc>
        <w:tc>
          <w:tcPr>
            <w:tcW w:w="120" w:type="dxa"/>
            <w:vAlign w:val="bottom"/>
          </w:tcPr>
          <w:p>
            <w:pPr>
              <w:spacing w:after="0"/>
              <w:rPr>
                <w:sz w:val="15"/>
                <w:szCs w:val="15"/>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200"/>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$2,741 tax</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(4,452)</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(4,452)</w:t>
            </w:r>
          </w:p>
        </w:tc>
        <w:tc>
          <w:tcPr>
            <w:tcW w:w="0" w:type="dxa"/>
            <w:vAlign w:val="bottom"/>
          </w:tcPr>
          <w:p>
            <w:pPr>
              <w:spacing w:after="0"/>
              <w:rPr>
                <w:sz w:val="1"/>
                <w:szCs w:val="1"/>
                <w:color w:val="auto"/>
              </w:rPr>
            </w:pPr>
          </w:p>
        </w:tc>
      </w:tr>
      <w:tr>
        <w:trPr>
          <w:trHeight w:val="210"/>
        </w:trPr>
        <w:tc>
          <w:tcPr>
            <w:tcW w:w="2620" w:type="dxa"/>
            <w:vAlign w:val="bottom"/>
          </w:tcPr>
          <w:p>
            <w:pPr>
              <w:ind w:left="40"/>
              <w:spacing w:after="0"/>
              <w:rPr>
                <w:sz w:val="20"/>
                <w:szCs w:val="20"/>
                <w:color w:val="auto"/>
              </w:rPr>
            </w:pPr>
            <w:r>
              <w:rPr>
                <w:rFonts w:ascii="Arial" w:cs="Arial" w:eastAsia="Arial" w:hAnsi="Arial"/>
                <w:sz w:val="14"/>
                <w:szCs w:val="14"/>
                <w:color w:val="auto"/>
              </w:rPr>
              <w:t>Plan amendment, net of $10,895 tax</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17,701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17,701</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45,496</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August 27, 2016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25,888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32,717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620,546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10,975</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(421,767)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268,359</w:t>
            </w:r>
          </w:p>
        </w:tc>
        <w:tc>
          <w:tcPr>
            <w:tcW w:w="0" w:type="dxa"/>
            <w:vAlign w:val="bottom"/>
          </w:tcPr>
          <w:p>
            <w:pPr>
              <w:spacing w:after="0"/>
              <w:rPr>
                <w:sz w:val="1"/>
                <w:szCs w:val="1"/>
                <w:color w:val="auto"/>
              </w:rPr>
            </w:pPr>
          </w:p>
        </w:tc>
      </w:tr>
      <w:tr>
        <w:trPr>
          <w:trHeight w:val="193"/>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 of APIC pool due to stock</w:t>
            </w: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10"/>
        </w:trPr>
        <w:tc>
          <w:tcPr>
            <w:tcW w:w="262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(1,821)</w:t>
            </w:r>
          </w:p>
        </w:tc>
        <w:tc>
          <w:tcPr>
            <w:tcW w:w="16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155</w:t>
            </w:r>
          </w:p>
        </w:tc>
        <w:tc>
          <w:tcPr>
            <w:tcW w:w="20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2,629</w:t>
            </w:r>
          </w:p>
        </w:tc>
        <w:tc>
          <w:tcPr>
            <w:tcW w:w="12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200"/>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2,830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Issuance of stock for acquisition</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46,205</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4,586</w:t>
            </w:r>
          </w:p>
        </w:tc>
        <w:tc>
          <w:tcPr>
            <w:tcW w:w="2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77,861</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124,066</w:t>
            </w:r>
          </w:p>
        </w:tc>
        <w:tc>
          <w:tcPr>
            <w:tcW w:w="0" w:type="dxa"/>
            <w:vAlign w:val="bottom"/>
          </w:tcPr>
          <w:p>
            <w:pPr>
              <w:spacing w:after="0"/>
              <w:rPr>
                <w:sz w:val="1"/>
                <w:szCs w:val="1"/>
                <w:color w:val="auto"/>
              </w:rPr>
            </w:pPr>
          </w:p>
        </w:tc>
      </w:tr>
      <w:tr>
        <w:trPr>
          <w:trHeight w:val="222"/>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194"/>
        </w:trPr>
        <w:tc>
          <w:tcPr>
            <w:tcW w:w="2620" w:type="dxa"/>
            <w:vAlign w:val="bottom"/>
          </w:tcPr>
          <w:p>
            <w:pPr>
              <w:ind w:left="40"/>
              <w:spacing w:after="0"/>
              <w:rPr>
                <w:sz w:val="20"/>
                <w:szCs w:val="20"/>
                <w:color w:val="auto"/>
              </w:rPr>
            </w:pPr>
            <w:r>
              <w:rPr>
                <w:rFonts w:ascii="Arial" w:cs="Arial" w:eastAsia="Arial" w:hAnsi="Arial"/>
                <w:sz w:val="14"/>
                <w:szCs w:val="14"/>
                <w:color w:val="auto"/>
              </w:rPr>
              <w:t>Cash dividends paid on common 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20" w:type="dxa"/>
            <w:vAlign w:val="bottom"/>
          </w:tcPr>
          <w:p>
            <w:pPr>
              <w:ind w:left="40"/>
              <w:spacing w:after="0"/>
              <w:rPr>
                <w:sz w:val="20"/>
                <w:szCs w:val="20"/>
                <w:color w:val="auto"/>
              </w:rPr>
            </w:pPr>
            <w:r>
              <w:rPr>
                <w:rFonts w:ascii="Arial" w:cs="Arial" w:eastAsia="Arial" w:hAnsi="Arial"/>
                <w:sz w:val="14"/>
                <w:szCs w:val="14"/>
                <w:color w:val="auto"/>
              </w:rPr>
              <w:t>$0.40 per share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(12,738)</w:t>
            </w:r>
          </w:p>
        </w:tc>
        <w:tc>
          <w:tcPr>
            <w:tcW w:w="120" w:type="dxa"/>
            <w:vAlign w:val="bottom"/>
          </w:tcPr>
          <w:p>
            <w:pPr>
              <w:spacing w:after="0"/>
              <w:rPr>
                <w:sz w:val="15"/>
                <w:szCs w:val="15"/>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(12,738)</w:t>
            </w:r>
          </w:p>
        </w:tc>
        <w:tc>
          <w:tcPr>
            <w:tcW w:w="0" w:type="dxa"/>
            <w:vAlign w:val="bottom"/>
          </w:tcPr>
          <w:p>
            <w:pPr>
              <w:spacing w:after="0"/>
              <w:rPr>
                <w:sz w:val="1"/>
                <w:szCs w:val="1"/>
                <w:color w:val="auto"/>
              </w:rPr>
            </w:pPr>
          </w:p>
        </w:tc>
      </w:tr>
      <w:tr>
        <w:trPr>
          <w:trHeight w:val="200"/>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$9,468 tax</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(15,387)</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(15,387)</w:t>
            </w:r>
          </w:p>
        </w:tc>
        <w:tc>
          <w:tcPr>
            <w:tcW w:w="0" w:type="dxa"/>
            <w:vAlign w:val="bottom"/>
          </w:tcPr>
          <w:p>
            <w:pPr>
              <w:spacing w:after="0"/>
              <w:rPr>
                <w:sz w:val="1"/>
                <w:szCs w:val="1"/>
                <w:color w:val="auto"/>
              </w:rPr>
            </w:pPr>
          </w:p>
        </w:tc>
      </w:tr>
      <w:tr>
        <w:trPr>
          <w:trHeight w:val="210"/>
        </w:trPr>
        <w:tc>
          <w:tcPr>
            <w:tcW w:w="2620" w:type="dxa"/>
            <w:vAlign w:val="bottom"/>
          </w:tcPr>
          <w:p>
            <w:pPr>
              <w:ind w:left="40"/>
              <w:spacing w:after="0"/>
              <w:rPr>
                <w:sz w:val="20"/>
                <w:szCs w:val="20"/>
                <w:color w:val="auto"/>
              </w:rPr>
            </w:pPr>
            <w:r>
              <w:rPr>
                <w:rFonts w:ascii="Arial" w:cs="Arial" w:eastAsia="Arial" w:hAnsi="Arial"/>
                <w:sz w:val="14"/>
                <w:szCs w:val="14"/>
                <w:color w:val="auto"/>
              </w:rPr>
              <w:t>Plan amendment, net of $2,402 tax</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3,903</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200"/>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fair value of interest rate</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swap, net of $314 tax</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(514)</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71,330</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71,330</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August 26, 2017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80,401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679,138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(1,023)</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(342,730)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441,674</w:t>
            </w:r>
          </w:p>
        </w:tc>
        <w:tc>
          <w:tcPr>
            <w:tcW w:w="0" w:type="dxa"/>
            <w:vAlign w:val="bottom"/>
          </w:tcPr>
          <w:p>
            <w:pPr>
              <w:spacing w:after="0"/>
              <w:rPr>
                <w:sz w:val="1"/>
                <w:szCs w:val="1"/>
                <w:color w:val="auto"/>
              </w:rPr>
            </w:pPr>
          </w:p>
        </w:tc>
      </w:tr>
      <w:tr>
        <w:trPr>
          <w:trHeight w:val="210"/>
        </w:trPr>
        <w:tc>
          <w:tcPr>
            <w:tcW w:w="262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(1,625)</w:t>
            </w:r>
          </w:p>
        </w:tc>
        <w:tc>
          <w:tcPr>
            <w:tcW w:w="16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1,712</w:t>
            </w:r>
          </w:p>
        </w:tc>
        <w:tc>
          <w:tcPr>
            <w:tcW w:w="12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0"/>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7,406</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7,484</w:t>
            </w:r>
          </w:p>
        </w:tc>
        <w:tc>
          <w:tcPr>
            <w:tcW w:w="0" w:type="dxa"/>
            <w:vAlign w:val="bottom"/>
          </w:tcPr>
          <w:p>
            <w:pPr>
              <w:spacing w:after="0"/>
              <w:rPr>
                <w:sz w:val="1"/>
                <w:szCs w:val="1"/>
                <w:color w:val="auto"/>
              </w:rPr>
            </w:pPr>
          </w:p>
        </w:tc>
      </w:tr>
      <w:tr>
        <w:trPr>
          <w:trHeight w:val="210"/>
        </w:trPr>
        <w:tc>
          <w:tcPr>
            <w:tcW w:w="262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(6,481)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(6,481)</w:t>
            </w:r>
          </w:p>
        </w:tc>
        <w:tc>
          <w:tcPr>
            <w:tcW w:w="0" w:type="dxa"/>
            <w:vAlign w:val="bottom"/>
          </w:tcPr>
          <w:p>
            <w:pPr>
              <w:spacing w:after="0"/>
              <w:rPr>
                <w:sz w:val="1"/>
                <w:szCs w:val="1"/>
                <w:color w:val="auto"/>
              </w:rPr>
            </w:pPr>
          </w:p>
        </w:tc>
      </w:tr>
      <w:tr>
        <w:trPr>
          <w:trHeight w:val="222"/>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under ESPP</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4"/>
        </w:trPr>
        <w:tc>
          <w:tcPr>
            <w:tcW w:w="2620" w:type="dxa"/>
            <w:vAlign w:val="bottom"/>
          </w:tcPr>
          <w:p>
            <w:pPr>
              <w:ind w:left="40"/>
              <w:spacing w:after="0"/>
              <w:rPr>
                <w:sz w:val="20"/>
                <w:szCs w:val="20"/>
                <w:color w:val="auto"/>
              </w:rPr>
            </w:pPr>
            <w:r>
              <w:rPr>
                <w:rFonts w:ascii="Arial" w:cs="Arial" w:eastAsia="Arial" w:hAnsi="Arial"/>
                <w:sz w:val="14"/>
                <w:szCs w:val="14"/>
                <w:color w:val="auto"/>
              </w:rPr>
              <w:t>Cash dividends paid on common stock;</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20" w:type="dxa"/>
            <w:vAlign w:val="bottom"/>
          </w:tcPr>
          <w:p>
            <w:pPr>
              <w:ind w:left="40"/>
              <w:spacing w:after="0"/>
              <w:rPr>
                <w:sz w:val="20"/>
                <w:szCs w:val="20"/>
                <w:color w:val="auto"/>
              </w:rPr>
            </w:pPr>
            <w:r>
              <w:rPr>
                <w:rFonts w:ascii="Arial" w:cs="Arial" w:eastAsia="Arial" w:hAnsi="Arial"/>
                <w:sz w:val="14"/>
                <w:szCs w:val="14"/>
                <w:color w:val="auto"/>
              </w:rPr>
              <w:t>$0.40 per share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(12,738)</w:t>
            </w:r>
          </w:p>
        </w:tc>
        <w:tc>
          <w:tcPr>
            <w:tcW w:w="120" w:type="dxa"/>
            <w:vAlign w:val="bottom"/>
          </w:tcPr>
          <w:p>
            <w:pPr>
              <w:spacing w:after="0"/>
              <w:rPr>
                <w:sz w:val="15"/>
                <w:szCs w:val="15"/>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(12,738)</w:t>
            </w:r>
          </w:p>
        </w:tc>
        <w:tc>
          <w:tcPr>
            <w:tcW w:w="0" w:type="dxa"/>
            <w:vAlign w:val="bottom"/>
          </w:tcPr>
          <w:p>
            <w:pPr>
              <w:spacing w:after="0"/>
              <w:rPr>
                <w:sz w:val="1"/>
                <w:szCs w:val="1"/>
                <w:color w:val="auto"/>
              </w:rPr>
            </w:pPr>
          </w:p>
        </w:tc>
      </w:tr>
      <w:tr>
        <w:trPr>
          <w:trHeight w:val="222"/>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Actuarial loss, net of $11 tax</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4"/>
        </w:trPr>
        <w:tc>
          <w:tcPr>
            <w:tcW w:w="2620" w:type="dxa"/>
            <w:vAlign w:val="bottom"/>
          </w:tcPr>
          <w:p>
            <w:pPr>
              <w:ind w:left="40"/>
              <w:spacing w:after="0"/>
              <w:rPr>
                <w:sz w:val="20"/>
                <w:szCs w:val="20"/>
                <w:color w:val="auto"/>
              </w:rPr>
            </w:pPr>
            <w:r>
              <w:rPr>
                <w:rFonts w:ascii="Arial" w:cs="Arial" w:eastAsia="Arial" w:hAnsi="Arial"/>
                <w:sz w:val="14"/>
                <w:szCs w:val="14"/>
                <w:color w:val="auto"/>
              </w:rPr>
              <w:t>Change in fair value of interest rate</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20" w:type="dxa"/>
            <w:vAlign w:val="bottom"/>
          </w:tcPr>
          <w:p>
            <w:pPr>
              <w:ind w:left="40"/>
              <w:spacing w:after="0"/>
              <w:rPr>
                <w:sz w:val="20"/>
                <w:szCs w:val="20"/>
                <w:color w:val="auto"/>
              </w:rPr>
            </w:pPr>
            <w:r>
              <w:rPr>
                <w:rFonts w:ascii="Arial" w:cs="Arial" w:eastAsia="Arial" w:hAnsi="Arial"/>
                <w:sz w:val="14"/>
                <w:szCs w:val="14"/>
                <w:color w:val="auto"/>
              </w:rPr>
              <w:t>swap, net of $840 tax</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1,947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222"/>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tax effects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102,357</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102,357</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August 25, 2018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86,223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768,816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892</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(347,374)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534,445</w:t>
            </w:r>
          </w:p>
        </w:tc>
        <w:tc>
          <w:tcPr>
            <w:tcW w:w="0" w:type="dxa"/>
            <w:vAlign w:val="bottom"/>
          </w:tcPr>
          <w:p>
            <w:pPr>
              <w:spacing w:after="0"/>
              <w:rPr>
                <w:sz w:val="1"/>
                <w:szCs w:val="1"/>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4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55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9"/>
              </w:rPr>
              <w:t>Year Ended</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25, 2018</w:t>
            </w:r>
          </w:p>
        </w:tc>
        <w:tc>
          <w:tcPr>
            <w:tcW w:w="220" w:type="dxa"/>
            <w:vAlign w:val="bottom"/>
          </w:tcPr>
          <w:p>
            <w:pPr>
              <w:spacing w:after="0"/>
              <w:rPr>
                <w:sz w:val="22"/>
                <w:szCs w:val="22"/>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26, 2017</w:t>
            </w:r>
          </w:p>
        </w:tc>
        <w:tc>
          <w:tcPr>
            <w:tcW w:w="220" w:type="dxa"/>
            <w:vAlign w:val="bottom"/>
          </w:tcPr>
          <w:p>
            <w:pPr>
              <w:spacing w:after="0"/>
              <w:rPr>
                <w:sz w:val="22"/>
                <w:szCs w:val="22"/>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 2016</w:t>
            </w:r>
          </w:p>
        </w:tc>
        <w:tc>
          <w:tcPr>
            <w:tcW w:w="0" w:type="dxa"/>
            <w:vAlign w:val="bottom"/>
          </w:tcPr>
          <w:p>
            <w:pPr>
              <w:spacing w:after="0"/>
              <w:rPr>
                <w:sz w:val="1"/>
                <w:szCs w:val="1"/>
                <w:color w:val="auto"/>
              </w:rPr>
            </w:pPr>
          </w:p>
        </w:tc>
      </w:tr>
      <w:tr>
        <w:trPr>
          <w:trHeight w:val="270"/>
        </w:trPr>
        <w:tc>
          <w:tcPr>
            <w:tcW w:w="55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102,357</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71,330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45,496</w:t>
            </w:r>
          </w:p>
        </w:tc>
        <w:tc>
          <w:tcPr>
            <w:tcW w:w="0" w:type="dxa"/>
            <w:vAlign w:val="bottom"/>
          </w:tcPr>
          <w:p>
            <w:pPr>
              <w:spacing w:after="0"/>
              <w:rPr>
                <w:sz w:val="1"/>
                <w:szCs w:val="1"/>
                <w:color w:val="auto"/>
              </w:rPr>
            </w:pPr>
          </w:p>
        </w:tc>
      </w:tr>
      <w:tr>
        <w:trPr>
          <w:trHeight w:val="228"/>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activities:</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52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9,849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7,315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5,745</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24,660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52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1,596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Last-in, first-out expense</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60"/>
        </w:trPr>
        <w:tc>
          <w:tcPr>
            <w:tcW w:w="552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7,434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2,977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5,784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260"/>
        </w:trPr>
        <w:tc>
          <w:tcPr>
            <w:tcW w:w="5520" w:type="dxa"/>
            <w:vAlign w:val="bottom"/>
            <w:gridSpan w:val="2"/>
          </w:tcPr>
          <w:p>
            <w:pPr>
              <w:ind w:left="280"/>
              <w:spacing w:after="0"/>
              <w:rPr>
                <w:sz w:val="20"/>
                <w:szCs w:val="20"/>
                <w:color w:val="auto"/>
              </w:rPr>
            </w:pPr>
            <w:r>
              <w:rPr>
                <w:rFonts w:ascii="Arial" w:cs="Arial" w:eastAsia="Arial" w:hAnsi="Arial"/>
                <w:sz w:val="16"/>
                <w:szCs w:val="16"/>
                <w:color w:val="auto"/>
              </w:rPr>
              <w:t>Deferred compensation expense and postretirement benefit income</w:t>
            </w: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(23,379)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60"/>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(37,739)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(25,136)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60"/>
        </w:trPr>
        <w:tc>
          <w:tcPr>
            <w:tcW w:w="552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(46,429)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(6,165)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(11,510)</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(2,461)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60"/>
        </w:trPr>
        <w:tc>
          <w:tcPr>
            <w:tcW w:w="552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23,778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10,977</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0"/>
        </w:trPr>
        <w:tc>
          <w:tcPr>
            <w:tcW w:w="5520" w:type="dxa"/>
            <w:vAlign w:val="bottom"/>
            <w:gridSpan w:val="2"/>
          </w:tcPr>
          <w:p>
            <w:pPr>
              <w:ind w:left="28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21,084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9,919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3,276</w:t>
            </w:r>
          </w:p>
        </w:tc>
        <w:tc>
          <w:tcPr>
            <w:tcW w:w="0" w:type="dxa"/>
            <w:vAlign w:val="bottom"/>
          </w:tcPr>
          <w:p>
            <w:pPr>
              <w:spacing w:after="0"/>
              <w:rPr>
                <w:sz w:val="1"/>
                <w:szCs w:val="1"/>
                <w:color w:val="auto"/>
              </w:rPr>
            </w:pPr>
          </w:p>
        </w:tc>
      </w:tr>
      <w:tr>
        <w:trPr>
          <w:trHeight w:val="273"/>
        </w:trPr>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benefits</w:t>
            </w: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(3,092)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(3,177)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83,346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97,127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52,746</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(28,668)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(13,993)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(24,551)</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0"/>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(81,200)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(392,473)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(2,231)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858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(111,761)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(405,385)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(23,392)</w:t>
            </w: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Borrowings on credit agreement</w:t>
            </w: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221,133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366,400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credit agreement</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(206,601)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(82,400)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Payments of cash dividends</w:t>
            </w: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(12,738)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(12,738)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(10,891)</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(3,066)</w:t>
            </w:r>
          </w:p>
        </w:tc>
        <w:tc>
          <w:tcPr>
            <w:tcW w:w="0" w:type="dxa"/>
            <w:vAlign w:val="bottom"/>
          </w:tcPr>
          <w:p>
            <w:pPr>
              <w:spacing w:after="0"/>
              <w:rPr>
                <w:sz w:val="1"/>
                <w:szCs w:val="1"/>
                <w:color w:val="auto"/>
              </w:rPr>
            </w:pPr>
          </w:p>
        </w:tc>
      </w:tr>
      <w:tr>
        <w:trPr>
          <w:trHeight w:val="260"/>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(11,020)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(5,188)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258,620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(14,010)</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(49,638)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15,344</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35,945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85,583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70,239</w:t>
            </w:r>
          </w:p>
        </w:tc>
        <w:tc>
          <w:tcPr>
            <w:tcW w:w="0" w:type="dxa"/>
            <w:vAlign w:val="bottom"/>
          </w:tcPr>
          <w:p>
            <w:pPr>
              <w:spacing w:after="0"/>
              <w:rPr>
                <w:sz w:val="1"/>
                <w:szCs w:val="1"/>
                <w:color w:val="auto"/>
              </w:rPr>
            </w:pPr>
          </w:p>
        </w:tc>
      </w:tr>
      <w:tr>
        <w:trPr>
          <w:trHeight w:val="24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35,945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85,583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Supplemental cash flow disclosure:</w:t>
            </w: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26,436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21,421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18,449</w:t>
            </w:r>
          </w:p>
        </w:tc>
        <w:tc>
          <w:tcPr>
            <w:tcW w:w="0" w:type="dxa"/>
            <w:vAlign w:val="bottom"/>
          </w:tcPr>
          <w:p>
            <w:pPr>
              <w:spacing w:after="0"/>
              <w:rPr>
                <w:sz w:val="1"/>
                <w:szCs w:val="1"/>
                <w:color w:val="auto"/>
              </w:rPr>
            </w:pPr>
          </w:p>
        </w:tc>
      </w:tr>
      <w:tr>
        <w:trPr>
          <w:trHeight w:val="260"/>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16,565</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11,893</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Issuance of Winnebago common stock for acquisition of business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124,066</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51"/>
        </w:trPr>
        <w:tc>
          <w:tcPr>
            <w:tcW w:w="5520" w:type="dxa"/>
            <w:vAlign w:val="bottom"/>
            <w:gridSpan w:val="2"/>
          </w:tcPr>
          <w:p>
            <w:pPr>
              <w:spacing w:after="0"/>
              <w:rPr>
                <w:sz w:val="20"/>
                <w:szCs w:val="20"/>
                <w:color w:val="auto"/>
              </w:rPr>
            </w:pPr>
            <w:r>
              <w:rPr>
                <w:rFonts w:ascii="Arial" w:cs="Arial" w:eastAsia="Arial" w:hAnsi="Arial"/>
                <w:sz w:val="16"/>
                <w:szCs w:val="16"/>
                <w:color w:val="auto"/>
              </w:rPr>
              <w:t>See notes to consolidated financial statements.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Unless the context otherwise requires, the use of the terms "Winnebago Industries," "we," "us," and "our" in these Notes to Consolidated Financial Statements refers to Winnebago Industries, Inc. and its wholly-owned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U.S. manufacturers with a diversified portfolio of recreation vehicles ("RV"s) and marine products used primarily in leisure travel and outdoor recreation activities. We distribute our RV and marine products primarily through independent dealers throughout the U.S. and Canada, who then retail the products to the end consumer. We also distribute our marine products internationally through independent dealers, who than retail the products to the end consumer. Other products manufactured by us consist primarily of original equipment manufacturing parts for other manufacturers and commercial vehicles.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214"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 xml:space="preserve">We have two reportable segments: (1) Motorhome and (2) Towable. The Motorhome segment includes products that include a motorized chassis as well as other related manufactured products. The Towable segment includes all products which are not motorized and are generally towed by another vehicle. A new corporate allocation policy was adopted in the fourth quarter of Fiscal 2018, which removed certain corporate administration expenses and non-operating income and expense that were previously allocated to the operating segments and recorded them in a Corporate / All Other category. See Note 3,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Segments</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14"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The consolidated financial statements for Fiscal 2018 include the parent company and our wholly-owned subsidiaries. All intercompany balances and transactions with our subsidiaries have been eliminated.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The financial statements presented are all 52-week fiscal periods.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14" w:lineRule="exact"/>
        <w:rPr>
          <w:sz w:val="20"/>
          <w:szCs w:val="20"/>
          <w:color w:val="auto"/>
        </w:rPr>
      </w:pPr>
    </w:p>
    <w:p>
      <w:pPr>
        <w:jc w:val="both"/>
        <w:ind w:right="56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1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We use derivative instruments to hedge our floating interest rate exposure. Derivative instruments are accounted for at fair value in accordance with Accounting Standards Codification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We have designated these derivatives as cash flow hedges for accounting purposes. Changes in fair value, for the effective portion of qualifying hedges, are recorded in other comprehensive income. We review the effectiveness of our hedging instruments on a quarterly basis, recognize current period hedge ineffectiveness immediately in earnings, and discontinue hedge accounting for any hedge that we no longer consider to be highly effective.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Receivables consist principally of amounts due from our dealer network for RVs and boats sold.</w:t>
      </w:r>
    </w:p>
    <w:p>
      <w:pPr>
        <w:spacing w:after="0" w:line="19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establish allowances for doubtful accounts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41"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1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Generally, inventories are stated at the lower of cost or market, valued using the First-in, First-out basis ("FIFO"), except for our Motorhome segment which is valued using the Last-in, First-out ("LIFO") basis. Manufacturing cost includes materials, labor, and manufacturing overhead. Unallocated overhead and abnormal costs are expensed as incurred.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14" w:lineRule="exact"/>
        <w:rPr>
          <w:sz w:val="20"/>
          <w:szCs w:val="20"/>
          <w:color w:val="auto"/>
        </w:rPr>
      </w:pPr>
    </w:p>
    <w:p>
      <w:pPr>
        <w:ind w:right="780"/>
        <w:spacing w:after="0" w:line="192" w:lineRule="exact"/>
        <w:rPr>
          <w:sz w:val="20"/>
          <w:szCs w:val="20"/>
          <w:color w:val="auto"/>
        </w:rPr>
      </w:pPr>
      <w:r>
        <w:rPr>
          <w:rFonts w:ascii="Arial" w:cs="Arial" w:eastAsia="Arial" w:hAnsi="Arial"/>
          <w:sz w:val="16"/>
          <w:szCs w:val="16"/>
          <w:color w:val="auto"/>
        </w:rPr>
        <w:t>Depreciation of property and equipment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on the cost of the assets, less allowance for salvage value where appropriate, at rates based upon their estimated service lives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Class</w:t>
            </w:r>
          </w:p>
        </w:tc>
        <w:tc>
          <w:tcPr>
            <w:tcW w:w="45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4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8-45 years</w:t>
            </w:r>
          </w:p>
        </w:tc>
      </w:tr>
      <w:tr>
        <w:trPr>
          <w:trHeight w:val="233"/>
        </w:trPr>
        <w:tc>
          <w:tcPr>
            <w:tcW w:w="684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4580" w:type="dxa"/>
            <w:vAlign w:val="bottom"/>
          </w:tcPr>
          <w:p>
            <w:pPr>
              <w:jc w:val="right"/>
              <w:ind w:right="199"/>
              <w:spacing w:after="0"/>
              <w:rPr>
                <w:sz w:val="20"/>
                <w:szCs w:val="20"/>
                <w:color w:val="auto"/>
              </w:rPr>
            </w:pPr>
            <w:r>
              <w:rPr>
                <w:rFonts w:ascii="Arial" w:cs="Arial" w:eastAsia="Arial" w:hAnsi="Arial"/>
                <w:sz w:val="16"/>
                <w:szCs w:val="16"/>
                <w:color w:val="auto"/>
              </w:rPr>
              <w:t>1-15 years</w:t>
            </w:r>
          </w:p>
        </w:tc>
      </w:tr>
      <w:tr>
        <w:trPr>
          <w:trHeight w:val="253"/>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4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1-10 years</w:t>
            </w:r>
          </w:p>
        </w:tc>
      </w:tr>
      <w:tr>
        <w:trPr>
          <w:trHeight w:val="224"/>
        </w:trPr>
        <w:tc>
          <w:tcPr>
            <w:tcW w:w="6840" w:type="dxa"/>
            <w:vAlign w:val="bottom"/>
          </w:tcPr>
          <w:p>
            <w:pPr>
              <w:ind w:left="40"/>
              <w:spacing w:after="0"/>
              <w:rPr>
                <w:sz w:val="20"/>
                <w:szCs w:val="20"/>
                <w:color w:val="auto"/>
              </w:rPr>
            </w:pPr>
            <w:r>
              <w:rPr>
                <w:rFonts w:ascii="Arial" w:cs="Arial" w:eastAsia="Arial" w:hAnsi="Arial"/>
                <w:sz w:val="16"/>
                <w:szCs w:val="16"/>
                <w:color w:val="auto"/>
              </w:rPr>
              <w:t>Transportation equipment</w:t>
            </w:r>
          </w:p>
        </w:tc>
        <w:tc>
          <w:tcPr>
            <w:tcW w:w="4580" w:type="dxa"/>
            <w:vAlign w:val="bottom"/>
          </w:tcPr>
          <w:p>
            <w:pPr>
              <w:jc w:val="right"/>
              <w:ind w:right="199"/>
              <w:spacing w:after="0"/>
              <w:rPr>
                <w:sz w:val="20"/>
                <w:szCs w:val="20"/>
                <w:color w:val="auto"/>
              </w:rPr>
            </w:pPr>
            <w:r>
              <w:rPr>
                <w:rFonts w:ascii="Arial" w:cs="Arial" w:eastAsia="Arial" w:hAnsi="Arial"/>
                <w:sz w:val="16"/>
                <w:szCs w:val="16"/>
                <w:color w:val="auto"/>
              </w:rPr>
              <w:t>3-6 years</w:t>
            </w:r>
          </w:p>
        </w:tc>
      </w:tr>
      <w:tr>
        <w:trPr>
          <w:trHeight w:val="405"/>
        </w:trPr>
        <w:tc>
          <w:tcPr>
            <w:tcW w:w="6840" w:type="dxa"/>
            <w:vAlign w:val="bottom"/>
          </w:tcPr>
          <w:p>
            <w:pPr>
              <w:spacing w:after="0"/>
              <w:rPr>
                <w:sz w:val="20"/>
                <w:szCs w:val="20"/>
                <w:color w:val="auto"/>
              </w:rPr>
            </w:pPr>
            <w:r>
              <w:rPr>
                <w:rFonts w:ascii="Arial" w:cs="Arial" w:eastAsia="Arial" w:hAnsi="Arial"/>
                <w:sz w:val="16"/>
                <w:szCs w:val="16"/>
                <w:b w:val="1"/>
                <w:bCs w:val="1"/>
                <w:color w:val="auto"/>
              </w:rPr>
              <w:t>Goodwill and Indefinite-Lived Intangible Asset</w:t>
            </w:r>
          </w:p>
        </w:tc>
        <w:tc>
          <w:tcPr>
            <w:tcW w:w="4580" w:type="dxa"/>
            <w:vAlign w:val="bottom"/>
          </w:tcPr>
          <w:p>
            <w:pPr>
              <w:spacing w:after="0"/>
              <w:rPr>
                <w:sz w:val="24"/>
                <w:szCs w:val="24"/>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210"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 xml:space="preserve">Goodwill is tested annually in the fourth quarter of each year, and is tested for impairment between annual tests if an event occurs or circumstances change that would indicate the carrying amounts may be impaired. Impairment testing for goodwill is done at a reporting unit level and all goodwill is assigned to a reporting unit. Our reporting units are the same as our operating segments as defined in Note 3, </w:t>
      </w:r>
      <w:r>
        <w:rPr>
          <w:rFonts w:ascii="Arial" w:cs="Arial" w:eastAsia="Arial" w:hAnsi="Arial"/>
          <w:sz w:val="16"/>
          <w:szCs w:val="16"/>
          <w:i w:val="1"/>
          <w:iCs w:val="1"/>
          <w:color w:val="auto"/>
        </w:rPr>
        <w:t>Business Segments</w:t>
      </w:r>
      <w:r>
        <w:rPr>
          <w:rFonts w:ascii="Arial" w:cs="Arial" w:eastAsia="Arial" w:hAnsi="Arial"/>
          <w:sz w:val="16"/>
          <w:szCs w:val="16"/>
          <w:color w:val="auto"/>
        </w:rPr>
        <w:t>.</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Companies have the option to first assess qualitative factors to determine whether the fair value of a reporting unit is “more likely than not” less than its carrying amount. If it is more likely than not that an impairment has occurred, companies then perform the quantitative goodwill impairment test. If we perform the quantitative test, we compare the carrying value of the reporting unit to an estimate of the reporting unit’s fair value to identify impairment.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market and economic conditions, and market-participant considerations. If we fail the quantitative assessment of goodwill impairment, we would recognize an impairment loss equal to the amount that a reporting unit's carrying value exceeded its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Trade name</w:t>
      </w:r>
    </w:p>
    <w:p>
      <w:pPr>
        <w:spacing w:after="0" w:line="210"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We have indefinite-lived intangible assets for trade names related to Grand Design within our Towable segment and to Chris-Craft within our Corporate / All Other category. Annually in the fourth quarter, or if conditions indicate an interim review is necessary, we assess qualitative factors to determine if it is more likely than not that the fair value of an indefinite-lived intangible asset is less than its carrying amount. If we perform a quantitative test, we use the relief from royalty method to determine the fair value of the trade name. This method uses assumptions, which require significant judgment and actual results may differ from assumed and estimated amounts. If we conclude that there has been impairment, we will write down the carrying value of the asset to its fair value.</w:t>
      </w:r>
    </w:p>
    <w:p>
      <w:pPr>
        <w:spacing w:after="0" w:line="17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During the fourth quarter of Fiscal 2018, we completed our annual impairment tests. We elected not to rely on the qualitative assessment as of the testing date and rather performed the quantitative analysis. The result of the test was that the fair value exceeded the carrying value, and no impairment was indicated.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Definite-Lived Intangible Assets and Long-Lived Assets</w:t>
      </w:r>
    </w:p>
    <w:p>
      <w:pPr>
        <w:spacing w:after="0" w:line="214"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from future cash flows. The impairment test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reasonableness of the useful lives of this asset and other long-lived assets is regularly evaluated.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loss for the period ended August 25, 2018 for definite-lived intangible assets or long-lived assets.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1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Generally, we self-insure for a portion of product liability claims and workers' compensation. Under these plans, liabilities are recognized for claims incurred, including those incurred but not reported. We determined the liability for product liability and workers' compensation claims with the assistance of a third party administrator and actuary using various state statutes and historical claims experience. We have a $50.0 million insurance policy that includes a self-insured retention for product liability of $2.5 million per occurrence and $6.0 million in aggregate per policy year. We maintain excess liability insurance with outside insurance carriers to minimize our risks related to catastrophic claims in excess of our self-insured positions for product liability and personal injury matters. Any material change in the aforementioned factors could have an adverse impact on our operating results. Our product liability and workers' compensation accrual is included within accrued self-insurance on our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1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In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Consolidated Statements of Income and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Litigation expense, including estimated defense costs, is recorded when probable and reasonably estimable.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Revenue is primarily earned through the sale of manufactured RVs and boats. Revenue for these units is recognized when contract terms are met, collectability is reasonably assured, and the unit is shipped or risk of ownership has been transferred to and accepted by the dealer. Provisions are made for discounts and sales allowances based on management’s best estimate and the historical experience of each unit type. Dealers do not have the right to return units, and units are not sold on consignment.</w:t>
      </w:r>
    </w:p>
    <w:p>
      <w:pPr>
        <w:spacing w:after="0" w:line="176" w:lineRule="exact"/>
        <w:rPr>
          <w:sz w:val="20"/>
          <w:szCs w:val="20"/>
          <w:color w:val="auto"/>
        </w:rPr>
      </w:pPr>
    </w:p>
    <w:p>
      <w:pPr>
        <w:ind w:right="1120"/>
        <w:spacing w:after="0" w:line="260" w:lineRule="auto"/>
        <w:rPr>
          <w:sz w:val="20"/>
          <w:szCs w:val="20"/>
          <w:color w:val="auto"/>
        </w:rPr>
      </w:pPr>
      <w:r>
        <w:rPr>
          <w:rFonts w:ascii="Arial" w:cs="Arial" w:eastAsia="Arial" w:hAnsi="Arial"/>
          <w:sz w:val="16"/>
          <w:szCs w:val="16"/>
          <w:color w:val="auto"/>
        </w:rPr>
        <w:t>Revenue from the sale of parts is recognized when title to the product and the risk of loss is transferred to the customer, which is generally upon shipment. Revenue from services is recognized as earned when services are rendered.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Revenues and Expenses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Delivery revenues for products delivered are included within net sales, while delivery expenses are included within cost of goods sold.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21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One of our dealer organizations accounted for 9.8%, 10.0%, and 13.0% of our net revenue for Fiscal 2018, 2017, and 2016, respectively. A second dealer organization accounted for 9.0%, 9.9%, and 16.6% of our consolidated net revenue in Fiscal 2018, 2017, and 2016, respectively. These dealers declined on a relative basis due to the growth of other dealers and due to the addition of Grand Design revenue in Fiscal 2017.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accrue for sales promotions and incentive expenses, which are included in net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program parameters at the time of the sales,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14"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Advertising costs, which consist primarily of literature and trade shows, were $7.4 million, $5.7 million, and $4.9 million in Fiscal 2018, 2017, and 2016, respectively. Advertising costs are included in selling expense and are expensed as incurred.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1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 xml:space="preserve">We evaluated events occurring between the end of our most recent fiscal year and the date the financial statements were issued. There were no material subsequent events, except as noted in Note 9, </w:t>
      </w:r>
      <w:r>
        <w:rPr>
          <w:rFonts w:ascii="Arial" w:cs="Arial" w:eastAsia="Arial" w:hAnsi="Arial"/>
          <w:sz w:val="16"/>
          <w:szCs w:val="16"/>
          <w:i w:val="1"/>
          <w:iCs w:val="1"/>
          <w:color w:val="auto"/>
        </w:rPr>
        <w:t>Long-Term Deb</w:t>
      </w:r>
      <w:r>
        <w:rPr>
          <w:rFonts w:ascii="Arial" w:cs="Arial" w:eastAsia="Arial" w:hAnsi="Arial"/>
          <w:sz w:val="16"/>
          <w:szCs w:val="16"/>
          <w:color w:val="auto"/>
        </w:rPr>
        <w:t xml:space="preserve">t, and Note 12, </w:t>
      </w:r>
      <w:r>
        <w:rPr>
          <w:rFonts w:ascii="Arial" w:cs="Arial" w:eastAsia="Arial" w:hAnsi="Arial"/>
          <w:sz w:val="16"/>
          <w:szCs w:val="16"/>
          <w:i w:val="1"/>
          <w:iCs w:val="1"/>
          <w:color w:val="auto"/>
        </w:rPr>
        <w:t>Stock-Based Compensation Plans</w:t>
      </w:r>
      <w:r>
        <w:rPr>
          <w:rFonts w:ascii="Arial" w:cs="Arial" w:eastAsia="Arial" w:hAnsi="Arial"/>
          <w:sz w:val="16"/>
          <w:szCs w:val="16"/>
          <w:color w:val="auto"/>
        </w:rPr>
        <w:t>, and the item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w:t>
      </w:r>
    </w:p>
    <w:p>
      <w:pPr>
        <w:spacing w:after="0" w:line="210"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On August 15, 2018, our Board of Directors declared a quarterly cash dividend of $0.10 per share, totaling $3.2 million, paid on September 26, 2018 to common stockholders of record at the close of business on September 12, 2018.</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98"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 xml:space="preserve">In February 2018, the Financial Accounting Standards Board ("FASB") issued Accounting Standards Update ("ASU") 2018-02, </w:t>
      </w:r>
      <w:r>
        <w:rPr>
          <w:rFonts w:ascii="Arial" w:cs="Arial" w:eastAsia="Arial" w:hAnsi="Arial"/>
          <w:sz w:val="16"/>
          <w:szCs w:val="16"/>
          <w:i w:val="1"/>
          <w:iCs w:val="1"/>
          <w:color w:val="auto"/>
        </w:rPr>
        <w:t>Income Statement—Reporting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(Topic 220), </w:t>
      </w:r>
      <w:r>
        <w:rPr>
          <w:rFonts w:ascii="Arial" w:cs="Arial" w:eastAsia="Arial" w:hAnsi="Arial"/>
          <w:sz w:val="16"/>
          <w:szCs w:val="16"/>
          <w:color w:val="auto"/>
        </w:rPr>
        <w:t>which allows for a reclassification of stranded tax effects from the 2017 Tax Cuts and Jobs Act ("Tax Act") from</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("AOCI") to retained earnings. We early adopted this ASU in the fourth quarter of Fiscal 2018, which resulted in the reclassification of $0.1 million from AOCI to retained earnings.</w:t>
      </w:r>
    </w:p>
    <w:p>
      <w:pPr>
        <w:spacing w:after="0" w:line="154"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which adds guidance for the determination of whether a transaction should be accounted for as an acquisition of assets or a business. ASU 2017-01 is effective prospectively for fiscal years beginning after December 15, 2017 (our Fiscal 2019), including interim periods within those annual reporting periods. We adopted ASU 2017-01 in the fourth quarter of Fiscal 2018 for the acquisition of Chris-Craft, which is further discussed in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We adopted ASU 2016-09 in the interim quarterly reporting period ended November 25, 2017. Amendments requiring recognition of excess tax benefits and tax deficiencies in the statements of income and comprehensive income resulted in $0.5 million of excess tax benefits recorded as a reduction of income tax expense upon adoption for the year ended August 25, 2018. The reduction in income tax expense also reduced the effective tax rate by 0.4% and added $0.02 to income per share for the year ended August 25, 2018. Amendments related to the presentation of excess tax benefits and employee taxes paid when an employer withholds shares to meet the minimum statutory withholding requirement required no change to the statement of cash flows. As part of the adoption, we implemented a policy of accounting for forfeitures as they occur. The impact to our consolidated financial statements was not material.</w:t>
      </w:r>
    </w:p>
    <w:p>
      <w:pPr>
        <w:spacing w:after="0" w:line="16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which requires inventory measured using any method other than LIFO or the retail inventory method to be subsequently measured at the lower of cost or net realizable value, rather than at the lower of cost or market. Under ASU 2015-11, subsequent measurement of inventory using the LIFO and retail inventory method is unchanged. ASU 2015-11 is effective prospectively for fiscal years beginning after December 15, 2016 (our Fiscal 2018), including interim periods within those annual reporting periods. We adopted ASU 2015-11 on August 27, 2017, and the impact to our consolidated financial statements was not material.</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Entities have the option of using either retrospective transition or a modified approach in applying the new standard. The standard is effective for fiscal years, and the interim periods within those years, beginning after December 15, 2017 (our Fiscal 2019). Early adoption is permitted.</w:t>
      </w:r>
    </w:p>
    <w:p>
      <w:pPr>
        <w:spacing w:after="0" w:line="17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will adopt this standard in the first quarter of our Fiscal 2019 using the modified retrospective method. Under this method, we will recognize the cumulative effect of the changes in retained earnings at the date of adoption with no restatement of comparative periods. We currently estimate no cumulative effect adjustment at the date of adoption. In addition, we expect the impact of adoption to be immaterial to net earnings on an on-going basis.</w:t>
      </w:r>
    </w:p>
    <w:p>
      <w:pPr>
        <w:spacing w:after="0" w:line="174"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Our evaluation included a review of representative contracts with key customers and the performance obligations contained therein, as well as a review of our commercial terms and practices across each of our operating segments. Based on these procedures, we have determined the prospective impact is expected to be immaterial.</w:t>
      </w:r>
    </w:p>
    <w:p>
      <w:pPr>
        <w:spacing w:after="0" w:line="158"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The new</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80"/>
          </w:cols>
          <w:pgMar w:left="240" w:top="141"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standard must be adopted on a modified retrospective basis to either each prior reporting period presented or as of the beginning of the period of adoption for fiscal years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8"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 periods within those annual reporting periods. Early adoption is permitted. We are currently evaluating the impact of adopting this ASU on our consolidated financial statements and do not expect adoption to have a material impact.</w:t>
      </w:r>
    </w:p>
    <w:p>
      <w:pPr>
        <w:spacing w:after="0" w:line="154"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ASU 2017-12 is effective for annual reporting periods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Chris-Craft USA, Inc.</w:t>
      </w:r>
    </w:p>
    <w:p>
      <w:pPr>
        <w:spacing w:after="0" w:line="21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June 4, 2018, we acquired 100% of the ownership interest of Chris-Craft USA, Inc. ("Chris-Craft"). The acquisition diversifies our outdoor lifestyle value proposition into the recreational powerboat industry. The assets, liabilities and operating results have been included in our financial statements from the date of acquisition within the Corporate / All Other category. Pro forma results of operations for this acquisition have not been presented, as it was immaterial to the reported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Grand Design RV, LLC</w:t>
      </w:r>
    </w:p>
    <w:p>
      <w:pPr>
        <w:spacing w:after="0" w:line="228"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On November 8, 2016, we acquired 100% of the ownership interests of Grand Design RV, LLC ("Grand Design") in accordance with the Securities Purchase Agreement for an aggregate purchase price of $520.5 million, which was paid in cash and Winnebago shares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shares)</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November 8, 2016</w:t>
            </w:r>
          </w:p>
        </w:tc>
      </w:tr>
      <w:tr>
        <w:trPr>
          <w:trHeight w:val="243"/>
        </w:trPr>
        <w:tc>
          <w:tcPr>
            <w:tcW w:w="9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396,442</w:t>
            </w:r>
          </w:p>
        </w:tc>
      </w:tr>
      <w:tr>
        <w:trPr>
          <w:trHeight w:val="237"/>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Winnebago shares: 4,586,555 at $27.05 per share</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124,066</w:t>
            </w:r>
          </w:p>
        </w:tc>
      </w:tr>
      <w:tr>
        <w:trPr>
          <w:trHeight w:val="24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 xml:space="preserve">The cash portion was funded from cash on hand and borrowings under our debt agreements discussed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The stock was valued using our share price on the date of closing.</w:t>
      </w:r>
    </w:p>
    <w:p>
      <w:pPr>
        <w:spacing w:after="0" w:line="13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 xml:space="preserve">The acquisition has been accounted for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using the acquisition method of accounting. Under the acquisition method of accounting, the total purchase price was allocated to the net tangible and intangible assets of Grand Design acquired, based on their fair values at the date of the acquisition. The purchase price allocation was finalized during the first quarter of Fiscal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4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96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47"/>
        </w:trPr>
        <w:tc>
          <w:tcPr>
            <w:tcW w:w="9600" w:type="dxa"/>
            <w:vAlign w:val="bottom"/>
            <w:gridSpan w:val="2"/>
          </w:tcPr>
          <w:p>
            <w:pPr>
              <w:spacing w:after="0"/>
              <w:rPr>
                <w:sz w:val="20"/>
                <w:szCs w:val="20"/>
                <w:color w:val="auto"/>
              </w:rPr>
            </w:pPr>
            <w:r>
              <w:rPr>
                <w:rFonts w:ascii="Arial" w:cs="Arial" w:eastAsia="Arial" w:hAnsi="Arial"/>
                <w:sz w:val="16"/>
                <w:szCs w:val="16"/>
                <w:color w:val="auto"/>
              </w:rPr>
              <w:t>The final allocation of the purchase price to assets acquired and liabilities assumed is as follows:</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64"/>
        </w:trPr>
        <w:tc>
          <w:tcPr>
            <w:tcW w:w="96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November 8, 2016</w:t>
            </w:r>
          </w:p>
        </w:tc>
      </w:tr>
      <w:tr>
        <w:trPr>
          <w:trHeight w:val="24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32,834</w:t>
            </w:r>
          </w:p>
        </w:tc>
      </w:tr>
      <w:tr>
        <w:trPr>
          <w:trHeight w:val="25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15,300</w:t>
            </w: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3,037</w:t>
            </w:r>
          </w:p>
        </w:tc>
      </w:tr>
      <w:tr>
        <w:trPr>
          <w:trHeight w:val="25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243,456</w:t>
            </w:r>
          </w:p>
        </w:tc>
      </w:tr>
      <w:tr>
        <w:trPr>
          <w:trHeight w:val="246"/>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253,100</w:t>
            </w: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Total assets acquired</w:t>
            </w: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558,473</w:t>
            </w:r>
          </w:p>
        </w:tc>
      </w:tr>
      <w:tr>
        <w:trPr>
          <w:trHeight w:val="293"/>
        </w:trPr>
        <w:tc>
          <w:tcPr>
            <w:tcW w:w="1260" w:type="dxa"/>
            <w:vAlign w:val="bottom"/>
            <w:shd w:val="clear" w:color="auto" w:fill="CCEEFF"/>
          </w:tcPr>
          <w:p>
            <w:pPr>
              <w:spacing w:after="0"/>
              <w:rPr>
                <w:sz w:val="24"/>
                <w:szCs w:val="24"/>
                <w:color w:val="auto"/>
              </w:rPr>
            </w:pPr>
          </w:p>
        </w:tc>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11,163</w:t>
            </w:r>
          </w:p>
        </w:tc>
      </w:tr>
      <w:tr>
        <w:trPr>
          <w:trHeight w:val="25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Product warranties</w:t>
            </w: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12,904</w:t>
            </w:r>
          </w:p>
        </w:tc>
      </w:tr>
      <w:tr>
        <w:trPr>
          <w:trHeight w:val="25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1,496</w:t>
            </w:r>
          </w:p>
        </w:tc>
      </w:tr>
      <w:tr>
        <w:trPr>
          <w:trHeight w:val="246"/>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4,811</w:t>
            </w: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Total liabilities assumed</w:t>
            </w:r>
          </w:p>
        </w:tc>
        <w:tc>
          <w:tcPr>
            <w:tcW w:w="1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37,965</w:t>
            </w:r>
          </w:p>
        </w:tc>
      </w:tr>
      <w:tr>
        <w:trPr>
          <w:trHeight w:val="293"/>
        </w:trPr>
        <w:tc>
          <w:tcPr>
            <w:tcW w:w="1260" w:type="dxa"/>
            <w:vAlign w:val="bottom"/>
            <w:shd w:val="clear" w:color="auto" w:fill="CCEEFF"/>
          </w:tcPr>
          <w:p>
            <w:pPr>
              <w:spacing w:after="0"/>
              <w:rPr>
                <w:sz w:val="24"/>
                <w:szCs w:val="24"/>
                <w:color w:val="auto"/>
              </w:rPr>
            </w:pPr>
          </w:p>
        </w:tc>
        <w:tc>
          <w:tcPr>
            <w:tcW w:w="83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spacing w:after="0"/>
              <w:rPr>
                <w:sz w:val="24"/>
                <w:szCs w:val="24"/>
                <w:color w:val="auto"/>
              </w:rPr>
            </w:pPr>
          </w:p>
        </w:tc>
      </w:tr>
      <w:tr>
        <w:trPr>
          <w:trHeight w:val="234"/>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Total purchase price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12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acquisition of 100% of the ownership interests of Grand Design occurred in two steps: (1) direct purchase of 89.34% of Grand Design member interests and (2) simultaneous acquisition of the remaining 10.66% of Grand Design member interests via the purchase of 100% of the shares of SP GE VIII-B GD RV Blocker Corp. ("Blocker Corporation"), which held the remaining 10.66% of the Grand Design member interests. We agreed to acquire Blocker Corporation as part of the Securities Purchase Agreement, and we did not receive a step-up in basis for 10.66% of the Grand Design assets. As a result, we established certain deferred tax liabilities on the opening balance sheet that relate to Blocker Corporation. As of August 25, 2018, Blocker Corporation was dissolved.</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goodwill recognized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 As of August 25, 2018, goodwill increased $2.0 million as compared to the end of Fiscal 2017. The increase is due to the final purchase price adjustment made for taxes in the first quarter of Fiscal 2018.</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allocation of the purchase price to the net assets acquired and liabilities assumed resulted in the recognition of intangible assets. 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trade name. The relief from royalty method is based on the hypothetical royalty stream that would be received if we were to license the trade name and is based on expected revenues from such license. The fair value of the dealer network was estimated using an income approach known as the cost to recreate/cost savings method. This method uses the replacement of the asset as an indicator of the fair value of the asset. The useful life of the intangible assets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the intangible assets.</w:t>
      </w:r>
    </w:p>
    <w:p>
      <w:pPr>
        <w:spacing w:after="0" w:line="181"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 xml:space="preserve">Within the Towable segment, the results of Grand Design's operations have been included in our consolidated financial statements from the close of the acquisition. The following table provides net revenues and operating income (which includes amortization expense and our allocation changes described in Note 3, </w:t>
      </w:r>
      <w:r>
        <w:rPr>
          <w:rFonts w:ascii="Arial" w:cs="Arial" w:eastAsia="Arial" w:hAnsi="Arial"/>
          <w:sz w:val="16"/>
          <w:szCs w:val="16"/>
          <w:i w:val="1"/>
          <w:iCs w:val="1"/>
          <w:color w:val="auto"/>
        </w:rPr>
        <w:t>Business Segments</w:t>
      </w:r>
      <w:r>
        <w:rPr>
          <w:rFonts w:ascii="Arial" w:cs="Arial" w:eastAsia="Arial" w:hAnsi="Arial"/>
          <w:sz w:val="16"/>
          <w:szCs w:val="16"/>
          <w:color w:val="auto"/>
        </w:rPr>
        <w:t>) from the Grand Design business included in our consolidated results during the fiscal years ended August 25, 2018 and August 26, 2017 following the November 8, 2016 closing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1339"/>
              <w:spacing w:after="0"/>
              <w:rPr>
                <w:sz w:val="20"/>
                <w:szCs w:val="20"/>
                <w:color w:val="auto"/>
              </w:rPr>
            </w:pPr>
            <w:r>
              <w:rPr>
                <w:rFonts w:ascii="Arial" w:cs="Arial" w:eastAsia="Arial" w:hAnsi="Arial"/>
                <w:sz w:val="16"/>
                <w:szCs w:val="16"/>
                <w:b w:val="1"/>
                <w:bCs w:val="1"/>
                <w:color w:val="auto"/>
              </w:rPr>
              <w:t>Year Ended</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4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August 25, 2018</w:t>
            </w:r>
          </w:p>
        </w:tc>
        <w:tc>
          <w:tcPr>
            <w:tcW w:w="200" w:type="dxa"/>
            <w:vAlign w:val="bottom"/>
          </w:tcPr>
          <w:p>
            <w:pPr>
              <w:spacing w:after="0"/>
              <w:rPr>
                <w:sz w:val="22"/>
                <w:szCs w:val="22"/>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26, 2017</w:t>
            </w:r>
          </w:p>
        </w:tc>
      </w:tr>
      <w:tr>
        <w:trPr>
          <w:trHeight w:val="257"/>
        </w:trPr>
        <w:tc>
          <w:tcPr>
            <w:tcW w:w="3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5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969,362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559,664</w:t>
            </w:r>
          </w:p>
        </w:tc>
      </w:tr>
      <w:tr>
        <w:trPr>
          <w:trHeight w:val="251"/>
        </w:trPr>
        <w:tc>
          <w:tcPr>
            <w:tcW w:w="34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129,123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54,188</w:t>
            </w:r>
          </w:p>
        </w:tc>
      </w:tr>
      <w:tr>
        <w:trPr>
          <w:trHeight w:val="648"/>
        </w:trPr>
        <w:tc>
          <w:tcPr>
            <w:tcW w:w="3460" w:type="dxa"/>
            <w:vAlign w:val="bottom"/>
          </w:tcPr>
          <w:p>
            <w:pPr>
              <w:spacing w:after="0"/>
              <w:rPr>
                <w:sz w:val="24"/>
                <w:szCs w:val="24"/>
                <w:color w:val="auto"/>
              </w:rPr>
            </w:pPr>
          </w:p>
        </w:tc>
        <w:tc>
          <w:tcPr>
            <w:tcW w:w="4200" w:type="dxa"/>
            <w:vAlign w:val="bottom"/>
          </w:tcPr>
          <w:p>
            <w:pPr>
              <w:jc w:val="right"/>
              <w:ind w:right="1779"/>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Unaudited pro forma information has been prepared as if the acquisition had taken place on August 30, 2015. The unaudited pro forma information is not necessarily indicative of the results that we would have achieved had the transaction actually taken place on August 30, 2015,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 Unaudited pro forma information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7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Pr>
          <w:p>
            <w:pPr>
              <w:spacing w:after="0"/>
              <w:rPr>
                <w:sz w:val="23"/>
                <w:szCs w:val="23"/>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25, 2018</w:t>
            </w:r>
          </w:p>
        </w:tc>
        <w:tc>
          <w:tcPr>
            <w:tcW w:w="180" w:type="dxa"/>
            <w:vAlign w:val="bottom"/>
          </w:tcPr>
          <w:p>
            <w:pPr>
              <w:spacing w:after="0"/>
              <w:rPr>
                <w:sz w:val="23"/>
                <w:szCs w:val="23"/>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August 26, 2017</w:t>
            </w:r>
            <w:r>
              <w:rPr>
                <w:rFonts w:ascii="Arial" w:cs="Arial" w:eastAsia="Arial" w:hAnsi="Arial"/>
                <w:sz w:val="21"/>
                <w:szCs w:val="21"/>
                <w:b w:val="1"/>
                <w:bCs w:val="1"/>
                <w:color w:val="auto"/>
                <w:w w:val="97"/>
                <w:vertAlign w:val="superscript"/>
              </w:rPr>
              <w:t>(1)</w:t>
            </w:r>
          </w:p>
        </w:tc>
        <w:tc>
          <w:tcPr>
            <w:tcW w:w="200" w:type="dxa"/>
            <w:vAlign w:val="bottom"/>
          </w:tcPr>
          <w:p>
            <w:pPr>
              <w:spacing w:after="0"/>
              <w:rPr>
                <w:sz w:val="23"/>
                <w:szCs w:val="23"/>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 2016</w:t>
            </w:r>
          </w:p>
        </w:tc>
      </w:tr>
      <w:tr>
        <w:trPr>
          <w:trHeight w:val="250"/>
        </w:trPr>
        <w:tc>
          <w:tcPr>
            <w:tcW w:w="5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2,016,829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1,642,786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1,402,897</w:t>
            </w: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102,465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91,163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48,357</w:t>
            </w:r>
          </w:p>
        </w:tc>
      </w:tr>
      <w:tr>
        <w:trPr>
          <w:trHeight w:val="28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51"/>
        </w:trPr>
        <w:tc>
          <w:tcPr>
            <w:tcW w:w="5720" w:type="dxa"/>
            <w:vAlign w:val="bottom"/>
          </w:tcPr>
          <w:p>
            <w:pPr>
              <w:ind w:left="40"/>
              <w:spacing w:after="0"/>
              <w:rPr>
                <w:sz w:val="20"/>
                <w:szCs w:val="20"/>
                <w:color w:val="auto"/>
              </w:rPr>
            </w:pPr>
            <w:r>
              <w:rPr>
                <w:rFonts w:ascii="Arial" w:cs="Arial" w:eastAsia="Arial" w:hAnsi="Arial"/>
                <w:sz w:val="16"/>
                <w:szCs w:val="16"/>
                <w:color w:val="auto"/>
              </w:rPr>
              <w:t>Income per share - diluted</w:t>
            </w:r>
          </w:p>
        </w:tc>
        <w:tc>
          <w:tcPr>
            <w:tcW w:w="20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1.53</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(1) Net income and income per share include the increased benefit of $16.3 million, net of tax, associated with the termination of the postretirement health care plan in Fiscal 2017.</w:t>
      </w:r>
    </w:p>
    <w:p>
      <w:pPr>
        <w:spacing w:after="0" w:line="187"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Grand Design had been completed on August 30,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Year Ended</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264"/>
        </w:trPr>
        <w:tc>
          <w:tcPr>
            <w:tcW w:w="54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2"/>
                <w:szCs w:val="22"/>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25, 2018</w:t>
            </w:r>
          </w:p>
        </w:tc>
        <w:tc>
          <w:tcPr>
            <w:tcW w:w="260" w:type="dxa"/>
            <w:vAlign w:val="bottom"/>
          </w:tcPr>
          <w:p>
            <w:pPr>
              <w:spacing w:after="0"/>
              <w:rPr>
                <w:sz w:val="22"/>
                <w:szCs w:val="22"/>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26, 2017</w:t>
            </w:r>
          </w:p>
        </w:tc>
        <w:tc>
          <w:tcPr>
            <w:tcW w:w="200" w:type="dxa"/>
            <w:vAlign w:val="bottom"/>
          </w:tcPr>
          <w:p>
            <w:pPr>
              <w:spacing w:after="0"/>
              <w:rPr>
                <w:sz w:val="22"/>
                <w:szCs w:val="22"/>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5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intangibles (1 year or less useful life)</w:t>
            </w:r>
            <w:r>
              <w:rPr>
                <w:rFonts w:ascii="Arial" w:cs="Arial" w:eastAsia="Arial" w:hAnsi="Arial"/>
                <w:sz w:val="21"/>
                <w:szCs w:val="21"/>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(18,751)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18,871</w:t>
            </w:r>
          </w:p>
        </w:tc>
      </w:tr>
      <w:tr>
        <w:trPr>
          <w:trHeight w:val="270"/>
        </w:trPr>
        <w:tc>
          <w:tcPr>
            <w:tcW w:w="5440" w:type="dxa"/>
            <w:vAlign w:val="bottom"/>
          </w:tcPr>
          <w:p>
            <w:pPr>
              <w:ind w:left="40"/>
              <w:spacing w:after="0"/>
              <w:rPr>
                <w:sz w:val="20"/>
                <w:szCs w:val="20"/>
                <w:color w:val="auto"/>
              </w:rPr>
            </w:pPr>
            <w:r>
              <w:rPr>
                <w:rFonts w:ascii="Arial" w:cs="Arial" w:eastAsia="Arial" w:hAnsi="Arial"/>
                <w:sz w:val="16"/>
                <w:szCs w:val="16"/>
                <w:color w:val="auto"/>
              </w:rPr>
              <w:t>Increase in amortization of intangibles</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8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Expenses related to business combination (transaction costs)</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(6,649)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6,649</w:t>
            </w:r>
          </w:p>
        </w:tc>
      </w:tr>
      <w:tr>
        <w:trPr>
          <w:trHeight w:val="270"/>
        </w:trPr>
        <w:tc>
          <w:tcPr>
            <w:tcW w:w="5440" w:type="dxa"/>
            <w:vAlign w:val="bottom"/>
          </w:tcPr>
          <w:p>
            <w:pPr>
              <w:ind w:left="40"/>
              <w:spacing w:after="0"/>
              <w:rPr>
                <w:sz w:val="20"/>
                <w:szCs w:val="20"/>
                <w:color w:val="auto"/>
              </w:rPr>
            </w:pPr>
            <w:r>
              <w:rPr>
                <w:rFonts w:ascii="Arial" w:cs="Arial" w:eastAsia="Arial" w:hAnsi="Arial"/>
                <w:sz w:val="16"/>
                <w:szCs w:val="16"/>
                <w:color w:val="auto"/>
              </w:rPr>
              <w:t>Interest to reflect new debt structure</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18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rPr>
              <w:t>3,672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19,622</w:t>
            </w:r>
          </w:p>
        </w:tc>
      </w:tr>
      <w:tr>
        <w:trPr>
          <w:trHeight w:val="218"/>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Taxes related to the adjustments to the pro forma data and to the income</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4"/>
        </w:trPr>
        <w:tc>
          <w:tcPr>
            <w:tcW w:w="5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Grand Design</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11,648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1,680</w:t>
            </w:r>
          </w:p>
        </w:tc>
      </w:tr>
    </w:tbl>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additional information on the intangible assets recorded as a result of the acquisition.</w:t>
      </w:r>
    </w:p>
    <w:p>
      <w:pPr>
        <w:spacing w:after="0" w:line="5" w:lineRule="exact"/>
        <w:rPr>
          <w:rFonts w:ascii="Arial" w:cs="Arial" w:eastAsia="Arial" w:hAnsi="Arial"/>
          <w:sz w:val="14"/>
          <w:szCs w:val="14"/>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 forma transaction costs include $0.1 million incurred by Grand Design prior to the acquisition.</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Long-Term Debt</w:t>
      </w:r>
      <w:r>
        <w:rPr>
          <w:rFonts w:ascii="Arial" w:cs="Arial" w:eastAsia="Arial" w:hAnsi="Arial"/>
          <w:sz w:val="14"/>
          <w:szCs w:val="14"/>
          <w:color w:val="auto"/>
        </w:rPr>
        <w:t>, for additional information on the new debt structure as a result of the acquisition.</w:t>
      </w:r>
    </w:p>
    <w:p>
      <w:pPr>
        <w:spacing w:after="0" w:line="18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We incurred approximately $7.0 million of acquisition-related costs to date, of which $0.1 million, $6.6 million, and $0.3 million was expensed during Fiscal 2018, Fiscal 2017, and Fiscal 2016,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Registration</w:t>
      </w: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As a result of the acquisition of Grand Design, we agreed to register the 4,586,555 shares of common stock issued to the sellers pursuant to the terms of a registration rights agreement. Under the registration rights agreement, we filed a shelf registration statement on January 20, 2017 to register these shares for resale. On April 11, 2017, pursuant to an underwriting agreement dated as of April 5, 2017, by and among the Company, certain of the sellers, and Morgan Stanley &amp; Co., LLC, the sellers sold 2,293,277 shares of common stock in an underwritten block trade.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Beginning in the fourth quarter of Fiscal 2018, we have revised our segment presentation and now have five operating segments: 1) Winnebago motorhomes,</w:t>
      </w:r>
    </w:p>
    <w:p>
      <w:pPr>
        <w:spacing w:after="0" w:line="5" w:lineRule="exact"/>
        <w:rPr>
          <w:sz w:val="20"/>
          <w:szCs w:val="20"/>
          <w:color w:val="auto"/>
        </w:rPr>
      </w:pPr>
    </w:p>
    <w:p>
      <w:pPr>
        <w:ind w:right="160" w:firstLine="8"/>
        <w:spacing w:after="0" w:line="260" w:lineRule="auto"/>
        <w:tabs>
          <w:tab w:leader="none" w:pos="1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Winnebago towables, 3) Grand Design towables, 4) Winnebago specialty vehicles, and 5) Chris-Craft marine. We evaluate performance based on each operating segment's Adjusted EBITDA, as defined below, which excludes certain corporate administration expenses and non-operating income and expense.</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Our two reportable segments include: 1) Motorhome (comprised of products that include a motorized chassis as well as other related manufactured products and services) and 2) Towable (comprised of products which are not motorized and are generally towed by another vehicle as well as other related manufactured products and services), which is an aggregation of the Winnebago towables and Grand Design towables operating segments.</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 Previously, these expenses were allocated to each operating segment.</w:t>
      </w:r>
    </w:p>
    <w:p>
      <w:pPr>
        <w:spacing w:after="0" w:line="17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6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Prior year segment information has been reclassified to conform to the current reportable segment presentation. The reclassifications included removing the corporate administration expenses from both the Motorhome and Towable reportable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segments and removing Winnebago specialty vehicles from the Motorhome reportable segment, as we begin to dedicate leadership and focus on these operations separately from our Winnebago motorhomes operations.</w:t>
      </w:r>
    </w:p>
    <w:p>
      <w:pPr>
        <w:spacing w:after="0" w:line="169"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 xml:space="preserve">Our chief operating decision maker ("CODM") is our Chief Executive Officer. Our CODM relies on internal management reporting that analyzes consolidated results to the net earnings level and operating segment's Adjusted EBITDA. Our CODM has ultimate responsibility for enterprise decisions. Our CODM determines, in particular, resource allocation for, and monitors the performance of, the consolidated enterprise, the Motorhome segment, and the Towable segment. The Motorhome segment management and Towable segment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17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evaluate the performance of our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Examples of items excluded from Adjusted EBITDA include the postretirement health care benefit income from terminating the plan and transaction costs related to acquisitions. These types of adjustments are also specified in the definition of certain measures required under the terms of our Credit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by reportable segment for Fiscal 2018, 2017, and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9"/>
              </w:rPr>
              <w:t>Year Ended</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2"/>
                <w:szCs w:val="22"/>
                <w:color w:val="auto"/>
              </w:rPr>
            </w:pPr>
          </w:p>
        </w:tc>
        <w:tc>
          <w:tcPr>
            <w:tcW w:w="1900" w:type="dxa"/>
            <w:vAlign w:val="bottom"/>
            <w:gridSpan w:val="2"/>
          </w:tcPr>
          <w:p>
            <w:pPr>
              <w:ind w:left="220"/>
              <w:spacing w:after="0"/>
              <w:rPr>
                <w:sz w:val="20"/>
                <w:szCs w:val="20"/>
                <w:color w:val="auto"/>
              </w:rPr>
            </w:pPr>
            <w:r>
              <w:rPr>
                <w:rFonts w:ascii="Arial" w:cs="Arial" w:eastAsia="Arial" w:hAnsi="Arial"/>
                <w:sz w:val="16"/>
                <w:szCs w:val="16"/>
                <w:b w:val="1"/>
                <w:bCs w:val="1"/>
                <w:color w:val="auto"/>
              </w:rPr>
              <w:t>August 25, 2018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August 26, 2017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27, 2016</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revenues</w:t>
            </w:r>
          </w:p>
        </w:tc>
        <w:tc>
          <w:tcPr>
            <w:tcW w:w="120" w:type="dxa"/>
            <w:vAlign w:val="bottom"/>
            <w:tcBorders>
              <w:top w:val="single" w:sz="8" w:color="auto"/>
            </w:tcBorders>
            <w:shd w:val="clear" w:color="auto" w:fill="CCEEFF"/>
          </w:tcPr>
          <w:p>
            <w:pPr>
              <w:spacing w:after="0"/>
              <w:rPr>
                <w:sz w:val="23"/>
                <w:szCs w:val="23"/>
                <w:color w:val="auto"/>
              </w:rPr>
            </w:pPr>
          </w:p>
        </w:tc>
        <w:tc>
          <w:tcPr>
            <w:tcW w:w="1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Motorhome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860,675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853,360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881,363</w:t>
            </w:r>
          </w:p>
        </w:tc>
        <w:tc>
          <w:tcPr>
            <w:tcW w:w="0" w:type="dxa"/>
            <w:vAlign w:val="bottom"/>
          </w:tcPr>
          <w:p>
            <w:pPr>
              <w:spacing w:after="0"/>
              <w:rPr>
                <w:sz w:val="1"/>
                <w:szCs w:val="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1,127,723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685,197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89,412</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 All Other</w:t>
            </w:r>
          </w:p>
        </w:tc>
        <w:tc>
          <w:tcPr>
            <w:tcW w:w="1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28,431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8,562</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24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2,016,829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1,547,119</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975,226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Motorhome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35,508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56,518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66,127</w:t>
            </w:r>
          </w:p>
        </w:tc>
        <w:tc>
          <w:tcPr>
            <w:tcW w:w="0" w:type="dxa"/>
            <w:vAlign w:val="bottom"/>
          </w:tcPr>
          <w:p>
            <w:pPr>
              <w:spacing w:after="0"/>
              <w:rPr>
                <w:sz w:val="1"/>
                <w:szCs w:val="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157,010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89,734</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1,721</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 All Other</w:t>
            </w:r>
          </w:p>
        </w:tc>
        <w:tc>
          <w:tcPr>
            <w:tcW w:w="1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(7,375)</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(5,531)</w:t>
            </w:r>
          </w:p>
        </w:tc>
        <w:tc>
          <w:tcPr>
            <w:tcW w:w="0" w:type="dxa"/>
            <w:vAlign w:val="bottom"/>
          </w:tcPr>
          <w:p>
            <w:pPr>
              <w:spacing w:after="0"/>
              <w:rPr>
                <w:sz w:val="1"/>
                <w:szCs w:val="1"/>
                <w:color w:val="auto"/>
              </w:rPr>
            </w:pPr>
          </w:p>
        </w:tc>
      </w:tr>
      <w:tr>
        <w:trPr>
          <w:trHeight w:val="24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181,746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138,877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62,317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Motorhome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9,302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9,563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23,909</w:t>
            </w:r>
          </w:p>
        </w:tc>
        <w:tc>
          <w:tcPr>
            <w:tcW w:w="0" w:type="dxa"/>
            <w:vAlign w:val="bottom"/>
          </w:tcPr>
          <w:p>
            <w:pPr>
              <w:spacing w:after="0"/>
              <w:rPr>
                <w:sz w:val="1"/>
                <w:szCs w:val="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4,406</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 All Other</w:t>
            </w:r>
          </w:p>
        </w:tc>
        <w:tc>
          <w:tcPr>
            <w:tcW w:w="1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28,668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13,993</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24,551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right"/>
              <w:ind w:right="133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auto"/>
              </w:rPr>
              <w:t>August 25, 2018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26, 2017</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top w:val="single" w:sz="8" w:color="auto"/>
            </w:tcBorders>
            <w:shd w:val="clear" w:color="auto" w:fill="CCEEFF"/>
          </w:tcPr>
          <w:p>
            <w:pPr>
              <w:spacing w:after="0"/>
              <w:rPr>
                <w:sz w:val="23"/>
                <w:szCs w:val="23"/>
                <w:color w:val="auto"/>
              </w:rPr>
            </w:pPr>
          </w:p>
        </w:tc>
        <w:tc>
          <w:tcPr>
            <w:tcW w:w="1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Motorhome</w:t>
            </w: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322,048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277,015</w:t>
            </w:r>
          </w:p>
        </w:tc>
        <w:tc>
          <w:tcPr>
            <w:tcW w:w="0" w:type="dxa"/>
            <w:vAlign w:val="bottom"/>
          </w:tcPr>
          <w:p>
            <w:pPr>
              <w:spacing w:after="0"/>
              <w:rPr>
                <w:sz w:val="1"/>
                <w:szCs w:val="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626,588</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576,262</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 All Other</w:t>
            </w: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103,169</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49,235</w:t>
            </w:r>
          </w:p>
        </w:tc>
        <w:tc>
          <w:tcPr>
            <w:tcW w:w="0" w:type="dxa"/>
            <w:vAlign w:val="bottom"/>
          </w:tcPr>
          <w:p>
            <w:pPr>
              <w:spacing w:after="0"/>
              <w:rPr>
                <w:sz w:val="1"/>
                <w:szCs w:val="1"/>
                <w:color w:val="auto"/>
              </w:rPr>
            </w:pPr>
          </w:p>
        </w:tc>
      </w:tr>
      <w:tr>
        <w:trPr>
          <w:trHeight w:val="240"/>
        </w:trPr>
        <w:tc>
          <w:tcPr>
            <w:tcW w:w="5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Consolidated</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1,051,805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902,512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1519"/>
              <w:spacing w:after="0"/>
              <w:rPr>
                <w:sz w:val="20"/>
                <w:szCs w:val="20"/>
                <w:color w:val="auto"/>
              </w:rPr>
            </w:pPr>
            <w:r>
              <w:rPr>
                <w:rFonts w:ascii="Arial" w:cs="Arial" w:eastAsia="Arial" w:hAnsi="Arial"/>
                <w:sz w:val="16"/>
                <w:szCs w:val="16"/>
                <w:color w:val="auto"/>
                <w:w w:val="89"/>
              </w:rPr>
              <w:t>48</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 for Fiscal 2018, 2017, and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9"/>
              </w:rPr>
              <w:t>Year Ended</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264"/>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25, 2018</w:t>
            </w:r>
          </w:p>
        </w:tc>
        <w:tc>
          <w:tcPr>
            <w:tcW w:w="220" w:type="dxa"/>
            <w:vAlign w:val="bottom"/>
          </w:tcPr>
          <w:p>
            <w:pPr>
              <w:spacing w:after="0"/>
              <w:rPr>
                <w:sz w:val="22"/>
                <w:szCs w:val="22"/>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26, 2017</w:t>
            </w:r>
          </w:p>
        </w:tc>
        <w:tc>
          <w:tcPr>
            <w:tcW w:w="220" w:type="dxa"/>
            <w:vAlign w:val="bottom"/>
          </w:tcPr>
          <w:p>
            <w:pPr>
              <w:spacing w:after="0"/>
              <w:rPr>
                <w:sz w:val="22"/>
                <w:szCs w:val="22"/>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55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102,357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71,330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45,496</w:t>
            </w:r>
          </w:p>
        </w:tc>
      </w:tr>
      <w:tr>
        <w:trPr>
          <w:trHeight w:val="260"/>
        </w:trPr>
        <w:tc>
          <w:tcPr>
            <w:tcW w:w="55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18,246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16,837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40,283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37,269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20,702</w:t>
            </w:r>
          </w:p>
        </w:tc>
      </w:tr>
      <w:tr>
        <w:trPr>
          <w:trHeight w:val="260"/>
        </w:trPr>
        <w:tc>
          <w:tcPr>
            <w:tcW w:w="552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9,849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7,315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5,745</w:t>
            </w:r>
          </w:p>
        </w:tc>
      </w:tr>
      <w:tr>
        <w:trPr>
          <w:trHeight w:val="273"/>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24,660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47"/>
        </w:trPr>
        <w:tc>
          <w:tcPr>
            <w:tcW w:w="5520" w:type="dxa"/>
            <w:vAlign w:val="bottom"/>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180,063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157,411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71,943</w:t>
            </w:r>
          </w:p>
        </w:tc>
      </w:tr>
      <w:tr>
        <w:trPr>
          <w:trHeight w:val="280"/>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2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(6,124)</w:t>
            </w:r>
          </w:p>
        </w:tc>
      </w:tr>
      <w:tr>
        <w:trPr>
          <w:trHeight w:val="260"/>
        </w:trPr>
        <w:tc>
          <w:tcPr>
            <w:tcW w:w="5520" w:type="dxa"/>
            <w:vAlign w:val="bottom"/>
          </w:tcPr>
          <w:p>
            <w:pPr>
              <w:ind w:left="180"/>
              <w:spacing w:after="0"/>
              <w:rPr>
                <w:sz w:val="20"/>
                <w:szCs w:val="20"/>
                <w:color w:val="auto"/>
              </w:rPr>
            </w:pPr>
            <w:r>
              <w:rPr>
                <w:rFonts w:ascii="Arial" w:cs="Arial" w:eastAsia="Arial" w:hAnsi="Arial"/>
                <w:sz w:val="16"/>
                <w:szCs w:val="16"/>
                <w:color w:val="auto"/>
              </w:rPr>
              <w:t>Legal settlement</w:t>
            </w:r>
          </w:p>
        </w:tc>
        <w:tc>
          <w:tcPr>
            <w:tcW w:w="220" w:type="dxa"/>
            <w:vAlign w:val="bottom"/>
          </w:tcPr>
          <w:p>
            <w:pPr>
              <w:spacing w:after="0"/>
              <w:rPr>
                <w:sz w:val="22"/>
                <w:szCs w:val="22"/>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(3,400)</w:t>
            </w:r>
          </w:p>
        </w:tc>
      </w:tr>
      <w:tr>
        <w:trPr>
          <w:trHeight w:val="280"/>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355</w:t>
            </w:r>
          </w:p>
        </w:tc>
      </w:tr>
      <w:tr>
        <w:trPr>
          <w:trHeight w:val="264"/>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(457)</w:t>
            </w:r>
          </w:p>
        </w:tc>
      </w:tr>
      <w:tr>
        <w:trPr>
          <w:trHeight w:val="24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181,746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138,877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62,317</w:t>
            </w: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revenue by geographic area for Fiscal 2018, 2017, and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2"/>
                <w:szCs w:val="22"/>
                <w:color w:val="auto"/>
              </w:rPr>
            </w:pPr>
          </w:p>
        </w:tc>
        <w:tc>
          <w:tcPr>
            <w:tcW w:w="212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25, 2018</w:t>
            </w:r>
          </w:p>
        </w:tc>
        <w:tc>
          <w:tcPr>
            <w:tcW w:w="320" w:type="dxa"/>
            <w:vAlign w:val="bottom"/>
          </w:tcPr>
          <w:p>
            <w:pPr>
              <w:spacing w:after="0"/>
              <w:rPr>
                <w:sz w:val="22"/>
                <w:szCs w:val="22"/>
                <w:color w:val="auto"/>
              </w:rPr>
            </w:pPr>
          </w:p>
        </w:tc>
        <w:tc>
          <w:tcPr>
            <w:tcW w:w="21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August 26, 2017</w:t>
            </w:r>
          </w:p>
        </w:tc>
        <w:tc>
          <w:tcPr>
            <w:tcW w:w="340" w:type="dxa"/>
            <w:vAlign w:val="bottom"/>
          </w:tcPr>
          <w:p>
            <w:pPr>
              <w:spacing w:after="0"/>
              <w:rPr>
                <w:sz w:val="22"/>
                <w:szCs w:val="22"/>
                <w:color w:val="auto"/>
              </w:rPr>
            </w:pPr>
          </w:p>
        </w:tc>
        <w:tc>
          <w:tcPr>
            <w:tcW w:w="1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4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1,860,613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1,445,401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940,230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156,216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101,718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34,996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4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revenues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2,016,829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1,547,119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975,226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Derivatives, Investments and 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73"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178"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August 25, 2018 and August 26, 2017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80" w:type="dxa"/>
            <w:vAlign w:val="bottom"/>
            <w:gridSpan w:val="9"/>
          </w:tcPr>
          <w:p>
            <w:pPr>
              <w:jc w:val="center"/>
              <w:ind w:right="180"/>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Fair Value at August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10"/>
          </w:tcPr>
          <w:p>
            <w:pPr>
              <w:jc w:val="center"/>
              <w:ind w:left="83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4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25, 2018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80"/>
              <w:spacing w:after="0"/>
              <w:rPr>
                <w:sz w:val="20"/>
                <w:szCs w:val="20"/>
                <w:color w:val="auto"/>
              </w:rPr>
            </w:pPr>
            <w:r>
              <w:rPr>
                <w:rFonts w:ascii="Arial" w:cs="Arial" w:eastAsia="Arial" w:hAnsi="Arial"/>
                <w:sz w:val="16"/>
                <w:szCs w:val="16"/>
                <w:color w:val="auto"/>
              </w:rPr>
              <w:t>Domestic equity funds</w:t>
            </w:r>
          </w:p>
        </w:tc>
        <w:tc>
          <w:tcPr>
            <w:tcW w:w="4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1,143</w:t>
            </w:r>
          </w:p>
        </w:tc>
        <w:tc>
          <w:tcPr>
            <w:tcW w:w="80" w:type="dxa"/>
            <w:vAlign w:val="bottom"/>
          </w:tcPr>
          <w:p>
            <w:pPr>
              <w:spacing w:after="0"/>
              <w:rPr>
                <w:sz w:val="22"/>
                <w:szCs w:val="22"/>
                <w:color w:val="auto"/>
              </w:rPr>
            </w:pPr>
          </w:p>
        </w:tc>
        <w:tc>
          <w:tcPr>
            <w:tcW w:w="36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1,114</w:t>
            </w:r>
          </w:p>
        </w:tc>
        <w:tc>
          <w:tcPr>
            <w:tcW w:w="20" w:type="dxa"/>
            <w:vAlign w:val="bottom"/>
          </w:tcPr>
          <w:p>
            <w:pPr>
              <w:spacing w:after="0"/>
              <w:rPr>
                <w:sz w:val="22"/>
                <w:szCs w:val="22"/>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700" w:type="dxa"/>
            <w:vAlign w:val="bottom"/>
          </w:tcPr>
          <w:p>
            <w:pPr>
              <w:ind w:left="80"/>
              <w:spacing w:after="0"/>
              <w:rPr>
                <w:sz w:val="20"/>
                <w:szCs w:val="20"/>
                <w:color w:val="auto"/>
              </w:rPr>
            </w:pPr>
            <w:r>
              <w:rPr>
                <w:rFonts w:ascii="Arial" w:cs="Arial" w:eastAsia="Arial" w:hAnsi="Arial"/>
                <w:sz w:val="16"/>
                <w:szCs w:val="16"/>
                <w:color w:val="auto"/>
              </w:rPr>
              <w:t>Fixed income funds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w:t>
            </w:r>
          </w:p>
        </w:tc>
        <w:tc>
          <w:tcPr>
            <w:tcW w:w="8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1,366</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10"/>
          </w:tcPr>
          <w:p>
            <w:pPr>
              <w:jc w:val="center"/>
              <w:ind w:left="73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196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Fair Value at August</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10"/>
          </w:tcPr>
          <w:p>
            <w:pPr>
              <w:jc w:val="center"/>
              <w:ind w:left="73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700" w:type="dxa"/>
            <w:vAlign w:val="bottom"/>
          </w:tcPr>
          <w:p>
            <w:pPr>
              <w:spacing w:after="0"/>
              <w:rPr>
                <w:sz w:val="3"/>
                <w:szCs w:val="3"/>
                <w:color w:val="auto"/>
              </w:rPr>
            </w:pPr>
          </w:p>
        </w:tc>
        <w:tc>
          <w:tcPr>
            <w:tcW w:w="196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26, 2017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Level 2</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1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8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1,708</w:t>
            </w:r>
          </w:p>
        </w:tc>
        <w:tc>
          <w:tcPr>
            <w:tcW w:w="80" w:type="dxa"/>
            <w:vAlign w:val="bottom"/>
          </w:tcPr>
          <w:p>
            <w:pPr>
              <w:spacing w:after="0"/>
              <w:rPr>
                <w:sz w:val="22"/>
                <w:szCs w:val="22"/>
                <w:color w:val="auto"/>
              </w:rPr>
            </w:pPr>
          </w:p>
        </w:tc>
        <w:tc>
          <w:tcPr>
            <w:tcW w:w="3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700" w:type="dxa"/>
            <w:vAlign w:val="bottom"/>
          </w:tcPr>
          <w:p>
            <w:pPr>
              <w:ind w:left="80"/>
              <w:spacing w:after="0"/>
              <w:rPr>
                <w:sz w:val="20"/>
                <w:szCs w:val="20"/>
                <w:color w:val="auto"/>
              </w:rPr>
            </w:pPr>
            <w:r>
              <w:rPr>
                <w:rFonts w:ascii="Arial" w:cs="Arial" w:eastAsia="Arial" w:hAnsi="Arial"/>
                <w:sz w:val="16"/>
                <w:szCs w:val="16"/>
                <w:color w:val="auto"/>
              </w:rPr>
              <w:t>Fixed income funds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89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2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(828)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(828)</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 (liabilities) at fair value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1,313</w:t>
            </w:r>
          </w:p>
        </w:tc>
        <w:tc>
          <w:tcPr>
            <w:tcW w:w="80" w:type="dxa"/>
            <w:vAlign w:val="bottom"/>
          </w:tcPr>
          <w:p>
            <w:pPr>
              <w:spacing w:after="0"/>
              <w:rPr>
                <w:sz w:val="20"/>
                <w:szCs w:val="20"/>
                <w:color w:val="auto"/>
              </w:rPr>
            </w:pPr>
          </w:p>
        </w:tc>
        <w:tc>
          <w:tcPr>
            <w:tcW w:w="3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(685)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Our assets that fund deferred compensation are marketable equity securities measured at fair value using quoted market prices and primarily consist of equity-based mutual funds. These securities are classified as Level 1 as they are traded in an active market for which closing stock prices are readily available. These securities fund the Executive Share Option Plan and the Executive Deferred Compensation Plan (see Note 10, </w:t>
      </w:r>
      <w:r>
        <w:rPr>
          <w:rFonts w:ascii="Arial" w:cs="Arial" w:eastAsia="Arial" w:hAnsi="Arial"/>
          <w:sz w:val="16"/>
          <w:szCs w:val="16"/>
          <w:i w:val="1"/>
          <w:iCs w:val="1"/>
          <w:color w:val="auto"/>
        </w:rPr>
        <w:t>Employee and Retiree Benefits</w:t>
      </w:r>
      <w:r>
        <w:rPr>
          <w:rFonts w:ascii="Arial" w:cs="Arial" w:eastAsia="Arial" w:hAnsi="Arial"/>
          <w:sz w:val="16"/>
          <w:szCs w:val="16"/>
          <w:color w:val="auto"/>
        </w:rPr>
        <w:t>). The proportion of the assets that will fund options which expire within a year are included in prepaid expenses and other current assets in the accompanying consolidated balance sheets. The remaining assets are classified as non-current and are included in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Under the terms of our Credit Agreement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we were previously required to hedge a portion of the floating interest rate exposure. In accordance with this requirement, on January 23, 2017, we entered into an interest swap contract, which effectively fixed our interest rate on our Term Loan for a notional amount that reduces each December during the swap contract. As of August 25, 2018, we had $170.0 million of our Term Loan fixed at an interest rate of 5.32%. As of August 26, 2017, we had $200.0 million of our Term Loan fixed at an interest rate of 6.32%. The swap contract expires on December 8, 2020.</w:t>
      </w:r>
    </w:p>
    <w:p>
      <w:pPr>
        <w:spacing w:after="0" w:line="365"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fair value of the interest rate swap based on a Level 2 valuation was an asset of $2.0 million as of August 25, 2018 and a liability of $0.8 million as of August 26, 2017. The fair value is classified as Level 2 as it is corroborated based on observable market data. The asset is included in other assets and the liability is included in other non-current liabilities on the consolidated balance sheets. The change in value was predominately recorded to accumulated other comprehensive income on the consolidated balance sheets since the interest rate swap has been designated for hedge accounting.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1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non-financial assets, which includes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No impairments were recorded for non-financial assets in Fiscal 2018, 2017, and 2016.</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1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Our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 xml:space="preserve">statements, they would be classified as Level 1 in the fair value hierarchy.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information about the fair value of our long-term debt.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78"/>
        </w:trPr>
        <w:tc>
          <w:tcPr>
            <w:tcW w:w="71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91"/>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25, 2018</w:t>
            </w:r>
          </w:p>
        </w:tc>
        <w:tc>
          <w:tcPr>
            <w:tcW w:w="280" w:type="dxa"/>
            <w:vAlign w:val="bottom"/>
          </w:tcPr>
          <w:p>
            <w:pPr>
              <w:spacing w:after="0"/>
              <w:rPr>
                <w:sz w:val="24"/>
                <w:szCs w:val="24"/>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26, 2017</w:t>
            </w:r>
          </w:p>
        </w:tc>
      </w:tr>
      <w:tr>
        <w:trPr>
          <w:trHeight w:val="257"/>
        </w:trPr>
        <w:tc>
          <w:tcPr>
            <w:tcW w:w="7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26,513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16,947</w:t>
            </w:r>
          </w:p>
        </w:tc>
      </w:tr>
      <w:tr>
        <w:trPr>
          <w:trHeight w:val="260"/>
        </w:trPr>
        <w:tc>
          <w:tcPr>
            <w:tcW w:w="716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68,339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60,818</w:t>
            </w:r>
          </w:p>
        </w:tc>
      </w:tr>
      <w:tr>
        <w:trPr>
          <w:trHeight w:val="273"/>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2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139,039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99,919</w:t>
            </w:r>
          </w:p>
        </w:tc>
      </w:tr>
      <w:tr>
        <w:trPr>
          <w:trHeight w:val="247"/>
        </w:trPr>
        <w:tc>
          <w:tcPr>
            <w:tcW w:w="716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1"/>
                <w:szCs w:val="21"/>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233,891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177,684</w:t>
            </w:r>
          </w:p>
        </w:tc>
      </w:tr>
      <w:tr>
        <w:trPr>
          <w:trHeight w:val="273"/>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2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(38,763)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(35,419)</w:t>
            </w:r>
          </w:p>
        </w:tc>
      </w:tr>
      <w:tr>
        <w:trPr>
          <w:trHeight w:val="240"/>
        </w:trPr>
        <w:tc>
          <w:tcPr>
            <w:tcW w:w="7160" w:type="dxa"/>
            <w:vAlign w:val="bottom"/>
          </w:tcPr>
          <w:p>
            <w:pPr>
              <w:ind w:left="180"/>
              <w:spacing w:after="0"/>
              <w:rPr>
                <w:sz w:val="20"/>
                <w:szCs w:val="20"/>
                <w:color w:val="auto"/>
              </w:rPr>
            </w:pPr>
            <w:r>
              <w:rPr>
                <w:rFonts w:ascii="Arial" w:cs="Arial" w:eastAsia="Arial" w:hAnsi="Arial"/>
                <w:sz w:val="16"/>
                <w:szCs w:val="16"/>
                <w:color w:val="auto"/>
              </w:rPr>
              <w:t>Total inventories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195,128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142,265</w:t>
            </w:r>
          </w:p>
        </w:tc>
      </w:tr>
      <w:tr>
        <w:trPr>
          <w:trHeight w:val="20"/>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$233.9 million and</w:t>
      </w:r>
    </w:p>
    <w:p>
      <w:pPr>
        <w:spacing w:after="0" w:line="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$177.7 million of inventory at August 25, 2018 and August 26, 2017, respectively, $176.2 million and $149.8 million is valued on a LIFO basis. The remaining inventories of $57.7 million and $27.9 million at August 25, 2018 and August 26, 2017, respectively, are valued on a FIFO basis.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9"/>
                <w:szCs w:val="19"/>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25, 2018</w:t>
            </w:r>
          </w:p>
        </w:tc>
        <w:tc>
          <w:tcPr>
            <w:tcW w:w="280" w:type="dxa"/>
            <w:vAlign w:val="bottom"/>
          </w:tcPr>
          <w:p>
            <w:pPr>
              <w:spacing w:after="0"/>
              <w:rPr>
                <w:sz w:val="19"/>
                <w:szCs w:val="19"/>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26, 2017</w:t>
            </w:r>
          </w:p>
        </w:tc>
      </w:tr>
      <w:tr>
        <w:trPr>
          <w:trHeight w:val="257"/>
        </w:trPr>
        <w:tc>
          <w:tcPr>
            <w:tcW w:w="7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6,747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3,914</w:t>
            </w:r>
          </w:p>
        </w:tc>
      </w:tr>
      <w:tr>
        <w:trPr>
          <w:trHeight w:val="260"/>
        </w:trPr>
        <w:tc>
          <w:tcPr>
            <w:tcW w:w="71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94,622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73,831</w:t>
            </w:r>
          </w:p>
        </w:tc>
      </w:tr>
      <w:tr>
        <w:trPr>
          <w:trHeight w:val="280"/>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105,663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99,952</w:t>
            </w:r>
          </w:p>
        </w:tc>
      </w:tr>
      <w:tr>
        <w:trPr>
          <w:trHeight w:val="260"/>
        </w:trPr>
        <w:tc>
          <w:tcPr>
            <w:tcW w:w="7160" w:type="dxa"/>
            <w:vAlign w:val="bottom"/>
          </w:tcPr>
          <w:p>
            <w:pPr>
              <w:ind w:left="40"/>
              <w:spacing w:after="0"/>
              <w:rPr>
                <w:sz w:val="20"/>
                <w:szCs w:val="20"/>
                <w:color w:val="auto"/>
              </w:rPr>
            </w:pPr>
            <w:r>
              <w:rPr>
                <w:rFonts w:ascii="Arial" w:cs="Arial" w:eastAsia="Arial" w:hAnsi="Arial"/>
                <w:sz w:val="16"/>
                <w:szCs w:val="16"/>
                <w:color w:val="auto"/>
              </w:rPr>
              <w:t>Software</w:t>
            </w:r>
          </w:p>
        </w:tc>
        <w:tc>
          <w:tcPr>
            <w:tcW w:w="26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23,388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17,844</w:t>
            </w:r>
          </w:p>
        </w:tc>
      </w:tr>
      <w:tr>
        <w:trPr>
          <w:trHeight w:val="273"/>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2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8,837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8,993</w:t>
            </w:r>
          </w:p>
        </w:tc>
      </w:tr>
      <w:tr>
        <w:trPr>
          <w:trHeight w:val="247"/>
        </w:trPr>
        <w:tc>
          <w:tcPr>
            <w:tcW w:w="7160" w:type="dxa"/>
            <w:vAlign w:val="bottom"/>
          </w:tcPr>
          <w:p>
            <w:pPr>
              <w:ind w:left="180"/>
              <w:spacing w:after="0"/>
              <w:rPr>
                <w:sz w:val="20"/>
                <w:szCs w:val="20"/>
                <w:color w:val="auto"/>
              </w:rPr>
            </w:pPr>
            <w:r>
              <w:rPr>
                <w:rFonts w:ascii="Arial" w:cs="Arial" w:eastAsia="Arial" w:hAnsi="Arial"/>
                <w:sz w:val="16"/>
                <w:szCs w:val="16"/>
                <w:color w:val="auto"/>
              </w:rPr>
              <w:t>Total property, plant and equipment, gross</w:t>
            </w:r>
          </w:p>
        </w:tc>
        <w:tc>
          <w:tcPr>
            <w:tcW w:w="260" w:type="dxa"/>
            <w:vAlign w:val="bottom"/>
          </w:tcPr>
          <w:p>
            <w:pPr>
              <w:spacing w:after="0"/>
              <w:rPr>
                <w:sz w:val="21"/>
                <w:szCs w:val="21"/>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239,257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204,534</w:t>
            </w:r>
          </w:p>
        </w:tc>
      </w:tr>
      <w:tr>
        <w:trPr>
          <w:trHeight w:val="273"/>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(138,064)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(132,974)</w:t>
            </w:r>
          </w:p>
        </w:tc>
      </w:tr>
      <w:tr>
        <w:trPr>
          <w:trHeight w:val="240"/>
        </w:trPr>
        <w:tc>
          <w:tcPr>
            <w:tcW w:w="7160" w:type="dxa"/>
            <w:vAlign w:val="bottom"/>
          </w:tcPr>
          <w:p>
            <w:pPr>
              <w:ind w:left="180"/>
              <w:spacing w:after="0"/>
              <w:rPr>
                <w:sz w:val="20"/>
                <w:szCs w:val="20"/>
                <w:color w:val="auto"/>
              </w:rPr>
            </w:pPr>
            <w:r>
              <w:rPr>
                <w:rFonts w:ascii="Arial" w:cs="Arial" w:eastAsia="Arial" w:hAnsi="Arial"/>
                <w:sz w:val="16"/>
                <w:szCs w:val="16"/>
                <w:color w:val="auto"/>
              </w:rPr>
              <w:t>Total 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101,193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71,560</w:t>
            </w:r>
          </w:p>
        </w:tc>
      </w:tr>
      <w:tr>
        <w:trPr>
          <w:trHeight w:val="20"/>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Fiscal 2018, 2017, and 2016, depreciation charged to operations was $9.8 million, $7.3 million, and $5.7 million, respectively.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Intangible Assets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carrying amount of goodwill by segment were as follows in Fiscal 2018, 2017, and 2016, noting we have no accumulated impairment losses: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Towable</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Corporate / All Other</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25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29, 2015</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r>
      <w:tr>
        <w:trPr>
          <w:trHeight w:val="247"/>
        </w:trPr>
        <w:tc>
          <w:tcPr>
            <w:tcW w:w="5200" w:type="dxa"/>
            <w:vAlign w:val="bottom"/>
          </w:tcPr>
          <w:p>
            <w:pPr>
              <w:ind w:left="20"/>
              <w:spacing w:after="0"/>
              <w:rPr>
                <w:sz w:val="20"/>
                <w:szCs w:val="20"/>
                <w:color w:val="auto"/>
              </w:rPr>
            </w:pPr>
            <w:r>
              <w:rPr>
                <w:rFonts w:ascii="Arial" w:cs="Arial" w:eastAsia="Arial" w:hAnsi="Arial"/>
                <w:sz w:val="16"/>
                <w:szCs w:val="16"/>
                <w:color w:val="auto"/>
              </w:rPr>
              <w:t>Balances at August 27, 2016</w:t>
            </w:r>
          </w:p>
        </w:tc>
        <w:tc>
          <w:tcPr>
            <w:tcW w:w="36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1,228</w:t>
            </w:r>
          </w:p>
        </w:tc>
      </w:tr>
      <w:tr>
        <w:trPr>
          <w:trHeight w:val="280"/>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Acquisition of Grand Design</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241,500</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241,500</w:t>
            </w:r>
          </w:p>
        </w:tc>
      </w:tr>
      <w:tr>
        <w:trPr>
          <w:trHeight w:val="240"/>
        </w:trPr>
        <w:tc>
          <w:tcPr>
            <w:tcW w:w="5200" w:type="dxa"/>
            <w:vAlign w:val="bottom"/>
          </w:tcPr>
          <w:p>
            <w:pPr>
              <w:ind w:left="20"/>
              <w:spacing w:after="0"/>
              <w:rPr>
                <w:sz w:val="20"/>
                <w:szCs w:val="20"/>
                <w:color w:val="auto"/>
              </w:rPr>
            </w:pPr>
            <w:r>
              <w:rPr>
                <w:rFonts w:ascii="Arial" w:cs="Arial" w:eastAsia="Arial" w:hAnsi="Arial"/>
                <w:sz w:val="16"/>
                <w:szCs w:val="16"/>
                <w:color w:val="auto"/>
              </w:rPr>
              <w:t>Balances at August 26, 2017</w:t>
            </w:r>
          </w:p>
        </w:tc>
        <w:tc>
          <w:tcPr>
            <w:tcW w:w="3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242,728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242,728</w:t>
            </w:r>
          </w:p>
        </w:tc>
      </w:tr>
      <w:tr>
        <w:trPr>
          <w:trHeight w:val="280"/>
        </w:trPr>
        <w:tc>
          <w:tcPr>
            <w:tcW w:w="5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Grand Design purchase price adjustment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r>
      <w:tr>
        <w:trPr>
          <w:trHeight w:val="270"/>
        </w:trPr>
        <w:tc>
          <w:tcPr>
            <w:tcW w:w="5200" w:type="dxa"/>
            <w:vAlign w:val="bottom"/>
          </w:tcPr>
          <w:p>
            <w:pPr>
              <w:ind w:left="160"/>
              <w:spacing w:after="0"/>
              <w:rPr>
                <w:sz w:val="20"/>
                <w:szCs w:val="20"/>
                <w:color w:val="auto"/>
              </w:rPr>
            </w:pPr>
            <w:r>
              <w:rPr>
                <w:rFonts w:ascii="Arial" w:cs="Arial" w:eastAsia="Arial" w:hAnsi="Arial"/>
                <w:sz w:val="16"/>
                <w:szCs w:val="16"/>
                <w:color w:val="auto"/>
              </w:rPr>
              <w:t>Acquisition of Chris-Craft</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29,686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29,686</w:t>
            </w:r>
          </w:p>
        </w:tc>
      </w:tr>
      <w:tr>
        <w:trPr>
          <w:trHeight w:val="23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August 25, 2018</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244,684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274,370</w:t>
            </w:r>
          </w:p>
        </w:tc>
      </w:tr>
      <w:tr>
        <w:trPr>
          <w:trHeight w:val="20"/>
        </w:trPr>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for additional information on the acquisitions of Grand Design and Chris-Craft.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of accumulated amortization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August 25, 2018</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26,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98"/>
        </w:trPr>
        <w:tc>
          <w:tcPr>
            <w:tcW w:w="28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Weighted</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9"/>
        </w:trPr>
        <w:tc>
          <w:tcPr>
            <w:tcW w:w="288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 Life-</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Cost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Indefinite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177,250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Indefinite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color w:val="auto"/>
              </w:rPr>
              <w:t>Dealer network</w:t>
            </w: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95,581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12,328</w:t>
            </w:r>
          </w:p>
        </w:tc>
        <w:tc>
          <w:tcPr>
            <w:tcW w:w="1240" w:type="dxa"/>
            <w:vAlign w:val="bottom"/>
            <w:gridSpan w:val="2"/>
          </w:tcPr>
          <w:p>
            <w:pPr>
              <w:jc w:val="right"/>
              <w:ind w:right="29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80,500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5,348</w:t>
            </w: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Backlog</w:t>
            </w:r>
          </w:p>
        </w:tc>
        <w:tc>
          <w:tcPr>
            <w:tcW w:w="11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19,135</w:t>
            </w:r>
          </w:p>
        </w:tc>
        <w:tc>
          <w:tcPr>
            <w:tcW w:w="124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18,000</w:t>
            </w: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color w:val="auto"/>
              </w:rPr>
              <w:t>Non-compete agreements</w:t>
            </w: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2,084</w:t>
            </w:r>
          </w:p>
        </w:tc>
        <w:tc>
          <w:tcPr>
            <w:tcW w:w="1240" w:type="dxa"/>
            <w:vAlign w:val="bottom"/>
            <w:gridSpan w:val="2"/>
          </w:tcPr>
          <w:p>
            <w:pPr>
              <w:jc w:val="right"/>
              <w:ind w:right="29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1,116</w:t>
            </w:r>
          </w:p>
        </w:tc>
      </w:tr>
      <w:tr>
        <w:trPr>
          <w:trHeight w:val="273"/>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interest-favorable</w:t>
            </w:r>
          </w:p>
        </w:tc>
        <w:tc>
          <w:tcPr>
            <w:tcW w:w="11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24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80"/>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gross</w:t>
            </w: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299,705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33,988</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253,100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24,660</w:t>
            </w:r>
          </w:p>
        </w:tc>
      </w:tr>
      <w:tr>
        <w:trPr>
          <w:trHeight w:val="24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33,988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0"/>
        </w:trPr>
        <w:tc>
          <w:tcPr>
            <w:tcW w:w="2880" w:type="dxa"/>
            <w:vAlign w:val="bottom"/>
          </w:tcPr>
          <w:p>
            <w:pPr>
              <w:ind w:left="40"/>
              <w:spacing w:after="0"/>
              <w:rPr>
                <w:sz w:val="20"/>
                <w:szCs w:val="20"/>
                <w:color w:val="auto"/>
              </w:rPr>
            </w:pPr>
            <w:r>
              <w:rPr>
                <w:rFonts w:ascii="Arial" w:cs="Arial" w:eastAsia="Arial" w:hAnsi="Arial"/>
                <w:sz w:val="16"/>
                <w:szCs w:val="16"/>
                <w:color w:val="auto"/>
              </w:rPr>
              <w:t>Total intangible assets, net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265,717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228,440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2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For Fiscal 2018 and 2017, amortization of intangible assets charged to operations was $9.3 million and $24.7 million, respectively. The weighted average remaining amortization period for intangible assets as of August 25, 2018 was approximately 11.4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20"/>
                <w:szCs w:val="20"/>
                <w:color w:val="auto"/>
              </w:rPr>
            </w:pPr>
            <w:r>
              <w:rPr>
                <w:rFonts w:ascii="Arial" w:cs="Arial" w:eastAsia="Arial" w:hAnsi="Arial"/>
                <w:sz w:val="16"/>
                <w:szCs w:val="16"/>
                <w:color w:val="auto"/>
              </w:rPr>
              <w:t>Remaining estimated aggregate annual amortization expense by fiscal year is as follows:</w:t>
            </w: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78"/>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Amount</w:t>
            </w:r>
          </w:p>
        </w:tc>
      </w:t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9,487</w:t>
            </w:r>
          </w:p>
        </w:tc>
      </w:tr>
      <w:tr>
        <w:trPr>
          <w:trHeight w:val="233"/>
        </w:trPr>
        <w:tc>
          <w:tcPr>
            <w:tcW w:w="9480" w:type="dxa"/>
            <w:vAlign w:val="bottom"/>
          </w:tcPr>
          <w:p>
            <w:pPr>
              <w:ind w:left="40"/>
              <w:spacing w:after="0"/>
              <w:rPr>
                <w:sz w:val="20"/>
                <w:szCs w:val="20"/>
                <w:color w:val="auto"/>
              </w:rPr>
            </w:pPr>
            <w:r>
              <w:rPr>
                <w:rFonts w:ascii="Arial" w:cs="Arial" w:eastAsia="Arial" w:hAnsi="Arial"/>
                <w:sz w:val="16"/>
                <w:szCs w:val="16"/>
                <w:color w:val="auto"/>
              </w:rPr>
              <w:t>Fiscal 2020</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9,032</w:t>
            </w:r>
          </w:p>
        </w:tc>
      </w:tr>
      <w:tr>
        <w:trPr>
          <w:trHeight w:val="25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2021</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9,032</w:t>
            </w:r>
          </w:p>
        </w:tc>
      </w:tr>
      <w:tr>
        <w:trPr>
          <w:trHeight w:val="233"/>
        </w:trPr>
        <w:tc>
          <w:tcPr>
            <w:tcW w:w="9480" w:type="dxa"/>
            <w:vAlign w:val="bottom"/>
          </w:tcPr>
          <w:p>
            <w:pPr>
              <w:ind w:left="40"/>
              <w:spacing w:after="0"/>
              <w:rPr>
                <w:sz w:val="20"/>
                <w:szCs w:val="20"/>
                <w:color w:val="auto"/>
              </w:rPr>
            </w:pPr>
            <w:r>
              <w:rPr>
                <w:rFonts w:ascii="Arial" w:cs="Arial" w:eastAsia="Arial" w:hAnsi="Arial"/>
                <w:sz w:val="16"/>
                <w:szCs w:val="16"/>
                <w:color w:val="auto"/>
              </w:rPr>
              <w:t>Fiscal 2022</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8,405</w:t>
            </w:r>
          </w:p>
        </w:tc>
      </w:tr>
      <w:tr>
        <w:trPr>
          <w:trHeight w:val="25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2023</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8,197</w:t>
            </w:r>
          </w:p>
        </w:tc>
      </w:tr>
      <w:tr>
        <w:trPr>
          <w:trHeight w:val="23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44,314</w:t>
            </w:r>
          </w:p>
        </w:tc>
      </w:tr>
      <w:tr>
        <w:trPr>
          <w:trHeight w:val="24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amortization expense remaining</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88,467</w:t>
            </w:r>
          </w:p>
        </w:tc>
      </w:tr>
      <w:tr>
        <w:trPr>
          <w:trHeight w:val="20"/>
        </w:trPr>
        <w:tc>
          <w:tcPr>
            <w:tcW w:w="9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to help protect the reputation of our products and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7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4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54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14"/>
        </w:trPr>
        <w:tc>
          <w:tcPr>
            <w:tcW w:w="7580" w:type="dxa"/>
            <w:vAlign w:val="bottom"/>
            <w:gridSpan w:val="5"/>
          </w:tcPr>
          <w:p>
            <w:pPr>
              <w:spacing w:after="0"/>
              <w:rPr>
                <w:sz w:val="20"/>
                <w:szCs w:val="20"/>
                <w:color w:val="auto"/>
              </w:rPr>
            </w:pPr>
            <w:r>
              <w:rPr>
                <w:rFonts w:ascii="Arial" w:cs="Arial" w:eastAsia="Arial" w:hAnsi="Arial"/>
                <w:sz w:val="16"/>
                <w:szCs w:val="16"/>
                <w:color w:val="auto"/>
              </w:rPr>
              <w:t>Changes in our product warranty liability during Fiscal 2018, 2017, and 2016 are as follows: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54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4"/>
                <w:szCs w:val="24"/>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25, 2018</w:t>
            </w:r>
          </w:p>
        </w:tc>
        <w:tc>
          <w:tcPr>
            <w:tcW w:w="200" w:type="dxa"/>
            <w:vAlign w:val="bottom"/>
          </w:tcPr>
          <w:p>
            <w:pPr>
              <w:spacing w:after="0"/>
              <w:rPr>
                <w:sz w:val="24"/>
                <w:szCs w:val="24"/>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26, 2017</w:t>
            </w:r>
          </w:p>
        </w:tc>
        <w:tc>
          <w:tcPr>
            <w:tcW w:w="420" w:type="dxa"/>
            <w:vAlign w:val="bottom"/>
          </w:tcPr>
          <w:p>
            <w:pPr>
              <w:spacing w:after="0"/>
              <w:rPr>
                <w:sz w:val="24"/>
                <w:szCs w:val="24"/>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 2016</w:t>
            </w:r>
          </w:p>
        </w:tc>
      </w:tr>
      <w:tr>
        <w:trPr>
          <w:trHeight w:val="270"/>
        </w:trPr>
        <w:tc>
          <w:tcPr>
            <w:tcW w:w="54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30,805</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12,412</w:t>
            </w:r>
          </w:p>
        </w:tc>
        <w:tc>
          <w:tcPr>
            <w:tcW w:w="4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11,254</w:t>
            </w:r>
          </w:p>
        </w:tc>
      </w:tr>
      <w:tr>
        <w:trPr>
          <w:trHeight w:val="270"/>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Business acquisitions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12,904</w:t>
            </w:r>
          </w:p>
        </w:tc>
        <w:tc>
          <w:tcPr>
            <w:tcW w:w="420" w:type="dxa"/>
            <w:vAlign w:val="bottom"/>
          </w:tcPr>
          <w:p>
            <w:pPr>
              <w:spacing w:after="0"/>
              <w:rPr>
                <w:sz w:val="23"/>
                <w:szCs w:val="23"/>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70"/>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w:t>
            </w: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42,377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31,631</w:t>
            </w:r>
          </w:p>
        </w:tc>
        <w:tc>
          <w:tcPr>
            <w:tcW w:w="4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16,503</w:t>
            </w:r>
          </w:p>
        </w:tc>
      </w:tr>
      <w:tr>
        <w:trPr>
          <w:trHeight w:val="264"/>
        </w:trPr>
        <w:tc>
          <w:tcPr>
            <w:tcW w:w="5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Claims paid</w:t>
            </w: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(33,295)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(26,142)</w:t>
            </w:r>
          </w:p>
        </w:tc>
        <w:tc>
          <w:tcPr>
            <w:tcW w:w="4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(15,345)</w:t>
            </w:r>
          </w:p>
        </w:tc>
      </w:tr>
      <w:tr>
        <w:trPr>
          <w:trHeight w:val="267"/>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40,498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30,805</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12,412</w:t>
            </w:r>
          </w:p>
        </w:tc>
      </w:tr>
      <w:tr>
        <w:trPr>
          <w:trHeight w:val="20"/>
        </w:trPr>
        <w:tc>
          <w:tcPr>
            <w:tcW w:w="12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for additional information on the acquisitions of Grand Design and Chris-Craft.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20"/>
                <w:szCs w:val="20"/>
                <w:color w:val="auto"/>
              </w:rPr>
            </w:pPr>
            <w:r>
              <w:rPr>
                <w:rFonts w:ascii="Arial" w:cs="Arial" w:eastAsia="Arial" w:hAnsi="Arial"/>
                <w:sz w:val="16"/>
                <w:szCs w:val="16"/>
                <w:b w:val="1"/>
                <w:bCs w:val="1"/>
                <w:color w:val="auto"/>
              </w:rPr>
              <w:t>Note 9: Long-Term Debt</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78"/>
        </w:trPr>
        <w:tc>
          <w:tcPr>
            <w:tcW w:w="7160" w:type="dxa"/>
            <w:vAlign w:val="bottom"/>
          </w:tcPr>
          <w:p>
            <w:pPr>
              <w:spacing w:after="0"/>
              <w:rPr>
                <w:sz w:val="20"/>
                <w:szCs w:val="20"/>
                <w:color w:val="auto"/>
              </w:rPr>
            </w:pPr>
            <w:r>
              <w:rPr>
                <w:rFonts w:ascii="Arial" w:cs="Arial" w:eastAsia="Arial" w:hAnsi="Arial"/>
                <w:sz w:val="16"/>
                <w:szCs w:val="16"/>
                <w:color w:val="auto"/>
              </w:rPr>
              <w:t>The components of long-term debt are as follows: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91"/>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 2018</w:t>
            </w:r>
          </w:p>
        </w:tc>
        <w:tc>
          <w:tcPr>
            <w:tcW w:w="280" w:type="dxa"/>
            <w:vAlign w:val="bottom"/>
          </w:tcPr>
          <w:p>
            <w:pPr>
              <w:spacing w:after="0"/>
              <w:rPr>
                <w:sz w:val="24"/>
                <w:szCs w:val="24"/>
                <w:color w:val="auto"/>
              </w:rPr>
            </w:pPr>
          </w:p>
        </w:tc>
        <w:tc>
          <w:tcPr>
            <w:tcW w:w="1900" w:type="dxa"/>
            <w:vAlign w:val="bottom"/>
          </w:tcPr>
          <w:p>
            <w:pPr>
              <w:jc w:val="right"/>
              <w:ind w:right="399"/>
              <w:spacing w:after="0"/>
              <w:rPr>
                <w:sz w:val="20"/>
                <w:szCs w:val="20"/>
                <w:color w:val="auto"/>
              </w:rPr>
            </w:pPr>
            <w:r>
              <w:rPr>
                <w:rFonts w:ascii="Arial" w:cs="Arial" w:eastAsia="Arial" w:hAnsi="Arial"/>
                <w:sz w:val="16"/>
                <w:szCs w:val="16"/>
                <w:b w:val="1"/>
                <w:bCs w:val="1"/>
                <w:color w:val="auto"/>
              </w:rPr>
              <w:t>August 26, 2017</w:t>
            </w:r>
          </w:p>
        </w:tc>
      </w:tr>
      <w:tr>
        <w:trPr>
          <w:trHeight w:val="257"/>
        </w:trPr>
        <w:tc>
          <w:tcPr>
            <w:tcW w:w="7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38,532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r>
      <w:tr>
        <w:trPr>
          <w:trHeight w:val="264"/>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Term Loan</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260,000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284,000</w:t>
            </w:r>
          </w:p>
        </w:tc>
      </w:tr>
      <w:tr>
        <w:trPr>
          <w:trHeight w:val="257"/>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Gross long-term debt, excluding issuance costs</w:t>
            </w: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298,532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284,000</w:t>
            </w:r>
          </w:p>
        </w:tc>
      </w:tr>
      <w:tr>
        <w:trPr>
          <w:trHeight w:val="264"/>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Debt issuance cost, net</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(7,091)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(9,424)</w:t>
            </w:r>
          </w:p>
        </w:tc>
      </w:tr>
      <w:tr>
        <w:trPr>
          <w:trHeight w:val="257"/>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long-term debt</w:t>
            </w: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291,441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274,576</w:t>
            </w:r>
          </w:p>
        </w:tc>
      </w:tr>
      <w:tr>
        <w:trPr>
          <w:trHeight w:val="264"/>
        </w:trPr>
        <w:tc>
          <w:tcPr>
            <w:tcW w:w="7160" w:type="dxa"/>
            <w:vAlign w:val="bottom"/>
          </w:tcPr>
          <w:p>
            <w:pPr>
              <w:ind w:left="40"/>
              <w:spacing w:after="0"/>
              <w:rPr>
                <w:sz w:val="20"/>
                <w:szCs w:val="20"/>
                <w:color w:val="auto"/>
              </w:rPr>
            </w:pPr>
            <w:r>
              <w:rPr>
                <w:rFonts w:ascii="Arial" w:cs="Arial" w:eastAsia="Arial" w:hAnsi="Arial"/>
                <w:sz w:val="16"/>
                <w:szCs w:val="16"/>
                <w:color w:val="auto"/>
              </w:rPr>
              <w:t>Less: current maturities</w:t>
            </w:r>
          </w:p>
        </w:tc>
        <w:tc>
          <w:tcPr>
            <w:tcW w:w="240" w:type="dxa"/>
            <w:vAlign w:val="bottom"/>
          </w:tcPr>
          <w:p>
            <w:pPr>
              <w:spacing w:after="0"/>
              <w:rPr>
                <w:sz w:val="22"/>
                <w:szCs w:val="22"/>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900" w:type="dxa"/>
            <w:vAlign w:val="bottom"/>
          </w:tcPr>
          <w:p>
            <w:pPr>
              <w:jc w:val="right"/>
              <w:ind w:right="399"/>
              <w:spacing w:after="0"/>
              <w:rPr>
                <w:sz w:val="20"/>
                <w:szCs w:val="20"/>
                <w:color w:val="auto"/>
              </w:rPr>
            </w:pPr>
            <w:r>
              <w:rPr>
                <w:rFonts w:ascii="Arial" w:cs="Arial" w:eastAsia="Arial" w:hAnsi="Arial"/>
                <w:sz w:val="16"/>
                <w:szCs w:val="16"/>
                <w:color w:val="auto"/>
              </w:rPr>
              <w:t>(2,850)</w:t>
            </w:r>
          </w:p>
        </w:tc>
      </w:tr>
      <w:tr>
        <w:trPr>
          <w:trHeight w:val="240"/>
        </w:trPr>
        <w:tc>
          <w:tcPr>
            <w:tcW w:w="7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 less current maturities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291,441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271,726</w:t>
            </w:r>
          </w:p>
        </w:tc>
      </w:tr>
      <w:tr>
        <w:trPr>
          <w:trHeight w:val="20"/>
        </w:trPr>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On November 8, 2016, we entered into a $125.0 million credit agreement ("ABL") and a $300.0 million loan agreement ("Term Loan") with JPMorgan Chase Bank, N.A. ("Credit Agreement"). On December 8, 2017, we amended our Credit Agreement, which decreased the interest rate spread by 1.0% on the Term Loan and 0.25% on the ABL.</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Under the ABL, we have a five year credit facility on a revolving basis, subject to availability under a borrowing base consisting of eligible accounts receivable and eligible inventory. The ABL is available for issuance of letters of credit to a specified limit of $10.0 million. We pay a commitment fee in the range of 0.25% - 0.375% on the amount of facility available, but unused. We can elect to base the interest rate on various base rates plus specific spreads depending on the amount of borrowings outstanding. We currently pay interest on ABL borrowings at a floating rate based upon LIBOR plus 1.25%.</w:t>
      </w:r>
    </w:p>
    <w:p>
      <w:pPr>
        <w:spacing w:after="0" w:line="17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Under the Term Loan, we can elect to base the interest rate on various base rates plus specific spreads. The interest rate as of August 25, 2018 was based on LIBOR plus 2.32%. The Term Loan agreement currently requires quarterly payments in the amount of $2.75 million until December 31, 2019 at which time the quarterly payments change to $3.75 million, with all amounts then outstanding due on November 8, 2023. We have made voluntary prepayments that have extended the opportunity to defer quarterly payments, at our option, until December 31, 2019. There are mandatory prepayments for proceeds of new debt, sale of significant assets or subsidiaries, and excess cash flow as those terms are defined in the Term Loan. Incremental term loans of up to $125.0 million are available if certain financial ratios and other conditions are met. The amount that may be borrowed under the ABL was increased to $165.0 million as of September 21, 2018.</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contains certain financial covenants. As of August 25, 2018, we are in compliance with all financial covenants of the Credit Agreement.</w:t>
      </w:r>
    </w:p>
    <w:p>
      <w:pPr>
        <w:spacing w:after="0" w:line="19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substantially all of our assets, except minor excluded assets.</w:t>
      </w:r>
    </w:p>
    <w:p>
      <w:pPr>
        <w:spacing w:after="0" w:line="169" w:lineRule="exact"/>
        <w:rPr>
          <w:sz w:val="20"/>
          <w:szCs w:val="20"/>
          <w:color w:val="auto"/>
        </w:rPr>
      </w:pPr>
    </w:p>
    <w:p>
      <w:pPr>
        <w:ind w:right="340"/>
        <w:spacing w:after="0" w:line="246" w:lineRule="auto"/>
        <w:rPr>
          <w:sz w:val="20"/>
          <w:szCs w:val="20"/>
          <w:color w:val="auto"/>
        </w:rPr>
      </w:pPr>
      <w:r>
        <w:rPr>
          <w:rFonts w:ascii="Arial" w:cs="Arial" w:eastAsia="Arial" w:hAnsi="Arial"/>
          <w:sz w:val="16"/>
          <w:szCs w:val="16"/>
          <w:color w:val="auto"/>
        </w:rPr>
        <w:t>We amortize debt issuance costs on a straight-line basis (which is not materially different from an effective interest method) over the term of the associated debt agreement. If early principal payments are made on the Term Loan, a proportional amount of the unamortized issuance costs will be expensed. As</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of August 25, 2018, we incurred $1.1 million of costs related to our revolving Credit Agreement that are being amortized on a straight-line basis over the five year term of the agreement. We also incurred $10.5 million of costs as of August 25, 2018 related to the Term Loan that are being amortized on a straight-line basis over the seven year term of the agreement. Unamortized debt issuance costs of $0.6 million related to the voluntary prepayment on the Term Loan were expensed in Fiscal 2018.</w:t>
      </w:r>
    </w:p>
    <w:p>
      <w:pPr>
        <w:spacing w:after="0" w:line="17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fair value of long-term debt, excluding debt issuance costs, approximated the carrying values as of August 25, 2018 and August 26, 2017 as interest is at variable market rates.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18"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96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60"/>
        </w:trPr>
        <w:tc>
          <w:tcPr>
            <w:tcW w:w="9600" w:type="dxa"/>
            <w:vAlign w:val="bottom"/>
            <w:gridSpan w:val="2"/>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8"/>
        </w:trPr>
        <w:tc>
          <w:tcPr>
            <w:tcW w:w="96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r>
      <w:tr>
        <w:trPr>
          <w:trHeight w:val="24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2019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Fiscal 2020</w:t>
            </w:r>
          </w:p>
        </w:tc>
        <w:tc>
          <w:tcPr>
            <w:tcW w:w="3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10,250</w:t>
            </w:r>
          </w:p>
        </w:tc>
      </w:tr>
      <w:tr>
        <w:trPr>
          <w:trHeight w:val="253"/>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2021</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33"/>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Fiscal 2022</w:t>
            </w:r>
          </w:p>
        </w:tc>
        <w:tc>
          <w:tcPr>
            <w:tcW w:w="3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46"/>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2023</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219,750</w:t>
            </w:r>
          </w:p>
        </w:tc>
      </w:tr>
      <w:tr>
        <w:trPr>
          <w:trHeight w:val="240"/>
        </w:trPr>
        <w:tc>
          <w:tcPr>
            <w:tcW w:w="9600" w:type="dxa"/>
            <w:vAlign w:val="bottom"/>
            <w:gridSpan w:val="2"/>
          </w:tcPr>
          <w:p>
            <w:pPr>
              <w:ind w:left="180"/>
              <w:spacing w:after="0"/>
              <w:rPr>
                <w:sz w:val="20"/>
                <w:szCs w:val="20"/>
                <w:color w:val="auto"/>
              </w:rPr>
            </w:pPr>
            <w:r>
              <w:rPr>
                <w:rFonts w:ascii="Arial" w:cs="Arial" w:eastAsia="Arial" w:hAnsi="Arial"/>
                <w:sz w:val="16"/>
                <w:szCs w:val="16"/>
                <w:color w:val="auto"/>
              </w:rPr>
              <w:t>Total long-term debt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260,000</w:t>
            </w:r>
          </w:p>
        </w:tc>
      </w:tr>
      <w:tr>
        <w:trPr>
          <w:trHeight w:val="20"/>
        </w:trPr>
        <w:tc>
          <w:tcPr>
            <w:tcW w:w="12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78"/>
        </w:trPr>
        <w:tc>
          <w:tcPr>
            <w:tcW w:w="7240" w:type="dxa"/>
            <w:vAlign w:val="bottom"/>
            <w:gridSpan w:val="2"/>
          </w:tcPr>
          <w:p>
            <w:pPr>
              <w:spacing w:after="0"/>
              <w:rPr>
                <w:sz w:val="20"/>
                <w:szCs w:val="20"/>
                <w:color w:val="auto"/>
              </w:rPr>
            </w:pPr>
            <w:r>
              <w:rPr>
                <w:rFonts w:ascii="Arial" w:cs="Arial" w:eastAsia="Arial" w:hAnsi="Arial"/>
                <w:sz w:val="16"/>
                <w:szCs w:val="16"/>
                <w:color w:val="auto"/>
              </w:rPr>
              <w:t>Deferred compensation benefits are as follows: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91"/>
        </w:trPr>
        <w:tc>
          <w:tcPr>
            <w:tcW w:w="260" w:type="dxa"/>
            <w:vAlign w:val="bottom"/>
          </w:tcPr>
          <w:p>
            <w:pPr>
              <w:spacing w:after="0"/>
              <w:rPr>
                <w:sz w:val="24"/>
                <w:szCs w:val="24"/>
                <w:color w:val="auto"/>
              </w:rPr>
            </w:pPr>
          </w:p>
        </w:tc>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4"/>
                <w:szCs w:val="24"/>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25, 2018</w:t>
            </w:r>
          </w:p>
        </w:tc>
        <w:tc>
          <w:tcPr>
            <w:tcW w:w="260" w:type="dxa"/>
            <w:vAlign w:val="bottom"/>
          </w:tcPr>
          <w:p>
            <w:pPr>
              <w:spacing w:after="0"/>
              <w:rPr>
                <w:sz w:val="24"/>
                <w:szCs w:val="24"/>
                <w:color w:val="auto"/>
              </w:rPr>
            </w:pP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26, 2017</w:t>
            </w:r>
          </w:p>
        </w:tc>
      </w:tr>
      <w:tr>
        <w:trPr>
          <w:trHeight w:val="257"/>
        </w:trPr>
        <w:tc>
          <w:tcPr>
            <w:tcW w:w="260" w:type="dxa"/>
            <w:vAlign w:val="bottom"/>
          </w:tcPr>
          <w:p>
            <w:pPr>
              <w:spacing w:after="0"/>
              <w:rPr>
                <w:sz w:val="22"/>
                <w:szCs w:val="22"/>
                <w:color w:val="auto"/>
              </w:rPr>
            </w:pPr>
          </w:p>
        </w:tc>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14,831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16,476</w:t>
            </w:r>
          </w:p>
        </w:tc>
      </w:tr>
      <w:tr>
        <w:trPr>
          <w:trHeight w:val="260"/>
        </w:trPr>
        <w:tc>
          <w:tcPr>
            <w:tcW w:w="260" w:type="dxa"/>
            <w:vAlign w:val="bottom"/>
          </w:tcPr>
          <w:p>
            <w:pPr>
              <w:spacing w:after="0"/>
              <w:rPr>
                <w:sz w:val="22"/>
                <w:szCs w:val="22"/>
                <w:color w:val="auto"/>
              </w:rPr>
            </w:pPr>
          </w:p>
        </w:tc>
        <w:tc>
          <w:tcPr>
            <w:tcW w:w="698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2,534</w:t>
            </w:r>
          </w:p>
        </w:tc>
      </w:tr>
      <w:tr>
        <w:trPr>
          <w:trHeight w:val="280"/>
        </w:trPr>
        <w:tc>
          <w:tcPr>
            <w:tcW w:w="260" w:type="dxa"/>
            <w:vAlign w:val="bottom"/>
          </w:tcPr>
          <w:p>
            <w:pPr>
              <w:spacing w:after="0"/>
              <w:rPr>
                <w:sz w:val="24"/>
                <w:szCs w:val="24"/>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plan</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1,498</w:t>
            </w:r>
          </w:p>
        </w:tc>
      </w:tr>
      <w:tr>
        <w:trPr>
          <w:trHeight w:val="260"/>
        </w:trPr>
        <w:tc>
          <w:tcPr>
            <w:tcW w:w="260" w:type="dxa"/>
            <w:vAlign w:val="bottom"/>
          </w:tcPr>
          <w:p>
            <w:pPr>
              <w:spacing w:after="0"/>
              <w:rPr>
                <w:sz w:val="22"/>
                <w:szCs w:val="22"/>
                <w:color w:val="auto"/>
              </w:rPr>
            </w:pPr>
          </w:p>
        </w:tc>
        <w:tc>
          <w:tcPr>
            <w:tcW w:w="6980" w:type="dxa"/>
            <w:vAlign w:val="bottom"/>
          </w:tcPr>
          <w:p>
            <w:pPr>
              <w:ind w:left="20"/>
              <w:spacing w:after="0"/>
              <w:rPr>
                <w:sz w:val="20"/>
                <w:szCs w:val="20"/>
                <w:color w:val="auto"/>
              </w:rPr>
            </w:pPr>
            <w:r>
              <w:rPr>
                <w:rFonts w:ascii="Arial" w:cs="Arial" w:eastAsia="Arial" w:hAnsi="Arial"/>
                <w:sz w:val="16"/>
                <w:szCs w:val="16"/>
                <w:color w:val="auto"/>
              </w:rPr>
              <w:t>Executive deferred compensation plan</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447</w:t>
            </w:r>
          </w:p>
        </w:tc>
      </w:tr>
      <w:tr>
        <w:trPr>
          <w:trHeight w:val="273"/>
        </w:trPr>
        <w:tc>
          <w:tcPr>
            <w:tcW w:w="260" w:type="dxa"/>
            <w:vAlign w:val="bottom"/>
          </w:tcPr>
          <w:p>
            <w:pPr>
              <w:spacing w:after="0"/>
              <w:rPr>
                <w:sz w:val="23"/>
                <w:szCs w:val="23"/>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Officer stock-based compensation</w:t>
            </w: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1,528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1,664</w:t>
            </w:r>
          </w:p>
        </w:tc>
      </w:tr>
      <w:tr>
        <w:trPr>
          <w:trHeight w:val="247"/>
        </w:trPr>
        <w:tc>
          <w:tcPr>
            <w:tcW w:w="260" w:type="dxa"/>
            <w:vAlign w:val="bottom"/>
          </w:tcPr>
          <w:p>
            <w:pPr>
              <w:spacing w:after="0"/>
              <w:rPr>
                <w:sz w:val="21"/>
                <w:szCs w:val="21"/>
                <w:color w:val="auto"/>
              </w:rPr>
            </w:pPr>
          </w:p>
        </w:tc>
        <w:tc>
          <w:tcPr>
            <w:tcW w:w="6980" w:type="dxa"/>
            <w:vAlign w:val="bottom"/>
          </w:tcPr>
          <w:p>
            <w:pPr>
              <w:ind w:left="160"/>
              <w:spacing w:after="0"/>
              <w:rPr>
                <w:sz w:val="20"/>
                <w:szCs w:val="20"/>
                <w:color w:val="auto"/>
              </w:rPr>
            </w:pPr>
            <w:r>
              <w:rPr>
                <w:rFonts w:ascii="Arial" w:cs="Arial" w:eastAsia="Arial" w:hAnsi="Arial"/>
                <w:sz w:val="16"/>
                <w:szCs w:val="16"/>
                <w:color w:val="auto"/>
              </w:rPr>
              <w:t>Total deferred compensation benefits</w:t>
            </w: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20,024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22,619</w:t>
            </w:r>
          </w:p>
        </w:tc>
      </w:tr>
      <w:tr>
        <w:trPr>
          <w:trHeight w:val="280"/>
        </w:trPr>
        <w:tc>
          <w:tcPr>
            <w:tcW w:w="260" w:type="dxa"/>
            <w:vAlign w:val="bottom"/>
          </w:tcPr>
          <w:p>
            <w:pPr>
              <w:spacing w:after="0"/>
              <w:rPr>
                <w:sz w:val="24"/>
                <w:szCs w:val="24"/>
                <w:color w:val="auto"/>
              </w:rPr>
            </w:pP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(4,742)</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(3,349)</w:t>
            </w:r>
          </w:p>
        </w:tc>
      </w:tr>
      <w:tr>
        <w:trPr>
          <w:trHeight w:val="234"/>
        </w:trPr>
        <w:tc>
          <w:tcPr>
            <w:tcW w:w="260" w:type="dxa"/>
            <w:vAlign w:val="bottom"/>
          </w:tcPr>
          <w:p>
            <w:pPr>
              <w:spacing w:after="0"/>
              <w:rPr>
                <w:sz w:val="20"/>
                <w:szCs w:val="20"/>
                <w:color w:val="auto"/>
              </w:rPr>
            </w:pPr>
          </w:p>
        </w:tc>
        <w:tc>
          <w:tcPr>
            <w:tcW w:w="6980" w:type="dxa"/>
            <w:vAlign w:val="bottom"/>
          </w:tcPr>
          <w:p>
            <w:pPr>
              <w:ind w:left="160"/>
              <w:spacing w:after="0"/>
              <w:rPr>
                <w:sz w:val="20"/>
                <w:szCs w:val="20"/>
                <w:color w:val="auto"/>
              </w:rPr>
            </w:pPr>
            <w:r>
              <w:rPr>
                <w:rFonts w:ascii="Arial" w:cs="Arial" w:eastAsia="Arial" w:hAnsi="Arial"/>
                <w:sz w:val="16"/>
                <w:szCs w:val="16"/>
                <w:color w:val="auto"/>
              </w:rPr>
              <w:t>Long-term deferred compensation benefits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15,282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19,270</w:t>
            </w:r>
          </w:p>
        </w:tc>
      </w:tr>
      <w:tr>
        <w:trPr>
          <w:trHeight w:val="20"/>
        </w:trPr>
        <w:tc>
          <w:tcPr>
            <w:tcW w:w="2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Included in accrued compensation in the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1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Historically, we provided certain health care and other benefits for retired employees hired before April 1, 2001, who had fulfilled eligibility requirements at age 55 with 15 years of continuous service. During the first quarter of Fiscal 2017, we announced the termination of the remaining postretirement health care benefits to all participants. As of January 1, 2017, postretirement health care benefits were discontinued.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Pr>
          <w:p>
            <w:pPr>
              <w:spacing w:after="0"/>
              <w:rPr>
                <w:sz w:val="20"/>
                <w:szCs w:val="20"/>
                <w:color w:val="auto"/>
              </w:rPr>
            </w:pPr>
            <w:r>
              <w:rPr>
                <w:rFonts w:ascii="Arial" w:cs="Arial" w:eastAsia="Arial" w:hAnsi="Arial"/>
                <w:sz w:val="16"/>
                <w:szCs w:val="16"/>
                <w:color w:val="auto"/>
              </w:rPr>
              <w:t>Changes in our postretirement health care liability were as follows:</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August 26, 2017</w:t>
            </w:r>
          </w:p>
        </w:tc>
        <w:tc>
          <w:tcPr>
            <w:tcW w:w="0" w:type="dxa"/>
            <w:vAlign w:val="bottom"/>
          </w:tcPr>
          <w:p>
            <w:pPr>
              <w:spacing w:after="0"/>
              <w:rPr>
                <w:sz w:val="1"/>
                <w:szCs w:val="1"/>
                <w:color w:val="auto"/>
              </w:rPr>
            </w:pPr>
          </w:p>
        </w:tc>
      </w:tr>
      <w:tr>
        <w:trPr>
          <w:trHeight w:val="243"/>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6,346</w:t>
            </w:r>
          </w:p>
        </w:tc>
        <w:tc>
          <w:tcPr>
            <w:tcW w:w="0" w:type="dxa"/>
            <w:vAlign w:val="bottom"/>
          </w:tcPr>
          <w:p>
            <w:pPr>
              <w:spacing w:after="0"/>
              <w:rPr>
                <w:sz w:val="1"/>
                <w:szCs w:val="1"/>
                <w:color w:val="auto"/>
              </w:rPr>
            </w:pPr>
          </w:p>
        </w:tc>
      </w:tr>
      <w:tr>
        <w:trPr>
          <w:trHeight w:val="233"/>
        </w:trPr>
        <w:tc>
          <w:tcPr>
            <w:tcW w:w="7160" w:type="dxa"/>
            <w:vAlign w:val="bottom"/>
          </w:tcPr>
          <w:p>
            <w:pPr>
              <w:ind w:left="18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3"/>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Service cost</w:t>
            </w:r>
          </w:p>
        </w:tc>
        <w:tc>
          <w:tcPr>
            <w:tcW w:w="2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3"/>
        </w:trPr>
        <w:tc>
          <w:tcPr>
            <w:tcW w:w="7160" w:type="dxa"/>
            <w:vAlign w:val="bottom"/>
          </w:tcPr>
          <w:p>
            <w:pPr>
              <w:ind w:left="180"/>
              <w:spacing w:after="0"/>
              <w:rPr>
                <w:sz w:val="20"/>
                <w:szCs w:val="20"/>
                <w:color w:val="auto"/>
              </w:rPr>
            </w:pPr>
            <w:r>
              <w:rPr>
                <w:rFonts w:ascii="Arial" w:cs="Arial" w:eastAsia="Arial" w:hAnsi="Arial"/>
                <w:sz w:val="16"/>
                <w:szCs w:val="16"/>
                <w:color w:val="auto"/>
              </w:rPr>
              <w:t>Net benefits paid</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29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6"/>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Plan amendment</w:t>
            </w:r>
          </w:p>
        </w:tc>
        <w:tc>
          <w:tcPr>
            <w:tcW w:w="2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(6,338)</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300" w:type="dxa"/>
            <w:vAlign w:val="bottom"/>
            <w:gridSpan w:val="4"/>
            <w:vMerge w:val="restart"/>
          </w:tcPr>
          <w:p>
            <w:pPr>
              <w:spacing w:after="0"/>
              <w:rPr>
                <w:sz w:val="20"/>
                <w:szCs w:val="20"/>
                <w:color w:val="auto"/>
              </w:rPr>
            </w:pPr>
            <w:r>
              <w:rPr>
                <w:rFonts w:ascii="Arial" w:cs="Arial" w:eastAsia="Arial" w:hAnsi="Arial"/>
                <w:sz w:val="16"/>
                <w:szCs w:val="16"/>
                <w:color w:val="auto"/>
              </w:rPr>
              <w:t>Net periodic postretirement benefit income for Fiscal 2017 and 2016 consisted of the following components:</w:t>
            </w: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30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5"/>
          </w:tcPr>
          <w:p>
            <w:pPr>
              <w:jc w:val="right"/>
              <w:ind w:right="1539"/>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64"/>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August 26, 2017</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27, 2016</w:t>
            </w:r>
          </w:p>
        </w:tc>
        <w:tc>
          <w:tcPr>
            <w:tcW w:w="0" w:type="dxa"/>
            <w:vAlign w:val="bottom"/>
          </w:tcPr>
          <w:p>
            <w:pPr>
              <w:spacing w:after="0"/>
              <w:rPr>
                <w:sz w:val="1"/>
                <w:szCs w:val="1"/>
                <w:color w:val="auto"/>
              </w:rPr>
            </w:pPr>
          </w:p>
        </w:tc>
      </w:tr>
      <w:tr>
        <w:trPr>
          <w:trHeight w:val="257"/>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29</w:t>
            </w:r>
          </w:p>
        </w:tc>
        <w:tc>
          <w:tcPr>
            <w:tcW w:w="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60"/>
        </w:trPr>
        <w:tc>
          <w:tcPr>
            <w:tcW w:w="71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spacing w:after="0"/>
              <w:rPr>
                <w:sz w:val="22"/>
                <w:szCs w:val="22"/>
                <w:color w:val="auto"/>
              </w:rPr>
            </w:pPr>
          </w:p>
        </w:tc>
        <w:tc>
          <w:tcPr>
            <w:tcW w:w="1800" w:type="dxa"/>
            <w:vAlign w:val="bottom"/>
          </w:tcPr>
          <w:p>
            <w:pPr>
              <w:jc w:val="right"/>
              <w:ind w:right="338"/>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80"/>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(40,444)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(7,736)</w:t>
            </w: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color w:val="auto"/>
              </w:rPr>
              <w:t>15,648</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40"/>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periodic postretirement benefit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(24,751)</w:t>
            </w: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(5,689)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For accounting purposes, we recognized net periodic postretirement income as presented in the previous table, due to the amortization of prior service benefit associated with the establishment of caps on the employer portion of benefits in Fiscal 2005 and the plan amendments made over the past five years.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August 27, 2016</w:t>
            </w:r>
          </w:p>
        </w:tc>
      </w:tr>
      <w:tr>
        <w:trPr>
          <w:trHeight w:val="243"/>
        </w:trPr>
        <w:tc>
          <w:tcPr>
            <w:tcW w:w="9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Prior service credit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(34,139)</w:t>
            </w:r>
          </w:p>
        </w:tc>
      </w:tr>
      <w:tr>
        <w:trPr>
          <w:trHeight w:val="237"/>
        </w:trPr>
        <w:tc>
          <w:tcPr>
            <w:tcW w:w="9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actuarial loss</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15,648</w:t>
            </w:r>
          </w:p>
        </w:tc>
      </w:tr>
      <w:tr>
        <w:trPr>
          <w:trHeight w:val="240"/>
        </w:trPr>
        <w:tc>
          <w:tcPr>
            <w:tcW w:w="9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(18,491)</w:t>
            </w:r>
          </w:p>
        </w:tc>
      </w:tr>
      <w:tr>
        <w:trPr>
          <w:trHeight w:val="20"/>
        </w:trPr>
        <w:tc>
          <w:tcPr>
            <w:tcW w:w="9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Non-Qualified Deferred Compensation</w:t>
      </w:r>
    </w:p>
    <w:p>
      <w:pPr>
        <w:spacing w:after="0" w:line="21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$1.1 million, $1.2 million and $1.3 million in Fiscal 2018, 2017, and 2016,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Supplemental Executive Retirement Plan ("SERP")</w:t>
      </w: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payments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company-owned life insurance ("COLI") by a release of all interests by the participant and assignment to us as a prerequisite to participate in the SERP and transition from the Split Dollar Program. This program remains closed to new employee participation.</w:t>
      </w:r>
    </w:p>
    <w:p>
      <w:pPr>
        <w:spacing w:after="0" w:line="18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in investment in life insurance in the accompanying balance sheets and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 2018</w:t>
            </w:r>
          </w:p>
        </w:tc>
        <w:tc>
          <w:tcPr>
            <w:tcW w:w="24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26, 2017</w:t>
            </w:r>
          </w:p>
        </w:tc>
      </w:tr>
      <w:tr>
        <w:trPr>
          <w:trHeight w:val="257"/>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value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63,574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62,824</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(35,277)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(35,406)</w:t>
            </w:r>
          </w:p>
        </w:tc>
      </w:tr>
      <w:tr>
        <w:trPr>
          <w:trHeight w:val="24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life insurance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28,297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27,418</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Share Option Plan</w:t>
      </w:r>
    </w:p>
    <w:p>
      <w:pPr>
        <w:spacing w:after="0" w:line="21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defer a portion of their salary or other eligible compensation in the form of options to purchase selected securities, primarily equity-based mutual funds. These assets are treated as trading securities and are recorded at fair value. The Executive Plan has been closed to any additional deferrals since January 2005. The Executive Plan assets related to those options that will expire within a year are included in prepaid expenses and other assets in the accompanying balance sheets. The remaining assets are included in other assets. Total assets on August 25, 2018 and August 26, 2017 were $1.0 million and $1.6 million, respectively.</w:t>
      </w:r>
    </w:p>
    <w:p>
      <w:pPr>
        <w:spacing w:after="0" w:line="17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difference between the asset and liability balances represents the additional 25%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Deferred Compensation Plan</w:t>
      </w:r>
    </w:p>
    <w:p>
      <w:pPr>
        <w:spacing w:after="0" w:line="21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in the accompanying balance sheets. Such assets on August 25, 2018 and August 26, 2017 were $0.4 million and $0.4 million,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1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2018, 2017, and 2016 were $2.3 million, $1.6 million, and $1.5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Generally, manufacturers in our industries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7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 Although laws vary from state to state, some states have laws in place that require manufacturers of RVs or boats to repurchase current inventory if a dealership exits the business. Our total contingent liability on all repurchase agreements was approximately $879.0 million and $713.1 million at August 25, 2018 and August 26, 2017, respectively.</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these repurchase agreements and our historical loss experience, we establish an associated loss reserve which is included in accrued expenses-other on the consolidated balance sheets. Our accrued losses on repurchases were $0.9 million as of August 25, 2018 and $0.7 million as of August 26, 2017.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16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Fiscal 2018</w:t>
            </w:r>
          </w:p>
        </w:tc>
        <w:tc>
          <w:tcPr>
            <w:tcW w:w="30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Fiscal 2017</w:t>
            </w:r>
          </w:p>
        </w:tc>
        <w:tc>
          <w:tcPr>
            <w:tcW w:w="300" w:type="dxa"/>
            <w:vAlign w:val="bottom"/>
          </w:tcPr>
          <w:p>
            <w:pPr>
              <w:spacing w:after="0"/>
              <w:rPr>
                <w:sz w:val="19"/>
                <w:szCs w:val="19"/>
                <w:color w:val="auto"/>
              </w:rPr>
            </w:pPr>
          </w:p>
        </w:tc>
        <w:tc>
          <w:tcPr>
            <w:tcW w:w="1520" w:type="dxa"/>
            <w:vAlign w:val="bottom"/>
          </w:tcPr>
          <w:p>
            <w:pPr>
              <w:jc w:val="right"/>
              <w:ind w:right="399"/>
              <w:spacing w:after="0"/>
              <w:rPr>
                <w:sz w:val="20"/>
                <w:szCs w:val="20"/>
                <w:color w:val="auto"/>
              </w:rPr>
            </w:pPr>
            <w:r>
              <w:rPr>
                <w:rFonts w:ascii="Arial" w:cs="Arial" w:eastAsia="Arial" w:hAnsi="Arial"/>
                <w:sz w:val="16"/>
                <w:szCs w:val="16"/>
                <w:b w:val="1"/>
                <w:bCs w:val="1"/>
                <w:color w:val="auto"/>
              </w:rPr>
              <w:t>Fiscal 2016</w:t>
            </w:r>
          </w:p>
        </w:tc>
      </w:tr>
      <w:tr>
        <w:trPr>
          <w:trHeight w:val="270"/>
        </w:trPr>
        <w:tc>
          <w:tcPr>
            <w:tcW w:w="3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Inventory repurchased:</w:t>
            </w:r>
          </w:p>
        </w:tc>
        <w:tc>
          <w:tcPr>
            <w:tcW w:w="216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r>
      <w:tr>
        <w:trPr>
          <w:trHeight w:val="260"/>
        </w:trPr>
        <w:tc>
          <w:tcPr>
            <w:tcW w:w="3860" w:type="dxa"/>
            <w:vAlign w:val="bottom"/>
          </w:tcPr>
          <w:p>
            <w:pPr>
              <w:ind w:left="280"/>
              <w:spacing w:after="0"/>
              <w:rPr>
                <w:sz w:val="20"/>
                <w:szCs w:val="20"/>
                <w:color w:val="auto"/>
              </w:rPr>
            </w:pPr>
            <w:r>
              <w:rPr>
                <w:rFonts w:ascii="Arial" w:cs="Arial" w:eastAsia="Arial" w:hAnsi="Arial"/>
                <w:sz w:val="16"/>
                <w:szCs w:val="16"/>
                <w:color w:val="auto"/>
              </w:rPr>
              <w:t>Units</w:t>
            </w:r>
          </w:p>
        </w:tc>
        <w:tc>
          <w:tcPr>
            <w:tcW w:w="216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80"/>
        </w:trPr>
        <w:tc>
          <w:tcPr>
            <w:tcW w:w="3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2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1,605</w:t>
            </w:r>
          </w:p>
        </w:tc>
      </w:tr>
      <w:tr>
        <w:trPr>
          <w:trHeight w:val="260"/>
        </w:trPr>
        <w:tc>
          <w:tcPr>
            <w:tcW w:w="3860" w:type="dxa"/>
            <w:vAlign w:val="bottom"/>
          </w:tcPr>
          <w:p>
            <w:pPr>
              <w:ind w:left="40"/>
              <w:spacing w:after="0"/>
              <w:rPr>
                <w:sz w:val="20"/>
                <w:szCs w:val="20"/>
                <w:color w:val="auto"/>
              </w:rPr>
            </w:pPr>
            <w:r>
              <w:rPr>
                <w:rFonts w:ascii="Arial" w:cs="Arial" w:eastAsia="Arial" w:hAnsi="Arial"/>
                <w:sz w:val="16"/>
                <w:szCs w:val="16"/>
                <w:b w:val="1"/>
                <w:bCs w:val="1"/>
                <w:color w:val="auto"/>
              </w:rPr>
              <w:t>Inventory resold:</w:t>
            </w:r>
          </w:p>
        </w:tc>
        <w:tc>
          <w:tcPr>
            <w:tcW w:w="2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3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2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60"/>
        </w:trPr>
        <w:tc>
          <w:tcPr>
            <w:tcW w:w="3860" w:type="dxa"/>
            <w:vAlign w:val="bottom"/>
          </w:tcPr>
          <w:p>
            <w:pPr>
              <w:ind w:left="280"/>
              <w:spacing w:after="0"/>
              <w:rPr>
                <w:sz w:val="20"/>
                <w:szCs w:val="20"/>
                <w:color w:val="auto"/>
              </w:rPr>
            </w:pPr>
            <w:r>
              <w:rPr>
                <w:rFonts w:ascii="Arial" w:cs="Arial" w:eastAsia="Arial" w:hAnsi="Arial"/>
                <w:sz w:val="16"/>
                <w:szCs w:val="16"/>
                <w:color w:val="auto"/>
              </w:rPr>
              <w:t>Cash collected</w:t>
            </w:r>
          </w:p>
        </w:tc>
        <w:tc>
          <w:tcPr>
            <w:tcW w:w="21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1,510</w:t>
            </w:r>
          </w:p>
        </w:tc>
      </w:tr>
      <w:tr>
        <w:trPr>
          <w:trHeight w:val="280"/>
        </w:trPr>
        <w:tc>
          <w:tcPr>
            <w:tcW w:w="3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2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51"/>
        </w:trPr>
        <w:tc>
          <w:tcPr>
            <w:tcW w:w="3860" w:type="dxa"/>
            <w:vAlign w:val="bottom"/>
          </w:tcPr>
          <w:p>
            <w:pPr>
              <w:ind w:left="40"/>
              <w:spacing w:after="0"/>
              <w:rPr>
                <w:sz w:val="20"/>
                <w:szCs w:val="20"/>
                <w:color w:val="auto"/>
              </w:rPr>
            </w:pPr>
            <w:r>
              <w:rPr>
                <w:rFonts w:ascii="Arial" w:cs="Arial" w:eastAsia="Arial" w:hAnsi="Arial"/>
                <w:sz w:val="16"/>
                <w:szCs w:val="16"/>
                <w:b w:val="1"/>
                <w:bCs w:val="1"/>
                <w:color w:val="auto"/>
              </w:rPr>
              <w:t>Units in ending inventory</w:t>
            </w:r>
          </w:p>
        </w:tc>
        <w:tc>
          <w:tcPr>
            <w:tcW w:w="2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1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21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As part of our acquisition of Grand Design, we acquired leases to two properties which hold Grand Design’s current principal facilities and facilities under construction for expansion. The lessor under these leases is an Indiana limited liability company, Three Oaks, LLC, owned by three of Grand Design's selling equity holders. One of the selling equity holders, Mr. Don Clark is the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President of Grand Design RV; Vice President of Winnebago Industries. Upon joining our company, Mr. Clark has agreed that as long as he is an employee of Grand Design, he has relinquished his voting rights in Three Oaks, LLC while retaining all other economic rights in Three Oaks, LLC.</w:t>
      </w:r>
    </w:p>
    <w:p>
      <w:pPr>
        <w:spacing w:after="0" w:line="169"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We have operating leases for certain land, buildings, and equipment. Lease expense was $4.4 million for Fiscal 2018, $2.9 million for Fiscal 2017, and $0.6 million for Fiscal 2016.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future lease commitments for future fiscal years included the following related party and non-related party leases: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Operating Leases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Non-Related Party</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8"/>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940" w:type="dxa"/>
            <w:vAlign w:val="bottom"/>
            <w:gridSpan w:val="3"/>
          </w:tcPr>
          <w:p>
            <w:pPr>
              <w:ind w:left="80"/>
              <w:spacing w:after="0"/>
              <w:rPr>
                <w:sz w:val="20"/>
                <w:szCs w:val="20"/>
                <w:color w:val="auto"/>
              </w:rPr>
            </w:pPr>
            <w:r>
              <w:rPr>
                <w:rFonts w:ascii="Arial" w:cs="Arial" w:eastAsia="Arial" w:hAnsi="Arial"/>
                <w:sz w:val="16"/>
                <w:szCs w:val="16"/>
                <w:b w:val="1"/>
                <w:bCs w:val="1"/>
                <w:color w:val="auto"/>
              </w:rPr>
              <w:t>Related Party Amount</w:t>
            </w: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420" w:type="dxa"/>
            <w:vAlign w:val="bottom"/>
          </w:tcPr>
          <w:p>
            <w:pPr>
              <w:spacing w:after="0"/>
              <w:rPr>
                <w:sz w:val="19"/>
                <w:szCs w:val="19"/>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4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Fiscal 2019</w:t>
            </w:r>
          </w:p>
        </w:tc>
        <w:tc>
          <w:tcPr>
            <w:tcW w:w="68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2,700</w:t>
            </w:r>
          </w:p>
        </w:tc>
      </w:tr>
      <w:tr>
        <w:trPr>
          <w:trHeight w:val="28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2020</w:t>
            </w: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2,424</w:t>
            </w: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Fiscal 2021</w:t>
            </w:r>
          </w:p>
        </w:tc>
        <w:tc>
          <w:tcPr>
            <w:tcW w:w="6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2,370</w:t>
            </w:r>
          </w:p>
        </w:tc>
      </w:tr>
      <w:tr>
        <w:trPr>
          <w:trHeight w:val="28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2022</w:t>
            </w: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2,245</w:t>
            </w: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Fiscal 2023</w:t>
            </w:r>
          </w:p>
        </w:tc>
        <w:tc>
          <w:tcPr>
            <w:tcW w:w="6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2,683</w:t>
            </w:r>
          </w:p>
        </w:tc>
      </w:tr>
      <w:tr>
        <w:trPr>
          <w:trHeight w:val="27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6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4,041</w:t>
            </w:r>
          </w:p>
        </w:tc>
      </w:tr>
      <w:tr>
        <w:trPr>
          <w:trHeight w:val="240"/>
        </w:trPr>
        <w:tc>
          <w:tcPr>
            <w:tcW w:w="5720" w:type="dxa"/>
            <w:vAlign w:val="bottom"/>
          </w:tcPr>
          <w:p>
            <w:pPr>
              <w:ind w:left="180"/>
              <w:spacing w:after="0"/>
              <w:rPr>
                <w:sz w:val="20"/>
                <w:szCs w:val="20"/>
                <w:color w:val="auto"/>
              </w:rPr>
            </w:pPr>
            <w:r>
              <w:rPr>
                <w:rFonts w:ascii="Arial" w:cs="Arial" w:eastAsia="Arial" w:hAnsi="Arial"/>
                <w:sz w:val="16"/>
                <w:szCs w:val="16"/>
                <w:color w:val="auto"/>
              </w:rPr>
              <w:t>Total future lease commitments</w:t>
            </w: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13,774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2,689</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16,463</w:t>
            </w:r>
          </w:p>
        </w:tc>
      </w:tr>
      <w:tr>
        <w:trPr>
          <w:trHeight w:val="20"/>
        </w:trPr>
        <w:tc>
          <w:tcPr>
            <w:tcW w:w="5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Stock-Based Compensation Plans</w:t>
      </w:r>
    </w:p>
    <w:p>
      <w:pPr>
        <w:spacing w:after="0" w:line="21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7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No more than 3.6 million shares of common stock may be issued under the Plan, and no more than 3.6 million of those shares may be used for awards other than stock options or stock appreciation rights. Shares subject to awards that are forfeited or terminated, expire unexercised, are cancelled and settled in cash in lieu of common stock or are exchanged for awards that do not involve common stock, shall be added back to the limits and again immediately become available for awards.</w:t>
      </w:r>
    </w:p>
    <w:p>
      <w:pPr>
        <w:spacing w:after="0" w:line="17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term of any options granted under the Plan may not exceed ten years from the date of the grant. Stock options are granted at the closing market price on the date of grant. Options issued to key employees generally vest over a three-year period in equal annual installments, beginning one year after the date of grant, with immediate vesting upon a change of control (as defined in the Plan), if earlier.</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Share awards generally vest over a three-year period in equal annual installments with continued employment, beginning one year after the date of grant, with immediate vesting upon retirement for awards made prior to October 2016 or upon a change of control (collectively, "time-based") or upon attainment of established goals. Share awards that are not time-based typically vest at the end of a one-year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the closing price of our common stock on the date of grant,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18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Employee Stock Purchase Plan ("ESPP"), as approved by the shareholders at the December 12, 2017 annual meeting, permits employees to purchase our common stock at a 15% discount from the market price at the end of semi-annual purchase periods and is compensatory. Employees are required to hold the common stock purchased for one year. In Fiscal 2018, 2,760 shares were purchased through the ESPP. At August 25, 2018, plan participants had accumulated $0.1 million to purchase our common stock pursuant to this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9"/>
              </w:rPr>
              <w:t>Year Ended</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25, 2018</w:t>
            </w:r>
          </w:p>
        </w:tc>
        <w:tc>
          <w:tcPr>
            <w:tcW w:w="220" w:type="dxa"/>
            <w:vAlign w:val="bottom"/>
          </w:tcPr>
          <w:p>
            <w:pPr>
              <w:spacing w:after="0"/>
              <w:rPr>
                <w:sz w:val="22"/>
                <w:szCs w:val="22"/>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26, 2017</w:t>
            </w:r>
          </w:p>
        </w:tc>
        <w:tc>
          <w:tcPr>
            <w:tcW w:w="200" w:type="dxa"/>
            <w:vAlign w:val="bottom"/>
          </w:tcPr>
          <w:p>
            <w:pPr>
              <w:spacing w:after="0"/>
              <w:rPr>
                <w:sz w:val="22"/>
                <w:szCs w:val="22"/>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 2016</w:t>
            </w:r>
          </w:p>
        </w:tc>
      </w:tr>
      <w:tr>
        <w:trPr>
          <w:trHeight w:val="270"/>
        </w:trPr>
        <w:tc>
          <w:tcPr>
            <w:tcW w:w="5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 awards:</w:t>
            </w:r>
          </w:p>
        </w:tc>
        <w:tc>
          <w:tcPr>
            <w:tcW w:w="20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Performance-based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807</w:t>
            </w:r>
          </w:p>
        </w:tc>
      </w:tr>
      <w:tr>
        <w:trPr>
          <w:trHeight w:val="28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Time-based</w:t>
            </w: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2,326</w:t>
            </w: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20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8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r>
      <w:tr>
        <w:trPr>
          <w:trHeight w:val="234"/>
        </w:trPr>
        <w:tc>
          <w:tcPr>
            <w:tcW w:w="5720" w:type="dxa"/>
            <w:vAlign w:val="bottom"/>
          </w:tcPr>
          <w:p>
            <w:pPr>
              <w:ind w:left="180"/>
              <w:spacing w:after="0"/>
              <w:rPr>
                <w:sz w:val="20"/>
                <w:szCs w:val="20"/>
                <w:color w:val="auto"/>
              </w:rPr>
            </w:pPr>
            <w:r>
              <w:rPr>
                <w:rFonts w:ascii="Arial" w:cs="Arial" w:eastAsia="Arial" w:hAnsi="Arial"/>
                <w:sz w:val="16"/>
                <w:szCs w:val="16"/>
                <w:color w:val="auto"/>
              </w:rPr>
              <w:t>Total stock-based compensation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7,434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3,293</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60" w:right="500" w:hanging="252"/>
        <w:spacing w:after="0" w:line="258" w:lineRule="auto"/>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stock-based compensation expense related to Board of Directors stock unit expense and ESPP expense. Directors may elect to defer all or part of their annual retainer into a deferred compensation plan. The plan allows them to defer into either money units or stock units and is more fully described in the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Awards - Performance-Based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w:t>
      </w:r>
    </w:p>
    <w:p>
      <w:pPr>
        <w:spacing w:after="0" w:line="21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each fiscal year presented, the Human Resources Committee of our Board of Directors established a three year incentive compensation plan to serve as an incentive to our senior management team to achieve certain company-performance targets. If the targets are met, restricted stock is awarded subsequent to the end of each three year period with a one year restriction on sale upon award (except for shares we agree to repurchase in lieu of executives' payment of payroll taxes). In the event that we do not achieve the required targets, no restricted stock will be granted. If it becomes probable that certain of the performance targets will be achieved, the corresponding estimated cost of the grant will be recorded as stock-based compensation expense over the performance period. The probability of reaching the targets is evaluated each reporting period. If it becomes probable that certain of the target performance levels will be achieved, a cumulative adjustment will be recorded and future stock-based-compensation expense will increase based on the then projected performance levels. If we later determine that it is not probable that the minimum performance threshold for the grants will be met, no further stock-based compensation cost will be recognized and any previously recognized stock-based compensation cost related to these plans will be reversed.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w:t>
      </w: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Human Resources Committee of our Board of Directors establishes annual incentive plans for the officers. The Fiscal 2018 and Fiscal 2017 Annual Incentive Plans were paid entirely in cash, while the Fiscal 2016 Annual Incentive Plan was paid in 2/3 cash and 1/3 restricted stock (stock must be held for one year from date of grant except for shares we agree to repurchase in lieu of executives' payment of payroll taxes). On October 11, 2016, 17,532 restricted shares were awarded related to the Fiscal 2016 Annual Incentive Plan.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Awards - Time-Based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 summary of share award activity for Fiscal 2018, 2017 and 2016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860"/>
              <w:spacing w:after="0"/>
              <w:rPr>
                <w:sz w:val="20"/>
                <w:szCs w:val="20"/>
                <w:color w:val="auto"/>
              </w:rPr>
            </w:pPr>
            <w:r>
              <w:rPr>
                <w:rFonts w:ascii="Arial" w:cs="Arial" w:eastAsia="Arial" w:hAnsi="Arial"/>
                <w:sz w:val="16"/>
                <w:szCs w:val="16"/>
                <w:b w:val="1"/>
                <w:bCs w:val="1"/>
                <w:color w:val="auto"/>
              </w:rPr>
              <w:t>Year Ended</w:t>
            </w: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3480" w:type="dxa"/>
            <w:vAlign w:val="bottom"/>
          </w:tcPr>
          <w:p>
            <w:pPr>
              <w:spacing w:after="0"/>
              <w:rPr>
                <w:sz w:val="22"/>
                <w:szCs w:val="22"/>
                <w:color w:val="auto"/>
              </w:rPr>
            </w:pPr>
          </w:p>
        </w:tc>
        <w:tc>
          <w:tcPr>
            <w:tcW w:w="25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25, 2018</w:t>
            </w:r>
          </w:p>
        </w:tc>
        <w:tc>
          <w:tcPr>
            <w:tcW w:w="12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27, 2016</w:t>
            </w:r>
          </w:p>
        </w:tc>
      </w:tr>
      <w:tr>
        <w:trPr>
          <w:trHeight w:val="198"/>
        </w:trPr>
        <w:tc>
          <w:tcPr>
            <w:tcW w:w="3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Weighted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Average Grant</w:t>
            </w:r>
          </w:p>
        </w:tc>
        <w:tc>
          <w:tcPr>
            <w:tcW w:w="1260" w:type="dxa"/>
            <w:vAlign w:val="bottom"/>
          </w:tcPr>
          <w:p>
            <w:pPr>
              <w:spacing w:after="0"/>
              <w:rPr>
                <w:sz w:val="16"/>
                <w:szCs w:val="16"/>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Average Grant</w:t>
            </w:r>
          </w:p>
        </w:tc>
        <w:tc>
          <w:tcPr>
            <w:tcW w:w="12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 Grant</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Date</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Date</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rPr>
              <w:t>Date</w:t>
            </w:r>
          </w:p>
        </w:tc>
      </w:tr>
      <w:tr>
        <w:trPr>
          <w:trHeight w:val="228"/>
        </w:trPr>
        <w:tc>
          <w:tcPr>
            <w:tcW w:w="3480" w:type="dxa"/>
            <w:vAlign w:val="bottom"/>
          </w:tcPr>
          <w:p>
            <w:pPr>
              <w:spacing w:after="0"/>
              <w:rPr>
                <w:sz w:val="19"/>
                <w:szCs w:val="19"/>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3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Beginning of year</w:t>
            </w: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243,769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283,881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20.45</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163,420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20.83</w:t>
            </w:r>
          </w:p>
        </w:tc>
      </w:tr>
      <w:tr>
        <w:trPr>
          <w:trHeight w:val="260"/>
        </w:trPr>
        <w:tc>
          <w:tcPr>
            <w:tcW w:w="3480" w:type="dxa"/>
            <w:vAlign w:val="bottom"/>
          </w:tcPr>
          <w:p>
            <w:pPr>
              <w:ind w:left="1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167,781</w:t>
            </w:r>
          </w:p>
        </w:tc>
        <w:tc>
          <w:tcPr>
            <w:tcW w:w="2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42.54</w:t>
            </w:r>
          </w:p>
        </w:tc>
        <w:tc>
          <w:tcPr>
            <w:tcW w:w="12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156,801</w:t>
            </w:r>
          </w:p>
        </w:tc>
        <w:tc>
          <w:tcPr>
            <w:tcW w:w="2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240,270</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19.72</w:t>
            </w:r>
          </w:p>
        </w:tc>
      </w:tr>
      <w:tr>
        <w:trPr>
          <w:trHeight w:val="280"/>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(100,648)</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23.96</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(159,979)</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22.66</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(110,283)</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19.44</w:t>
            </w:r>
          </w:p>
        </w:tc>
      </w:tr>
      <w:tr>
        <w:trPr>
          <w:trHeight w:val="264"/>
        </w:trPr>
        <w:tc>
          <w:tcPr>
            <w:tcW w:w="3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Cancelled</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(25,711)</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29.64</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(36,934)</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22.61</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(9,526)</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20.28</w:t>
            </w:r>
          </w:p>
        </w:tc>
      </w:tr>
      <w:tr>
        <w:trPr>
          <w:trHeight w:val="24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year</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285,191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34.08</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243,769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283,881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20.45</w:t>
            </w:r>
          </w:p>
        </w:tc>
      </w:tr>
      <w:tr>
        <w:trPr>
          <w:trHeight w:val="20"/>
        </w:trPr>
        <w:tc>
          <w:tcPr>
            <w:tcW w:w="3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aggregate intrinsic value of awards outstanding at August 25, 2018 was $10.6 million. As of August 25, 2018, there was $5.6 million of unrecognized compensation expense related to restricted stock awards that is expected to be recognized over a weighted average period of 1.2 years. The total fair value of awards vested during Fiscal 2018, 2017 and 2016 was $7.1 million, $4.9 million, and $2.2 million, respectively.</w:t>
      </w:r>
    </w:p>
    <w:p>
      <w:pPr>
        <w:spacing w:after="0" w:line="174"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On October 15, 2018, the Board of Directors granted 77,869 restricted stock units under the Plan valued at $2.5 million to our key management group (approximately 40 employees). The Board of Directors also granted 23,975 restricted stock units valued at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$0.8 million to the non-management members of the Board. The value of the restricted stock units is based on the closing price of our common stock on the date of grant, which was $31.70. The fair value of this award is amortized on a straight-line basis over the requisite service period of three years for employees and one year for non-management members of the Board. Estimated non-cash stock compensation expense based on this grant is expected to be approximately $1.6 million for Fiscal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for Fiscal 2018, 2017 and 2016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Year Ended</w:t>
            </w: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4"/>
        </w:trPr>
        <w:tc>
          <w:tcPr>
            <w:tcW w:w="3660" w:type="dxa"/>
            <w:vAlign w:val="bottom"/>
          </w:tcPr>
          <w:p>
            <w:pPr>
              <w:spacing w:after="0"/>
              <w:rPr>
                <w:sz w:val="22"/>
                <w:szCs w:val="22"/>
                <w:color w:val="auto"/>
              </w:rPr>
            </w:pPr>
          </w:p>
        </w:tc>
        <w:tc>
          <w:tcPr>
            <w:tcW w:w="25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25, 2018</w:t>
            </w:r>
          </w:p>
        </w:tc>
        <w:tc>
          <w:tcPr>
            <w:tcW w:w="120" w:type="dxa"/>
            <w:vAlign w:val="bottom"/>
          </w:tcPr>
          <w:p>
            <w:pPr>
              <w:spacing w:after="0"/>
              <w:rPr>
                <w:sz w:val="22"/>
                <w:szCs w:val="22"/>
                <w:color w:val="auto"/>
              </w:rPr>
            </w:pPr>
          </w:p>
        </w:tc>
        <w:tc>
          <w:tcPr>
            <w:tcW w:w="25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August 26, 2017</w:t>
            </w:r>
          </w:p>
        </w:tc>
        <w:tc>
          <w:tcPr>
            <w:tcW w:w="100" w:type="dxa"/>
            <w:vAlign w:val="bottom"/>
          </w:tcPr>
          <w:p>
            <w:pPr>
              <w:spacing w:after="0"/>
              <w:rPr>
                <w:sz w:val="22"/>
                <w:szCs w:val="22"/>
                <w:color w:val="auto"/>
              </w:rPr>
            </w:pPr>
          </w:p>
        </w:tc>
        <w:tc>
          <w:tcPr>
            <w:tcW w:w="25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August 27, 2016</w:t>
            </w:r>
          </w:p>
        </w:tc>
      </w:tr>
      <w:tr>
        <w:trPr>
          <w:trHeight w:val="198"/>
        </w:trPr>
        <w:tc>
          <w:tcPr>
            <w:tcW w:w="3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Wtd. Avg.</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Wtd. Avg.</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Wtd. Avg.</w:t>
            </w:r>
          </w:p>
        </w:tc>
      </w:tr>
      <w:tr>
        <w:trPr>
          <w:trHeight w:val="189"/>
        </w:trPr>
        <w:tc>
          <w:tcPr>
            <w:tcW w:w="3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Exercise</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Exercise</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3660" w:type="dxa"/>
            <w:vAlign w:val="bottom"/>
          </w:tcPr>
          <w:p>
            <w:pPr>
              <w:spacing w:after="0"/>
              <w:rPr>
                <w:sz w:val="19"/>
                <w:szCs w:val="19"/>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Price/Share</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Price/Share</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Price/Share</w:t>
            </w:r>
          </w:p>
        </w:tc>
      </w:tr>
      <w:tr>
        <w:trPr>
          <w:trHeight w:val="257"/>
        </w:trPr>
        <w:tc>
          <w:tcPr>
            <w:tcW w:w="3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Outstanding at beginning of year</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65,800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28.15</w:t>
            </w: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16.67</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167,394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28.30</w:t>
            </w:r>
          </w:p>
        </w:tc>
      </w:tr>
      <w:tr>
        <w:trPr>
          <w:trHeight w:val="260"/>
        </w:trPr>
        <w:tc>
          <w:tcPr>
            <w:tcW w:w="3660" w:type="dxa"/>
            <w:vAlign w:val="bottom"/>
          </w:tcPr>
          <w:p>
            <w:pPr>
              <w:ind w:left="180"/>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spacing w:after="0"/>
              <w:rPr>
                <w:sz w:val="20"/>
                <w:szCs w:val="20"/>
                <w:color w:val="auto"/>
              </w:rPr>
            </w:pPr>
            <w:r>
              <w:rPr>
                <w:rFonts w:ascii="Arial" w:cs="Arial" w:eastAsia="Arial" w:hAnsi="Arial"/>
                <w:sz w:val="16"/>
                <w:szCs w:val="16"/>
                <w:color w:val="auto"/>
              </w:rPr>
              <w:t>72,710</w:t>
            </w:r>
          </w:p>
        </w:tc>
        <w:tc>
          <w:tcPr>
            <w:tcW w:w="2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44.40</w:t>
            </w:r>
          </w:p>
        </w:tc>
        <w:tc>
          <w:tcPr>
            <w:tcW w:w="1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63,800</w:t>
            </w:r>
          </w:p>
        </w:tc>
        <w:tc>
          <w:tcPr>
            <w:tcW w:w="1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16.67</w:t>
            </w:r>
          </w:p>
        </w:tc>
      </w:tr>
      <w:tr>
        <w:trPr>
          <w:trHeight w:val="273"/>
        </w:trPr>
        <w:tc>
          <w:tcPr>
            <w:tcW w:w="3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 cancelled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(167,394)</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28.30</w:t>
            </w:r>
          </w:p>
        </w:tc>
      </w:tr>
      <w:tr>
        <w:trPr>
          <w:trHeight w:val="247"/>
        </w:trPr>
        <w:tc>
          <w:tcPr>
            <w:tcW w:w="3660" w:type="dxa"/>
            <w:vAlign w:val="bottom"/>
          </w:tcPr>
          <w:p>
            <w:pPr>
              <w:ind w:left="40"/>
              <w:spacing w:after="0"/>
              <w:rPr>
                <w:sz w:val="20"/>
                <w:szCs w:val="20"/>
                <w:color w:val="auto"/>
              </w:rPr>
            </w:pPr>
            <w:r>
              <w:rPr>
                <w:rFonts w:ascii="Arial" w:cs="Arial" w:eastAsia="Arial" w:hAnsi="Arial"/>
                <w:sz w:val="16"/>
                <w:szCs w:val="16"/>
                <w:color w:val="auto"/>
              </w:rPr>
              <w:t>Outstanding at end of year</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138,510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21"/>
                <w:szCs w:val="21"/>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65,800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16.67</w:t>
            </w:r>
          </w:p>
        </w:tc>
      </w:tr>
      <w:tr>
        <w:trPr>
          <w:trHeight w:val="293"/>
        </w:trPr>
        <w:tc>
          <w:tcPr>
            <w:tcW w:w="36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3660" w:type="dxa"/>
            <w:vAlign w:val="bottom"/>
          </w:tcPr>
          <w:p>
            <w:pPr>
              <w:ind w:left="40"/>
              <w:spacing w:after="0"/>
              <w:rPr>
                <w:sz w:val="20"/>
                <w:szCs w:val="20"/>
                <w:color w:val="auto"/>
              </w:rPr>
            </w:pPr>
            <w:r>
              <w:rPr>
                <w:rFonts w:ascii="Arial" w:cs="Arial" w:eastAsia="Arial" w:hAnsi="Arial"/>
                <w:sz w:val="16"/>
                <w:szCs w:val="16"/>
                <w:color w:val="auto"/>
              </w:rPr>
              <w:t>Exercisable at end of year</w:t>
            </w:r>
          </w:p>
        </w:tc>
        <w:tc>
          <w:tcPr>
            <w:tcW w:w="1240" w:type="dxa"/>
            <w:vAlign w:val="bottom"/>
          </w:tcPr>
          <w:p>
            <w:pPr>
              <w:jc w:val="right"/>
              <w:spacing w:after="0"/>
              <w:rPr>
                <w:sz w:val="20"/>
                <w:szCs w:val="20"/>
                <w:color w:val="auto"/>
              </w:rPr>
            </w:pPr>
            <w:r>
              <w:rPr>
                <w:rFonts w:ascii="Arial" w:cs="Arial" w:eastAsia="Arial" w:hAnsi="Arial"/>
                <w:sz w:val="16"/>
                <w:szCs w:val="16"/>
                <w:color w:val="auto"/>
              </w:rPr>
              <w:t>25,263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26.64</w:t>
            </w:r>
          </w:p>
        </w:tc>
        <w:tc>
          <w:tcPr>
            <w:tcW w:w="1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3,333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 and expected to vest at end of year</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16.67</w:t>
            </w: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with the following weighted-average valuation assumptions: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ind w:left="40"/>
              <w:spacing w:after="0"/>
              <w:rPr>
                <w:sz w:val="20"/>
                <w:szCs w:val="20"/>
                <w:color w:val="auto"/>
              </w:rPr>
            </w:pPr>
            <w:r>
              <w:rPr>
                <w:rFonts w:ascii="Arial" w:cs="Arial" w:eastAsia="Arial" w:hAnsi="Arial"/>
                <w:sz w:val="16"/>
                <w:szCs w:val="16"/>
                <w:color w:val="auto"/>
              </w:rPr>
              <w:t>Valuation Assumptions</w:t>
            </w:r>
            <w:r>
              <w:rPr>
                <w:rFonts w:ascii="Arial" w:cs="Arial" w:eastAsia="Arial" w:hAnsi="Arial"/>
                <w:sz w:val="21"/>
                <w:szCs w:val="21"/>
                <w:color w:val="auto"/>
                <w:vertAlign w:val="superscript"/>
              </w:rPr>
              <w:t>(1)</w:t>
            </w:r>
          </w:p>
        </w:tc>
        <w:tc>
          <w:tcPr>
            <w:tcW w:w="3120" w:type="dxa"/>
            <w:vAlign w:val="bottom"/>
            <w:gridSpan w:val="2"/>
          </w:tcPr>
          <w:p>
            <w:pPr>
              <w:ind w:left="1820"/>
              <w:spacing w:after="0"/>
              <w:rPr>
                <w:sz w:val="20"/>
                <w:szCs w:val="20"/>
                <w:color w:val="auto"/>
              </w:rPr>
            </w:pPr>
            <w:r>
              <w:rPr>
                <w:rFonts w:ascii="Arial" w:cs="Arial" w:eastAsia="Arial" w:hAnsi="Arial"/>
                <w:sz w:val="16"/>
                <w:szCs w:val="16"/>
                <w:b w:val="1"/>
                <w:bCs w:val="1"/>
                <w:color w:val="auto"/>
              </w:rPr>
              <w:t>Fiscal 2018</w:t>
            </w:r>
          </w:p>
        </w:tc>
        <w:tc>
          <w:tcPr>
            <w:tcW w:w="1600" w:type="dxa"/>
            <w:vAlign w:val="bottom"/>
            <w:gridSpan w:val="2"/>
          </w:tcPr>
          <w:p>
            <w:pPr>
              <w:ind w:left="320"/>
              <w:spacing w:after="0"/>
              <w:rPr>
                <w:sz w:val="20"/>
                <w:szCs w:val="20"/>
                <w:color w:val="auto"/>
              </w:rPr>
            </w:pPr>
            <w:r>
              <w:rPr>
                <w:rFonts w:ascii="Arial" w:cs="Arial" w:eastAsia="Arial" w:hAnsi="Arial"/>
                <w:sz w:val="16"/>
                <w:szCs w:val="16"/>
                <w:b w:val="1"/>
                <w:bCs w:val="1"/>
                <w:color w:val="auto"/>
              </w:rPr>
              <w:t>Fiscal 2017</w:t>
            </w:r>
          </w:p>
        </w:tc>
        <w:tc>
          <w:tcPr>
            <w:tcW w:w="1500" w:type="dxa"/>
            <w:vAlign w:val="bottom"/>
          </w:tcPr>
          <w:p>
            <w:pPr>
              <w:jc w:val="right"/>
              <w:ind w:right="239"/>
              <w:spacing w:after="0"/>
              <w:rPr>
                <w:sz w:val="20"/>
                <w:szCs w:val="20"/>
                <w:color w:val="auto"/>
              </w:rPr>
            </w:pPr>
            <w:r>
              <w:rPr>
                <w:rFonts w:ascii="Arial" w:cs="Arial" w:eastAsia="Arial" w:hAnsi="Arial"/>
                <w:sz w:val="16"/>
                <w:szCs w:val="16"/>
                <w:b w:val="1"/>
                <w:bCs w:val="1"/>
                <w:color w:val="auto"/>
              </w:rPr>
              <w:t>Fiscal 2016</w:t>
            </w:r>
          </w:p>
        </w:tc>
      </w:tr>
      <w:tr>
        <w:trPr>
          <w:trHeight w:val="250"/>
        </w:trPr>
        <w:tc>
          <w:tcPr>
            <w:tcW w:w="5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0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0.90%</w:t>
            </w:r>
          </w:p>
        </w:tc>
        <w:tc>
          <w:tcPr>
            <w:tcW w:w="1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2.40%</w:t>
            </w: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(2)</w:t>
            </w:r>
          </w:p>
        </w:tc>
        <w:tc>
          <w:tcPr>
            <w:tcW w:w="3000" w:type="dxa"/>
            <w:vAlign w:val="bottom"/>
          </w:tcPr>
          <w:p>
            <w:pPr>
              <w:jc w:val="right"/>
              <w:ind w:right="17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3"/>
                <w:szCs w:val="23"/>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3"/>
                <w:szCs w:val="23"/>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1.49%</w:t>
            </w: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Expected life (in years) </w:t>
            </w:r>
            <w:r>
              <w:rPr>
                <w:rFonts w:ascii="Arial" w:cs="Arial" w:eastAsia="Arial" w:hAnsi="Arial"/>
                <w:sz w:val="21"/>
                <w:szCs w:val="21"/>
                <w:color w:val="auto"/>
                <w:vertAlign w:val="superscript"/>
              </w:rPr>
              <w:t>(3)</w:t>
            </w:r>
          </w:p>
        </w:tc>
        <w:tc>
          <w:tcPr>
            <w:tcW w:w="30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w:t>
            </w:r>
          </w:p>
        </w:tc>
      </w:tr>
      <w:tr>
        <w:trPr>
          <w:trHeight w:val="270"/>
        </w:trPr>
        <w:tc>
          <w:tcPr>
            <w:tcW w:w="5200" w:type="dxa"/>
            <w:vAlign w:val="bottom"/>
          </w:tcPr>
          <w:p>
            <w:pPr>
              <w:ind w:left="40"/>
              <w:spacing w:after="0"/>
              <w:rPr>
                <w:sz w:val="20"/>
                <w:szCs w:val="20"/>
                <w:color w:val="auto"/>
              </w:rPr>
            </w:pPr>
            <w:r>
              <w:rPr>
                <w:rFonts w:ascii="Arial" w:cs="Arial" w:eastAsia="Arial" w:hAnsi="Arial"/>
                <w:sz w:val="16"/>
                <w:szCs w:val="16"/>
                <w:color w:val="auto"/>
              </w:rPr>
              <w:t xml:space="preserve">Expected volatility </w:t>
            </w:r>
            <w:r>
              <w:rPr>
                <w:rFonts w:ascii="Arial" w:cs="Arial" w:eastAsia="Arial" w:hAnsi="Arial"/>
                <w:sz w:val="21"/>
                <w:szCs w:val="21"/>
                <w:color w:val="auto"/>
                <w:vertAlign w:val="superscript"/>
              </w:rPr>
              <w:t>(4)</w:t>
            </w:r>
          </w:p>
        </w:tc>
        <w:tc>
          <w:tcPr>
            <w:tcW w:w="3000" w:type="dxa"/>
            <w:vAlign w:val="bottom"/>
          </w:tcPr>
          <w:p>
            <w:pPr>
              <w:jc w:val="right"/>
              <w:ind w:right="179"/>
              <w:spacing w:after="0"/>
              <w:rPr>
                <w:sz w:val="20"/>
                <w:szCs w:val="20"/>
                <w:color w:val="auto"/>
              </w:rPr>
            </w:pPr>
            <w:r>
              <w:rPr>
                <w:rFonts w:ascii="Arial" w:cs="Arial" w:eastAsia="Arial" w:hAnsi="Arial"/>
                <w:sz w:val="16"/>
                <w:szCs w:val="16"/>
                <w:color w:val="auto"/>
              </w:rPr>
              <w:t>38.08%</w:t>
            </w:r>
          </w:p>
        </w:tc>
        <w:tc>
          <w:tcPr>
            <w:tcW w:w="120" w:type="dxa"/>
            <w:vAlign w:val="bottom"/>
          </w:tcPr>
          <w:p>
            <w:pPr>
              <w:spacing w:after="0"/>
              <w:rPr>
                <w:sz w:val="23"/>
                <w:szCs w:val="23"/>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39.34%</w:t>
            </w:r>
          </w:p>
        </w:tc>
        <w:tc>
          <w:tcPr>
            <w:tcW w:w="100" w:type="dxa"/>
            <w:vAlign w:val="bottom"/>
          </w:tcPr>
          <w:p>
            <w:pPr>
              <w:spacing w:after="0"/>
              <w:rPr>
                <w:sz w:val="23"/>
                <w:szCs w:val="23"/>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43.52%</w:t>
            </w: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of options granted</w:t>
            </w:r>
          </w:p>
        </w:tc>
        <w:tc>
          <w:tcPr>
            <w:tcW w:w="30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$14.78</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$5.31</w:t>
            </w:r>
          </w:p>
        </w:tc>
      </w:tr>
    </w:tbl>
    <w:p>
      <w:pPr>
        <w:spacing w:after="0" w:line="59"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Forfeitures are recorded when they occur.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Risk-free interest rate is based on Treasury Securities constant maturity interest rate whose term is consistent with the expected life of the stock options.</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Expected life of stock options is based on historical experience.</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Expected stock price volatility is based on historical experience over a term consistent with the expected life of the stock options.</w:t>
      </w:r>
    </w:p>
    <w:p>
      <w:pPr>
        <w:spacing w:after="0" w:line="18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weighted average remaining contractual life for options outstanding at August 25, 2018 was 8.6 years. Aggregate intrinsic value for options outstanding at August 25, 2018 was $0.6 million. As of August 25, 2018, there was $1.0 million of unrecognized compensation expense related to option awards that is expected to be recognized over a weighted average period of 1.8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On October 15, 2018, the Board of Directors granted 114,635 stock options to our officers.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6"/>
                <w:szCs w:val="16"/>
                <w:b w:val="1"/>
                <w:bCs w:val="1"/>
                <w:color w:val="auto"/>
              </w:rPr>
              <w:t>Note 13: Income Taxes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78"/>
        </w:trPr>
        <w:tc>
          <w:tcPr>
            <w:tcW w:w="5720" w:type="dxa"/>
            <w:vAlign w:val="bottom"/>
          </w:tcPr>
          <w:p>
            <w:pPr>
              <w:spacing w:after="0"/>
              <w:rPr>
                <w:sz w:val="20"/>
                <w:szCs w:val="20"/>
                <w:color w:val="auto"/>
              </w:rPr>
            </w:pPr>
            <w:r>
              <w:rPr>
                <w:rFonts w:ascii="Arial" w:cs="Arial" w:eastAsia="Arial" w:hAnsi="Arial"/>
                <w:sz w:val="16"/>
                <w:szCs w:val="16"/>
                <w:color w:val="auto"/>
              </w:rPr>
              <w:t>Income tax expense consisted of the following:</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1"/>
        </w:trPr>
        <w:tc>
          <w:tcPr>
            <w:tcW w:w="5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9"/>
              </w:rPr>
              <w:t>Year Ended</w:t>
            </w: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25, 2018</w:t>
            </w:r>
          </w:p>
        </w:tc>
        <w:tc>
          <w:tcPr>
            <w:tcW w:w="220" w:type="dxa"/>
            <w:vAlign w:val="bottom"/>
          </w:tcPr>
          <w:p>
            <w:pPr>
              <w:spacing w:after="0"/>
              <w:rPr>
                <w:sz w:val="22"/>
                <w:szCs w:val="22"/>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26, 2017</w:t>
            </w:r>
          </w:p>
        </w:tc>
        <w:tc>
          <w:tcPr>
            <w:tcW w:w="200" w:type="dxa"/>
            <w:vAlign w:val="bottom"/>
          </w:tcPr>
          <w:p>
            <w:pPr>
              <w:spacing w:after="0"/>
              <w:rPr>
                <w:sz w:val="22"/>
                <w:szCs w:val="22"/>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 2016</w:t>
            </w:r>
          </w:p>
        </w:tc>
      </w:tr>
      <w:tr>
        <w:trPr>
          <w:trHeight w:val="270"/>
        </w:trPr>
        <w:tc>
          <w:tcPr>
            <w:tcW w:w="5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20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28,874</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33,125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14,293</w:t>
            </w:r>
          </w:p>
        </w:tc>
      </w:tr>
      <w:tr>
        <w:trPr>
          <w:trHeight w:val="273"/>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1,685</w:t>
            </w:r>
          </w:p>
        </w:tc>
      </w:tr>
      <w:tr>
        <w:trPr>
          <w:trHeight w:val="250"/>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34,089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36,062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15,978</w:t>
            </w: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5,123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4,280</w:t>
            </w:r>
          </w:p>
        </w:tc>
      </w:tr>
      <w:tr>
        <w:trPr>
          <w:trHeight w:val="273"/>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r>
      <w:tr>
        <w:trPr>
          <w:trHeight w:val="250"/>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6,194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4,724</w:t>
            </w:r>
          </w:p>
        </w:tc>
      </w:tr>
      <w:tr>
        <w:trPr>
          <w:trHeight w:val="24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20,702</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41"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50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06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47"/>
        </w:trPr>
        <w:tc>
          <w:tcPr>
            <w:tcW w:w="9320" w:type="dxa"/>
            <w:vAlign w:val="bottom"/>
            <w:gridSpan w:val="6"/>
          </w:tcPr>
          <w:p>
            <w:pPr>
              <w:spacing w:after="0"/>
              <w:rPr>
                <w:sz w:val="20"/>
                <w:szCs w:val="20"/>
                <w:color w:val="auto"/>
              </w:rPr>
            </w:pPr>
            <w:r>
              <w:rPr>
                <w:rFonts w:ascii="Arial" w:cs="Arial" w:eastAsia="Arial" w:hAnsi="Arial"/>
                <w:sz w:val="16"/>
                <w:szCs w:val="16"/>
                <w:color w:val="auto"/>
              </w:rPr>
              <w:t>The following table provides a reconciliation of the U.S. statutory income tax rate to our effective income tax rate:</w:t>
            </w:r>
          </w:p>
        </w:tc>
        <w:tc>
          <w:tcPr>
            <w:tcW w:w="21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Year Ended</w:t>
            </w:r>
          </w:p>
        </w:tc>
        <w:tc>
          <w:tcPr>
            <w:tcW w:w="210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160" w:type="dxa"/>
            <w:vAlign w:val="bottom"/>
            <w:gridSpan w:val="2"/>
          </w:tcPr>
          <w:p>
            <w:pPr>
              <w:ind w:left="360"/>
              <w:spacing w:after="0"/>
              <w:rPr>
                <w:sz w:val="20"/>
                <w:szCs w:val="20"/>
                <w:color w:val="auto"/>
              </w:rPr>
            </w:pPr>
            <w:r>
              <w:rPr>
                <w:rFonts w:ascii="Arial" w:cs="Arial" w:eastAsia="Arial" w:hAnsi="Arial"/>
                <w:sz w:val="16"/>
                <w:szCs w:val="16"/>
                <w:b w:val="1"/>
                <w:bCs w:val="1"/>
                <w:color w:val="auto"/>
              </w:rPr>
              <w:t>August 25, 2018</w:t>
            </w:r>
          </w:p>
        </w:tc>
        <w:tc>
          <w:tcPr>
            <w:tcW w:w="2160" w:type="dxa"/>
            <w:vAlign w:val="bottom"/>
            <w:gridSpan w:val="2"/>
          </w:tcPr>
          <w:p>
            <w:pPr>
              <w:ind w:left="420"/>
              <w:spacing w:after="0"/>
              <w:rPr>
                <w:sz w:val="20"/>
                <w:szCs w:val="20"/>
                <w:color w:val="auto"/>
              </w:rPr>
            </w:pPr>
            <w:r>
              <w:rPr>
                <w:rFonts w:ascii="Arial" w:cs="Arial" w:eastAsia="Arial" w:hAnsi="Arial"/>
                <w:sz w:val="16"/>
                <w:szCs w:val="16"/>
                <w:b w:val="1"/>
                <w:bCs w:val="1"/>
                <w:color w:val="auto"/>
              </w:rPr>
              <w:t>August 26, 2017</w:t>
            </w:r>
          </w:p>
        </w:tc>
        <w:tc>
          <w:tcPr>
            <w:tcW w:w="21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5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r>
              <w:rPr>
                <w:rFonts w:ascii="Arial" w:cs="Arial" w:eastAsia="Arial" w:hAnsi="Arial"/>
                <w:sz w:val="21"/>
                <w:szCs w:val="21"/>
                <w:color w:val="auto"/>
                <w:vertAlign w:val="superscript"/>
              </w:rPr>
              <w:t>(1)</w:t>
            </w:r>
          </w:p>
        </w:tc>
        <w:tc>
          <w:tcPr>
            <w:tcW w:w="20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25.9 %</w:t>
            </w:r>
          </w:p>
        </w:tc>
        <w:tc>
          <w:tcPr>
            <w:tcW w:w="100" w:type="dxa"/>
            <w:vAlign w:val="bottom"/>
            <w:tcBorders>
              <w:top w:val="single" w:sz="8" w:color="CCEEFF"/>
            </w:tcBorders>
            <w:shd w:val="clear" w:color="auto" w:fill="CCEEFF"/>
          </w:tcPr>
          <w:p>
            <w:pPr>
              <w:spacing w:after="0"/>
              <w:rPr>
                <w:sz w:val="22"/>
                <w:szCs w:val="22"/>
                <w:color w:val="auto"/>
              </w:rPr>
            </w:pPr>
          </w:p>
        </w:tc>
        <w:tc>
          <w:tcPr>
            <w:tcW w:w="20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35.0 %</w:t>
            </w:r>
          </w:p>
        </w:tc>
        <w:tc>
          <w:tcPr>
            <w:tcW w:w="100" w:type="dxa"/>
            <w:vAlign w:val="bottom"/>
            <w:tcBorders>
              <w:top w:val="single" w:sz="8" w:color="CCEEFF"/>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35.0 %</w:t>
            </w:r>
          </w:p>
        </w:tc>
      </w:tr>
      <w:tr>
        <w:trPr>
          <w:trHeight w:val="260"/>
        </w:trPr>
        <w:tc>
          <w:tcPr>
            <w:tcW w:w="5000" w:type="dxa"/>
            <w:vAlign w:val="bottom"/>
            <w:gridSpan w:val="2"/>
          </w:tcPr>
          <w:p>
            <w:pPr>
              <w:ind w:left="40"/>
              <w:spacing w:after="0"/>
              <w:rPr>
                <w:sz w:val="20"/>
                <w:szCs w:val="20"/>
                <w:color w:val="auto"/>
              </w:rPr>
            </w:pPr>
            <w:r>
              <w:rPr>
                <w:rFonts w:ascii="Arial" w:cs="Arial" w:eastAsia="Arial" w:hAnsi="Arial"/>
                <w:sz w:val="16"/>
                <w:szCs w:val="16"/>
                <w:color w:val="auto"/>
              </w:rPr>
              <w:t>State taxes, net of federal benefit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2"/>
                <w:szCs w:val="22"/>
                <w:color w:val="auto"/>
              </w:rPr>
            </w:pP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2"/>
                <w:szCs w:val="22"/>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2.5 %</w:t>
            </w:r>
          </w:p>
        </w:tc>
      </w:tr>
      <w:tr>
        <w:trPr>
          <w:trHeight w:val="280"/>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Tax-free and dividend income</w:t>
            </w:r>
          </w:p>
        </w:tc>
        <w:tc>
          <w:tcPr>
            <w:tcW w:w="2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w:t>
            </w:r>
          </w:p>
        </w:tc>
      </w:tr>
      <w:tr>
        <w:trPr>
          <w:trHeight w:val="260"/>
        </w:trPr>
        <w:tc>
          <w:tcPr>
            <w:tcW w:w="5000" w:type="dxa"/>
            <w:vAlign w:val="bottom"/>
            <w:gridSpan w:val="2"/>
          </w:tcPr>
          <w:p>
            <w:pPr>
              <w:ind w:left="40"/>
              <w:spacing w:after="0"/>
              <w:rPr>
                <w:sz w:val="20"/>
                <w:szCs w:val="20"/>
                <w:color w:val="auto"/>
              </w:rPr>
            </w:pPr>
            <w:r>
              <w:rPr>
                <w:rFonts w:ascii="Arial" w:cs="Arial" w:eastAsia="Arial" w:hAnsi="Arial"/>
                <w:sz w:val="16"/>
                <w:szCs w:val="16"/>
                <w:color w:val="auto"/>
              </w:rPr>
              <w:t>Income tax credits</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2100" w:type="dxa"/>
            <w:vAlign w:val="bottom"/>
          </w:tcPr>
          <w:p>
            <w:pPr>
              <w:jc w:val="right"/>
              <w:ind w:right="299"/>
              <w:spacing w:after="0"/>
              <w:rPr>
                <w:sz w:val="20"/>
                <w:szCs w:val="20"/>
                <w:color w:val="auto"/>
              </w:rPr>
            </w:pPr>
            <w:r>
              <w:rPr>
                <w:rFonts w:ascii="Arial" w:cs="Arial" w:eastAsia="Arial" w:hAnsi="Arial"/>
                <w:sz w:val="16"/>
                <w:szCs w:val="16"/>
                <w:color w:val="auto"/>
              </w:rPr>
              <w:t>(1.1)%</w:t>
            </w:r>
          </w:p>
        </w:tc>
      </w:tr>
      <w:tr>
        <w:trPr>
          <w:trHeight w:val="280"/>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2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(2.5)%</w:t>
            </w:r>
          </w:p>
        </w:tc>
      </w:tr>
      <w:tr>
        <w:trPr>
          <w:trHeight w:val="260"/>
        </w:trPr>
        <w:tc>
          <w:tcPr>
            <w:tcW w:w="5000" w:type="dxa"/>
            <w:vAlign w:val="bottom"/>
            <w:gridSpan w:val="2"/>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2"/>
                <w:szCs w:val="22"/>
                <w:color w:val="auto"/>
              </w:rPr>
            </w:pP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 %</w:t>
            </w:r>
          </w:p>
        </w:tc>
      </w:tr>
      <w:tr>
        <w:trPr>
          <w:trHeight w:val="280"/>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Impact from Tax Act</w:t>
            </w:r>
          </w:p>
        </w:tc>
        <w:tc>
          <w:tcPr>
            <w:tcW w:w="2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 %</w:t>
            </w:r>
          </w:p>
        </w:tc>
        <w:tc>
          <w:tcPr>
            <w:tcW w:w="21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 %</w:t>
            </w:r>
          </w:p>
        </w:tc>
      </w:tr>
      <w:tr>
        <w:trPr>
          <w:trHeight w:val="264"/>
        </w:trPr>
        <w:tc>
          <w:tcPr>
            <w:tcW w:w="5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items</w:t>
            </w:r>
          </w:p>
        </w:tc>
        <w:tc>
          <w:tcPr>
            <w:tcW w:w="2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(1.3)%</w:t>
            </w:r>
          </w:p>
        </w:tc>
      </w:tr>
      <w:tr>
        <w:trPr>
          <w:trHeight w:val="24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Effective tax provision rate</w:t>
            </w:r>
          </w:p>
        </w:tc>
        <w:tc>
          <w:tcPr>
            <w:tcW w:w="2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28.2 %</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34.3 %</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31.3 %</w:t>
            </w:r>
          </w:p>
        </w:tc>
      </w:tr>
      <w:tr>
        <w:trPr>
          <w:trHeight w:val="20"/>
        </w:trPr>
        <w:tc>
          <w:tcPr>
            <w:tcW w:w="1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The U.S. federal statutory rate for the year ended August 25, 2018 is a blended rate, which includes the impact of the Tax Act enactment.</w:t>
      </w:r>
    </w:p>
    <w:p>
      <w:pPr>
        <w:spacing w:after="0" w:line="187"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Our effective tax rate decreased to 28.2% for Fiscal 2018 from 34.3% for Fiscal 2017 due primarily to the enactment of the Tax Act on December 22, 2017. One of the most significant provisions of this legislation was a reduction in the Federal corporate income tax rate from 35.0% to 21.0% effective beginning January 1, 2018. Most of the remaining significant provisions of the Tax Act, such as the repeal of the federal domestic production activities deduction, take effect in our Fiscal 2019.</w:t>
      </w:r>
    </w:p>
    <w:p>
      <w:pPr>
        <w:spacing w:after="0" w:line="160"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 xml:space="preserve">ASU 2018-05, </w:t>
      </w:r>
      <w:r>
        <w:rPr>
          <w:rFonts w:ascii="Arial" w:cs="Arial" w:eastAsia="Arial" w:hAnsi="Arial"/>
          <w:sz w:val="16"/>
          <w:szCs w:val="16"/>
          <w:i w:val="1"/>
          <w:iCs w:val="1"/>
          <w:color w:val="auto"/>
        </w:rPr>
        <w:t>Income Taxes (Topic 740): Amendments to SEC Paragraphs Pursuant to SEC Staff Accounting Bulletin No. 118</w:t>
      </w:r>
      <w:r>
        <w:rPr>
          <w:rFonts w:ascii="Arial" w:cs="Arial" w:eastAsia="Arial" w:hAnsi="Arial"/>
          <w:sz w:val="16"/>
          <w:szCs w:val="16"/>
          <w:color w:val="auto"/>
        </w:rPr>
        <w:t xml:space="preserve">, provided guidance for companies that allows for a measurement period of up to one year after the enactment date of the Tax Act to finalize the recording of the related tax impacts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In accordance with this guidance, a company must reflect the income tax effect of those aspects of the Tax Act for which the accounting under ASC 740 is complete. To the extent that a company's accounting for certain income tax effects of the Tax Act is incomplete, but it is able to determine a reasonable estimate, the company must record a provisional estimate in the financial statements.</w:t>
      </w:r>
    </w:p>
    <w:p>
      <w:pPr>
        <w:spacing w:after="0" w:line="17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In accordance with ASC 740, as of the date of enactment through the year ended August 25, 2018, we recorded a non-cash provisional estimate of $3.6 million to income tax expense and a corresponding increase in the net deferred tax asset as a result of revaluing all deferred tax assets and liabilities at the newly enacted Federal corporate income tax rate.</w:t>
      </w:r>
    </w:p>
    <w:p>
      <w:pPr>
        <w:spacing w:after="0" w:line="17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are still analyzing certain aspects of the Tax Act and refining our calculations, which could potentially affect the measurement of our deferred tax balances and cause us to revise our estimate in future periods. These impacts may be material, due to, among other things, further refinement of our calculations, changes in interpretations of the Tax Act, or issuance of additional guidance by the relevant tax authorities.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Pr>
          <w:p>
            <w:pPr>
              <w:spacing w:after="0"/>
              <w:rPr>
                <w:sz w:val="20"/>
                <w:szCs w:val="20"/>
                <w:color w:val="auto"/>
              </w:rPr>
            </w:pPr>
            <w:r>
              <w:rPr>
                <w:rFonts w:ascii="Arial" w:cs="Arial" w:eastAsia="Arial" w:hAnsi="Arial"/>
                <w:sz w:val="16"/>
                <w:szCs w:val="16"/>
                <w:color w:val="auto"/>
              </w:rPr>
              <w:t>The tax effects of temporary differences that give rise to deferred income taxes were as follows:</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91"/>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4"/>
                <w:szCs w:val="24"/>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25, 2018</w:t>
            </w:r>
          </w:p>
        </w:tc>
        <w:tc>
          <w:tcPr>
            <w:tcW w:w="280" w:type="dxa"/>
            <w:vAlign w:val="bottom"/>
          </w:tcPr>
          <w:p>
            <w:pPr>
              <w:spacing w:after="0"/>
              <w:rPr>
                <w:sz w:val="24"/>
                <w:szCs w:val="24"/>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26, 2017</w:t>
            </w:r>
          </w:p>
        </w:tc>
      </w:tr>
      <w:tr>
        <w:trPr>
          <w:trHeight w:val="270"/>
        </w:trPr>
        <w:tc>
          <w:tcPr>
            <w:tcW w:w="7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 (liability)</w:t>
            </w:r>
          </w:p>
        </w:tc>
        <w:tc>
          <w:tcPr>
            <w:tcW w:w="2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r>
      <w:tr>
        <w:trPr>
          <w:trHeight w:val="260"/>
        </w:trPr>
        <w:tc>
          <w:tcPr>
            <w:tcW w:w="716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4,730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9,135</w:t>
            </w:r>
          </w:p>
        </w:tc>
      </w:tr>
      <w:tr>
        <w:trPr>
          <w:trHeight w:val="280"/>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Warranty reserves</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9,842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11,675</w:t>
            </w:r>
          </w:p>
        </w:tc>
      </w:tr>
      <w:tr>
        <w:trPr>
          <w:trHeight w:val="260"/>
        </w:trPr>
        <w:tc>
          <w:tcPr>
            <w:tcW w:w="7160" w:type="dxa"/>
            <w:vAlign w:val="bottom"/>
          </w:tcPr>
          <w:p>
            <w:pPr>
              <w:ind w:left="180"/>
              <w:spacing w:after="0"/>
              <w:rPr>
                <w:sz w:val="20"/>
                <w:szCs w:val="20"/>
                <w:color w:val="auto"/>
              </w:rPr>
            </w:pPr>
            <w:r>
              <w:rPr>
                <w:rFonts w:ascii="Arial" w:cs="Arial" w:eastAsia="Arial" w:hAnsi="Arial"/>
                <w:sz w:val="16"/>
                <w:szCs w:val="16"/>
                <w:color w:val="auto"/>
              </w:rPr>
              <w:t>Self-insurance reserve</w:t>
            </w: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1,967</w:t>
            </w:r>
          </w:p>
        </w:tc>
      </w:tr>
      <w:tr>
        <w:trPr>
          <w:trHeight w:val="280"/>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vacation</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2,142</w:t>
            </w:r>
          </w:p>
        </w:tc>
      </w:tr>
      <w:tr>
        <w:trPr>
          <w:trHeight w:val="260"/>
        </w:trPr>
        <w:tc>
          <w:tcPr>
            <w:tcW w:w="7160" w:type="dxa"/>
            <w:vAlign w:val="bottom"/>
          </w:tcPr>
          <w:p>
            <w:pPr>
              <w:ind w:left="180"/>
              <w:spacing w:after="0"/>
              <w:rPr>
                <w:sz w:val="20"/>
                <w:szCs w:val="20"/>
                <w:color w:val="auto"/>
              </w:rPr>
            </w:pPr>
            <w:r>
              <w:rPr>
                <w:rFonts w:ascii="Arial" w:cs="Arial" w:eastAsia="Arial" w:hAnsi="Arial"/>
                <w:sz w:val="16"/>
                <w:szCs w:val="16"/>
                <w:color w:val="auto"/>
              </w:rPr>
              <w:t>Stock based compensation</w:t>
            </w: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943</w:t>
            </w:r>
          </w:p>
        </w:tc>
      </w:tr>
      <w:tr>
        <w:trPr>
          <w:trHeight w:val="280"/>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7160" w:type="dxa"/>
            <w:vAlign w:val="bottom"/>
          </w:tcPr>
          <w:p>
            <w:pPr>
              <w:ind w:left="180"/>
              <w:spacing w:after="0"/>
              <w:rPr>
                <w:sz w:val="20"/>
                <w:szCs w:val="20"/>
                <w:color w:val="auto"/>
              </w:rPr>
            </w:pPr>
            <w:r>
              <w:rPr>
                <w:rFonts w:ascii="Arial" w:cs="Arial" w:eastAsia="Arial" w:hAnsi="Arial"/>
                <w:sz w:val="16"/>
                <w:szCs w:val="16"/>
                <w:color w:val="auto"/>
              </w:rPr>
              <w:t>Unrecognized tax benefit</w:t>
            </w: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437</w:t>
            </w:r>
          </w:p>
        </w:tc>
      </w:tr>
      <w:tr>
        <w:trPr>
          <w:trHeight w:val="280"/>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1,797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2,072</w:t>
            </w:r>
          </w:p>
        </w:tc>
      </w:tr>
      <w:tr>
        <w:trPr>
          <w:trHeight w:val="240"/>
        </w:trPr>
        <w:tc>
          <w:tcPr>
            <w:tcW w:w="7160" w:type="dxa"/>
            <w:vAlign w:val="bottom"/>
          </w:tcPr>
          <w:p>
            <w:pPr>
              <w:ind w:left="220"/>
              <w:spacing w:after="0"/>
              <w:rPr>
                <w:sz w:val="20"/>
                <w:szCs w:val="20"/>
                <w:color w:val="auto"/>
              </w:rPr>
            </w:pPr>
            <w:r>
              <w:rPr>
                <w:rFonts w:ascii="Arial" w:cs="Arial" w:eastAsia="Arial" w:hAnsi="Arial"/>
                <w:sz w:val="16"/>
                <w:szCs w:val="16"/>
                <w:color w:val="auto"/>
              </w:rPr>
              <w:t>Total deferred tax assets</w:t>
            </w:r>
          </w:p>
        </w:tc>
        <w:tc>
          <w:tcPr>
            <w:tcW w:w="280" w:type="dxa"/>
            <w:vAlign w:val="bottom"/>
          </w:tcPr>
          <w:p>
            <w:pPr>
              <w:spacing w:after="0"/>
              <w:rPr>
                <w:sz w:val="20"/>
                <w:szCs w:val="20"/>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22,744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28,371</w:t>
            </w:r>
          </w:p>
        </w:tc>
      </w:tr>
      <w:tr>
        <w:trPr>
          <w:trHeight w:val="280"/>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(1,919)</w:t>
            </w:r>
          </w:p>
        </w:tc>
      </w:tr>
      <w:tr>
        <w:trPr>
          <w:trHeight w:val="260"/>
        </w:trPr>
        <w:tc>
          <w:tcPr>
            <w:tcW w:w="7160" w:type="dxa"/>
            <w:vAlign w:val="bottom"/>
          </w:tcPr>
          <w:p>
            <w:pPr>
              <w:ind w:left="180"/>
              <w:spacing w:after="0"/>
              <w:rPr>
                <w:sz w:val="20"/>
                <w:szCs w:val="20"/>
                <w:color w:val="auto"/>
              </w:rPr>
            </w:pPr>
            <w:r>
              <w:rPr>
                <w:rFonts w:ascii="Arial" w:cs="Arial" w:eastAsia="Arial" w:hAnsi="Arial"/>
                <w:sz w:val="16"/>
                <w:szCs w:val="16"/>
                <w:color w:val="auto"/>
              </w:rPr>
              <w:t>Intangibles</w:t>
            </w:r>
          </w:p>
        </w:tc>
        <w:tc>
          <w:tcPr>
            <w:tcW w:w="280" w:type="dxa"/>
            <w:vAlign w:val="bottom"/>
          </w:tcPr>
          <w:p>
            <w:pPr>
              <w:spacing w:after="0"/>
              <w:rPr>
                <w:sz w:val="22"/>
                <w:szCs w:val="22"/>
                <w:color w:val="auto"/>
              </w:rPr>
            </w:pPr>
          </w:p>
        </w:tc>
        <w:tc>
          <w:tcPr>
            <w:tcW w:w="1800" w:type="dxa"/>
            <w:vAlign w:val="bottom"/>
          </w:tcPr>
          <w:p>
            <w:pPr>
              <w:jc w:val="right"/>
              <w:ind w:right="299"/>
              <w:spacing w:after="0"/>
              <w:rPr>
                <w:sz w:val="20"/>
                <w:szCs w:val="20"/>
                <w:color w:val="auto"/>
              </w:rPr>
            </w:pPr>
            <w:r>
              <w:rPr>
                <w:rFonts w:ascii="Arial" w:cs="Arial" w:eastAsia="Arial" w:hAnsi="Arial"/>
                <w:sz w:val="16"/>
                <w:szCs w:val="16"/>
                <w:color w:val="auto"/>
              </w:rPr>
              <w:t>(21,292)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299"/>
              <w:spacing w:after="0"/>
              <w:rPr>
                <w:sz w:val="20"/>
                <w:szCs w:val="20"/>
                <w:color w:val="auto"/>
              </w:rPr>
            </w:pPr>
            <w:r>
              <w:rPr>
                <w:rFonts w:ascii="Arial" w:cs="Arial" w:eastAsia="Arial" w:hAnsi="Arial"/>
                <w:sz w:val="16"/>
                <w:szCs w:val="16"/>
                <w:color w:val="auto"/>
              </w:rPr>
              <w:t>(7,455)</w:t>
            </w:r>
          </w:p>
        </w:tc>
      </w:tr>
      <w:tr>
        <w:trPr>
          <w:trHeight w:val="273"/>
        </w:trPr>
        <w:tc>
          <w:tcPr>
            <w:tcW w:w="7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(5,909)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(6,261)</w:t>
            </w:r>
          </w:p>
        </w:tc>
      </w:tr>
      <w:tr>
        <w:trPr>
          <w:trHeight w:val="250"/>
        </w:trPr>
        <w:tc>
          <w:tcPr>
            <w:tcW w:w="7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deferred tax liabilities</w:t>
            </w: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(27,201)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(15,635)</w:t>
            </w:r>
          </w:p>
        </w:tc>
      </w:tr>
      <w:tr>
        <w:trPr>
          <w:trHeight w:val="24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income tax (liabilities) assets,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(4,457)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12,736</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60" w:right="320" w:hanging="252"/>
        <w:spacing w:after="0" w:line="258"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At August 25, 2018, other includes $1.4 million and $0.1 million related to federal and state net operating losses, respectively, that do not expire. We have evaluated all the positive and negative evidence and consider it more likely than not that these carryforwards can be realized.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18" w:right="23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It is our policy to recognize interest and penalties accrued relative to unrecognized tax benefits in income tax expense. Total reserves for uncertain tax positions were not material.</w:t>
      </w:r>
    </w:p>
    <w:p>
      <w:pPr>
        <w:spacing w:after="0" w:line="16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August 25, 2018, our federal returns from Fiscal 2015 to present are subject to review by the IRS. With limited exception, state returns from Fiscal 2014 to present continue to be subject to review by state taxing jurisdictions. Several years may lapse before an uncertain tax position is audited and finally resolved and it is difficult to predict the outcome of such audits.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per Share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9"/>
              </w:rPr>
              <w:t>Year Ended</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25, 2018</w:t>
            </w:r>
          </w:p>
        </w:tc>
        <w:tc>
          <w:tcPr>
            <w:tcW w:w="220" w:type="dxa"/>
            <w:vAlign w:val="bottom"/>
          </w:tcPr>
          <w:p>
            <w:pPr>
              <w:spacing w:after="0"/>
              <w:rPr>
                <w:sz w:val="22"/>
                <w:szCs w:val="22"/>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26, 2017</w:t>
            </w:r>
          </w:p>
        </w:tc>
        <w:tc>
          <w:tcPr>
            <w:tcW w:w="200" w:type="dxa"/>
            <w:vAlign w:val="bottom"/>
          </w:tcPr>
          <w:p>
            <w:pPr>
              <w:spacing w:after="0"/>
              <w:rPr>
                <w:sz w:val="22"/>
                <w:szCs w:val="22"/>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 2016</w:t>
            </w:r>
          </w:p>
        </w:tc>
      </w:tr>
      <w:tr>
        <w:trPr>
          <w:trHeight w:val="270"/>
        </w:trPr>
        <w:tc>
          <w:tcPr>
            <w:tcW w:w="5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per share - basic</w:t>
            </w:r>
          </w:p>
        </w:tc>
        <w:tc>
          <w:tcPr>
            <w:tcW w:w="20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102,357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71,330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45,496</w:t>
            </w:r>
          </w:p>
        </w:tc>
      </w:tr>
      <w:tr>
        <w:trPr>
          <w:trHeight w:val="28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26,925</w:t>
            </w: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Net income per share - basic</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293"/>
        </w:trPr>
        <w:tc>
          <w:tcPr>
            <w:tcW w:w="5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Income per share - assuming dilution</w:t>
            </w: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102,357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45,496</w:t>
            </w: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31,596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30,648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26,925</w:t>
            </w:r>
          </w:p>
        </w:tc>
      </w:tr>
      <w:tr>
        <w:trPr>
          <w:trHeight w:val="27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47"/>
        </w:trPr>
        <w:tc>
          <w:tcPr>
            <w:tcW w:w="5720" w:type="dxa"/>
            <w:vAlign w:val="bottom"/>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0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31,814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30,766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27,033</w:t>
            </w:r>
          </w:p>
        </w:tc>
      </w:tr>
      <w:tr>
        <w:trPr>
          <w:trHeight w:val="28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r>
    </w:tbl>
    <w:p>
      <w:pPr>
        <w:spacing w:after="0" w:line="191"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computation of weighted average shares and potential dilutive shares outstanding excludes the effect of options to purchase 62,323, 55,800, and 10,000 shares of common stock for the fiscal years ended August 25, 2018, August 26, 2017, and August 27, 2016, respectively. These amounts were not included in the computation of diluted income per share because they are considered anti-dilutive under the treasury stock method.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Accumulated Other Comprehensive Income (Loss)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w w:val="99"/>
              </w:rPr>
              <w:t>Year Ended</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64"/>
        </w:trPr>
        <w:tc>
          <w:tcPr>
            <w:tcW w:w="29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August 25, 2018</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August 26, 2017</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198"/>
        </w:trPr>
        <w:tc>
          <w:tcPr>
            <w:tcW w:w="296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Defined Benefit</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Swap</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Swap</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57"/>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10,975</w:t>
            </w:r>
          </w:p>
        </w:tc>
      </w:tr>
      <w:tr>
        <w:trPr>
          <w:trHeight w:val="260"/>
        </w:trPr>
        <w:tc>
          <w:tcPr>
            <w:tcW w:w="296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420" w:type="dxa"/>
            <w:vAlign w:val="bottom"/>
          </w:tcPr>
          <w:p>
            <w:pPr>
              <w:spacing w:after="0"/>
              <w:rPr>
                <w:sz w:val="22"/>
                <w:szCs w:val="2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3,846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3,332</w:t>
            </w:r>
          </w:p>
        </w:tc>
      </w:tr>
      <w:tr>
        <w:trPr>
          <w:trHeight w:val="273"/>
        </w:trPr>
        <w:tc>
          <w:tcPr>
            <w:tcW w:w="2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(15,330)</w:t>
            </w:r>
          </w:p>
        </w:tc>
      </w:tr>
      <w:tr>
        <w:trPr>
          <w:trHeight w:val="247"/>
        </w:trPr>
        <w:tc>
          <w:tcPr>
            <w:tcW w:w="2960" w:type="dxa"/>
            <w:vAlign w:val="bottom"/>
          </w:tcPr>
          <w:p>
            <w:pPr>
              <w:ind w:left="280"/>
              <w:spacing w:after="0"/>
              <w:rPr>
                <w:sz w:val="20"/>
                <w:szCs w:val="20"/>
                <w:color w:val="auto"/>
              </w:rPr>
            </w:pPr>
            <w:r>
              <w:rPr>
                <w:rFonts w:ascii="Arial" w:cs="Arial" w:eastAsia="Arial" w:hAnsi="Arial"/>
                <w:sz w:val="16"/>
                <w:szCs w:val="16"/>
                <w:color w:val="auto"/>
              </w:rPr>
              <w:t>Net current-period OCI</w:t>
            </w:r>
          </w:p>
        </w:tc>
        <w:tc>
          <w:tcPr>
            <w:tcW w:w="4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(11,484)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(11,998)</w:t>
            </w:r>
          </w:p>
        </w:tc>
      </w:tr>
      <w:tr>
        <w:trPr>
          <w:trHeight w:val="273"/>
        </w:trPr>
        <w:tc>
          <w:tcPr>
            <w:tcW w:w="2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Reclassification to retained earnings</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40"/>
        </w:trPr>
        <w:tc>
          <w:tcPr>
            <w:tcW w:w="296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1,483</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(1,023)</w:t>
            </w:r>
          </w:p>
        </w:tc>
      </w:tr>
      <w:tr>
        <w:trPr>
          <w:trHeight w:val="20"/>
        </w:trPr>
        <w:tc>
          <w:tcPr>
            <w:tcW w:w="2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98"/>
        </w:trPr>
        <w:tc>
          <w:tcPr>
            <w:tcW w:w="2760" w:type="dxa"/>
            <w:vAlign w:val="bottom"/>
          </w:tcPr>
          <w:p>
            <w:pPr>
              <w:spacing w:after="0"/>
              <w:rPr>
                <w:sz w:val="17"/>
                <w:szCs w:val="17"/>
                <w:color w:val="auto"/>
              </w:rPr>
            </w:pPr>
          </w:p>
        </w:tc>
        <w:tc>
          <w:tcPr>
            <w:tcW w:w="4480" w:type="dxa"/>
            <w:vAlign w:val="bottom"/>
          </w:tcPr>
          <w:p>
            <w:pPr>
              <w:jc w:val="center"/>
              <w:ind w:left="159"/>
              <w:spacing w:after="0"/>
              <w:rPr>
                <w:sz w:val="20"/>
                <w:szCs w:val="20"/>
                <w:color w:val="auto"/>
              </w:rPr>
            </w:pPr>
            <w:r>
              <w:rPr>
                <w:rFonts w:ascii="Arial" w:cs="Arial" w:eastAsia="Arial" w:hAnsi="Arial"/>
                <w:sz w:val="16"/>
                <w:szCs w:val="16"/>
                <w:b w:val="1"/>
                <w:bCs w:val="1"/>
                <w:color w:val="auto"/>
              </w:rPr>
              <w:t>Location on Consolidated Statements of Income and</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25,</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8"/>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4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Comprehensive Income</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August 26, 2017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SG&amp;A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(25,035)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(4,788)</w:t>
            </w:r>
          </w:p>
        </w:tc>
      </w:tr>
      <w:tr>
        <w:trPr>
          <w:trHeight w:val="264"/>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4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SG&amp;A</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9,705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1,010</w:t>
            </w:r>
          </w:p>
        </w:tc>
      </w:tr>
      <w:tr>
        <w:trPr>
          <w:trHeight w:val="24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reclassifications</w:t>
            </w:r>
          </w:p>
        </w:tc>
        <w:tc>
          <w:tcPr>
            <w:tcW w:w="4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(15,330)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(3,778)</w:t>
            </w:r>
          </w:p>
        </w:tc>
      </w:tr>
      <w:tr>
        <w:trPr>
          <w:trHeight w:val="20"/>
        </w:trPr>
        <w:tc>
          <w:tcPr>
            <w:tcW w:w="2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Interim Financial Information (Unaudited)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 selected operating results for each 3-month quarter of Fiscal 2018 and 2017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Fiscal 2018</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25,</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26,</w:t>
            </w: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450,021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468,359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562,261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536,188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62,831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67,661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85,514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83,830</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31,176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48,277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45,688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17,958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22,088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32,521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29,790</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Net income per share (diluted)</w:t>
            </w:r>
          </w:p>
        </w:tc>
        <w:tc>
          <w:tcPr>
            <w:tcW w:w="1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0.94</w:t>
            </w: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Fiscal 2017</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26,</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245,308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370,510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476,364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454,936</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28,875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49,316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70,804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73,582</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43,471</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11,738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15,278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19,391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24,923</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0.79</w:t>
            </w:r>
          </w:p>
        </w:tc>
      </w:tr>
      <w:tr>
        <w:trPr>
          <w:trHeight w:val="327"/>
        </w:trPr>
        <w:tc>
          <w:tcPr>
            <w:tcW w:w="5160" w:type="dxa"/>
            <w:vAlign w:val="bottom"/>
          </w:tcPr>
          <w:p>
            <w:pPr>
              <w:ind w:left="40"/>
              <w:spacing w:after="0"/>
              <w:rPr>
                <w:sz w:val="20"/>
                <w:szCs w:val="20"/>
                <w:color w:val="auto"/>
              </w:rPr>
            </w:pPr>
            <w:r>
              <w:rPr>
                <w:rFonts w:ascii="Arial" w:cs="Arial" w:eastAsia="Arial" w:hAnsi="Arial"/>
                <w:sz w:val="16"/>
                <w:szCs w:val="16"/>
                <w:color w:val="auto"/>
              </w:rPr>
              <w:t>Net income per share (diluted)</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0.79</w:t>
            </w:r>
          </w:p>
        </w:tc>
      </w:tr>
    </w:tbl>
    <w:p>
      <w:pPr>
        <w:spacing w:after="0" w:line="2"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sum of the quarterly amounts will not equal the YTD amount due primarily to the stock issuance during Fiscal 2017.</w:t>
      </w:r>
    </w:p>
    <w:p>
      <w:pPr>
        <w:spacing w:after="0" w:line="200" w:lineRule="exact"/>
        <w:rPr>
          <w:rFonts w:ascii="Arial" w:cs="Arial" w:eastAsia="Arial" w:hAnsi="Arial"/>
          <w:sz w:val="14"/>
          <w:szCs w:val="14"/>
          <w:color w:val="auto"/>
        </w:rPr>
      </w:pPr>
    </w:p>
    <w:p>
      <w:pPr>
        <w:spacing w:after="0" w:line="230"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6"/>
          <w:szCs w:val="16"/>
          <w:color w:val="auto"/>
        </w:rPr>
        <w:t>62</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(as defined in the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Management's report on internal control over financial reporting as of August 25, 2018 is included within Item 8, </w:t>
      </w:r>
      <w:r>
        <w:rPr>
          <w:rFonts w:ascii="Arial" w:cs="Arial" w:eastAsia="Arial" w:hAnsi="Arial"/>
          <w:sz w:val="16"/>
          <w:szCs w:val="16"/>
          <w:i w:val="1"/>
          <w:iCs w:val="1"/>
          <w:color w:val="auto"/>
        </w:rPr>
        <w:t>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w:t>
      </w:r>
      <w:r>
        <w:rPr>
          <w:rFonts w:ascii="Arial" w:cs="Arial" w:eastAsia="Arial" w:hAnsi="Arial"/>
          <w:sz w:val="16"/>
          <w:szCs w:val="16"/>
          <w:color w:val="auto"/>
        </w:rPr>
        <w:t>, of this Annual Report on Form 10-K and is incorporated herein by reference. The report of Deloitte &amp; Touche LLP on the effectiveness of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over financial reporting is included within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and is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1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There were no changes in internal control over financial reporting during the fourth fiscal quarter ended August 25, 2018 that have materially affected, or are reasonably likely to materially affect, our internal control over financial reporting.</w:t>
      </w:r>
    </w:p>
    <w:p>
      <w:pPr>
        <w:spacing w:after="0" w:line="169"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We are implementing an Enterprise Resource Planning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the table entitled "Executive Officers of the Registrant" in Part I of this report and to the information included under the captions "Corporate Governance," "Section 16(a) Beneficial Ownership Reporting Compliance," "Election of Directors," and "Fiscal Year 2019 Shareholder Proposals" in our Proxy Statement for the Annual Meeting of Shareholders scheduled to be held December 11, 2018, which information is incorporated by reference herein.</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adopted a written code of ethics, the "Code of Conduct" (the "Code"), which is applicable to each our employees, including our Chief Executive Officer, Chief Financial Officer, and Treasurer (such three officers, collectively, the "Senior Officers"). In accordance with the rules and regulations of the SEC, a copy of the Code is posted on our website at www.winnebagoind.com in the "Company" section under "Investor Relations - Corporate Governance."</w:t>
      </w:r>
    </w:p>
    <w:p>
      <w:pPr>
        <w:spacing w:after="0" w:line="17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1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11, 2018,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1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11, 2018, which information is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1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Reference is made to the information included under the caption "Corporate Governance" in our Proxy Statement for the Annual Meeting of Shareholders scheduled to be held December 11, 2018,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1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 the Annual Meeting of Shareholders scheduled to be held December 11, 2018 which information is incorporated by reference herein.</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141"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21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consolidated financial statements are set forth under Item 8 of this report.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194" w:lineRule="exact"/>
        <w:rPr>
          <w:sz w:val="20"/>
          <w:szCs w:val="20"/>
          <w:color w:val="auto"/>
        </w:rPr>
      </w:pPr>
    </w:p>
    <w:p>
      <w:pPr>
        <w:ind w:left="660" w:right="300" w:firstLine="648"/>
        <w:spacing w:after="0" w:line="260" w:lineRule="auto"/>
        <w:rPr>
          <w:sz w:val="20"/>
          <w:szCs w:val="20"/>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 consolidated financial statements or the notes thereto.</w:t>
      </w:r>
    </w:p>
    <w:p>
      <w:pPr>
        <w:spacing w:after="0" w:line="16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Exhibit Index</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Exhibit Number and Description</w:t>
      </w:r>
    </w:p>
    <w:p>
      <w:pPr>
        <w:spacing w:after="0" w:line="214" w:lineRule="exact"/>
        <w:rPr>
          <w:sz w:val="20"/>
          <w:szCs w:val="20"/>
          <w:color w:val="auto"/>
        </w:rPr>
      </w:pPr>
    </w:p>
    <w:p>
      <w:pPr>
        <w:ind w:left="820" w:hanging="479"/>
        <w:spacing w:after="0" w:line="25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2a.</w:t>
      </w:r>
      <w:r>
        <w:rPr>
          <w:sz w:val="20"/>
          <w:szCs w:val="20"/>
          <w:color w:val="auto"/>
        </w:rPr>
        <w:tab/>
      </w:r>
      <w:hyperlink r:id="rId16">
        <w:r>
          <w:rPr>
            <w:rFonts w:ascii="Arial" w:cs="Arial" w:eastAsia="Arial" w:hAnsi="Arial"/>
            <w:sz w:val="16"/>
            <w:szCs w:val="16"/>
            <w:u w:val="single" w:color="auto"/>
            <w:color w:val="0000FF"/>
          </w:rPr>
          <w:t>Securities Purchase Agreement by and among, Grand Design RV, LLC, Octavius Corporation, Winnebago Industries, Inc. Summit Partners Growth</w:t>
        </w:r>
      </w:hyperlink>
      <w:r>
        <w:rPr>
          <w:rFonts w:ascii="Arial" w:cs="Arial" w:eastAsia="Arial" w:hAnsi="Arial"/>
          <w:sz w:val="16"/>
          <w:szCs w:val="16"/>
          <w:u w:val="single" w:color="auto"/>
          <w:color w:val="0000FF"/>
        </w:rPr>
        <w:t xml:space="preserve"> </w:t>
      </w:r>
      <w:hyperlink r:id="rId16">
        <w:r>
          <w:rPr>
            <w:rFonts w:ascii="Arial" w:cs="Arial" w:eastAsia="Arial" w:hAnsi="Arial"/>
            <w:sz w:val="16"/>
            <w:szCs w:val="16"/>
            <w:u w:val="single" w:color="auto"/>
            <w:color w:val="0000FF"/>
          </w:rPr>
          <w:t>Equity Fund VIII-B, L.P., Summit Partners Growth Equity Fund VIII-A, L.P., Summit Partners Entrepreneur Advisors Fund I, L.P., Summit Investors I,</w:t>
        </w:r>
      </w:hyperlink>
      <w:r>
        <w:rPr>
          <w:rFonts w:ascii="Arial" w:cs="Arial" w:eastAsia="Arial" w:hAnsi="Arial"/>
          <w:sz w:val="16"/>
          <w:szCs w:val="16"/>
          <w:u w:val="single" w:color="auto"/>
          <w:color w:val="0000FF"/>
        </w:rPr>
        <w:t xml:space="preserve"> </w:t>
      </w:r>
      <w:hyperlink r:id="rId16">
        <w:r>
          <w:rPr>
            <w:rFonts w:ascii="Arial" w:cs="Arial" w:eastAsia="Arial" w:hAnsi="Arial"/>
            <w:sz w:val="16"/>
            <w:szCs w:val="16"/>
            <w:u w:val="single" w:color="auto"/>
            <w:color w:val="0000FF"/>
          </w:rPr>
          <w:t>LLC, Summit Investors I (UK), L.P., SP GE VIII-B GD RV Holdings, L.P., RDB IIII, Inc., and each of the shareholders of RDB III, Inc. previously filed</w:t>
        </w:r>
      </w:hyperlink>
      <w:r>
        <w:rPr>
          <w:rFonts w:ascii="Arial" w:cs="Arial" w:eastAsia="Arial" w:hAnsi="Arial"/>
          <w:sz w:val="16"/>
          <w:szCs w:val="16"/>
          <w:u w:val="single" w:color="auto"/>
          <w:color w:val="0000FF"/>
        </w:rPr>
        <w:t xml:space="preserve"> </w:t>
      </w:r>
      <w:hyperlink r:id="rId16">
        <w:r>
          <w:rPr>
            <w:rFonts w:ascii="Arial" w:cs="Arial" w:eastAsia="Arial" w:hAnsi="Arial"/>
            <w:sz w:val="16"/>
            <w:szCs w:val="16"/>
            <w:u w:val="single" w:color="auto"/>
            <w:color w:val="0000FF"/>
          </w:rPr>
          <w:t>with the Registrant's Current Report on Form 8-K dated October 2, 2016 (Commission File Number 001-06403) and incorporated by reference</w:t>
        </w:r>
      </w:hyperlink>
      <w:r>
        <w:rPr>
          <w:rFonts w:ascii="Arial" w:cs="Arial" w:eastAsia="Arial" w:hAnsi="Arial"/>
          <w:sz w:val="16"/>
          <w:szCs w:val="16"/>
          <w:u w:val="single" w:color="auto"/>
          <w:color w:val="0000FF"/>
        </w:rPr>
        <w:t xml:space="preserve"> </w:t>
      </w:r>
      <w:hyperlink r:id="rId16">
        <w:r>
          <w:rPr>
            <w:rFonts w:ascii="Arial" w:cs="Arial" w:eastAsia="Arial" w:hAnsi="Arial"/>
            <w:sz w:val="16"/>
            <w:szCs w:val="16"/>
            <w:u w:val="single" w:color="auto"/>
            <w:color w:val="0000FF"/>
          </w:rPr>
          <w:t>herein.</w:t>
        </w:r>
      </w:hyperlink>
    </w:p>
    <w:p>
      <w:pPr>
        <w:spacing w:after="0" w:line="149" w:lineRule="exact"/>
        <w:rPr>
          <w:rFonts w:ascii="Arial" w:cs="Arial" w:eastAsia="Arial" w:hAnsi="Arial"/>
          <w:sz w:val="16"/>
          <w:szCs w:val="16"/>
          <w:u w:val="single" w:color="auto"/>
          <w:color w:val="0000FF"/>
        </w:rPr>
      </w:pPr>
    </w:p>
    <w:p>
      <w:pPr>
        <w:ind w:left="340"/>
        <w:spacing w:after="0"/>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3a.</w:t>
      </w:r>
      <w:r>
        <w:rPr>
          <w:sz w:val="20"/>
          <w:szCs w:val="20"/>
          <w:color w:val="auto"/>
        </w:rPr>
        <w:tab/>
      </w:r>
      <w:hyperlink w:anchor="page70">
        <w:r>
          <w:rPr>
            <w:rFonts w:ascii="Arial" w:cs="Arial" w:eastAsia="Arial" w:hAnsi="Arial"/>
            <w:sz w:val="16"/>
            <w:szCs w:val="16"/>
            <w:u w:val="single" w:color="auto"/>
            <w:color w:val="0000FF"/>
          </w:rPr>
          <w:t>Articles of Incorporation.</w:t>
        </w:r>
      </w:hyperlink>
    </w:p>
    <w:p>
      <w:pPr>
        <w:spacing w:after="0" w:line="167" w:lineRule="exact"/>
        <w:rPr>
          <w:rFonts w:ascii="Arial" w:cs="Arial" w:eastAsia="Arial" w:hAnsi="Arial"/>
          <w:sz w:val="16"/>
          <w:szCs w:val="16"/>
          <w:u w:val="single" w:color="auto"/>
          <w:color w:val="0000FF"/>
        </w:rPr>
      </w:pPr>
    </w:p>
    <w:p>
      <w:pPr>
        <w:ind w:left="820" w:right="6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3b.</w:t>
      </w:r>
      <w:r>
        <w:rPr>
          <w:sz w:val="20"/>
          <w:szCs w:val="20"/>
          <w:color w:val="auto"/>
        </w:rPr>
        <w:tab/>
      </w:r>
      <w:hyperlink r:id="rId17">
        <w:r>
          <w:rPr>
            <w:rFonts w:ascii="Arial" w:cs="Arial" w:eastAsia="Arial" w:hAnsi="Arial"/>
            <w:sz w:val="16"/>
            <w:szCs w:val="16"/>
            <w:u w:val="single" w:color="auto"/>
            <w:color w:val="0000FF"/>
          </w:rPr>
          <w:t>Amended By-Laws of the Registrant previously filed as Exhibit 3.1 with the Registrant's Current Report on Form 8-K dated March 16, 2016</w:t>
        </w:r>
      </w:hyperlink>
      <w:r>
        <w:rPr>
          <w:rFonts w:ascii="Arial" w:cs="Arial" w:eastAsia="Arial" w:hAnsi="Arial"/>
          <w:sz w:val="16"/>
          <w:szCs w:val="16"/>
          <w:u w:val="single" w:color="auto"/>
          <w:color w:val="0000FF"/>
        </w:rPr>
        <w:t xml:space="preserve"> </w:t>
      </w:r>
      <w:hyperlink r:id="rId17">
        <w:r>
          <w:rPr>
            <w:rFonts w:ascii="Arial" w:cs="Arial" w:eastAsia="Arial" w:hAnsi="Arial"/>
            <w:sz w:val="16"/>
            <w:szCs w:val="16"/>
            <w:u w:val="single" w:color="auto"/>
            <w:color w:val="0000FF"/>
          </w:rPr>
          <w:t>(Commission File Number 001-06403) and incorporated by reference herein.</w:t>
        </w:r>
      </w:hyperlink>
    </w:p>
    <w:p>
      <w:pPr>
        <w:spacing w:after="0" w:line="142" w:lineRule="exact"/>
        <w:rPr>
          <w:sz w:val="20"/>
          <w:szCs w:val="20"/>
          <w:color w:val="auto"/>
        </w:rPr>
      </w:pPr>
    </w:p>
    <w:p>
      <w:pPr>
        <w:ind w:left="820" w:right="2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10a.</w:t>
      </w:r>
      <w:r>
        <w:rPr>
          <w:sz w:val="20"/>
          <w:szCs w:val="20"/>
          <w:color w:val="auto"/>
        </w:rPr>
        <w:tab/>
      </w:r>
      <w:hyperlink r:id="rId18">
        <w:r>
          <w:rPr>
            <w:rFonts w:ascii="Arial" w:cs="Arial" w:eastAsia="Arial" w:hAnsi="Arial"/>
            <w:sz w:val="16"/>
            <w:szCs w:val="16"/>
            <w:u w:val="single" w:color="auto"/>
            <w:color w:val="0000FF"/>
          </w:rPr>
          <w:t>Winnebago Industries, Inc. Deferred Compensation Plan previously filed with the Registrant's Quarterly Report on Form 10-Q for the quarter ended</w:t>
        </w:r>
      </w:hyperlink>
      <w:r>
        <w:rPr>
          <w:rFonts w:ascii="Arial" w:cs="Arial" w:eastAsia="Arial" w:hAnsi="Arial"/>
          <w:sz w:val="16"/>
          <w:szCs w:val="16"/>
          <w:u w:val="single" w:color="auto"/>
          <w:color w:val="0000FF"/>
        </w:rPr>
        <w:t xml:space="preserve"> </w:t>
      </w:r>
      <w:hyperlink r:id="rId18">
        <w:r>
          <w:rPr>
            <w:rFonts w:ascii="Arial" w:cs="Arial" w:eastAsia="Arial" w:hAnsi="Arial"/>
            <w:sz w:val="16"/>
            <w:szCs w:val="16"/>
            <w:u w:val="single" w:color="auto"/>
            <w:color w:val="0000FF"/>
          </w:rPr>
          <w:t>March 2, 1991 (Commission File Number 001-06403), and incorporated by reference herein and the Amendment dated June 29, 1995 previously</w:t>
        </w:r>
      </w:hyperlink>
      <w:r>
        <w:rPr>
          <w:rFonts w:ascii="Arial" w:cs="Arial" w:eastAsia="Arial" w:hAnsi="Arial"/>
          <w:sz w:val="16"/>
          <w:szCs w:val="16"/>
          <w:u w:val="single" w:color="auto"/>
          <w:color w:val="0000FF"/>
        </w:rPr>
        <w:t xml:space="preserve"> </w:t>
      </w:r>
      <w:hyperlink r:id="rId18">
        <w:r>
          <w:rPr>
            <w:rFonts w:ascii="Arial" w:cs="Arial" w:eastAsia="Arial" w:hAnsi="Arial"/>
            <w:sz w:val="16"/>
            <w:szCs w:val="16"/>
            <w:u w:val="single" w:color="auto"/>
            <w:color w:val="0000FF"/>
          </w:rPr>
          <w:t>filed as Exhibit 10.B with the Registrant's Annual Report on Form 10-K for the fiscal year ended August 26, 1995 (Commission File Number 001-</w:t>
        </w:r>
      </w:hyperlink>
      <w:hyperlink r:id="rId18">
        <w:r>
          <w:rPr>
            <w:rFonts w:ascii="Arial" w:cs="Arial" w:eastAsia="Arial" w:hAnsi="Arial"/>
            <w:sz w:val="16"/>
            <w:szCs w:val="16"/>
            <w:u w:val="single" w:color="auto"/>
            <w:color w:val="0000FF"/>
          </w:rPr>
          <w:t>06403) and incorporated by reference herein.*</w:t>
        </w:r>
      </w:hyperlink>
    </w:p>
    <w:p>
      <w:pPr>
        <w:spacing w:after="0" w:line="149" w:lineRule="exact"/>
        <w:rPr>
          <w:rFonts w:ascii="Arial" w:cs="Arial" w:eastAsia="Arial" w:hAnsi="Arial"/>
          <w:sz w:val="16"/>
          <w:szCs w:val="16"/>
          <w:u w:val="single" w:color="auto"/>
          <w:color w:val="0000FF"/>
        </w:rPr>
      </w:pPr>
    </w:p>
    <w:p>
      <w:pPr>
        <w:ind w:left="820" w:right="80" w:hanging="479"/>
        <w:spacing w:after="0" w:line="249"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10b.</w:t>
      </w:r>
      <w:r>
        <w:rPr>
          <w:sz w:val="20"/>
          <w:szCs w:val="20"/>
          <w:color w:val="auto"/>
        </w:rPr>
        <w:tab/>
      </w:r>
      <w:hyperlink r:id="rId19">
        <w:r>
          <w:rPr>
            <w:rFonts w:ascii="Arial" w:cs="Arial" w:eastAsia="Arial" w:hAnsi="Arial"/>
            <w:sz w:val="16"/>
            <w:szCs w:val="16"/>
            <w:u w:val="single" w:color="auto"/>
            <w:color w:val="0000FF"/>
          </w:rPr>
          <w:t>Winnebago Industries, Inc. Executive Share Option Plan previously filed as Exhibit 10.J with the Registrant's Annual Report on Form 10-K for the</w:t>
        </w:r>
      </w:hyperlink>
      <w:r>
        <w:rPr>
          <w:rFonts w:ascii="Arial" w:cs="Arial" w:eastAsia="Arial" w:hAnsi="Arial"/>
          <w:sz w:val="16"/>
          <w:szCs w:val="16"/>
          <w:u w:val="single" w:color="auto"/>
          <w:color w:val="0000FF"/>
        </w:rPr>
        <w:t xml:space="preserve"> </w:t>
      </w:r>
      <w:hyperlink r:id="rId19">
        <w:r>
          <w:rPr>
            <w:rFonts w:ascii="Arial" w:cs="Arial" w:eastAsia="Arial" w:hAnsi="Arial"/>
            <w:sz w:val="16"/>
            <w:szCs w:val="16"/>
            <w:u w:val="single" w:color="auto"/>
            <w:color w:val="0000FF"/>
          </w:rPr>
          <w:t>fiscal year ended August 29, 1998 (Commission File Number 001-06403) and incorporated by reference herein, and the Amendment dated July 1,</w:t>
        </w:r>
      </w:hyperlink>
      <w:r>
        <w:rPr>
          <w:rFonts w:ascii="Arial" w:cs="Arial" w:eastAsia="Arial" w:hAnsi="Arial"/>
          <w:sz w:val="16"/>
          <w:szCs w:val="16"/>
          <w:u w:val="single" w:color="auto"/>
          <w:color w:val="0000FF"/>
        </w:rPr>
        <w:t xml:space="preserve"> </w:t>
      </w:r>
      <w:hyperlink r:id="rId19">
        <w:r>
          <w:rPr>
            <w:rFonts w:ascii="Arial" w:cs="Arial" w:eastAsia="Arial" w:hAnsi="Arial"/>
            <w:sz w:val="16"/>
            <w:szCs w:val="16"/>
            <w:u w:val="single" w:color="auto"/>
            <w:color w:val="0000FF"/>
          </w:rPr>
          <w:t>1999 previously filed as Exhibit 10.J with the Registrant's Quarterly Report on Form 10-Q for the quarter ended May 29, 1999 (Commission File</w:t>
        </w:r>
      </w:hyperlink>
      <w:r>
        <w:rPr>
          <w:rFonts w:ascii="Arial" w:cs="Arial" w:eastAsia="Arial" w:hAnsi="Arial"/>
          <w:sz w:val="16"/>
          <w:szCs w:val="16"/>
          <w:u w:val="single" w:color="auto"/>
          <w:color w:val="0000FF"/>
        </w:rPr>
        <w:t xml:space="preserve"> </w:t>
      </w:r>
      <w:hyperlink r:id="rId19">
        <w:r>
          <w:rPr>
            <w:rFonts w:ascii="Arial" w:cs="Arial" w:eastAsia="Arial" w:hAnsi="Arial"/>
            <w:sz w:val="16"/>
            <w:szCs w:val="16"/>
            <w:u w:val="single" w:color="auto"/>
            <w:color w:val="0000FF"/>
          </w:rPr>
          <w:t>Number 001-06403) and incorporated by reference herein and the Amendment dated January 1, 2001 previously filed as Exhibit 10.I with the</w:t>
        </w:r>
      </w:hyperlink>
      <w:r>
        <w:rPr>
          <w:rFonts w:ascii="Arial" w:cs="Arial" w:eastAsia="Arial" w:hAnsi="Arial"/>
          <w:sz w:val="16"/>
          <w:szCs w:val="16"/>
          <w:u w:val="single" w:color="auto"/>
          <w:color w:val="0000FF"/>
        </w:rPr>
        <w:t xml:space="preserve"> </w:t>
      </w:r>
      <w:hyperlink r:id="rId19">
        <w:r>
          <w:rPr>
            <w:rFonts w:ascii="Arial" w:cs="Arial" w:eastAsia="Arial" w:hAnsi="Arial"/>
            <w:sz w:val="16"/>
            <w:szCs w:val="16"/>
            <w:u w:val="single" w:color="auto"/>
            <w:color w:val="0000FF"/>
          </w:rPr>
          <w:t>Registrant's Quarterly Report on Form 10-Q for the quarter ended February 24, 2001 (Commission File Number 001-06403) and incorporated by</w:t>
        </w:r>
      </w:hyperlink>
      <w:r>
        <w:rPr>
          <w:rFonts w:ascii="Arial" w:cs="Arial" w:eastAsia="Arial" w:hAnsi="Arial"/>
          <w:sz w:val="16"/>
          <w:szCs w:val="16"/>
          <w:u w:val="single" w:color="auto"/>
          <w:color w:val="0000FF"/>
        </w:rPr>
        <w:t xml:space="preserve"> </w:t>
      </w:r>
      <w:hyperlink r:id="rId19">
        <w:r>
          <w:rPr>
            <w:rFonts w:ascii="Arial" w:cs="Arial" w:eastAsia="Arial" w:hAnsi="Arial"/>
            <w:sz w:val="16"/>
            <w:szCs w:val="16"/>
            <w:u w:val="single" w:color="auto"/>
            <w:color w:val="0000FF"/>
          </w:rPr>
          <w:t>reference herein.*</w:t>
        </w:r>
      </w:hyperlink>
    </w:p>
    <w:p>
      <w:pPr>
        <w:spacing w:after="0" w:line="151" w:lineRule="exact"/>
        <w:rPr>
          <w:rFonts w:ascii="Arial" w:cs="Arial" w:eastAsia="Arial" w:hAnsi="Arial"/>
          <w:sz w:val="16"/>
          <w:szCs w:val="16"/>
          <w:u w:val="single" w:color="auto"/>
          <w:color w:val="0000FF"/>
        </w:rPr>
      </w:pPr>
    </w:p>
    <w:p>
      <w:pPr>
        <w:ind w:left="82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10c.</w:t>
      </w:r>
      <w:r>
        <w:rPr>
          <w:sz w:val="20"/>
          <w:szCs w:val="20"/>
          <w:color w:val="auto"/>
        </w:rPr>
        <w:tab/>
      </w:r>
      <w:hyperlink r:id="rId20">
        <w:r>
          <w:rPr>
            <w:rFonts w:ascii="Arial" w:cs="Arial" w:eastAsia="Arial" w:hAnsi="Arial"/>
            <w:sz w:val="16"/>
            <w:szCs w:val="16"/>
            <w:u w:val="single" w:color="auto"/>
            <w:color w:val="0000FF"/>
          </w:rPr>
          <w:t>Winnebago Industries, Inc. Executive Deferred Compensation Plan previously filed as Exhibit 10.C with the Registrant's Quarterly Report on Form</w:t>
        </w:r>
      </w:hyperlink>
      <w:r>
        <w:rPr>
          <w:rFonts w:ascii="Arial" w:cs="Arial" w:eastAsia="Arial" w:hAnsi="Arial"/>
          <w:sz w:val="16"/>
          <w:szCs w:val="16"/>
          <w:u w:val="single" w:color="auto"/>
          <w:color w:val="0000FF"/>
        </w:rPr>
        <w:t xml:space="preserve"> </w:t>
      </w:r>
      <w:hyperlink r:id="rId20">
        <w:r>
          <w:rPr>
            <w:rFonts w:ascii="Arial" w:cs="Arial" w:eastAsia="Arial" w:hAnsi="Arial"/>
            <w:sz w:val="16"/>
            <w:szCs w:val="16"/>
            <w:u w:val="single" w:color="auto"/>
            <w:color w:val="0000FF"/>
          </w:rPr>
          <w:t>10-Q for the quarter ended November 25, 2006 (Commission File Number 001-06403) and the Amendment dated June 21, 2011 previously filed as</w:t>
        </w:r>
      </w:hyperlink>
      <w:r>
        <w:rPr>
          <w:rFonts w:ascii="Arial" w:cs="Arial" w:eastAsia="Arial" w:hAnsi="Arial"/>
          <w:sz w:val="16"/>
          <w:szCs w:val="16"/>
          <w:u w:val="single" w:color="auto"/>
          <w:color w:val="0000FF"/>
        </w:rPr>
        <w:t xml:space="preserve"> </w:t>
      </w:r>
      <w:hyperlink r:id="rId20">
        <w:r>
          <w:rPr>
            <w:rFonts w:ascii="Arial" w:cs="Arial" w:eastAsia="Arial" w:hAnsi="Arial"/>
            <w:sz w:val="16"/>
            <w:szCs w:val="16"/>
            <w:u w:val="single" w:color="auto"/>
            <w:color w:val="0000FF"/>
          </w:rPr>
          <w:t>Exhibit 10.BB with the Registrant's Annual Report on Form 10-K for the fiscal year ended August 27, 2011 (Commission File Number 001-06403)</w:t>
        </w:r>
      </w:hyperlink>
      <w:r>
        <w:rPr>
          <w:rFonts w:ascii="Arial" w:cs="Arial" w:eastAsia="Arial" w:hAnsi="Arial"/>
          <w:sz w:val="16"/>
          <w:szCs w:val="16"/>
          <w:u w:val="single" w:color="auto"/>
          <w:color w:val="0000FF"/>
        </w:rPr>
        <w:t xml:space="preserve"> </w:t>
      </w:r>
      <w:hyperlink r:id="rId20">
        <w:r>
          <w:rPr>
            <w:rFonts w:ascii="Arial" w:cs="Arial" w:eastAsia="Arial" w:hAnsi="Arial"/>
            <w:sz w:val="16"/>
            <w:szCs w:val="16"/>
            <w:u w:val="single" w:color="auto"/>
            <w:color w:val="0000FF"/>
          </w:rPr>
          <w:t>and incorporated by reference herein.*</w:t>
        </w:r>
      </w:hyperlink>
    </w:p>
    <w:p>
      <w:pPr>
        <w:spacing w:after="0" w:line="149" w:lineRule="exact"/>
        <w:rPr>
          <w:rFonts w:ascii="Arial" w:cs="Arial" w:eastAsia="Arial" w:hAnsi="Arial"/>
          <w:sz w:val="16"/>
          <w:szCs w:val="16"/>
          <w:u w:val="single" w:color="auto"/>
          <w:color w:val="0000FF"/>
        </w:rPr>
      </w:pPr>
    </w:p>
    <w:p>
      <w:pPr>
        <w:ind w:left="820" w:right="60" w:hanging="479"/>
        <w:spacing w:after="0" w:line="249"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10d.</w:t>
      </w:r>
      <w:r>
        <w:rPr>
          <w:sz w:val="20"/>
          <w:szCs w:val="20"/>
          <w:color w:val="auto"/>
        </w:rPr>
        <w:tab/>
      </w:r>
      <w:hyperlink r:id="rId21">
        <w:r>
          <w:rPr>
            <w:rFonts w:ascii="Arial" w:cs="Arial" w:eastAsia="Arial" w:hAnsi="Arial"/>
            <w:sz w:val="16"/>
            <w:szCs w:val="16"/>
            <w:u w:val="single" w:color="auto"/>
            <w:color w:val="0000FF"/>
          </w:rPr>
          <w:t>Winnebago Industries, Inc. 2004 Incentive Compensation Plan previously filed as Appendix B with the Registrant's Proxy Statement for the Annual</w:t>
        </w:r>
      </w:hyperlink>
      <w:r>
        <w:rPr>
          <w:rFonts w:ascii="Arial" w:cs="Arial" w:eastAsia="Arial" w:hAnsi="Arial"/>
          <w:sz w:val="16"/>
          <w:szCs w:val="16"/>
          <w:u w:val="single" w:color="auto"/>
          <w:color w:val="0000FF"/>
        </w:rPr>
        <w:t xml:space="preserve"> </w:t>
      </w:r>
      <w:hyperlink r:id="rId21">
        <w:r>
          <w:rPr>
            <w:rFonts w:ascii="Arial" w:cs="Arial" w:eastAsia="Arial" w:hAnsi="Arial"/>
            <w:sz w:val="16"/>
            <w:szCs w:val="16"/>
            <w:u w:val="single" w:color="auto"/>
            <w:color w:val="0000FF"/>
          </w:rPr>
          <w:t>Meeting of Shareholders held on January 13, 2004 (Commission File Number 001-06403) and incorporated by reference herein and the</w:t>
        </w:r>
      </w:hyperlink>
      <w:r>
        <w:rPr>
          <w:rFonts w:ascii="Arial" w:cs="Arial" w:eastAsia="Arial" w:hAnsi="Arial"/>
          <w:sz w:val="16"/>
          <w:szCs w:val="16"/>
          <w:u w:val="single" w:color="auto"/>
          <w:color w:val="0000FF"/>
        </w:rPr>
        <w:t xml:space="preserve"> </w:t>
      </w:r>
      <w:hyperlink r:id="rId21">
        <w:r>
          <w:rPr>
            <w:rFonts w:ascii="Arial" w:cs="Arial" w:eastAsia="Arial" w:hAnsi="Arial"/>
            <w:sz w:val="16"/>
            <w:szCs w:val="16"/>
            <w:u w:val="single" w:color="auto"/>
            <w:color w:val="0000FF"/>
          </w:rPr>
          <w:t>Amendment dated October 11, 2006 previously filed as Exhibit 10.A with the Registrant's Quarterly Report on Form 10-Q for the quarter ended</w:t>
        </w:r>
      </w:hyperlink>
      <w:r>
        <w:rPr>
          <w:rFonts w:ascii="Arial" w:cs="Arial" w:eastAsia="Arial" w:hAnsi="Arial"/>
          <w:sz w:val="16"/>
          <w:szCs w:val="16"/>
          <w:u w:val="single" w:color="auto"/>
          <w:color w:val="0000FF"/>
        </w:rPr>
        <w:t xml:space="preserve"> </w:t>
      </w:r>
      <w:hyperlink r:id="rId21">
        <w:r>
          <w:rPr>
            <w:rFonts w:ascii="Arial" w:cs="Arial" w:eastAsia="Arial" w:hAnsi="Arial"/>
            <w:sz w:val="16"/>
            <w:szCs w:val="16"/>
            <w:u w:val="single" w:color="auto"/>
            <w:color w:val="0000FF"/>
          </w:rPr>
          <w:t>November 25, 2006 (Commission File Number 001-06403) and incorporated by reference herein and the Amendment dated March 23, 2011</w:t>
        </w:r>
      </w:hyperlink>
      <w:r>
        <w:rPr>
          <w:rFonts w:ascii="Arial" w:cs="Arial" w:eastAsia="Arial" w:hAnsi="Arial"/>
          <w:sz w:val="16"/>
          <w:szCs w:val="16"/>
          <w:u w:val="single" w:color="auto"/>
          <w:color w:val="0000FF"/>
        </w:rPr>
        <w:t xml:space="preserve"> </w:t>
      </w:r>
      <w:hyperlink r:id="rId21">
        <w:r>
          <w:rPr>
            <w:rFonts w:ascii="Arial" w:cs="Arial" w:eastAsia="Arial" w:hAnsi="Arial"/>
            <w:sz w:val="16"/>
            <w:szCs w:val="16"/>
            <w:u w:val="single" w:color="auto"/>
            <w:color w:val="0000FF"/>
          </w:rPr>
          <w:t>previously filed as Exhibit 10.1 with the Registrant's Quarterly Report on Form 10-Q for the quarter ended May 28, 2011 (Commission File Number</w:t>
        </w:r>
      </w:hyperlink>
      <w:r>
        <w:rPr>
          <w:rFonts w:ascii="Arial" w:cs="Arial" w:eastAsia="Arial" w:hAnsi="Arial"/>
          <w:sz w:val="16"/>
          <w:szCs w:val="16"/>
          <w:u w:val="single" w:color="auto"/>
          <w:color w:val="0000FF"/>
        </w:rPr>
        <w:t xml:space="preserve"> </w:t>
      </w:r>
      <w:hyperlink r:id="rId21">
        <w:r>
          <w:rPr>
            <w:rFonts w:ascii="Arial" w:cs="Arial" w:eastAsia="Arial" w:hAnsi="Arial"/>
            <w:sz w:val="16"/>
            <w:szCs w:val="16"/>
            <w:u w:val="single" w:color="auto"/>
            <w:color w:val="0000FF"/>
          </w:rPr>
          <w:t>001-06403) and incorporated by reference herein.*</w:t>
        </w:r>
      </w:hyperlink>
    </w:p>
    <w:p>
      <w:pPr>
        <w:spacing w:after="0" w:line="151" w:lineRule="exact"/>
        <w:rPr>
          <w:rFonts w:ascii="Arial" w:cs="Arial" w:eastAsia="Arial" w:hAnsi="Arial"/>
          <w:sz w:val="16"/>
          <w:szCs w:val="16"/>
          <w:u w:val="single" w:color="auto"/>
          <w:color w:val="0000FF"/>
        </w:rPr>
      </w:pPr>
    </w:p>
    <w:p>
      <w:pPr>
        <w:ind w:left="820" w:right="20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10e.</w:t>
      </w:r>
      <w:r>
        <w:rPr>
          <w:sz w:val="20"/>
          <w:szCs w:val="20"/>
          <w:color w:val="auto"/>
        </w:rPr>
        <w:tab/>
      </w:r>
      <w:hyperlink r:id="rId22">
        <w:r>
          <w:rPr>
            <w:rFonts w:ascii="Arial" w:cs="Arial" w:eastAsia="Arial" w:hAnsi="Arial"/>
            <w:sz w:val="16"/>
            <w:szCs w:val="16"/>
            <w:u w:val="single" w:color="auto"/>
            <w:color w:val="0000FF"/>
          </w:rPr>
          <w:t>Winnebago Industries, Inc. 2014 Omnibus Equity, Performance Award, and Incentive Compensation Plan previously filed as Appendix B with the</w:t>
        </w:r>
      </w:hyperlink>
      <w:r>
        <w:rPr>
          <w:rFonts w:ascii="Arial" w:cs="Arial" w:eastAsia="Arial" w:hAnsi="Arial"/>
          <w:sz w:val="16"/>
          <w:szCs w:val="16"/>
          <w:u w:val="single" w:color="auto"/>
          <w:color w:val="0000FF"/>
        </w:rPr>
        <w:t xml:space="preserve"> </w:t>
      </w:r>
      <w:hyperlink r:id="rId22">
        <w:r>
          <w:rPr>
            <w:rFonts w:ascii="Arial" w:cs="Arial" w:eastAsia="Arial" w:hAnsi="Arial"/>
            <w:sz w:val="16"/>
            <w:szCs w:val="16"/>
            <w:u w:val="single" w:color="auto"/>
            <w:color w:val="0000FF"/>
          </w:rPr>
          <w:t>Registrant's Proxy Statement for the Annual Meeting of Shareholders held on December 17, 2013 (Commission File Number 001-06403) and</w:t>
        </w:r>
      </w:hyperlink>
      <w:r>
        <w:rPr>
          <w:rFonts w:ascii="Arial" w:cs="Arial" w:eastAsia="Arial" w:hAnsi="Arial"/>
          <w:sz w:val="16"/>
          <w:szCs w:val="16"/>
          <w:u w:val="single" w:color="auto"/>
          <w:color w:val="0000FF"/>
        </w:rPr>
        <w:t xml:space="preserve"> </w:t>
      </w:r>
      <w:hyperlink r:id="rId22">
        <w:r>
          <w:rPr>
            <w:rFonts w:ascii="Arial" w:cs="Arial" w:eastAsia="Arial" w:hAnsi="Arial"/>
            <w:sz w:val="16"/>
            <w:szCs w:val="16"/>
            <w:u w:val="single" w:color="auto"/>
            <w:color w:val="0000FF"/>
          </w:rPr>
          <w:t>incorporated by reference herein and the Supplement previously filed as Exhibit 10.1 with the Registrant's Current Report on Form 8-K dated</w:t>
        </w:r>
      </w:hyperlink>
      <w:r>
        <w:rPr>
          <w:rFonts w:ascii="Arial" w:cs="Arial" w:eastAsia="Arial" w:hAnsi="Arial"/>
          <w:sz w:val="16"/>
          <w:szCs w:val="16"/>
          <w:u w:val="single" w:color="auto"/>
          <w:color w:val="0000FF"/>
        </w:rPr>
        <w:t xml:space="preserve"> </w:t>
      </w:r>
      <w:hyperlink r:id="rId22">
        <w:r>
          <w:rPr>
            <w:rFonts w:ascii="Arial" w:cs="Arial" w:eastAsia="Arial" w:hAnsi="Arial"/>
            <w:sz w:val="16"/>
            <w:szCs w:val="16"/>
            <w:u w:val="single" w:color="auto"/>
            <w:color w:val="0000FF"/>
          </w:rPr>
          <w:t>December 6, 2013 (Commission File Number 001-06403) and incorporated by reference herein.*</w:t>
        </w:r>
      </w:hyperlink>
    </w:p>
    <w:p>
      <w:pPr>
        <w:spacing w:after="0" w:line="149" w:lineRule="exact"/>
        <w:rPr>
          <w:rFonts w:ascii="Arial" w:cs="Arial" w:eastAsia="Arial" w:hAnsi="Arial"/>
          <w:sz w:val="16"/>
          <w:szCs w:val="16"/>
          <w:u w:val="single" w:color="auto"/>
          <w:color w:val="0000FF"/>
        </w:rPr>
      </w:pPr>
    </w:p>
    <w:p>
      <w:pPr>
        <w:ind w:left="820" w:right="2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10f.</w:t>
      </w:r>
      <w:r>
        <w:rPr>
          <w:sz w:val="20"/>
          <w:szCs w:val="20"/>
          <w:color w:val="auto"/>
        </w:rPr>
        <w:tab/>
      </w:r>
      <w:hyperlink r:id="rId23">
        <w:r>
          <w:rPr>
            <w:rFonts w:ascii="Arial" w:cs="Arial" w:eastAsia="Arial" w:hAnsi="Arial"/>
            <w:sz w:val="16"/>
            <w:szCs w:val="16"/>
            <w:u w:val="single" w:color="auto"/>
            <w:color w:val="0000FF"/>
          </w:rPr>
          <w:t>Winnebago Industries, Inc. Directors' Deferred Compensation Plan previously filed as Exhibit 10.E with the Registrant's Annual Report on Form 10-</w:t>
        </w:r>
      </w:hyperlink>
      <w:hyperlink r:id="rId23">
        <w:r>
          <w:rPr>
            <w:rFonts w:ascii="Arial" w:cs="Arial" w:eastAsia="Arial" w:hAnsi="Arial"/>
            <w:sz w:val="16"/>
            <w:szCs w:val="16"/>
            <w:u w:val="single" w:color="auto"/>
            <w:color w:val="0000FF"/>
          </w:rPr>
          <w:t>K for the fiscal year ended August 30, 1997 (Commission File Number 001-06403), and incorporated by reference herein and the Amendment</w:t>
        </w:r>
      </w:hyperlink>
      <w:r>
        <w:rPr>
          <w:rFonts w:ascii="Arial" w:cs="Arial" w:eastAsia="Arial" w:hAnsi="Arial"/>
          <w:sz w:val="16"/>
          <w:szCs w:val="16"/>
          <w:u w:val="single" w:color="auto"/>
          <w:color w:val="0000FF"/>
        </w:rPr>
        <w:t xml:space="preserve"> </w:t>
      </w:r>
      <w:hyperlink r:id="rId23">
        <w:r>
          <w:rPr>
            <w:rFonts w:ascii="Arial" w:cs="Arial" w:eastAsia="Arial" w:hAnsi="Arial"/>
            <w:sz w:val="16"/>
            <w:szCs w:val="16"/>
            <w:u w:val="single" w:color="auto"/>
            <w:color w:val="0000FF"/>
          </w:rPr>
          <w:t>dated October 15, 2003 previously filed as Exhibit 10.H with the Registrant's Quarterly Report on Form 10-Q for the quarter ended November 29,</w:t>
        </w:r>
      </w:hyperlink>
      <w:r>
        <w:rPr>
          <w:rFonts w:ascii="Arial" w:cs="Arial" w:eastAsia="Arial" w:hAnsi="Arial"/>
          <w:sz w:val="16"/>
          <w:szCs w:val="16"/>
          <w:u w:val="single" w:color="auto"/>
          <w:color w:val="0000FF"/>
        </w:rPr>
        <w:t xml:space="preserve"> </w:t>
      </w:r>
      <w:hyperlink r:id="rId23">
        <w:r>
          <w:rPr>
            <w:rFonts w:ascii="Arial" w:cs="Arial" w:eastAsia="Arial" w:hAnsi="Arial"/>
            <w:sz w:val="16"/>
            <w:szCs w:val="16"/>
            <w:u w:val="single" w:color="auto"/>
            <w:color w:val="0000FF"/>
          </w:rPr>
          <w:t>2003 (Commission File Number 001-06403) and incorporated by reference herein and the Amendment dated October 11, 2006 previously filed as</w:t>
        </w:r>
      </w:hyperlink>
    </w:p>
    <w:p>
      <w:pPr>
        <w:spacing w:after="0" w:line="392"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60"/>
          </w:cols>
          <w:pgMar w:left="240" w:top="141" w:right="29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jc w:val="both"/>
        <w:ind w:left="820" w:right="120"/>
        <w:spacing w:after="0" w:line="341" w:lineRule="auto"/>
        <w:rPr>
          <w:rFonts w:ascii="Arial" w:cs="Arial" w:eastAsia="Arial" w:hAnsi="Arial"/>
          <w:sz w:val="16"/>
          <w:szCs w:val="16"/>
          <w:u w:val="single" w:color="auto"/>
          <w:color w:val="0000FF"/>
        </w:rPr>
      </w:pPr>
      <w:hyperlink r:id="rId23">
        <w:r>
          <w:rPr>
            <w:rFonts w:ascii="Arial" w:cs="Arial" w:eastAsia="Arial" w:hAnsi="Arial"/>
            <w:sz w:val="16"/>
            <w:szCs w:val="16"/>
            <w:u w:val="single" w:color="auto"/>
            <w:color w:val="0000FF"/>
          </w:rPr>
          <w:t>Exhibit 10.B with the Registrant's Quarterly Report on Form 10-Q for the quarter ended November 25, 2006 (Commission File Number 001-06403)</w:t>
        </w:r>
      </w:hyperlink>
      <w:r>
        <w:rPr>
          <w:rFonts w:ascii="Arial" w:cs="Arial" w:eastAsia="Arial" w:hAnsi="Arial"/>
          <w:sz w:val="16"/>
          <w:szCs w:val="16"/>
          <w:u w:val="single" w:color="auto"/>
          <w:color w:val="0000FF"/>
        </w:rPr>
        <w:t xml:space="preserve"> </w:t>
      </w:r>
      <w:hyperlink r:id="rId23">
        <w:r>
          <w:rPr>
            <w:rFonts w:ascii="Arial" w:cs="Arial" w:eastAsia="Arial" w:hAnsi="Arial"/>
            <w:sz w:val="16"/>
            <w:szCs w:val="16"/>
            <w:u w:val="single" w:color="auto"/>
            <w:color w:val="0000FF"/>
          </w:rPr>
          <w:t>and the Amendment dated July 1, 2013 previously filed as Exhibit 10.1 with the Registrant's Quarterly Report on Form 10-Q for the quarter ended</w:t>
        </w:r>
      </w:hyperlink>
      <w:r>
        <w:rPr>
          <w:rFonts w:ascii="Arial" w:cs="Arial" w:eastAsia="Arial" w:hAnsi="Arial"/>
          <w:sz w:val="16"/>
          <w:szCs w:val="16"/>
          <w:u w:val="single" w:color="auto"/>
          <w:color w:val="0000FF"/>
        </w:rPr>
        <w:t xml:space="preserve"> </w:t>
      </w:r>
      <w:hyperlink r:id="rId23">
        <w:r>
          <w:rPr>
            <w:rFonts w:ascii="Arial" w:cs="Arial" w:eastAsia="Arial" w:hAnsi="Arial"/>
            <w:sz w:val="16"/>
            <w:szCs w:val="16"/>
            <w:u w:val="single" w:color="auto"/>
            <w:color w:val="0000FF"/>
          </w:rPr>
          <w:t>June 1, 2013 (Commission File Number 001-06403) and incorporated by reference herein.*</w:t>
        </w:r>
      </w:hyperlink>
    </w:p>
    <w:p>
      <w:pPr>
        <w:spacing w:after="0" w:line="121" w:lineRule="exact"/>
        <w:rPr>
          <w:rFonts w:ascii="Arial" w:cs="Arial" w:eastAsia="Arial" w:hAnsi="Arial"/>
          <w:sz w:val="16"/>
          <w:szCs w:val="16"/>
          <w:u w:val="single" w:color="auto"/>
          <w:color w:val="0000FF"/>
        </w:rPr>
      </w:pPr>
    </w:p>
    <w:p>
      <w:pPr>
        <w:ind w:left="820" w:right="8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10g.</w:t>
      </w:r>
      <w:r>
        <w:rPr>
          <w:sz w:val="20"/>
          <w:szCs w:val="20"/>
          <w:color w:val="auto"/>
        </w:rPr>
        <w:tab/>
      </w:r>
      <w:hyperlink r:id="rId18">
        <w:r>
          <w:rPr>
            <w:rFonts w:ascii="Arial" w:cs="Arial" w:eastAsia="Arial" w:hAnsi="Arial"/>
            <w:sz w:val="16"/>
            <w:szCs w:val="16"/>
            <w:u w:val="single" w:color="auto"/>
            <w:color w:val="0000FF"/>
          </w:rPr>
          <w:t>Winnebago Industries, Inc. Profit Sharing and Deferred Savings Investment Plan previously filed with the Registrant's Annual Report on Form 10-K</w:t>
        </w:r>
      </w:hyperlink>
      <w:r>
        <w:rPr>
          <w:rFonts w:ascii="Arial" w:cs="Arial" w:eastAsia="Arial" w:hAnsi="Arial"/>
          <w:sz w:val="16"/>
          <w:szCs w:val="16"/>
          <w:u w:val="single" w:color="auto"/>
          <w:color w:val="0000FF"/>
        </w:rPr>
        <w:t xml:space="preserve"> </w:t>
      </w:r>
      <w:hyperlink r:id="rId18">
        <w:r>
          <w:rPr>
            <w:rFonts w:ascii="Arial" w:cs="Arial" w:eastAsia="Arial" w:hAnsi="Arial"/>
            <w:sz w:val="16"/>
            <w:szCs w:val="16"/>
            <w:u w:val="single" w:color="auto"/>
            <w:color w:val="0000FF"/>
          </w:rPr>
          <w:t>for the fiscal year ended August 31, 1985 (Commission File Number 001-06403), and incorporated by reference herein, the Amendment dated July</w:t>
        </w:r>
      </w:hyperlink>
      <w:r>
        <w:rPr>
          <w:rFonts w:ascii="Arial" w:cs="Arial" w:eastAsia="Arial" w:hAnsi="Arial"/>
          <w:sz w:val="16"/>
          <w:szCs w:val="16"/>
          <w:u w:val="single" w:color="auto"/>
          <w:color w:val="0000FF"/>
        </w:rPr>
        <w:t xml:space="preserve"> </w:t>
      </w:r>
      <w:hyperlink r:id="rId18">
        <w:r>
          <w:rPr>
            <w:rFonts w:ascii="Arial" w:cs="Arial" w:eastAsia="Arial" w:hAnsi="Arial"/>
            <w:sz w:val="16"/>
            <w:szCs w:val="16"/>
            <w:u w:val="single" w:color="auto"/>
            <w:color w:val="0000FF"/>
          </w:rPr>
          <w:t>1, 1995 previously filed as Exhibit 10.C with the Registrant's Annual Report on Form 10-K for the fiscal year ended August 26, 1995 (Commission</w:t>
        </w:r>
      </w:hyperlink>
      <w:r>
        <w:rPr>
          <w:rFonts w:ascii="Arial" w:cs="Arial" w:eastAsia="Arial" w:hAnsi="Arial"/>
          <w:sz w:val="16"/>
          <w:szCs w:val="16"/>
          <w:u w:val="single" w:color="auto"/>
          <w:color w:val="0000FF"/>
        </w:rPr>
        <w:t xml:space="preserve"> </w:t>
      </w:r>
      <w:hyperlink r:id="rId18">
        <w:r>
          <w:rPr>
            <w:rFonts w:ascii="Arial" w:cs="Arial" w:eastAsia="Arial" w:hAnsi="Arial"/>
            <w:sz w:val="16"/>
            <w:szCs w:val="16"/>
            <w:u w:val="single" w:color="auto"/>
            <w:color w:val="0000FF"/>
          </w:rPr>
          <w:t>File Number 001-06403) and incorporated by reference herein.*</w:t>
        </w:r>
      </w:hyperlink>
    </w:p>
    <w:p>
      <w:pPr>
        <w:spacing w:after="0" w:line="149" w:lineRule="exact"/>
        <w:rPr>
          <w:rFonts w:ascii="Arial" w:cs="Arial" w:eastAsia="Arial" w:hAnsi="Arial"/>
          <w:sz w:val="16"/>
          <w:szCs w:val="16"/>
          <w:u w:val="single" w:color="auto"/>
          <w:color w:val="0000FF"/>
        </w:rPr>
      </w:pPr>
    </w:p>
    <w:p>
      <w:pPr>
        <w:ind w:left="820" w:right="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10h.</w:t>
      </w:r>
      <w:r>
        <w:rPr>
          <w:sz w:val="20"/>
          <w:szCs w:val="20"/>
          <w:color w:val="auto"/>
        </w:rPr>
        <w:tab/>
      </w:r>
      <w:hyperlink r:id="rId24">
        <w:r>
          <w:rPr>
            <w:rFonts w:ascii="Arial" w:cs="Arial" w:eastAsia="Arial" w:hAnsi="Arial"/>
            <w:sz w:val="16"/>
            <w:szCs w:val="16"/>
            <w:u w:val="single" w:color="auto"/>
            <w:color w:val="0000FF"/>
          </w:rPr>
          <w:t>Winnebago Industries, Inc. Officers' Long-Term Incentive Plan, fiscal three-year period 2015, 2016 and 2017 previously filed as Exhibit 99.2 with the</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Registrant's Current Report on Form 8-K dated June 18, 2014 (Commission File Number 001-06403) and incorporated by reference herein.*</w:t>
        </w:r>
      </w:hyperlink>
    </w:p>
    <w:p>
      <w:pPr>
        <w:spacing w:after="0" w:line="142" w:lineRule="exact"/>
        <w:rPr>
          <w:sz w:val="20"/>
          <w:szCs w:val="20"/>
          <w:color w:val="auto"/>
        </w:rPr>
      </w:pPr>
    </w:p>
    <w:p>
      <w:pPr>
        <w:ind w:left="820" w:right="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10i.</w:t>
      </w:r>
      <w:r>
        <w:rPr>
          <w:sz w:val="20"/>
          <w:szCs w:val="20"/>
          <w:color w:val="auto"/>
        </w:rPr>
        <w:tab/>
      </w:r>
      <w:hyperlink r:id="rId25">
        <w:r>
          <w:rPr>
            <w:rFonts w:ascii="Arial" w:cs="Arial" w:eastAsia="Arial" w:hAnsi="Arial"/>
            <w:sz w:val="16"/>
            <w:szCs w:val="16"/>
            <w:u w:val="single" w:color="auto"/>
            <w:color w:val="0000FF"/>
          </w:rPr>
          <w:t>Winnebago Industries, Inc. Officers' Long-Term Incentive Plan, fiscal three-year period 2016, 2017 and 2018 previously filed as Exhibit 99.2 with the</w:t>
        </w:r>
      </w:hyperlink>
      <w:r>
        <w:rPr>
          <w:rFonts w:ascii="Arial" w:cs="Arial" w:eastAsia="Arial" w:hAnsi="Arial"/>
          <w:sz w:val="16"/>
          <w:szCs w:val="16"/>
          <w:u w:val="single" w:color="auto"/>
          <w:color w:val="0000FF"/>
        </w:rPr>
        <w:t xml:space="preserve"> </w:t>
      </w:r>
      <w:hyperlink r:id="rId25">
        <w:r>
          <w:rPr>
            <w:rFonts w:ascii="Arial" w:cs="Arial" w:eastAsia="Arial" w:hAnsi="Arial"/>
            <w:sz w:val="16"/>
            <w:szCs w:val="16"/>
            <w:u w:val="single" w:color="auto"/>
            <w:color w:val="0000FF"/>
          </w:rPr>
          <w:t>Registrant's Current Report on Form 8-K dated June 16, 2015 (Commission File Number 001-06403) and incorporated by reference herein.*</w:t>
        </w:r>
      </w:hyperlink>
    </w:p>
    <w:p>
      <w:pPr>
        <w:spacing w:after="0" w:line="142" w:lineRule="exact"/>
        <w:rPr>
          <w:sz w:val="20"/>
          <w:szCs w:val="20"/>
          <w:color w:val="auto"/>
        </w:rPr>
      </w:pPr>
    </w:p>
    <w:p>
      <w:pPr>
        <w:ind w:left="820" w:right="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10j.</w:t>
      </w:r>
      <w:r>
        <w:rPr>
          <w:sz w:val="20"/>
          <w:szCs w:val="20"/>
          <w:color w:val="auto"/>
        </w:rPr>
        <w:tab/>
      </w:r>
      <w:hyperlink r:id="rId26">
        <w:r>
          <w:rPr>
            <w:rFonts w:ascii="Arial" w:cs="Arial" w:eastAsia="Arial" w:hAnsi="Arial"/>
            <w:sz w:val="16"/>
            <w:szCs w:val="16"/>
            <w:u w:val="single" w:color="auto"/>
            <w:color w:val="0000FF"/>
          </w:rPr>
          <w:t>Winnebago Industries, Inc. Officers' Long-Term Incentive Plan, fiscal three-year period 2017, 2018 and 2019 previously filed as Exhibit 99.2 with the</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Registrant's Current Report on Form 8-K dated October 11, 2016 (Commission File Number 001-06403) and incorporated by reference herein.*</w:t>
        </w:r>
      </w:hyperlink>
    </w:p>
    <w:p>
      <w:pPr>
        <w:spacing w:after="0" w:line="142" w:lineRule="exact"/>
        <w:rPr>
          <w:sz w:val="20"/>
          <w:szCs w:val="20"/>
          <w:color w:val="auto"/>
        </w:rPr>
      </w:pPr>
    </w:p>
    <w:p>
      <w:pPr>
        <w:ind w:left="820" w:right="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10k.</w:t>
      </w:r>
      <w:r>
        <w:rPr>
          <w:sz w:val="20"/>
          <w:szCs w:val="20"/>
          <w:color w:val="auto"/>
        </w:rPr>
        <w:tab/>
      </w:r>
      <w:hyperlink r:id="rId27">
        <w:r>
          <w:rPr>
            <w:rFonts w:ascii="Arial" w:cs="Arial" w:eastAsia="Arial" w:hAnsi="Arial"/>
            <w:sz w:val="16"/>
            <w:szCs w:val="16"/>
            <w:u w:val="single" w:color="auto"/>
            <w:color w:val="0000FF"/>
          </w:rPr>
          <w:t>Winnebago Industries, Inc. Officers' Long-Term Incentive Plan, fiscal three-year period 2018, 2019 and 2020 previously filed as Exhibit 99.2 with the</w:t>
        </w:r>
      </w:hyperlink>
      <w:r>
        <w:rPr>
          <w:rFonts w:ascii="Arial" w:cs="Arial" w:eastAsia="Arial" w:hAnsi="Arial"/>
          <w:sz w:val="16"/>
          <w:szCs w:val="16"/>
          <w:u w:val="single" w:color="auto"/>
          <w:color w:val="0000FF"/>
        </w:rPr>
        <w:t xml:space="preserve"> </w:t>
      </w:r>
      <w:hyperlink r:id="rId27">
        <w:r>
          <w:rPr>
            <w:rFonts w:ascii="Arial" w:cs="Arial" w:eastAsia="Arial" w:hAnsi="Arial"/>
            <w:sz w:val="16"/>
            <w:szCs w:val="16"/>
            <w:u w:val="single" w:color="auto"/>
            <w:color w:val="0000FF"/>
          </w:rPr>
          <w:t>Registrant's Current Report on Form 8-K dated October 17, 2017 (Commission File Number 001-06403) and incorporated by reference herein.*</w:t>
        </w:r>
      </w:hyperlink>
    </w:p>
    <w:p>
      <w:pPr>
        <w:spacing w:after="0" w:line="142" w:lineRule="exact"/>
        <w:rPr>
          <w:sz w:val="20"/>
          <w:szCs w:val="20"/>
          <w:color w:val="auto"/>
        </w:rPr>
      </w:pPr>
    </w:p>
    <w:p>
      <w:pPr>
        <w:ind w:left="820" w:right="16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10l.</w:t>
      </w:r>
      <w:r>
        <w:rPr>
          <w:sz w:val="20"/>
          <w:szCs w:val="20"/>
          <w:color w:val="auto"/>
        </w:rPr>
        <w:tab/>
      </w:r>
      <w:hyperlink r:id="rId28">
        <w:r>
          <w:rPr>
            <w:rFonts w:ascii="Arial" w:cs="Arial" w:eastAsia="Arial" w:hAnsi="Arial"/>
            <w:sz w:val="16"/>
            <w:szCs w:val="16"/>
            <w:u w:val="single" w:color="auto"/>
            <w:color w:val="0000FF"/>
          </w:rPr>
          <w:t>Executive Change of Control Agreement dated June 20, 2012 between Winnebago Industries, Inc. and S. Scott Degnan previously filed as Exhibit</w:t>
        </w:r>
      </w:hyperlink>
      <w:r>
        <w:rPr>
          <w:rFonts w:ascii="Arial" w:cs="Arial" w:eastAsia="Arial" w:hAnsi="Arial"/>
          <w:sz w:val="16"/>
          <w:szCs w:val="16"/>
          <w:u w:val="single" w:color="auto"/>
          <w:color w:val="0000FF"/>
        </w:rPr>
        <w:t xml:space="preserve"> </w:t>
      </w:r>
      <w:hyperlink r:id="rId28">
        <w:r>
          <w:rPr>
            <w:rFonts w:ascii="Arial" w:cs="Arial" w:eastAsia="Arial" w:hAnsi="Arial"/>
            <w:sz w:val="16"/>
            <w:szCs w:val="16"/>
            <w:u w:val="single" w:color="auto"/>
            <w:color w:val="0000FF"/>
          </w:rPr>
          <w:t>10.V with the Registrant's Annual Report on Form 10-K for the fiscal year ended August 25, 2012 (Commission File Number 001-06403) and</w:t>
        </w:r>
      </w:hyperlink>
      <w:r>
        <w:rPr>
          <w:rFonts w:ascii="Arial" w:cs="Arial" w:eastAsia="Arial" w:hAnsi="Arial"/>
          <w:sz w:val="16"/>
          <w:szCs w:val="16"/>
          <w:u w:val="single" w:color="auto"/>
          <w:color w:val="0000FF"/>
        </w:rPr>
        <w:t xml:space="preserve"> </w:t>
      </w:r>
      <w:hyperlink r:id="rId28">
        <w:r>
          <w:rPr>
            <w:rFonts w:ascii="Arial" w:cs="Arial" w:eastAsia="Arial" w:hAnsi="Arial"/>
            <w:sz w:val="16"/>
            <w:szCs w:val="16"/>
            <w:u w:val="single" w:color="auto"/>
            <w:color w:val="0000FF"/>
          </w:rPr>
          <w:t>incorporated by reference herein.*</w:t>
        </w:r>
      </w:hyperlink>
    </w:p>
    <w:p>
      <w:pPr>
        <w:spacing w:after="0" w:line="147" w:lineRule="exact"/>
        <w:rPr>
          <w:rFonts w:ascii="Arial" w:cs="Arial" w:eastAsia="Arial" w:hAnsi="Arial"/>
          <w:sz w:val="16"/>
          <w:szCs w:val="16"/>
          <w:u w:val="single" w:color="auto"/>
          <w:color w:val="0000FF"/>
        </w:rPr>
      </w:pPr>
    </w:p>
    <w:p>
      <w:pPr>
        <w:ind w:left="820" w:right="10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10m.</w:t>
      </w:r>
      <w:r>
        <w:rPr>
          <w:sz w:val="20"/>
          <w:szCs w:val="20"/>
          <w:color w:val="auto"/>
        </w:rPr>
        <w:tab/>
      </w:r>
      <w:hyperlink r:id="rId29">
        <w:r>
          <w:rPr>
            <w:rFonts w:ascii="Arial" w:cs="Arial" w:eastAsia="Arial" w:hAnsi="Arial"/>
            <w:sz w:val="16"/>
            <w:szCs w:val="16"/>
            <w:u w:val="single" w:color="auto"/>
            <w:color w:val="0000FF"/>
          </w:rPr>
          <w:t>Executive Change of Control Agreement dated April 26, 2016 between Winnebago Industries, Inc. and Michael J. Happe previously filed as Exhibit</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99.1 with the Registrant's Current Report on Form 8-K dated April 26, 2016 (Commission File Number 001-06403) and incorporated by reference</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herein.*</w:t>
        </w:r>
      </w:hyperlink>
    </w:p>
    <w:p>
      <w:pPr>
        <w:spacing w:after="0" w:line="147" w:lineRule="exact"/>
        <w:rPr>
          <w:rFonts w:ascii="Arial" w:cs="Arial" w:eastAsia="Arial" w:hAnsi="Arial"/>
          <w:sz w:val="16"/>
          <w:szCs w:val="16"/>
          <w:u w:val="single" w:color="auto"/>
          <w:color w:val="0000FF"/>
        </w:rPr>
      </w:pPr>
    </w:p>
    <w:p>
      <w:pPr>
        <w:ind w:left="82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10n.</w:t>
      </w:r>
      <w:r>
        <w:rPr>
          <w:sz w:val="20"/>
          <w:szCs w:val="20"/>
          <w:color w:val="auto"/>
        </w:rPr>
        <w:tab/>
      </w:r>
      <w:hyperlink r:id="rId30">
        <w:r>
          <w:rPr>
            <w:rFonts w:ascii="Arial" w:cs="Arial" w:eastAsia="Arial" w:hAnsi="Arial"/>
            <w:sz w:val="16"/>
            <w:szCs w:val="16"/>
            <w:u w:val="single" w:color="auto"/>
            <w:color w:val="0000FF"/>
          </w:rPr>
          <w:t>Executive Change of Control Agreement dated September 16, 2016 between Winnebago Industries, Inc. and Brian Hazelton previously filed as</w:t>
        </w:r>
      </w:hyperlink>
      <w:r>
        <w:rPr>
          <w:rFonts w:ascii="Arial" w:cs="Arial" w:eastAsia="Arial" w:hAnsi="Arial"/>
          <w:sz w:val="16"/>
          <w:szCs w:val="16"/>
          <w:u w:val="single" w:color="auto"/>
          <w:color w:val="0000FF"/>
        </w:rPr>
        <w:t xml:space="preserve"> </w:t>
      </w:r>
      <w:hyperlink r:id="rId30">
        <w:r>
          <w:rPr>
            <w:rFonts w:ascii="Arial" w:cs="Arial" w:eastAsia="Arial" w:hAnsi="Arial"/>
            <w:sz w:val="16"/>
            <w:szCs w:val="16"/>
            <w:u w:val="single" w:color="auto"/>
            <w:color w:val="0000FF"/>
          </w:rPr>
          <w:t>Exhibit 10.U with the Registrant's Annual Report on Form 10-K for the fiscal year ended August 27, 2016 (Commission File Number 001-06403) and</w:t>
        </w:r>
      </w:hyperlink>
      <w:r>
        <w:rPr>
          <w:rFonts w:ascii="Arial" w:cs="Arial" w:eastAsia="Arial" w:hAnsi="Arial"/>
          <w:sz w:val="16"/>
          <w:szCs w:val="16"/>
          <w:u w:val="single" w:color="auto"/>
          <w:color w:val="0000FF"/>
        </w:rPr>
        <w:t xml:space="preserve"> </w:t>
      </w:r>
      <w:hyperlink r:id="rId30">
        <w:r>
          <w:rPr>
            <w:rFonts w:ascii="Arial" w:cs="Arial" w:eastAsia="Arial" w:hAnsi="Arial"/>
            <w:sz w:val="16"/>
            <w:szCs w:val="16"/>
            <w:u w:val="single" w:color="auto"/>
            <w:color w:val="0000FF"/>
          </w:rPr>
          <w:t>incorporated by reference herein.*</w:t>
        </w:r>
      </w:hyperlink>
    </w:p>
    <w:p>
      <w:pPr>
        <w:spacing w:after="0" w:line="147" w:lineRule="exact"/>
        <w:rPr>
          <w:rFonts w:ascii="Arial" w:cs="Arial" w:eastAsia="Arial" w:hAnsi="Arial"/>
          <w:sz w:val="16"/>
          <w:szCs w:val="16"/>
          <w:u w:val="single" w:color="auto"/>
          <w:color w:val="0000FF"/>
        </w:rPr>
      </w:pPr>
    </w:p>
    <w:p>
      <w:pPr>
        <w:ind w:left="820" w:right="42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10o.</w:t>
      </w:r>
      <w:r>
        <w:rPr>
          <w:sz w:val="20"/>
          <w:szCs w:val="20"/>
          <w:color w:val="auto"/>
        </w:rPr>
        <w:tab/>
      </w:r>
      <w:hyperlink r:id="rId31">
        <w:r>
          <w:rPr>
            <w:rFonts w:ascii="Arial" w:cs="Arial" w:eastAsia="Arial" w:hAnsi="Arial"/>
            <w:sz w:val="16"/>
            <w:szCs w:val="16"/>
            <w:u w:val="single" w:color="auto"/>
            <w:color w:val="0000FF"/>
          </w:rPr>
          <w:t>Separation Agreement dated June 19, 2017 between Winnebago Industries, Inc. and Sarah N. Nielsen previously filed as Exhibit 10.1 with the</w:t>
        </w:r>
      </w:hyperlink>
      <w:r>
        <w:rPr>
          <w:rFonts w:ascii="Arial" w:cs="Arial" w:eastAsia="Arial" w:hAnsi="Arial"/>
          <w:sz w:val="16"/>
          <w:szCs w:val="16"/>
          <w:u w:val="single" w:color="auto"/>
          <w:color w:val="0000FF"/>
        </w:rPr>
        <w:t xml:space="preserve"> </w:t>
      </w:r>
      <w:hyperlink r:id="rId31">
        <w:r>
          <w:rPr>
            <w:rFonts w:ascii="Arial" w:cs="Arial" w:eastAsia="Arial" w:hAnsi="Arial"/>
            <w:sz w:val="16"/>
            <w:szCs w:val="16"/>
            <w:u w:val="single" w:color="auto"/>
            <w:color w:val="0000FF"/>
          </w:rPr>
          <w:t>Registrant's Annual Report on Form 8-K dated June 19, 2017 (Commission File Number 001-06403) and incorporated by reference herein.*</w:t>
        </w:r>
      </w:hyperlink>
    </w:p>
    <w:p>
      <w:pPr>
        <w:spacing w:after="0" w:line="142" w:lineRule="exact"/>
        <w:rPr>
          <w:sz w:val="20"/>
          <w:szCs w:val="20"/>
          <w:color w:val="auto"/>
        </w:rPr>
      </w:pPr>
    </w:p>
    <w:p>
      <w:pPr>
        <w:ind w:left="82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10p.</w:t>
      </w:r>
      <w:r>
        <w:rPr>
          <w:sz w:val="20"/>
          <w:szCs w:val="20"/>
          <w:color w:val="auto"/>
        </w:rPr>
        <w:tab/>
      </w:r>
      <w:hyperlink r:id="rId32">
        <w:r>
          <w:rPr>
            <w:rFonts w:ascii="Arial" w:cs="Arial" w:eastAsia="Arial" w:hAnsi="Arial"/>
            <w:sz w:val="16"/>
            <w:szCs w:val="16"/>
            <w:u w:val="single" w:color="auto"/>
            <w:color w:val="0000FF"/>
          </w:rPr>
          <w:t>Executive Change of Control Agreement dated December 22, 2017 between Winnebago Industries, Inc. and Bryan L. Hughes previously filed as</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Exhibit 99.1 with the Registrant's Current Report on Form 8-K dated December 22, 2017 (Commission File Number 001-06403) and incorporated by</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reference herein.*</w:t>
        </w:r>
      </w:hyperlink>
    </w:p>
    <w:p>
      <w:pPr>
        <w:spacing w:after="0" w:line="147" w:lineRule="exact"/>
        <w:rPr>
          <w:rFonts w:ascii="Arial" w:cs="Arial" w:eastAsia="Arial" w:hAnsi="Arial"/>
          <w:sz w:val="16"/>
          <w:szCs w:val="16"/>
          <w:u w:val="single" w:color="auto"/>
          <w:color w:val="0000FF"/>
        </w:rPr>
      </w:pPr>
    </w:p>
    <w:p>
      <w:pPr>
        <w:ind w:left="340"/>
        <w:spacing w:after="0"/>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10q.</w:t>
      </w:r>
      <w:r>
        <w:rPr>
          <w:sz w:val="20"/>
          <w:szCs w:val="20"/>
          <w:color w:val="auto"/>
        </w:rPr>
        <w:tab/>
      </w:r>
      <w:hyperlink r:id="rId33">
        <w:r>
          <w:rPr>
            <w:rFonts w:ascii="Arial" w:cs="Arial" w:eastAsia="Arial" w:hAnsi="Arial"/>
            <w:sz w:val="16"/>
            <w:szCs w:val="16"/>
            <w:u w:val="single" w:color="auto"/>
            <w:color w:val="0000FF"/>
          </w:rPr>
          <w:t>Winnebago Industries, Inc. Supplemental Executive Retirement Plan previously filed as Exhibit 10.Z with the Registrant's Annual Report on Form</w:t>
        </w:r>
      </w:hyperlink>
    </w:p>
    <w:p>
      <w:pPr>
        <w:spacing w:after="0" w:line="5" w:lineRule="exact"/>
        <w:rPr>
          <w:rFonts w:ascii="Arial" w:cs="Arial" w:eastAsia="Arial" w:hAnsi="Arial"/>
          <w:sz w:val="16"/>
          <w:szCs w:val="16"/>
          <w:u w:val="single" w:color="auto"/>
          <w:color w:val="0000FF"/>
        </w:rPr>
      </w:pPr>
    </w:p>
    <w:p>
      <w:pPr>
        <w:ind w:left="820"/>
        <w:spacing w:after="0"/>
        <w:rPr>
          <w:rFonts w:ascii="Arial" w:cs="Arial" w:eastAsia="Arial" w:hAnsi="Arial"/>
          <w:sz w:val="16"/>
          <w:szCs w:val="16"/>
          <w:u w:val="single" w:color="auto"/>
          <w:color w:val="0000FF"/>
        </w:rPr>
      </w:pPr>
      <w:hyperlink r:id="rId33">
        <w:r>
          <w:rPr>
            <w:rFonts w:ascii="Arial" w:cs="Arial" w:eastAsia="Arial" w:hAnsi="Arial"/>
            <w:sz w:val="16"/>
            <w:szCs w:val="16"/>
            <w:u w:val="single" w:color="auto"/>
            <w:color w:val="0000FF"/>
          </w:rPr>
          <w:t>10-K for the fiscal year ended August 29, 2009 (Commission File Number 001-06403) and incorporated by reference herein.*</w:t>
        </w:r>
      </w:hyperlink>
    </w:p>
    <w:p>
      <w:pPr>
        <w:spacing w:after="0" w:line="167" w:lineRule="exact"/>
        <w:rPr>
          <w:rFonts w:ascii="Arial" w:cs="Arial" w:eastAsia="Arial" w:hAnsi="Arial"/>
          <w:sz w:val="16"/>
          <w:szCs w:val="16"/>
          <w:u w:val="single" w:color="auto"/>
          <w:color w:val="0000FF"/>
        </w:rPr>
      </w:pPr>
    </w:p>
    <w:p>
      <w:pPr>
        <w:ind w:left="820" w:right="56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10r.</w:t>
      </w:r>
      <w:r>
        <w:rPr>
          <w:sz w:val="20"/>
          <w:szCs w:val="20"/>
          <w:color w:val="auto"/>
        </w:rPr>
        <w:tab/>
      </w:r>
      <w:hyperlink r:id="rId34">
        <w:r>
          <w:rPr>
            <w:rFonts w:ascii="Arial" w:cs="Arial" w:eastAsia="Arial" w:hAnsi="Arial"/>
            <w:sz w:val="16"/>
            <w:szCs w:val="16"/>
            <w:u w:val="single" w:color="auto"/>
            <w:color w:val="0000FF"/>
          </w:rPr>
          <w:t>Winnebago Industries, Inc. Officers' Incentive Compensation Plan for Fiscal Period 2016 previously filed as Exhibit 99.1 with the Registrant's</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Current Report on Form 8-K dated June 16, 2015 (Commission File Number 001-06403) and incorporated by reference herein.*</w:t>
        </w:r>
      </w:hyperlink>
    </w:p>
    <w:p>
      <w:pPr>
        <w:spacing w:after="0" w:line="142" w:lineRule="exact"/>
        <w:rPr>
          <w:sz w:val="20"/>
          <w:szCs w:val="20"/>
          <w:color w:val="auto"/>
        </w:rPr>
      </w:pPr>
    </w:p>
    <w:p>
      <w:pPr>
        <w:ind w:left="820" w:right="56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10s.</w:t>
      </w:r>
      <w:r>
        <w:rPr>
          <w:sz w:val="20"/>
          <w:szCs w:val="20"/>
          <w:color w:val="auto"/>
        </w:rPr>
        <w:tab/>
      </w:r>
      <w:hyperlink r:id="rId35">
        <w:r>
          <w:rPr>
            <w:rFonts w:ascii="Arial" w:cs="Arial" w:eastAsia="Arial" w:hAnsi="Arial"/>
            <w:sz w:val="16"/>
            <w:szCs w:val="16"/>
            <w:u w:val="single" w:color="auto"/>
            <w:color w:val="0000FF"/>
          </w:rPr>
          <w:t>Winnebago Industries, Inc. Officers' Incentive Compensation Plan for Fiscal Period 2017 previously filed as Exhibit 99.1 with the Registrant's</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Current Report on Form 8-K dated October 11, 2016 (Commission File Number 001-06403) and incorporated by reference herein.*</w:t>
        </w:r>
      </w:hyperlink>
    </w:p>
    <w:p>
      <w:pPr>
        <w:spacing w:after="0" w:line="142" w:lineRule="exact"/>
        <w:rPr>
          <w:sz w:val="20"/>
          <w:szCs w:val="20"/>
          <w:color w:val="auto"/>
        </w:rPr>
      </w:pPr>
    </w:p>
    <w:p>
      <w:pPr>
        <w:ind w:left="820" w:right="560" w:hanging="479"/>
        <w:spacing w:after="0" w:line="260"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10t.</w:t>
      </w:r>
      <w:r>
        <w:rPr>
          <w:sz w:val="20"/>
          <w:szCs w:val="20"/>
          <w:color w:val="auto"/>
        </w:rPr>
        <w:tab/>
      </w:r>
      <w:hyperlink r:id="rId36">
        <w:r>
          <w:rPr>
            <w:rFonts w:ascii="Arial" w:cs="Arial" w:eastAsia="Arial" w:hAnsi="Arial"/>
            <w:sz w:val="16"/>
            <w:szCs w:val="16"/>
            <w:u w:val="single" w:color="auto"/>
            <w:color w:val="0000FF"/>
          </w:rPr>
          <w:t>Winnebago Industries, Inc. Officers' Incentive Compensation Plan for Fiscal Period 2018 previously filed as Exhibit 99.1 with the Registrant's</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Current Report on Form 8-K dated October 17, 2017 (Commission File Number 001-06403) and incorporated by reference herein.*</w:t>
        </w:r>
      </w:hyperlink>
    </w:p>
    <w:p>
      <w:pPr>
        <w:spacing w:after="0" w:line="142" w:lineRule="exact"/>
        <w:rPr>
          <w:sz w:val="20"/>
          <w:szCs w:val="20"/>
          <w:color w:val="auto"/>
        </w:rPr>
      </w:pPr>
    </w:p>
    <w:p>
      <w:pPr>
        <w:ind w:left="820" w:right="10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10u.</w:t>
      </w:r>
      <w:r>
        <w:rPr>
          <w:sz w:val="20"/>
          <w:szCs w:val="20"/>
          <w:color w:val="auto"/>
        </w:rPr>
        <w:tab/>
      </w:r>
      <w:hyperlink r:id="rId37">
        <w:r>
          <w:rPr>
            <w:rFonts w:ascii="Arial" w:cs="Arial" w:eastAsia="Arial" w:hAnsi="Arial"/>
            <w:sz w:val="16"/>
            <w:szCs w:val="16"/>
            <w:u w:val="single" w:color="auto"/>
            <w:color w:val="0000FF"/>
          </w:rPr>
          <w:t>Winnebago Industries, Inc. Amended and Restated Credit Agreement with General Electric Capital Corporation (later acquired by Wells Fargo</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Capital Finance) previously filed as Exhibit 10.1 with the Registrant's Current Report on Form 8-K dated October 31, 2012 and amended on Exhibit</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10.1 of the Registrant's Current Report on Form 8-K dated May 28, 2014 (Commission File Number 001-06403) and incorporated by reference</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herein.</w:t>
        </w:r>
      </w:hyperlink>
    </w:p>
    <w:p>
      <w:pPr>
        <w:spacing w:after="0" w:line="392"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left="820" w:right="26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10v.</w:t>
      </w:r>
      <w:r>
        <w:rPr>
          <w:sz w:val="20"/>
          <w:szCs w:val="20"/>
          <w:color w:val="auto"/>
        </w:rPr>
        <w:tab/>
      </w:r>
      <w:hyperlink r:id="rId38">
        <w:r>
          <w:rPr>
            <w:rFonts w:ascii="Arial" w:cs="Arial" w:eastAsia="Arial" w:hAnsi="Arial"/>
            <w:sz w:val="16"/>
            <w:szCs w:val="16"/>
            <w:u w:val="single" w:color="auto"/>
            <w:color w:val="0000FF"/>
          </w:rPr>
          <w:t>Non-competition, Non-solicitation and Confidentiality Agreement by and among Octavius Corporation, Winnebago Industries, Inc., Grand Design</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RV, LLC, RDB III, Inc., Ronald Fenech, Donald Clark and William Fenech previously filed as Exhibit 10.1 with the Registrant's Current Report on</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Form 8-K dated October 2, 2016 (Commission File Number 001-06403) and incorporated by reference herein.</w:t>
        </w:r>
      </w:hyperlink>
    </w:p>
    <w:p>
      <w:pPr>
        <w:spacing w:after="0" w:line="147" w:lineRule="exact"/>
        <w:rPr>
          <w:rFonts w:ascii="Arial" w:cs="Arial" w:eastAsia="Arial" w:hAnsi="Arial"/>
          <w:sz w:val="16"/>
          <w:szCs w:val="16"/>
          <w:u w:val="single" w:color="auto"/>
          <w:color w:val="0000FF"/>
        </w:rPr>
      </w:pPr>
    </w:p>
    <w:p>
      <w:pPr>
        <w:ind w:left="820" w:right="16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10w.</w:t>
      </w:r>
      <w:r>
        <w:rPr>
          <w:sz w:val="20"/>
          <w:szCs w:val="20"/>
          <w:color w:val="auto"/>
        </w:rPr>
        <w:tab/>
      </w:r>
      <w:hyperlink r:id="rId39">
        <w:r>
          <w:rPr>
            <w:rFonts w:ascii="Arial" w:cs="Arial" w:eastAsia="Arial" w:hAnsi="Arial"/>
            <w:sz w:val="16"/>
            <w:szCs w:val="16"/>
            <w:u w:val="single" w:color="auto"/>
            <w:color w:val="0000FF"/>
          </w:rPr>
          <w:t>Non-Solicitation and Confidentiality Agreement by and among Octavius Corporation, Winnebago Industries, Inc., Grand Design, RV, LLC, Summit</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Partners Growth Equity Fund VIII-B, L.P., Summit Partners Growth Equity Fund VIII-A, L.P., Summit Entrepreneur Advisors Fund I, L.P., Summit</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Investors I, LLC, Summit Investors I (UK), L.P., and SP GE VIII-B GD RV Holdings previously filed as Exhibit 10.2 with the Registrant's Current</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Report on Form 8-K dated October 2, 2016 (Commission File Number 001-06403) and incorporated by reference herein.</w:t>
        </w:r>
      </w:hyperlink>
    </w:p>
    <w:p>
      <w:pPr>
        <w:spacing w:after="0" w:line="149" w:lineRule="exact"/>
        <w:rPr>
          <w:rFonts w:ascii="Arial" w:cs="Arial" w:eastAsia="Arial" w:hAnsi="Arial"/>
          <w:sz w:val="16"/>
          <w:szCs w:val="16"/>
          <w:u w:val="single" w:color="auto"/>
          <w:color w:val="0000FF"/>
        </w:rPr>
      </w:pPr>
    </w:p>
    <w:p>
      <w:pPr>
        <w:ind w:left="82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10x.</w:t>
      </w:r>
      <w:r>
        <w:rPr>
          <w:sz w:val="20"/>
          <w:szCs w:val="20"/>
          <w:color w:val="auto"/>
        </w:rPr>
        <w:tab/>
      </w:r>
      <w:hyperlink r:id="rId40">
        <w:r>
          <w:rPr>
            <w:rFonts w:ascii="Arial" w:cs="Arial" w:eastAsia="Arial" w:hAnsi="Arial"/>
            <w:sz w:val="16"/>
            <w:szCs w:val="16"/>
            <w:u w:val="single" w:color="auto"/>
            <w:color w:val="0000FF"/>
          </w:rPr>
          <w:t>Registration Rights Agreement by and among Winnebago Industries, Inc., Summit Partners Growth Equity Fund VIII-A, L.P., Summit Partners</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Growth Equity Fund VIII-B, L.P., Summit Partners Entrepreneur Advisors Fund I, L.P., Summit Investors I, LLC, Summit Investors I (UK), L.P. and</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SP GE VIII-B GD RV Holdings, L.P., Donald Clark, Ronald Fenech, and William Fenech previously filed as Exhibit 10.3 with the Registrant's Current</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Report on Form 8-K dated October 2, 2016 (Commission File Number 001-06403) and incorporated by reference herein.</w:t>
        </w:r>
      </w:hyperlink>
    </w:p>
    <w:p>
      <w:pPr>
        <w:spacing w:after="0" w:line="149" w:lineRule="exact"/>
        <w:rPr>
          <w:rFonts w:ascii="Arial" w:cs="Arial" w:eastAsia="Arial" w:hAnsi="Arial"/>
          <w:sz w:val="16"/>
          <w:szCs w:val="16"/>
          <w:u w:val="single" w:color="auto"/>
          <w:color w:val="0000FF"/>
        </w:rPr>
      </w:pPr>
    </w:p>
    <w:p>
      <w:pPr>
        <w:jc w:val="both"/>
        <w:ind w:left="820" w:right="12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10y.</w:t>
      </w:r>
      <w:r>
        <w:rPr>
          <w:sz w:val="20"/>
          <w:szCs w:val="20"/>
          <w:color w:val="auto"/>
        </w:rPr>
        <w:tab/>
      </w:r>
      <w:hyperlink r:id="rId41">
        <w:r>
          <w:rPr>
            <w:rFonts w:ascii="Arial" w:cs="Arial" w:eastAsia="Arial" w:hAnsi="Arial"/>
            <w:sz w:val="16"/>
            <w:szCs w:val="16"/>
            <w:u w:val="single" w:color="auto"/>
            <w:color w:val="0000FF"/>
          </w:rPr>
          <w:t>Employment Agreement by and between Grand Design RV, LLC and Donald Clark dated October 2, 2016 previously filed as Exhibit 10.9 with the</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Registrant's Current Report on Form 8-K dated October 2, 2016 including Exhibit A, Executive Change of Control Agreement between Winnebago</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Industries, Inc. and Donald Clark (Commission File Number 001-06403) and incorporated by reference herein.</w:t>
        </w:r>
      </w:hyperlink>
    </w:p>
    <w:p>
      <w:pPr>
        <w:spacing w:after="0" w:line="147" w:lineRule="exact"/>
        <w:rPr>
          <w:rFonts w:ascii="Arial" w:cs="Arial" w:eastAsia="Arial" w:hAnsi="Arial"/>
          <w:sz w:val="16"/>
          <w:szCs w:val="16"/>
          <w:u w:val="single" w:color="auto"/>
          <w:color w:val="0000FF"/>
        </w:rPr>
      </w:pPr>
    </w:p>
    <w:p>
      <w:pPr>
        <w:ind w:left="820" w:right="8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10z.</w:t>
      </w:r>
      <w:r>
        <w:rPr>
          <w:sz w:val="20"/>
          <w:szCs w:val="20"/>
          <w:color w:val="auto"/>
        </w:rPr>
        <w:tab/>
      </w:r>
      <w:hyperlink r:id="rId42">
        <w:r>
          <w:rPr>
            <w:rFonts w:ascii="Arial" w:cs="Arial" w:eastAsia="Arial" w:hAnsi="Arial"/>
            <w:sz w:val="16"/>
            <w:szCs w:val="16"/>
            <w:u w:val="single" w:color="auto"/>
            <w:color w:val="0000FF"/>
          </w:rPr>
          <w:t>Loan Agreement by and among Winnebago Industries, Inc., Octavius Corporation and JPMorgan Chase Bank, N.A. previously filed as Exhibit 99.2</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with the Registrant's Current Report on Form 8-K dated November 8, 2016 (Commission File Number 001-06403) and incorporated by reference</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herein.</w:t>
        </w:r>
      </w:hyperlink>
    </w:p>
    <w:p>
      <w:pPr>
        <w:spacing w:after="0" w:line="147" w:lineRule="exact"/>
        <w:rPr>
          <w:rFonts w:ascii="Arial" w:cs="Arial" w:eastAsia="Arial" w:hAnsi="Arial"/>
          <w:sz w:val="16"/>
          <w:szCs w:val="16"/>
          <w:u w:val="single" w:color="auto"/>
          <w:color w:val="0000FF"/>
        </w:rPr>
      </w:pPr>
    </w:p>
    <w:p>
      <w:pPr>
        <w:ind w:left="820" w:right="80" w:hanging="485"/>
        <w:spacing w:after="0" w:line="25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10aa. </w:t>
      </w:r>
      <w:hyperlink r:id="rId43">
        <w:r>
          <w:rPr>
            <w:rFonts w:ascii="Arial" w:cs="Arial" w:eastAsia="Arial" w:hAnsi="Arial"/>
            <w:sz w:val="16"/>
            <w:szCs w:val="16"/>
            <w:u w:val="single" w:color="auto"/>
            <w:color w:val="0000FF"/>
          </w:rPr>
          <w:t>Amendment No. 1 to Loan Agreement dated as of December 8, 2017 among Octavius Corporation, JPMorgan Chase Bank, N.A. as Administrative</w:t>
        </w:r>
      </w:hyperlink>
      <w:r>
        <w:rPr>
          <w:rFonts w:ascii="Arial" w:cs="Arial" w:eastAsia="Arial" w:hAnsi="Arial"/>
          <w:sz w:val="16"/>
          <w:szCs w:val="16"/>
          <w:color w:val="auto"/>
        </w:rPr>
        <w:t xml:space="preserve"> </w:t>
      </w:r>
      <w:hyperlink r:id="rId43">
        <w:r>
          <w:rPr>
            <w:rFonts w:ascii="Arial" w:cs="Arial" w:eastAsia="Arial" w:hAnsi="Arial"/>
            <w:sz w:val="16"/>
            <w:szCs w:val="16"/>
            <w:u w:val="single" w:color="auto"/>
            <w:color w:val="0000FF"/>
          </w:rPr>
          <w:t>Agent and the lender parties hereto previously filed as Exhibit 10.1 with the Registrant’s Current Report on Form 8-K dated December 8, 2017</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(Commission File No. 001-06403) and incorporated by reference herein.</w:t>
        </w:r>
      </w:hyperlink>
    </w:p>
    <w:p>
      <w:pPr>
        <w:spacing w:after="0" w:line="147" w:lineRule="exact"/>
        <w:rPr>
          <w:rFonts w:ascii="Arial" w:cs="Arial" w:eastAsia="Arial" w:hAnsi="Arial"/>
          <w:sz w:val="16"/>
          <w:szCs w:val="16"/>
          <w:color w:val="auto"/>
        </w:rPr>
      </w:pPr>
    </w:p>
    <w:p>
      <w:pPr>
        <w:ind w:left="820" w:right="60" w:hanging="485"/>
        <w:spacing w:after="0" w:line="25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10ab. </w:t>
      </w:r>
      <w:hyperlink r:id="rId44">
        <w:r>
          <w:rPr>
            <w:rFonts w:ascii="Arial" w:cs="Arial" w:eastAsia="Arial" w:hAnsi="Arial"/>
            <w:sz w:val="16"/>
            <w:szCs w:val="16"/>
            <w:u w:val="single" w:color="auto"/>
            <w:color w:val="0000FF"/>
          </w:rPr>
          <w:t>Credit Agreement by and among Winnebago Industries, Inc., Winnebago of Indiana, LLC, Grand Design RV, LLC and JPMorgan Chase Bank, N.A.</w:t>
        </w:r>
      </w:hyperlink>
      <w:r>
        <w:rPr>
          <w:rFonts w:ascii="Arial" w:cs="Arial" w:eastAsia="Arial" w:hAnsi="Arial"/>
          <w:sz w:val="16"/>
          <w:szCs w:val="16"/>
          <w:color w:val="auto"/>
        </w:rPr>
        <w:t xml:space="preserve"> </w:t>
      </w:r>
      <w:hyperlink r:id="rId44">
        <w:r>
          <w:rPr>
            <w:rFonts w:ascii="Arial" w:cs="Arial" w:eastAsia="Arial" w:hAnsi="Arial"/>
            <w:sz w:val="16"/>
            <w:szCs w:val="16"/>
            <w:u w:val="single" w:color="auto"/>
            <w:color w:val="0000FF"/>
          </w:rPr>
          <w:t>previously filed as Exhibit 99.3 with the Registrant's Current Report on Form 8-K dated November 8, 2016 (Commission File Number 001-06403)</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and incorporated by reference herein.</w:t>
        </w:r>
      </w:hyperlink>
    </w:p>
    <w:p>
      <w:pPr>
        <w:spacing w:after="0" w:line="147" w:lineRule="exact"/>
        <w:rPr>
          <w:rFonts w:ascii="Arial" w:cs="Arial" w:eastAsia="Arial" w:hAnsi="Arial"/>
          <w:sz w:val="16"/>
          <w:szCs w:val="16"/>
          <w:color w:val="auto"/>
        </w:rPr>
      </w:pPr>
    </w:p>
    <w:p>
      <w:pPr>
        <w:ind w:left="820" w:right="180" w:hanging="479"/>
        <w:spacing w:after="0" w:line="251"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10ac.</w:t>
      </w:r>
      <w:r>
        <w:rPr>
          <w:sz w:val="20"/>
          <w:szCs w:val="20"/>
          <w:color w:val="auto"/>
        </w:rPr>
        <w:tab/>
      </w:r>
      <w:hyperlink r:id="rId45">
        <w:r>
          <w:rPr>
            <w:rFonts w:ascii="Arial" w:cs="Arial" w:eastAsia="Arial" w:hAnsi="Arial"/>
            <w:sz w:val="16"/>
            <w:szCs w:val="16"/>
            <w:u w:val="single" w:color="auto"/>
            <w:color w:val="0000FF"/>
          </w:rPr>
          <w:t>Amendment No. 2 to Credit Agreement dated as of December 8, 2017 by and among Winnebago Industries, Inc., Winnebago of Indiana, LLC,</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Grand Design RV, LLC, the other Loan Parties hereto, the financial institutions party hereto as Lenders, and JPMorgan Chase Bank, N.A. as</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Administrative Agent previously filed as Exhibit 10.2 with the Registrant’s Current Report on Form 8-K dated December 8, 2017 (Commission File</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No. 001-06403) and incorporated by reference herein.</w:t>
        </w:r>
      </w:hyperlink>
    </w:p>
    <w:p>
      <w:pPr>
        <w:spacing w:after="0" w:line="149" w:lineRule="exact"/>
        <w:rPr>
          <w:rFonts w:ascii="Arial" w:cs="Arial" w:eastAsia="Arial" w:hAnsi="Arial"/>
          <w:sz w:val="16"/>
          <w:szCs w:val="16"/>
          <w:u w:val="single" w:color="auto"/>
          <w:color w:val="0000FF"/>
        </w:rPr>
      </w:pPr>
    </w:p>
    <w:p>
      <w:pPr>
        <w:ind w:left="820" w:right="140" w:hanging="485"/>
        <w:spacing w:after="0" w:line="25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10ad. </w:t>
      </w:r>
      <w:hyperlink r:id="rId46">
        <w:r>
          <w:rPr>
            <w:rFonts w:ascii="Arial" w:cs="Arial" w:eastAsia="Arial" w:hAnsi="Arial"/>
            <w:sz w:val="16"/>
            <w:szCs w:val="16"/>
            <w:u w:val="single" w:color="auto"/>
            <w:color w:val="0000FF"/>
          </w:rPr>
          <w:t>Intercreditor Agreement by and among Winnebago Industries, Inc., Winnebago of Indiana, LLC, Grand Design RV, LLC, Octavius Corporation and</w:t>
        </w:r>
      </w:hyperlink>
      <w:r>
        <w:rPr>
          <w:rFonts w:ascii="Arial" w:cs="Arial" w:eastAsia="Arial" w:hAnsi="Arial"/>
          <w:sz w:val="16"/>
          <w:szCs w:val="16"/>
          <w:color w:val="auto"/>
        </w:rPr>
        <w:t xml:space="preserve"> </w:t>
      </w:r>
      <w:hyperlink r:id="rId46">
        <w:r>
          <w:rPr>
            <w:rFonts w:ascii="Arial" w:cs="Arial" w:eastAsia="Arial" w:hAnsi="Arial"/>
            <w:sz w:val="16"/>
            <w:szCs w:val="16"/>
            <w:u w:val="single" w:color="auto"/>
            <w:color w:val="0000FF"/>
          </w:rPr>
          <w:t>JPMorgan Chase Bank, N.A. previously filed as Exhibit 99.4 with the Registrant's Current Report on Form 8-K dated November 8, 2016</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(Commission File Number 001-06403) and incorporated by reference herein.</w:t>
        </w:r>
      </w:hyperlink>
    </w:p>
    <w:p>
      <w:pPr>
        <w:spacing w:after="0" w:line="147" w:lineRule="exact"/>
        <w:rPr>
          <w:rFonts w:ascii="Arial" w:cs="Arial" w:eastAsia="Arial" w:hAnsi="Arial"/>
          <w:sz w:val="16"/>
          <w:szCs w:val="16"/>
          <w:color w:val="auto"/>
        </w:rPr>
      </w:pPr>
    </w:p>
    <w:p>
      <w:pPr>
        <w:ind w:left="820" w:right="80" w:hanging="485"/>
        <w:spacing w:after="0" w:line="25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10ae. </w:t>
      </w:r>
      <w:hyperlink r:id="rId47">
        <w:r>
          <w:rPr>
            <w:rFonts w:ascii="Arial" w:cs="Arial" w:eastAsia="Arial" w:hAnsi="Arial"/>
            <w:sz w:val="16"/>
            <w:szCs w:val="16"/>
            <w:u w:val="single" w:color="auto"/>
            <w:color w:val="0000FF"/>
          </w:rPr>
          <w:t>Lease Agreement (Main Facility) dated November 8, 2016 by and between Three Oaks, LLC and Grand Design RV, LLC previously filed as Exhibit</w:t>
        </w:r>
      </w:hyperlink>
      <w:r>
        <w:rPr>
          <w:rFonts w:ascii="Arial" w:cs="Arial" w:eastAsia="Arial" w:hAnsi="Arial"/>
          <w:sz w:val="16"/>
          <w:szCs w:val="16"/>
          <w:color w:val="auto"/>
        </w:rPr>
        <w:t xml:space="preserve"> </w:t>
      </w:r>
      <w:hyperlink r:id="rId47">
        <w:r>
          <w:rPr>
            <w:rFonts w:ascii="Arial" w:cs="Arial" w:eastAsia="Arial" w:hAnsi="Arial"/>
            <w:sz w:val="16"/>
            <w:szCs w:val="16"/>
            <w:u w:val="single" w:color="auto"/>
            <w:color w:val="0000FF"/>
          </w:rPr>
          <w:t>99.4 to the Registrant’s Quarterly Report on Form 10-Q for the quarter ended November 26, 2016 (Commission File Number 001-06403) and</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incorporated by reference herein.</w:t>
        </w:r>
      </w:hyperlink>
    </w:p>
    <w:p>
      <w:pPr>
        <w:spacing w:after="0" w:line="147" w:lineRule="exact"/>
        <w:rPr>
          <w:rFonts w:ascii="Arial" w:cs="Arial" w:eastAsia="Arial" w:hAnsi="Arial"/>
          <w:sz w:val="16"/>
          <w:szCs w:val="16"/>
          <w:color w:val="auto"/>
        </w:rPr>
      </w:pPr>
    </w:p>
    <w:p>
      <w:pPr>
        <w:jc w:val="both"/>
        <w:ind w:left="820" w:right="220" w:hanging="479"/>
        <w:spacing w:after="0" w:line="253"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10af.</w:t>
      </w:r>
      <w:r>
        <w:rPr>
          <w:sz w:val="20"/>
          <w:szCs w:val="20"/>
          <w:color w:val="auto"/>
        </w:rPr>
        <w:tab/>
      </w:r>
      <w:hyperlink r:id="rId48">
        <w:r>
          <w:rPr>
            <w:rFonts w:ascii="Arial" w:cs="Arial" w:eastAsia="Arial" w:hAnsi="Arial"/>
            <w:sz w:val="16"/>
            <w:szCs w:val="16"/>
            <w:u w:val="single" w:color="auto"/>
            <w:color w:val="0000FF"/>
          </w:rPr>
          <w:t>Lease Agreement (Expansion Facility) dated November 8, 2016 by and between Three Oaks, LLC and Grand Design RV, LLC previously filed as</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Exhibit 99.5 to the Registrant’s Quarterly Report on Form 10-Q for the quarter ended November 26, 2016 (Commission File Number 001-06403)</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and incorporated by reference herein.</w:t>
        </w:r>
      </w:hyperlink>
    </w:p>
    <w:p>
      <w:pPr>
        <w:spacing w:after="0" w:line="147" w:lineRule="exact"/>
        <w:rPr>
          <w:rFonts w:ascii="Arial" w:cs="Arial" w:eastAsia="Arial" w:hAnsi="Arial"/>
          <w:sz w:val="16"/>
          <w:szCs w:val="16"/>
          <w:u w:val="single" w:color="auto"/>
          <w:color w:val="0000FF"/>
        </w:rPr>
      </w:pPr>
    </w:p>
    <w:p>
      <w:pPr>
        <w:ind w:left="820" w:hanging="488"/>
        <w:spacing w:after="0"/>
        <w:tabs>
          <w:tab w:leader="none" w:pos="820" w:val="left"/>
        </w:tabs>
        <w:numPr>
          <w:ilvl w:val="0"/>
          <w:numId w:val="30"/>
        </w:numPr>
        <w:rPr>
          <w:rFonts w:ascii="Arial" w:cs="Arial" w:eastAsia="Arial" w:hAnsi="Arial"/>
          <w:sz w:val="16"/>
          <w:szCs w:val="16"/>
          <w:u w:val="single" w:color="auto"/>
          <w:color w:val="0000FF"/>
        </w:rPr>
      </w:pPr>
      <w:hyperlink w:anchor="page116">
        <w:r>
          <w:rPr>
            <w:rFonts w:ascii="Arial" w:cs="Arial" w:eastAsia="Arial" w:hAnsi="Arial"/>
            <w:sz w:val="16"/>
            <w:szCs w:val="16"/>
            <w:u w:val="single" w:color="auto"/>
            <w:color w:val="0000FF"/>
          </w:rPr>
          <w:t>List of Subsidiaries.</w:t>
        </w:r>
      </w:hyperlink>
    </w:p>
    <w:p>
      <w:pPr>
        <w:spacing w:after="0" w:line="167" w:lineRule="exact"/>
        <w:rPr>
          <w:rFonts w:ascii="Arial" w:cs="Arial" w:eastAsia="Arial" w:hAnsi="Arial"/>
          <w:sz w:val="16"/>
          <w:szCs w:val="16"/>
          <w:u w:val="single" w:color="auto"/>
          <w:color w:val="0000FF"/>
        </w:rPr>
      </w:pPr>
    </w:p>
    <w:p>
      <w:pPr>
        <w:ind w:left="820" w:hanging="488"/>
        <w:spacing w:after="0"/>
        <w:tabs>
          <w:tab w:leader="none" w:pos="820" w:val="left"/>
        </w:tabs>
        <w:numPr>
          <w:ilvl w:val="0"/>
          <w:numId w:val="31"/>
        </w:numPr>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Consent of Independent Registered Public Accounting Firm.</w:t>
        </w:r>
      </w:hyperlink>
    </w:p>
    <w:p>
      <w:pPr>
        <w:spacing w:after="0" w:line="167" w:lineRule="exact"/>
        <w:rPr>
          <w:rFonts w:ascii="Arial" w:cs="Arial" w:eastAsia="Arial" w:hAnsi="Arial"/>
          <w:sz w:val="16"/>
          <w:szCs w:val="16"/>
          <w:u w:val="single" w:color="auto"/>
          <w:color w:val="0000FF"/>
        </w:rPr>
      </w:pPr>
    </w:p>
    <w:p>
      <w:pPr>
        <w:ind w:left="340"/>
        <w:spacing w:after="0"/>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118">
        <w:r>
          <w:rPr>
            <w:rFonts w:ascii="Arial" w:cs="Arial" w:eastAsia="Arial" w:hAnsi="Arial"/>
            <w:sz w:val="16"/>
            <w:szCs w:val="16"/>
            <w:u w:val="single" w:color="auto"/>
            <w:color w:val="0000FF"/>
          </w:rPr>
          <w:t>Certification by the Chief Executive Officer pursuant to Section 302 of the Sarbanes-Oxley Act of 2002.</w:t>
        </w:r>
      </w:hyperlink>
    </w:p>
    <w:p>
      <w:pPr>
        <w:spacing w:after="0" w:line="167" w:lineRule="exact"/>
        <w:rPr>
          <w:rFonts w:ascii="Arial" w:cs="Arial" w:eastAsia="Arial" w:hAnsi="Arial"/>
          <w:sz w:val="16"/>
          <w:szCs w:val="16"/>
          <w:u w:val="single" w:color="auto"/>
          <w:color w:val="0000FF"/>
        </w:rPr>
      </w:pPr>
    </w:p>
    <w:p>
      <w:pPr>
        <w:ind w:left="340"/>
        <w:spacing w:after="0"/>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119">
        <w:r>
          <w:rPr>
            <w:rFonts w:ascii="Arial" w:cs="Arial" w:eastAsia="Arial" w:hAnsi="Arial"/>
            <w:sz w:val="16"/>
            <w:szCs w:val="16"/>
            <w:u w:val="single" w:color="auto"/>
            <w:color w:val="0000FF"/>
          </w:rPr>
          <w:t>Certification by the Chief Financial Officer pursuant to Section 302 of the Sarbanes-Oxley Act of 2002.</w:t>
        </w:r>
      </w:hyperlink>
    </w:p>
    <w:p>
      <w:pPr>
        <w:spacing w:after="0" w:line="167" w:lineRule="exact"/>
        <w:rPr>
          <w:rFonts w:ascii="Arial" w:cs="Arial" w:eastAsia="Arial" w:hAnsi="Arial"/>
          <w:sz w:val="16"/>
          <w:szCs w:val="16"/>
          <w:u w:val="single" w:color="auto"/>
          <w:color w:val="0000FF"/>
        </w:rPr>
      </w:pPr>
    </w:p>
    <w:p>
      <w:pPr>
        <w:ind w:left="340"/>
        <w:spacing w:after="0"/>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120">
        <w:r>
          <w:rPr>
            <w:rFonts w:ascii="Arial" w:cs="Arial" w:eastAsia="Arial" w:hAnsi="Arial"/>
            <w:sz w:val="16"/>
            <w:szCs w:val="16"/>
            <w:u w:val="single" w:color="auto"/>
            <w:color w:val="0000FF"/>
          </w:rPr>
          <w:t>Certification by the Chief Executive Officer pursuant to Section 1350, as adopted pursuant to Section 906 of the Sarbanes-Oxley Act of 2002.</w:t>
        </w:r>
      </w:hyperlink>
    </w:p>
    <w:p>
      <w:pPr>
        <w:spacing w:after="0" w:line="167" w:lineRule="exact"/>
        <w:rPr>
          <w:rFonts w:ascii="Arial" w:cs="Arial" w:eastAsia="Arial" w:hAnsi="Arial"/>
          <w:sz w:val="16"/>
          <w:szCs w:val="16"/>
          <w:u w:val="single" w:color="auto"/>
          <w:color w:val="0000FF"/>
        </w:rPr>
      </w:pPr>
    </w:p>
    <w:p>
      <w:pPr>
        <w:ind w:left="340"/>
        <w:spacing w:after="0"/>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32.2</w:t>
      </w:r>
      <w:r>
        <w:rPr>
          <w:sz w:val="20"/>
          <w:szCs w:val="20"/>
          <w:color w:val="auto"/>
        </w:rPr>
        <w:tab/>
      </w:r>
      <w:hyperlink w:anchor="page121">
        <w:r>
          <w:rPr>
            <w:rFonts w:ascii="Arial" w:cs="Arial" w:eastAsia="Arial" w:hAnsi="Arial"/>
            <w:sz w:val="16"/>
            <w:szCs w:val="16"/>
            <w:u w:val="single" w:color="auto"/>
            <w:color w:val="0000FF"/>
          </w:rPr>
          <w:t>Certification by the Chief Financial Officer pursuant to Section 1350, as adopted pursuant to Section 906 of the Sarbanes-Oxley Act of 2002.</w:t>
        </w:r>
      </w:hyperlink>
    </w:p>
    <w:p>
      <w:pPr>
        <w:spacing w:after="0" w:line="200" w:lineRule="exact"/>
        <w:rPr>
          <w:rFonts w:ascii="Arial" w:cs="Arial" w:eastAsia="Arial" w:hAnsi="Arial"/>
          <w:sz w:val="16"/>
          <w:szCs w:val="16"/>
          <w:u w:val="single" w:color="auto"/>
          <w:color w:val="0000FF"/>
        </w:rPr>
      </w:pPr>
    </w:p>
    <w:p>
      <w:pPr>
        <w:spacing w:after="0" w:line="210"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141"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101.INS**XBRL Instance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101.SCH**XBRL Taxonomy Extension Schema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101.CAL**XBRL Taxonomy Extension Calculation Linkbase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101.DEF**XBRL Taxonomy Extension Definitions Linkbase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101.LAB**XBRL Taxonomy Extension Label Linkbase Document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101.PRE**XBRL Taxonomy Extension Presentation Linkbase Document</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*Management contract or compensation plan or arrangement.</w:t>
      </w:r>
    </w:p>
    <w:p>
      <w:pPr>
        <w:spacing w:after="0" w:line="194" w:lineRule="exact"/>
        <w:rPr>
          <w:sz w:val="20"/>
          <w:szCs w:val="20"/>
          <w:color w:val="auto"/>
        </w:rPr>
      </w:pPr>
    </w:p>
    <w:p>
      <w:pPr>
        <w:ind w:left="340"/>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Annual Report on Form 10-K for the year ended August 25, 2018 formatted in XBRL: (i) the Consolidated Balance Sheets, (ii) the Consolidated Statements of Income and Comprehensive Income, (iii) the Consolidated Statements of Changes in Stockholders' Equity, (iv) the Consolidated Statements of Cash Flows, and (v) related notes to these financial statements. Such exhibits are deemed furnished and not filed pursuant to Rule 406T of Regulation S-T.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40"/>
          </w:cols>
          <w:pgMar w:left="240" w:top="141" w:right="31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29210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Michael J. Happe</w:t>
      </w:r>
    </w:p>
    <w:p>
      <w:pPr>
        <w:spacing w:after="0" w:line="37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President, Chief Executive Officer</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October 18, 2018</w:t>
      </w:r>
    </w:p>
    <w:p>
      <w:pPr>
        <w:spacing w:after="0" w:line="3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18, 2018, by the following persons on behalf of the Registrant and in the capacities indicated.</w:t>
      </w:r>
    </w:p>
    <w:p>
      <w:pPr>
        <w:sectPr>
          <w:pgSz w:w="11900" w:h="16838" w:orient="portrait"/>
          <w:cols w:equalWidth="0" w:num="1">
            <w:col w:w="11020"/>
          </w:cols>
          <w:pgMar w:left="240" w:top="141" w:right="639" w:bottom="1440" w:gutter="0" w:footer="0" w:header="0"/>
        </w:sectPr>
      </w:pPr>
    </w:p>
    <w:p>
      <w:pPr>
        <w:spacing w:after="0" w:line="149" w:lineRule="exact"/>
        <w:rPr>
          <w:sz w:val="20"/>
          <w:szCs w:val="20"/>
          <w:color w:val="auto"/>
        </w:rPr>
      </w:pPr>
    </w:p>
    <w:p>
      <w:pPr>
        <w:jc w:val="right"/>
        <w:ind w:right="2140"/>
        <w:spacing w:after="0"/>
        <w:rPr>
          <w:sz w:val="20"/>
          <w:szCs w:val="20"/>
          <w:color w:val="auto"/>
        </w:rPr>
      </w:pPr>
      <w:r>
        <w:rPr>
          <w:rFonts w:ascii="Arial" w:cs="Arial" w:eastAsia="Arial" w:hAnsi="Arial"/>
          <w:sz w:val="16"/>
          <w:szCs w:val="16"/>
          <w:b w:val="1"/>
          <w:bCs w:val="1"/>
          <w:u w:val="single" w:color="auto"/>
          <w:color w:val="auto"/>
        </w:rPr>
        <w:t>Signature</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Michael J. Happe</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Bryan L. Hughes</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Maria F. Blase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Maria F. Blase</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Christopher J. Braun</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M. Chiusano</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William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William C. Fisher</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David W. Miles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Richard D.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Richard D. Moss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M. Murabito</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 Martha T. Rodamaker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0441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Martha T. Rodamaker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ectPr>
          <w:pgSz w:w="11900" w:h="16838" w:orient="portrait"/>
          <w:cols w:equalWidth="0" w:num="2">
            <w:col w:w="4920" w:space="720"/>
            <w:col w:w="5380"/>
          </w:cols>
          <w:pgMar w:left="240" w:top="141" w:right="639" w:bottom="1440" w:gutter="0" w:footer="0" w:header="0"/>
          <w:type w:val="continuous"/>
        </w:sectPr>
      </w:pPr>
    </w:p>
    <w:p>
      <w:pPr>
        <w:spacing w:after="0" w:line="7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020"/>
          </w:cols>
          <w:pgMar w:left="240" w:top="141" w:right="639" w:bottom="1440" w:gutter="0" w:footer="0" w:header="0"/>
          <w:type w:val="continuous"/>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46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ind w:left="1400"/>
              <w:spacing w:after="0"/>
              <w:rPr>
                <w:sz w:val="20"/>
                <w:szCs w:val="20"/>
                <w:color w:val="auto"/>
              </w:rPr>
            </w:pPr>
            <w:r>
              <w:rPr>
                <w:rFonts w:ascii="Arial" w:cs="Arial" w:eastAsia="Arial" w:hAnsi="Arial"/>
                <w:sz w:val="16"/>
                <w:szCs w:val="16"/>
                <w:b w:val="1"/>
                <w:bCs w:val="1"/>
                <w:color w:val="auto"/>
                <w:w w:val="97"/>
              </w:rPr>
              <w:t>Exhibit 21</w:t>
            </w:r>
          </w:p>
        </w:tc>
      </w:tr>
      <w:tr>
        <w:trPr>
          <w:trHeight w:val="353"/>
        </w:trPr>
        <w:tc>
          <w:tcPr>
            <w:tcW w:w="7200" w:type="dxa"/>
            <w:vAlign w:val="bottom"/>
            <w:gridSpan w:val="3"/>
          </w:tcPr>
          <w:p>
            <w:pPr>
              <w:ind w:left="4260"/>
              <w:spacing w:after="0"/>
              <w:rPr>
                <w:sz w:val="20"/>
                <w:szCs w:val="20"/>
                <w:color w:val="auto"/>
              </w:rPr>
            </w:pPr>
            <w:r>
              <w:rPr>
                <w:rFonts w:ascii="Arial" w:cs="Arial" w:eastAsia="Arial" w:hAnsi="Arial"/>
                <w:sz w:val="16"/>
                <w:szCs w:val="16"/>
                <w:b w:val="1"/>
                <w:bCs w:val="1"/>
                <w:color w:val="auto"/>
              </w:rPr>
              <w:t>SUBSIDIARIES OF THE REGISTRANT</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5"/>
        </w:trPr>
        <w:tc>
          <w:tcPr>
            <w:tcW w:w="7200" w:type="dxa"/>
            <w:vAlign w:val="bottom"/>
            <w:gridSpan w:val="3"/>
          </w:tcPr>
          <w:p>
            <w:pPr>
              <w:ind w:left="5000"/>
              <w:spacing w:after="0"/>
              <w:rPr>
                <w:sz w:val="20"/>
                <w:szCs w:val="20"/>
                <w:color w:val="auto"/>
              </w:rPr>
            </w:pPr>
            <w:r>
              <w:rPr>
                <w:rFonts w:ascii="Arial" w:cs="Arial" w:eastAsia="Arial" w:hAnsi="Arial"/>
                <w:sz w:val="16"/>
                <w:szCs w:val="16"/>
                <w:b w:val="1"/>
                <w:bCs w:val="1"/>
                <w:color w:val="auto"/>
              </w:rPr>
              <w:t>at August 25, 2018</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594"/>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Jurisdiction of</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83"/>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Corporation</w:t>
            </w: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Incorporation</w:t>
            </w: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5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Winnebago Industries, Inc.</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Iowa</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Parent</w:t>
            </w:r>
          </w:p>
        </w:tc>
      </w:tr>
      <w:tr>
        <w:trPr>
          <w:trHeight w:val="260"/>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Winnebago of Indiana, LLC</w:t>
            </w: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80"/>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Grand Design RV, LLC</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Indiana</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r>
      <w:tr>
        <w:trPr>
          <w:trHeight w:val="260"/>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Octavius Corporation</w:t>
            </w: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color w:val="auto"/>
              </w:rPr>
              <w:t>Delaware</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80"/>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Chris-Craft Limited Jersey, Channel Islands Holding Company LLC</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Jersey Channel Islands</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r>
      <w:tr>
        <w:trPr>
          <w:trHeight w:val="260"/>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Chris-Craft USA, Inc.</w:t>
            </w: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color w:val="auto"/>
              </w:rPr>
              <w:t>Delaware</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80"/>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CC Marine Brand Acquisition LLC</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r>
      <w:tr>
        <w:trPr>
          <w:trHeight w:val="260"/>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Chris Craft Corporation</w:t>
            </w: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color w:val="auto"/>
              </w:rPr>
              <w:t>Delaware</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80"/>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CC Property Acquisition LLC</w:t>
            </w:r>
          </w:p>
        </w:tc>
        <w:tc>
          <w:tcPr>
            <w:tcW w:w="20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r>
    </w:tbl>
    <w:p>
      <w:pPr>
        <w:sectPr>
          <w:pgSz w:w="11900" w:h="16838" w:orient="portrait"/>
          <w:cols w:equalWidth="0" w:num="1">
            <w:col w:w="11420"/>
          </w:cols>
          <w:pgMar w:left="240" w:top="58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consent to the incorporation by reference in Registration Statements No. 333-31595, No. 333-47123, No. 333-113246, No. 333-194854 and No. 333-222261 on Form S-8 and No. 333-210659 and No. 333-215641 on Form S-3 of our reports dated October 18, 2018, relating to the consolidated financial statements of Winnebago Industries, Inc. and subsidiaries and the effectiveness of Winnebago Industries, Inc. and subsidiaries’ internal control over financial reporting, appearing in this Annual Report on Form 10-K of Winnebago Industries, Inc. for the year ended August 25, 2018.</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18, 2018</w:t>
      </w:r>
    </w:p>
    <w:p>
      <w:pPr>
        <w:sectPr>
          <w:pgSz w:w="11900" w:h="16838" w:orient="portrait"/>
          <w:cols w:equalWidth="0" w:num="1">
            <w:col w:w="11420"/>
          </w:cols>
          <w:pgMar w:left="240" w:top="58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234" w:lineRule="exact"/>
        <w:rPr>
          <w:rFonts w:ascii="Arial" w:cs="Arial" w:eastAsia="Arial" w:hAnsi="Arial"/>
          <w:sz w:val="16"/>
          <w:szCs w:val="16"/>
          <w:color w:val="auto"/>
        </w:rPr>
      </w:pPr>
    </w:p>
    <w:p>
      <w:pPr>
        <w:ind w:left="340" w:right="260" w:hanging="332"/>
        <w:spacing w:after="0" w:line="253"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220" w:hanging="332"/>
        <w:spacing w:after="0" w:line="26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60" w:hanging="328"/>
        <w:spacing w:after="0" w:line="253"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40" w:hanging="328"/>
        <w:spacing w:after="0" w:line="260"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18,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420"/>
          </w:cols>
          <w:pgMar w:left="240" w:top="6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234" w:lineRule="exact"/>
        <w:rPr>
          <w:rFonts w:ascii="Arial" w:cs="Arial" w:eastAsia="Arial" w:hAnsi="Arial"/>
          <w:sz w:val="16"/>
          <w:szCs w:val="16"/>
          <w:color w:val="auto"/>
        </w:rPr>
      </w:pPr>
    </w:p>
    <w:p>
      <w:pPr>
        <w:ind w:left="340" w:right="26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220" w:hanging="332"/>
        <w:spacing w:after="0" w:line="26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6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4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820" w:val="left"/>
          <w:tab w:leader="none" w:pos="642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18,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75" w:lineRule="exact"/>
        <w:rPr>
          <w:sz w:val="20"/>
          <w:szCs w:val="20"/>
          <w:color w:val="auto"/>
        </w:rPr>
      </w:pPr>
    </w:p>
    <w:p>
      <w:pPr>
        <w:ind w:left="660" w:right="160" w:hanging="328"/>
        <w:spacing w:after="0" w:line="26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25, 2018 (the "Report") of the Company, fully complies with the requirements of Section 13(a) or 15(d) of the Securities Exchange Act of 1934, and</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18,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420"/>
          </w:cols>
          <w:pgMar w:left="240" w:top="6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32.2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75" w:lineRule="exact"/>
        <w:rPr>
          <w:sz w:val="20"/>
          <w:szCs w:val="20"/>
          <w:color w:val="auto"/>
        </w:rPr>
      </w:pPr>
    </w:p>
    <w:p>
      <w:pPr>
        <w:ind w:left="660" w:right="160" w:hanging="328"/>
        <w:spacing w:after="0" w:line="26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25, 2018 (the "Report") of the Company, fully complies with the requirements of Section 13(a) or 15(d) of the Securities Exchange Act of 1934, and</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18,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2"/>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3"/>
    </w:lvl>
  </w:abstractNum>
  <w:abstractNum w:abstractNumId="29">
    <w:nsid w:val="22221A70"/>
    <w:multiLevelType w:val="hybridMultilevel"/>
    <w:lvl w:ilvl="0">
      <w:lvlJc w:val="left"/>
      <w:lvlText w:val="%1."/>
      <w:numFmt w:val="decimal"/>
      <w:start w:val="21"/>
    </w:lvl>
  </w:abstractNum>
  <w:abstractNum w:abstractNumId="30">
    <w:nsid w:val="4516DDE9"/>
    <w:multiLevelType w:val="hybridMultilevel"/>
    <w:lvl w:ilvl="0">
      <w:lvlJc w:val="left"/>
      <w:lvlText w:val="%1."/>
      <w:numFmt w:val="decimal"/>
      <w:start w:val="23"/>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49" Type="http://schemas.openxmlformats.org/officeDocument/2006/relationships/image" Target="media/image9.png"/><Relationship Id="rId50" Type="http://schemas.openxmlformats.org/officeDocument/2006/relationships/image" Target="media/image10.png"/><Relationship Id="rId51" Type="http://schemas.openxmlformats.org/officeDocument/2006/relationships/image" Target="media/image11.png"/><Relationship Id="rId52" Type="http://schemas.openxmlformats.org/officeDocument/2006/relationships/image" Target="media/image12.png"/><Relationship Id="rId53" Type="http://schemas.openxmlformats.org/officeDocument/2006/relationships/image" Target="media/image13.png"/><Relationship Id="rId54"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63" Type="http://schemas.openxmlformats.org/officeDocument/2006/relationships/image" Target="media/image23.png"/><Relationship Id="rId64" Type="http://schemas.openxmlformats.org/officeDocument/2006/relationships/image" Target="media/image24.png"/><Relationship Id="rId65" Type="http://schemas.openxmlformats.org/officeDocument/2006/relationships/image" Target="media/image25.png"/><Relationship Id="rId66" Type="http://schemas.openxmlformats.org/officeDocument/2006/relationships/image" Target="media/image26.png"/><Relationship Id="rId67" Type="http://schemas.openxmlformats.org/officeDocument/2006/relationships/image" Target="media/image27.png"/><Relationship Id="rId68" Type="http://schemas.openxmlformats.org/officeDocument/2006/relationships/image" Target="media/image28.png"/><Relationship Id="rId69" Type="http://schemas.openxmlformats.org/officeDocument/2006/relationships/image" Target="media/image29.png"/><Relationship Id="rId70" Type="http://schemas.openxmlformats.org/officeDocument/2006/relationships/image" Target="media/image30.png"/><Relationship Id="rId71" Type="http://schemas.openxmlformats.org/officeDocument/2006/relationships/image" Target="media/image31.png"/><Relationship Id="rId72" Type="http://schemas.openxmlformats.org/officeDocument/2006/relationships/image" Target="media/image32.png"/><Relationship Id="rId73" Type="http://schemas.openxmlformats.org/officeDocument/2006/relationships/image" Target="media/image33.png"/><Relationship Id="rId74" Type="http://schemas.openxmlformats.org/officeDocument/2006/relationships/image" Target="media/image34.png"/><Relationship Id="rId75" Type="http://schemas.openxmlformats.org/officeDocument/2006/relationships/image" Target="media/image35.png"/><Relationship Id="rId76" Type="http://schemas.openxmlformats.org/officeDocument/2006/relationships/image" Target="media/image36.png"/><Relationship Id="rId77"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6" Type="http://schemas.openxmlformats.org/officeDocument/2006/relationships/hyperlink" Target="http://www.sec.gov/Archives/edgar/data/107687/000010768716000120/exh21securitiespurchaseagr.htm" TargetMode="External"/><Relationship Id="rId17" Type="http://schemas.openxmlformats.org/officeDocument/2006/relationships/hyperlink" Target="http://www.sec.gov/Archives/edgar/data/107687/000010768716000075/exh31by-lawsasamended3x16x.htm" TargetMode="External"/><Relationship Id="rId18" Type="http://schemas.openxmlformats.org/officeDocument/2006/relationships/hyperlink" Target="http://www.sec.gov/Archives/edgar/data/107687/0000897101-95-000449.txt" TargetMode="External"/><Relationship Id="rId19" Type="http://schemas.openxmlformats.org/officeDocument/2006/relationships/hyperlink" Target="http://www.sec.gov/Archives/edgar/data/107687/000089710101500122/winnebago010807_ex10-i.txt" TargetMode="External"/><Relationship Id="rId20" Type="http://schemas.openxmlformats.org/officeDocument/2006/relationships/hyperlink" Target="http://www.sec.gov/Archives/edgar/data/107687/000010768711000049/exh10bbexecdefcompplan.htm" TargetMode="External"/><Relationship Id="rId21" Type="http://schemas.openxmlformats.org/officeDocument/2006/relationships/hyperlink" Target="http://www.sec.gov/Archives/edgar/data/107687/000010768711000029/exh1012004incentivecompens.htm" TargetMode="External"/><Relationship Id="rId22" Type="http://schemas.openxmlformats.org/officeDocument/2006/relationships/hyperlink" Target="http://www.sec.gov/Archives/edgar/data/107687/000010768713000055/exh1012014omnibusequityper.htm" TargetMode="External"/><Relationship Id="rId23" Type="http://schemas.openxmlformats.org/officeDocument/2006/relationships/hyperlink" Target="http://www.sec.gov/Archives/edgar/data/107687/000010768713000040/wgo2013q3exh101.htm" TargetMode="External"/><Relationship Id="rId24" Type="http://schemas.openxmlformats.org/officeDocument/2006/relationships/hyperlink" Target="http://www.sec.gov/Archives/edgar/data/107687/000010768714000028/ex9922015-2017officersltin.htm" TargetMode="External"/><Relationship Id="rId25" Type="http://schemas.openxmlformats.org/officeDocument/2006/relationships/hyperlink" Target="http://www.sec.gov/Archives/edgar/data/107687/000010768715000018/ex9922016-2018officersltin.htm" TargetMode="External"/><Relationship Id="rId26" Type="http://schemas.openxmlformats.org/officeDocument/2006/relationships/hyperlink" Target="http://www.sec.gov/Archives/edgar/data/107687/000010768716000124/ex9922017-2019officersltin.htm" TargetMode="External"/><Relationship Id="rId27" Type="http://schemas.openxmlformats.org/officeDocument/2006/relationships/hyperlink" Target="http://www.sec.gov/Archives/edgar/data/107687/000010768717000091/ex9922018-2020officersltin.htm" TargetMode="External"/><Relationship Id="rId28" Type="http://schemas.openxmlformats.org/officeDocument/2006/relationships/hyperlink" Target="http://www.sec.gov/Archives/edgar/data/107687/000010768712000041/exh10vdegnanexecutivechang.htm" TargetMode="External"/><Relationship Id="rId29" Type="http://schemas.openxmlformats.org/officeDocument/2006/relationships/hyperlink" Target="http://www.sec.gov/Archives/edgar/data/107687/000010768716000089/exh991happechangeofcontrol.htm" TargetMode="External"/><Relationship Id="rId30" Type="http://schemas.openxmlformats.org/officeDocument/2006/relationships/hyperlink" Target="http://www.sec.gov/Archives/edgar/data/107687/000010768716000126/exh10uchangeofcontrolagree.htm" TargetMode="External"/><Relationship Id="rId31" Type="http://schemas.openxmlformats.org/officeDocument/2006/relationships/hyperlink" Target="http://www.sec.gov/Archives/edgar/data/107687/000010768717000077/exh101separation-nielsen.htm" TargetMode="External"/><Relationship Id="rId32" Type="http://schemas.openxmlformats.org/officeDocument/2006/relationships/hyperlink" Target="http://www.sec.gov/Archives/edgar/data/107687/000010768717000133/exh991hugheschangeofcontrol.htm" TargetMode="External"/><Relationship Id="rId33" Type="http://schemas.openxmlformats.org/officeDocument/2006/relationships/hyperlink" Target="http://www.sec.gov/Archives/edgar/data/107687/000089710109002143/wgo094796_ex10z.htm" TargetMode="External"/><Relationship Id="rId34" Type="http://schemas.openxmlformats.org/officeDocument/2006/relationships/hyperlink" Target="http://www.sec.gov/Archives/edgar/data/107687/000010768715000018/ex9912016officersincentive.htm" TargetMode="External"/><Relationship Id="rId35" Type="http://schemas.openxmlformats.org/officeDocument/2006/relationships/hyperlink" Target="http://www.sec.gov/Archives/edgar/data/107687/000010768716000124/ex9912017officersincentive.htm" TargetMode="External"/><Relationship Id="rId36" Type="http://schemas.openxmlformats.org/officeDocument/2006/relationships/hyperlink" Target="http://www.sec.gov/Archives/edgar/data/107687/000010768717000091/ex9912018officersincentive.htm" TargetMode="External"/><Relationship Id="rId37" Type="http://schemas.openxmlformats.org/officeDocument/2006/relationships/hyperlink" Target="http://www.sec.gov/Archives/edgar/data/107687/000010768714000019/exh1012014amendcreditagreeme.htm" TargetMode="External"/><Relationship Id="rId38" Type="http://schemas.openxmlformats.org/officeDocument/2006/relationships/hyperlink" Target="http://www.sec.gov/Archives/edgar/data/107687/000010768716000120/exh101non-compnonxsolicita.htm" TargetMode="External"/><Relationship Id="rId39" Type="http://schemas.openxmlformats.org/officeDocument/2006/relationships/hyperlink" Target="http://www.sec.gov/Archives/edgar/data/107687/000010768716000120/exh102non-solicitationandc.htm" TargetMode="External"/><Relationship Id="rId40" Type="http://schemas.openxmlformats.org/officeDocument/2006/relationships/hyperlink" Target="http://www.sec.gov/Archives/edgar/data/107687/000010768716000120/exh103registrationrights.htm" TargetMode="External"/><Relationship Id="rId41" Type="http://schemas.openxmlformats.org/officeDocument/2006/relationships/hyperlink" Target="http://www.sec.gov/Archives/edgar/data/107687/000010768716000120/exh109clarkemploymentagree.htm" TargetMode="External"/><Relationship Id="rId42" Type="http://schemas.openxmlformats.org/officeDocument/2006/relationships/hyperlink" Target="http://www.sec.gov/Archives/edgar/data/107687/000010768716000138/exh992loanagreement2016.htm" TargetMode="External"/><Relationship Id="rId43" Type="http://schemas.openxmlformats.org/officeDocument/2006/relationships/hyperlink" Target="http://www.sec.gov/Archives/edgar/data/107687/000010768717000118/exh101amendmentno1toloanag.htm" TargetMode="External"/><Relationship Id="rId44" Type="http://schemas.openxmlformats.org/officeDocument/2006/relationships/hyperlink" Target="http://www.sec.gov/Archives/edgar/data/107687/000010768716000138/exh993ablcreditagreement20.htm" TargetMode="External"/><Relationship Id="rId45" Type="http://schemas.openxmlformats.org/officeDocument/2006/relationships/hyperlink" Target="http://www.sec.gov/Archives/edgar/data/107687/000010768717000118/exh102amendment2tocreditag.htm" TargetMode="External"/><Relationship Id="rId46" Type="http://schemas.openxmlformats.org/officeDocument/2006/relationships/hyperlink" Target="http://www.sec.gov/Archives/edgar/data/107687/000010768716000138/exh994intercreditoragreeme.htm" TargetMode="External"/><Relationship Id="rId47" Type="http://schemas.openxmlformats.org/officeDocument/2006/relationships/hyperlink" Target="http://www.sec.gov/Archives/edgar/data/107687/000010768716000160/exh994leaseagreementmainfa.htm" TargetMode="External"/><Relationship Id="rId48" Type="http://schemas.openxmlformats.org/officeDocument/2006/relationships/hyperlink" Target="http://www.sec.gov/Archives/edgar/data/107687/000010768716000160/exh995leaseagreementexpa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2019-12-28T18:57:16Z</dcterms:created>
  <dcterms:modified xsi:type="dcterms:W3CDTF">2019-12-28T18:57:16Z</dcterms:modified>
</cp:coreProperties>
</file>