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70"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SCHEDULE 14A</w:t>
      </w:r>
    </w:p>
    <w:p>
      <w:pPr>
        <w:spacing w:after="0" w:line="138"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(Rule 14a-101)</w:t>
      </w:r>
    </w:p>
    <w:p>
      <w:pPr>
        <w:spacing w:after="0" w:line="15" w:lineRule="exact"/>
        <w:rPr>
          <w:sz w:val="24"/>
          <w:szCs w:val="24"/>
          <w:color w:val="auto"/>
        </w:rPr>
      </w:pPr>
    </w:p>
    <w:p>
      <w:pPr>
        <w:jc w:val="center"/>
        <w:ind w:right="-39"/>
        <w:spacing w:after="0"/>
        <w:rPr>
          <w:sz w:val="20"/>
          <w:szCs w:val="20"/>
          <w:color w:val="auto"/>
        </w:rPr>
      </w:pPr>
      <w:r>
        <w:rPr>
          <w:rFonts w:ascii="Arial" w:cs="Arial" w:eastAsia="Arial" w:hAnsi="Arial"/>
          <w:sz w:val="15"/>
          <w:szCs w:val="15"/>
          <w:color w:val="auto"/>
        </w:rPr>
        <w:t>Proxy Statement Pursuant to Section 14(a) of the Securities Exchange Act of 1934</w:t>
      </w:r>
    </w:p>
    <w:p>
      <w:pPr>
        <w:spacing w:after="0" w:line="44" w:lineRule="exact"/>
        <w:rPr>
          <w:sz w:val="24"/>
          <w:szCs w:val="24"/>
          <w:color w:val="auto"/>
        </w:rPr>
      </w:pPr>
    </w:p>
    <w:p>
      <w:pPr>
        <w:ind w:left="4860"/>
        <w:spacing w:after="0"/>
        <w:tabs>
          <w:tab w:leader="none" w:pos="6500" w:val="left"/>
        </w:tabs>
        <w:rPr>
          <w:sz w:val="20"/>
          <w:szCs w:val="20"/>
          <w:color w:val="auto"/>
        </w:rPr>
      </w:pPr>
      <w:r>
        <w:rPr>
          <w:rFonts w:ascii="Arial" w:cs="Arial" w:eastAsia="Arial" w:hAnsi="Arial"/>
          <w:sz w:val="18"/>
          <w:szCs w:val="18"/>
          <w:color w:val="auto"/>
        </w:rPr>
        <w:t>(Amendment No.</w:t>
      </w:r>
      <w:r>
        <w:rPr>
          <w:sz w:val="20"/>
          <w:szCs w:val="20"/>
          <w:color w:val="auto"/>
        </w:rPr>
        <w:tab/>
      </w:r>
      <w:r>
        <w:rPr>
          <w:rFonts w:ascii="Arial" w:cs="Arial" w:eastAsia="Arial" w:hAnsi="Arial"/>
          <w:sz w:val="18"/>
          <w:szCs w:val="18"/>
          <w:color w:val="auto"/>
        </w:rPr>
        <w:t>)</w:t>
      </w:r>
    </w:p>
    <w:p>
      <w:pPr>
        <w:sectPr>
          <w:pgSz w:w="11900" w:h="16838" w:orient="portrait"/>
          <w:cols w:equalWidth="0" w:num="1">
            <w:col w:w="11400"/>
          </w:cols>
          <w:pgMar w:left="240" w:top="706" w:right="259" w:bottom="0" w:gutter="0" w:footer="0" w:header="0"/>
        </w:sectPr>
      </w:pPr>
    </w:p>
    <w:p>
      <w:pPr>
        <w:spacing w:after="0" w:line="111"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w:t>
      </w:r>
    </w:p>
    <w:p>
      <w:pPr>
        <w:spacing w:after="0" w:line="63" w:lineRule="exact"/>
        <w:rPr>
          <w:sz w:val="24"/>
          <w:szCs w:val="24"/>
          <w:color w:val="auto"/>
        </w:rPr>
      </w:pPr>
    </w:p>
    <w:p>
      <w:pPr>
        <w:spacing w:after="0"/>
        <w:rPr>
          <w:sz w:val="20"/>
          <w:szCs w:val="20"/>
          <w:color w:val="auto"/>
        </w:rPr>
      </w:pPr>
      <w:r>
        <w:rPr>
          <w:rFonts w:ascii="Arial" w:cs="Arial" w:eastAsia="Arial" w:hAnsi="Arial"/>
          <w:sz w:val="16"/>
          <w:szCs w:val="16"/>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64" w:lineRule="exact"/>
        <w:rPr>
          <w:sz w:val="24"/>
          <w:szCs w:val="24"/>
          <w:color w:val="auto"/>
        </w:rPr>
      </w:pPr>
    </w:p>
    <w:p>
      <w:pPr>
        <w:spacing w:after="0"/>
        <w:rPr>
          <w:sz w:val="20"/>
          <w:szCs w:val="20"/>
          <w:color w:val="auto"/>
        </w:rPr>
      </w:pPr>
      <w:r>
        <w:rPr>
          <w:rFonts w:ascii="Arial" w:cs="Arial" w:eastAsia="Arial" w:hAnsi="Arial"/>
          <w:sz w:val="22"/>
          <w:szCs w:val="22"/>
          <w:color w:val="auto"/>
        </w:rPr>
        <w:t>x</w:t>
      </w:r>
    </w:p>
    <w:p>
      <w:pPr>
        <w:spacing w:after="0" w:line="22" w:lineRule="exact"/>
        <w:rPr>
          <w:sz w:val="24"/>
          <w:szCs w:val="24"/>
          <w:color w:val="auto"/>
        </w:rPr>
      </w:pPr>
    </w:p>
    <w:p>
      <w:pPr>
        <w:spacing w:after="0"/>
        <w:rPr>
          <w:sz w:val="20"/>
          <w:szCs w:val="20"/>
          <w:color w:val="auto"/>
        </w:rPr>
      </w:pPr>
      <w:r>
        <w:rPr>
          <w:rFonts w:ascii="Arial" w:cs="Arial" w:eastAsia="Arial" w:hAnsi="Arial"/>
          <w:sz w:val="21"/>
          <w:szCs w:val="21"/>
          <w:color w:val="auto"/>
        </w:rPr>
        <w:t>o</w:t>
      </w:r>
    </w:p>
    <w:p>
      <w:pPr>
        <w:spacing w:after="0" w:line="51" w:lineRule="exact"/>
        <w:rPr>
          <w:sz w:val="24"/>
          <w:szCs w:val="24"/>
          <w:color w:val="auto"/>
        </w:rPr>
      </w:pPr>
    </w:p>
    <w:p>
      <w:pPr>
        <w:sectPr>
          <w:pgSz w:w="11900" w:h="16838" w:orient="portrait"/>
          <w:cols w:equalWidth="0" w:num="2">
            <w:col w:w="2940" w:space="720"/>
            <w:col w:w="7740"/>
          </w:cols>
          <w:pgMar w:left="240" w:top="706" w:right="259" w:bottom="0" w:gutter="0" w:footer="0" w:header="0"/>
          <w:type w:val="continuous"/>
        </w:sectPr>
      </w:pPr>
    </w:p>
    <w:p>
      <w:pPr>
        <w:spacing w:after="0"/>
        <w:rPr>
          <w:sz w:val="20"/>
          <w:szCs w:val="20"/>
          <w:color w:val="auto"/>
        </w:rPr>
      </w:pPr>
      <w:r>
        <w:rPr>
          <w:rFonts w:ascii="Arial" w:cs="Arial" w:eastAsia="Arial" w:hAnsi="Arial"/>
          <w:sz w:val="15"/>
          <w:szCs w:val="15"/>
          <w:color w:val="auto"/>
        </w:rPr>
        <w:t>Check the appropriate box:</w:t>
      </w:r>
    </w:p>
    <w:p>
      <w:pPr>
        <w:sectPr>
          <w:pgSz w:w="11900" w:h="16838" w:orient="portrait"/>
          <w:cols w:equalWidth="0" w:num="1">
            <w:col w:w="11400"/>
          </w:cols>
          <w:pgMar w:left="240" w:top="706" w:right="259" w:bottom="0" w:gutter="0" w:footer="0" w:header="0"/>
          <w:type w:val="continuous"/>
        </w:sectPr>
      </w:pPr>
    </w:p>
    <w:p>
      <w:pPr>
        <w:spacing w:after="0" w:line="67" w:lineRule="exact"/>
        <w:rPr>
          <w:sz w:val="24"/>
          <w:szCs w:val="24"/>
          <w:color w:val="auto"/>
        </w:rPr>
      </w:pPr>
    </w:p>
    <w:p>
      <w:pPr>
        <w:ind w:left="800" w:hanging="792"/>
        <w:spacing w:after="0"/>
        <w:tabs>
          <w:tab w:leader="none" w:pos="800" w:val="left"/>
        </w:tabs>
        <w:numPr>
          <w:ilvl w:val="0"/>
          <w:numId w:val="1"/>
        </w:numPr>
        <w:rPr>
          <w:rFonts w:ascii="Arial" w:cs="Arial" w:eastAsia="Arial" w:hAnsi="Arial"/>
          <w:sz w:val="22"/>
          <w:szCs w:val="22"/>
          <w:color w:val="auto"/>
        </w:rPr>
      </w:pPr>
      <w:r>
        <w:rPr>
          <w:rFonts w:ascii="Arial" w:cs="Arial" w:eastAsia="Arial" w:hAnsi="Arial"/>
          <w:sz w:val="18"/>
          <w:szCs w:val="18"/>
          <w:color w:val="auto"/>
        </w:rPr>
        <w:t>Preliminary Proxy Statement</w:t>
      </w:r>
    </w:p>
    <w:p>
      <w:pPr>
        <w:spacing w:after="0" w:line="25" w:lineRule="exact"/>
        <w:rPr>
          <w:rFonts w:ascii="Arial" w:cs="Arial" w:eastAsia="Arial" w:hAnsi="Arial"/>
          <w:sz w:val="22"/>
          <w:szCs w:val="22"/>
          <w:color w:val="auto"/>
        </w:rPr>
      </w:pPr>
    </w:p>
    <w:p>
      <w:pPr>
        <w:ind w:left="800" w:hanging="792"/>
        <w:spacing w:after="0" w:line="206" w:lineRule="auto"/>
        <w:tabs>
          <w:tab w:leader="none" w:pos="800" w:val="left"/>
        </w:tabs>
        <w:numPr>
          <w:ilvl w:val="0"/>
          <w:numId w:val="1"/>
        </w:numPr>
        <w:rPr>
          <w:rFonts w:ascii="Arial" w:cs="Arial" w:eastAsia="Arial" w:hAnsi="Arial"/>
          <w:sz w:val="22"/>
          <w:szCs w:val="22"/>
          <w:color w:val="auto"/>
        </w:rPr>
      </w:pPr>
      <w:r>
        <w:rPr>
          <w:rFonts w:ascii="Arial" w:cs="Arial" w:eastAsia="Arial" w:hAnsi="Arial"/>
          <w:sz w:val="18"/>
          <w:szCs w:val="18"/>
          <w:color w:val="auto"/>
        </w:rPr>
        <w:t>Confidential, For Use of the Commission Only (as permitted by Rule 14a-6(e)(2))</w:t>
      </w:r>
    </w:p>
    <w:p>
      <w:pPr>
        <w:ind w:left="800" w:hanging="792"/>
        <w:spacing w:after="0" w:line="231" w:lineRule="auto"/>
        <w:tabs>
          <w:tab w:leader="none" w:pos="800" w:val="left"/>
        </w:tabs>
        <w:numPr>
          <w:ilvl w:val="0"/>
          <w:numId w:val="2"/>
        </w:numPr>
        <w:rPr>
          <w:rFonts w:ascii="Arial" w:cs="Arial" w:eastAsia="Arial" w:hAnsi="Arial"/>
          <w:sz w:val="22"/>
          <w:szCs w:val="22"/>
          <w:color w:val="auto"/>
        </w:rPr>
      </w:pPr>
      <w:r>
        <w:rPr>
          <w:rFonts w:ascii="Arial" w:cs="Arial" w:eastAsia="Arial" w:hAnsi="Arial"/>
          <w:sz w:val="18"/>
          <w:szCs w:val="18"/>
          <w:color w:val="auto"/>
        </w:rPr>
        <w:t>Definitive Proxy Statement</w:t>
      </w:r>
    </w:p>
    <w:p>
      <w:pPr>
        <w:ind w:left="800" w:hanging="792"/>
        <w:spacing w:after="0" w:line="230" w:lineRule="auto"/>
        <w:tabs>
          <w:tab w:leader="none" w:pos="800" w:val="left"/>
        </w:tabs>
        <w:numPr>
          <w:ilvl w:val="0"/>
          <w:numId w:val="3"/>
        </w:numPr>
        <w:rPr>
          <w:rFonts w:ascii="Arial" w:cs="Arial" w:eastAsia="Arial" w:hAnsi="Arial"/>
          <w:sz w:val="22"/>
          <w:szCs w:val="22"/>
          <w:color w:val="auto"/>
        </w:rPr>
      </w:pPr>
      <w:r>
        <w:rPr>
          <w:rFonts w:ascii="Arial" w:cs="Arial" w:eastAsia="Arial" w:hAnsi="Arial"/>
          <w:sz w:val="18"/>
          <w:szCs w:val="18"/>
          <w:color w:val="auto"/>
        </w:rPr>
        <w:t>Definitive Additional Materials</w:t>
      </w:r>
    </w:p>
    <w:p>
      <w:pPr>
        <w:spacing w:after="0" w:line="26" w:lineRule="exact"/>
        <w:rPr>
          <w:rFonts w:ascii="Arial" w:cs="Arial" w:eastAsia="Arial" w:hAnsi="Arial"/>
          <w:sz w:val="22"/>
          <w:szCs w:val="22"/>
          <w:color w:val="auto"/>
        </w:rPr>
      </w:pPr>
    </w:p>
    <w:p>
      <w:pPr>
        <w:ind w:left="800" w:hanging="792"/>
        <w:spacing w:after="0" w:line="206" w:lineRule="auto"/>
        <w:tabs>
          <w:tab w:leader="none" w:pos="800" w:val="left"/>
        </w:tabs>
        <w:numPr>
          <w:ilvl w:val="0"/>
          <w:numId w:val="3"/>
        </w:numPr>
        <w:rPr>
          <w:rFonts w:ascii="Arial" w:cs="Arial" w:eastAsia="Arial" w:hAnsi="Arial"/>
          <w:sz w:val="22"/>
          <w:szCs w:val="22"/>
          <w:color w:val="auto"/>
        </w:rPr>
      </w:pPr>
      <w:r>
        <w:rPr>
          <w:rFonts w:ascii="Arial" w:cs="Arial" w:eastAsia="Arial" w:hAnsi="Arial"/>
          <w:sz w:val="18"/>
          <w:szCs w:val="18"/>
          <w:color w:val="auto"/>
        </w:rPr>
        <w:t>Soliciting Material Pursuant to section 240.14a-12</w:t>
      </w:r>
    </w:p>
    <w:p>
      <w:pPr>
        <w:spacing w:after="0" w:line="177"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Winnebago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333"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33" w:lineRule="exact"/>
        <w:rPr>
          <w:sz w:val="24"/>
          <w:szCs w:val="24"/>
          <w:color w:val="auto"/>
        </w:rPr>
      </w:pPr>
    </w:p>
    <w:p>
      <w:pPr>
        <w:ind w:left="840" w:hanging="832"/>
        <w:spacing w:after="0"/>
        <w:tabs>
          <w:tab w:leader="none" w:pos="840" w:val="left"/>
        </w:tabs>
        <w:numPr>
          <w:ilvl w:val="0"/>
          <w:numId w:val="4"/>
        </w:numPr>
        <w:rPr>
          <w:rFonts w:ascii="Arial" w:cs="Arial" w:eastAsia="Arial" w:hAnsi="Arial"/>
          <w:sz w:val="22"/>
          <w:szCs w:val="22"/>
          <w:color w:val="auto"/>
        </w:rPr>
      </w:pPr>
      <w:r>
        <w:rPr>
          <w:rFonts w:ascii="Arial" w:cs="Arial" w:eastAsia="Arial" w:hAnsi="Arial"/>
          <w:sz w:val="18"/>
          <w:szCs w:val="18"/>
          <w:color w:val="auto"/>
        </w:rPr>
        <w:t>No fee required.</w:t>
      </w:r>
    </w:p>
    <w:p>
      <w:pPr>
        <w:spacing w:after="0" w:line="17" w:lineRule="exact"/>
        <w:rPr>
          <w:sz w:val="24"/>
          <w:szCs w:val="24"/>
          <w:color w:val="auto"/>
        </w:rPr>
      </w:pPr>
    </w:p>
    <w:p>
      <w:pPr>
        <w:ind w:left="800" w:hanging="792"/>
        <w:spacing w:after="0"/>
        <w:tabs>
          <w:tab w:leader="none" w:pos="800" w:val="left"/>
        </w:tabs>
        <w:numPr>
          <w:ilvl w:val="0"/>
          <w:numId w:val="5"/>
        </w:numPr>
        <w:rPr>
          <w:rFonts w:ascii="Arial" w:cs="Arial" w:eastAsia="Arial" w:hAnsi="Arial"/>
          <w:sz w:val="22"/>
          <w:szCs w:val="22"/>
          <w:color w:val="auto"/>
        </w:rPr>
      </w:pPr>
      <w:r>
        <w:rPr>
          <w:rFonts w:ascii="Arial" w:cs="Arial" w:eastAsia="Arial" w:hAnsi="Arial"/>
          <w:sz w:val="18"/>
          <w:szCs w:val="18"/>
          <w:color w:val="auto"/>
        </w:rPr>
        <w:t>Fee computed on table below per Exchange Act Rules 14a-6(i)(1) and 0-11.</w:t>
      </w:r>
    </w:p>
    <w:p>
      <w:pPr>
        <w:spacing w:after="0" w:line="47" w:lineRule="exact"/>
        <w:rPr>
          <w:rFonts w:ascii="Arial" w:cs="Arial" w:eastAsia="Arial" w:hAnsi="Arial"/>
          <w:sz w:val="22"/>
          <w:szCs w:val="22"/>
          <w:color w:val="auto"/>
        </w:rPr>
      </w:pPr>
    </w:p>
    <w:p>
      <w:pPr>
        <w:ind w:left="1600" w:hanging="795"/>
        <w:spacing w:after="0"/>
        <w:tabs>
          <w:tab w:leader="none" w:pos="16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76" w:lineRule="exact"/>
        <w:rPr>
          <w:rFonts w:ascii="Arial" w:cs="Arial" w:eastAsia="Arial" w:hAnsi="Arial"/>
          <w:sz w:val="18"/>
          <w:szCs w:val="18"/>
          <w:color w:val="auto"/>
        </w:rPr>
      </w:pPr>
    </w:p>
    <w:p>
      <w:pPr>
        <w:ind w:left="1600" w:hanging="795"/>
        <w:spacing w:after="0"/>
        <w:tabs>
          <w:tab w:leader="none" w:pos="16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76" w:lineRule="exact"/>
        <w:rPr>
          <w:rFonts w:ascii="Arial" w:cs="Arial" w:eastAsia="Arial" w:hAnsi="Arial"/>
          <w:sz w:val="18"/>
          <w:szCs w:val="18"/>
          <w:color w:val="auto"/>
        </w:rPr>
      </w:pPr>
    </w:p>
    <w:p>
      <w:pPr>
        <w:ind w:left="1600" w:right="220" w:hanging="795"/>
        <w:spacing w:after="0" w:line="266" w:lineRule="auto"/>
        <w:tabs>
          <w:tab w:leader="none" w:pos="16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ind w:left="1600" w:hanging="795"/>
        <w:spacing w:after="0"/>
        <w:tabs>
          <w:tab w:leader="none" w:pos="16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76" w:lineRule="exact"/>
        <w:rPr>
          <w:rFonts w:ascii="Arial" w:cs="Arial" w:eastAsia="Arial" w:hAnsi="Arial"/>
          <w:sz w:val="18"/>
          <w:szCs w:val="18"/>
          <w:color w:val="auto"/>
        </w:rPr>
      </w:pPr>
    </w:p>
    <w:p>
      <w:pPr>
        <w:ind w:left="1600" w:hanging="795"/>
        <w:spacing w:after="0"/>
        <w:tabs>
          <w:tab w:leader="none" w:pos="16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46" w:lineRule="exact"/>
        <w:rPr>
          <w:rFonts w:ascii="Arial" w:cs="Arial" w:eastAsia="Arial" w:hAnsi="Arial"/>
          <w:sz w:val="18"/>
          <w:szCs w:val="18"/>
          <w:color w:val="auto"/>
        </w:rPr>
      </w:pPr>
    </w:p>
    <w:p>
      <w:pPr>
        <w:ind w:left="800" w:hanging="792"/>
        <w:spacing w:after="0"/>
        <w:tabs>
          <w:tab w:leader="none" w:pos="800" w:val="left"/>
        </w:tabs>
        <w:numPr>
          <w:ilvl w:val="0"/>
          <w:numId w:val="5"/>
        </w:numPr>
        <w:rPr>
          <w:rFonts w:ascii="Arial" w:cs="Arial" w:eastAsia="Arial" w:hAnsi="Arial"/>
          <w:sz w:val="22"/>
          <w:szCs w:val="22"/>
          <w:color w:val="auto"/>
        </w:rPr>
      </w:pPr>
      <w:r>
        <w:rPr>
          <w:rFonts w:ascii="Arial" w:cs="Arial" w:eastAsia="Arial" w:hAnsi="Arial"/>
          <w:sz w:val="18"/>
          <w:szCs w:val="18"/>
          <w:color w:val="auto"/>
        </w:rPr>
        <w:t>Fee paid previously with preliminary materials:</w:t>
      </w:r>
    </w:p>
    <w:p>
      <w:pPr>
        <w:spacing w:after="0" w:line="47" w:lineRule="exact"/>
        <w:rPr>
          <w:rFonts w:ascii="Arial" w:cs="Arial" w:eastAsia="Arial" w:hAnsi="Arial"/>
          <w:sz w:val="22"/>
          <w:szCs w:val="22"/>
          <w:color w:val="auto"/>
        </w:rPr>
      </w:pPr>
    </w:p>
    <w:p>
      <w:pPr>
        <w:ind w:left="800" w:right="340" w:hanging="792"/>
        <w:spacing w:after="0" w:line="241" w:lineRule="auto"/>
        <w:tabs>
          <w:tab w:leader="none" w:pos="800" w:val="left"/>
        </w:tabs>
        <w:numPr>
          <w:ilvl w:val="0"/>
          <w:numId w:val="5"/>
        </w:numPr>
        <w:rPr>
          <w:rFonts w:ascii="Arial" w:cs="Arial" w:eastAsia="Arial" w:hAnsi="Arial"/>
          <w:sz w:val="21"/>
          <w:szCs w:val="21"/>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7" w:lineRule="exact"/>
        <w:rPr>
          <w:rFonts w:ascii="Arial" w:cs="Arial" w:eastAsia="Arial" w:hAnsi="Arial"/>
          <w:sz w:val="21"/>
          <w:szCs w:val="21"/>
          <w:color w:val="auto"/>
        </w:rPr>
      </w:pPr>
    </w:p>
    <w:p>
      <w:pPr>
        <w:ind w:left="1600" w:hanging="795"/>
        <w:spacing w:after="0"/>
        <w:tabs>
          <w:tab w:leader="none" w:pos="16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76" w:lineRule="exact"/>
        <w:rPr>
          <w:rFonts w:ascii="Arial" w:cs="Arial" w:eastAsia="Arial" w:hAnsi="Arial"/>
          <w:sz w:val="18"/>
          <w:szCs w:val="18"/>
          <w:color w:val="auto"/>
        </w:rPr>
      </w:pPr>
    </w:p>
    <w:p>
      <w:pPr>
        <w:ind w:left="1600" w:hanging="795"/>
        <w:spacing w:after="0"/>
        <w:tabs>
          <w:tab w:leader="none" w:pos="16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76" w:lineRule="exact"/>
        <w:rPr>
          <w:rFonts w:ascii="Arial" w:cs="Arial" w:eastAsia="Arial" w:hAnsi="Arial"/>
          <w:sz w:val="18"/>
          <w:szCs w:val="18"/>
          <w:color w:val="auto"/>
        </w:rPr>
      </w:pPr>
    </w:p>
    <w:p>
      <w:pPr>
        <w:ind w:left="1600" w:hanging="795"/>
        <w:spacing w:after="0"/>
        <w:tabs>
          <w:tab w:leader="none" w:pos="16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76" w:lineRule="exact"/>
        <w:rPr>
          <w:rFonts w:ascii="Arial" w:cs="Arial" w:eastAsia="Arial" w:hAnsi="Arial"/>
          <w:sz w:val="18"/>
          <w:szCs w:val="18"/>
          <w:color w:val="auto"/>
        </w:rPr>
      </w:pPr>
    </w:p>
    <w:p>
      <w:pPr>
        <w:ind w:left="1600" w:hanging="795"/>
        <w:spacing w:after="0"/>
        <w:tabs>
          <w:tab w:leader="none" w:pos="16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549275</wp:posOffset>
            </wp:positionV>
            <wp:extent cx="72504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2432050</wp:posOffset>
            </wp:positionH>
            <wp:positionV relativeFrom="paragraph">
              <wp:posOffset>135255</wp:posOffset>
            </wp:positionV>
            <wp:extent cx="2400935" cy="8750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00935" cy="8750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Notice of Annual Meeting</w:t>
      </w:r>
    </w:p>
    <w:p>
      <w:pPr>
        <w:spacing w:after="0" w:line="38"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of Shareholders</w:t>
      </w:r>
    </w:p>
    <w:p>
      <w:pPr>
        <w:spacing w:after="0" w:line="10"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to be held December 18, 2007</w:t>
      </w:r>
    </w:p>
    <w:p>
      <w:pPr>
        <w:spacing w:after="0" w:line="247" w:lineRule="exact"/>
        <w:rPr>
          <w:sz w:val="24"/>
          <w:szCs w:val="24"/>
          <w:color w:val="auto"/>
        </w:rPr>
      </w:pPr>
    </w:p>
    <w:p>
      <w:pPr>
        <w:spacing w:after="0"/>
        <w:rPr>
          <w:sz w:val="20"/>
          <w:szCs w:val="20"/>
          <w:color w:val="auto"/>
        </w:rPr>
      </w:pPr>
      <w:r>
        <w:rPr>
          <w:rFonts w:ascii="Arial" w:cs="Arial" w:eastAsia="Arial" w:hAnsi="Arial"/>
          <w:sz w:val="18"/>
          <w:szCs w:val="18"/>
          <w:color w:val="auto"/>
        </w:rPr>
        <w:t>To the Shareholders of</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Winnebago Industries, Inc.</w:t>
      </w:r>
    </w:p>
    <w:p>
      <w:pPr>
        <w:spacing w:after="0" w:line="170" w:lineRule="exact"/>
        <w:rPr>
          <w:sz w:val="24"/>
          <w:szCs w:val="24"/>
          <w:color w:val="auto"/>
        </w:rPr>
      </w:pPr>
    </w:p>
    <w:p>
      <w:pPr>
        <w:ind w:left="360"/>
        <w:spacing w:after="0"/>
        <w:rPr>
          <w:sz w:val="20"/>
          <w:szCs w:val="20"/>
          <w:color w:val="auto"/>
        </w:rPr>
      </w:pPr>
      <w:r>
        <w:rPr>
          <w:rFonts w:ascii="Arial" w:cs="Arial" w:eastAsia="Arial" w:hAnsi="Arial"/>
          <w:sz w:val="16"/>
          <w:szCs w:val="16"/>
          <w:color w:val="auto"/>
        </w:rPr>
        <w:t>The Annual Meeting of Shareholders of Winnebago Industries, Inc. will be held on Tuesday, December 18, 2007, at 4:00 p.m., Central Standard Time, in</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Winnebago Industries’ South Office Complex Theater, 605 West Crystal Lake Road, Forest City, Iowa, for the following purposes:</w:t>
      </w:r>
    </w:p>
    <w:p>
      <w:pPr>
        <w:spacing w:after="0" w:line="238" w:lineRule="exact"/>
        <w:rPr>
          <w:sz w:val="24"/>
          <w:szCs w:val="24"/>
          <w:color w:val="auto"/>
        </w:rPr>
      </w:pPr>
    </w:p>
    <w:p>
      <w:pPr>
        <w:ind w:left="1020" w:hanging="472"/>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three Class II directors to hold office for three-year terms;</w:t>
      </w:r>
    </w:p>
    <w:p>
      <w:pPr>
        <w:spacing w:after="0" w:line="90" w:lineRule="exact"/>
        <w:rPr>
          <w:rFonts w:ascii="Arial" w:cs="Arial" w:eastAsia="Arial" w:hAnsi="Arial"/>
          <w:sz w:val="18"/>
          <w:szCs w:val="18"/>
          <w:color w:val="auto"/>
        </w:rPr>
      </w:pPr>
    </w:p>
    <w:p>
      <w:pPr>
        <w:ind w:left="1020" w:hanging="472"/>
        <w:spacing w:after="0"/>
        <w:tabs>
          <w:tab w:leader="none" w:pos="10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to ratify the appointment of Deloitte &amp; Touche LLP, as our independent registered public accountants for the fiscal year ending August 30,</w:t>
      </w:r>
    </w:p>
    <w:p>
      <w:pPr>
        <w:sectPr>
          <w:pgSz w:w="11900" w:h="16838" w:orient="portrait"/>
          <w:cols w:equalWidth="0" w:num="1">
            <w:col w:w="11400"/>
          </w:cols>
          <w:pgMar w:left="240" w:top="706" w:right="259" w:bottom="0" w:gutter="0" w:footer="0" w:header="0"/>
          <w:type w:val="continuous"/>
        </w:sectPr>
      </w:pPr>
    </w:p>
    <w:bookmarkStart w:id="1" w:name="page2"/>
    <w:bookmarkEnd w:id="1"/>
    <w:p>
      <w:pPr>
        <w:ind w:left="1020"/>
        <w:spacing w:after="0"/>
        <w:rPr>
          <w:sz w:val="20"/>
          <w:szCs w:val="20"/>
          <w:color w:val="auto"/>
        </w:rPr>
      </w:pPr>
      <w:r>
        <w:rPr>
          <w:rFonts w:ascii="Arial" w:cs="Arial" w:eastAsia="Arial" w:hAnsi="Arial"/>
          <w:sz w:val="18"/>
          <w:szCs w:val="18"/>
          <w:color w:val="auto"/>
        </w:rPr>
        <w:t>2008; and</w:t>
      </w:r>
    </w:p>
    <w:p>
      <w:pPr>
        <w:spacing w:after="0" w:line="90" w:lineRule="exact"/>
        <w:rPr>
          <w:sz w:val="20"/>
          <w:szCs w:val="20"/>
          <w:color w:val="auto"/>
        </w:rPr>
      </w:pPr>
    </w:p>
    <w:p>
      <w:pPr>
        <w:ind w:left="1020" w:hanging="472"/>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or adjournments thereof.</w:t>
      </w:r>
    </w:p>
    <w:p>
      <w:pPr>
        <w:spacing w:after="0" w:line="239" w:lineRule="exact"/>
        <w:rPr>
          <w:sz w:val="20"/>
          <w:szCs w:val="20"/>
          <w:color w:val="auto"/>
        </w:rPr>
      </w:pPr>
    </w:p>
    <w:p>
      <w:pPr>
        <w:ind w:right="380" w:firstLine="360"/>
        <w:spacing w:after="0" w:line="277" w:lineRule="auto"/>
        <w:rPr>
          <w:sz w:val="20"/>
          <w:szCs w:val="20"/>
          <w:color w:val="auto"/>
        </w:rPr>
      </w:pPr>
      <w:r>
        <w:rPr>
          <w:rFonts w:ascii="Arial" w:cs="Arial" w:eastAsia="Arial" w:hAnsi="Arial"/>
          <w:sz w:val="18"/>
          <w:szCs w:val="18"/>
          <w:color w:val="auto"/>
        </w:rPr>
        <w:t>The Board of Directors of the Company has fixed the close of business on October 9, 2007, as the record date for the determination of shareholders entitled to notice of and to vote at this meeting and at any and all adjournments thereof.</w:t>
      </w:r>
    </w:p>
    <w:p>
      <w:pPr>
        <w:spacing w:after="0" w:line="130"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4310380</wp:posOffset>
            </wp:positionH>
            <wp:positionV relativeFrom="paragraph">
              <wp:posOffset>135255</wp:posOffset>
            </wp:positionV>
            <wp:extent cx="1543685" cy="2660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43685" cy="26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left="4520"/>
        <w:spacing w:after="0"/>
        <w:rPr>
          <w:sz w:val="20"/>
          <w:szCs w:val="20"/>
          <w:color w:val="auto"/>
        </w:rPr>
      </w:pPr>
      <w:r>
        <w:rPr>
          <w:rFonts w:ascii="Arial" w:cs="Arial" w:eastAsia="Arial" w:hAnsi="Arial"/>
          <w:sz w:val="18"/>
          <w:szCs w:val="18"/>
          <w:color w:val="auto"/>
        </w:rPr>
        <w:t>RAYMOND M. BEEBE</w:t>
      </w:r>
    </w:p>
    <w:p>
      <w:pPr>
        <w:spacing w:after="0" w:line="23" w:lineRule="exact"/>
        <w:rPr>
          <w:sz w:val="20"/>
          <w:szCs w:val="20"/>
          <w:color w:val="auto"/>
        </w:rPr>
      </w:pPr>
    </w:p>
    <w:p>
      <w:pPr>
        <w:jc w:val="center"/>
        <w:ind w:left="4560"/>
        <w:spacing w:after="0"/>
        <w:rPr>
          <w:sz w:val="20"/>
          <w:szCs w:val="20"/>
          <w:color w:val="auto"/>
        </w:rPr>
      </w:pPr>
      <w:r>
        <w:rPr>
          <w:rFonts w:ascii="Arial" w:cs="Arial" w:eastAsia="Arial" w:hAnsi="Arial"/>
          <w:sz w:val="18"/>
          <w:szCs w:val="18"/>
          <w:i w:val="1"/>
          <w:iCs w:val="1"/>
          <w:color w:val="auto"/>
        </w:rPr>
        <w:t>Secretary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Forest City, Iowa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24, 2007</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Your Vote Is Important</w:t>
      </w:r>
    </w:p>
    <w:p>
      <w:pPr>
        <w:spacing w:after="0" w:line="185" w:lineRule="exact"/>
        <w:rPr>
          <w:sz w:val="20"/>
          <w:szCs w:val="20"/>
          <w:color w:val="auto"/>
        </w:rPr>
      </w:pPr>
    </w:p>
    <w:p>
      <w:pPr>
        <w:ind w:firstLine="360"/>
        <w:spacing w:after="0" w:line="313" w:lineRule="auto"/>
        <w:rPr>
          <w:sz w:val="20"/>
          <w:szCs w:val="20"/>
          <w:color w:val="auto"/>
        </w:rPr>
      </w:pPr>
      <w:r>
        <w:rPr>
          <w:rFonts w:ascii="Arial" w:cs="Arial" w:eastAsia="Arial" w:hAnsi="Arial"/>
          <w:sz w:val="17"/>
          <w:szCs w:val="17"/>
          <w:b w:val="1"/>
          <w:bCs w:val="1"/>
          <w:color w:val="auto"/>
        </w:rPr>
        <w:t>Whether or not you expect to attend the meeting in person, please vote via the Internet or telephone, or request a paper proxy card to complete, sign and return by mail so that your shares may be voted. A prompt response is helpful and your cooperation is appreciated.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749300</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TABLE OF CONTENTS</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78"/>
              </w:rPr>
              <w:t>Page</w:t>
            </w:r>
          </w:p>
        </w:tc>
      </w:tr>
      <w:tr>
        <w:trPr>
          <w:trHeight w:val="20"/>
        </w:trPr>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80" w:type="dxa"/>
            <w:vAlign w:val="bottom"/>
          </w:tcPr>
          <w:p>
            <w:pPr>
              <w:spacing w:after="0"/>
              <w:rPr>
                <w:sz w:val="24"/>
                <w:szCs w:val="24"/>
                <w:color w:val="auto"/>
              </w:rPr>
            </w:pPr>
          </w:p>
        </w:tc>
        <w:tc>
          <w:tcPr>
            <w:tcW w:w="10860" w:type="dxa"/>
            <w:vAlign w:val="bottom"/>
            <w:gridSpan w:val="21"/>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FORWARD-LOOKING INFORMATION</w:t>
              </w:r>
            </w:hyperlink>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77"/>
        </w:trPr>
        <w:tc>
          <w:tcPr>
            <w:tcW w:w="80" w:type="dxa"/>
            <w:vAlign w:val="bottom"/>
          </w:tcPr>
          <w:p>
            <w:pPr>
              <w:spacing w:after="0"/>
              <w:rPr>
                <w:sz w:val="24"/>
                <w:szCs w:val="24"/>
                <w:color w:val="auto"/>
              </w:rPr>
            </w:pPr>
          </w:p>
        </w:tc>
        <w:tc>
          <w:tcPr>
            <w:tcW w:w="16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PROXY STATEMENT</w:t>
              </w:r>
            </w:hyperlink>
          </w:p>
        </w:tc>
        <w:tc>
          <w:tcPr>
            <w:tcW w:w="1300" w:type="dxa"/>
            <w:vAlign w:val="bottom"/>
            <w:tcBorders>
              <w:top w:val="single" w:sz="8" w:color="0000EE"/>
            </w:tcBorders>
            <w:gridSpan w:val="6"/>
          </w:tcPr>
          <w:p>
            <w:pPr>
              <w:spacing w:after="0"/>
              <w:rPr>
                <w:sz w:val="24"/>
                <w:szCs w:val="24"/>
                <w:color w:val="auto"/>
              </w:rPr>
            </w:pPr>
          </w:p>
        </w:tc>
        <w:tc>
          <w:tcPr>
            <w:tcW w:w="7960" w:type="dxa"/>
            <w:vAlign w:val="bottom"/>
            <w:gridSpan w:val="11"/>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77"/>
        </w:trPr>
        <w:tc>
          <w:tcPr>
            <w:tcW w:w="80" w:type="dxa"/>
            <w:vAlign w:val="bottom"/>
          </w:tcPr>
          <w:p>
            <w:pPr>
              <w:spacing w:after="0"/>
              <w:rPr>
                <w:sz w:val="24"/>
                <w:szCs w:val="24"/>
                <w:color w:val="auto"/>
              </w:rPr>
            </w:pPr>
          </w:p>
        </w:tc>
        <w:tc>
          <w:tcPr>
            <w:tcW w:w="10860" w:type="dxa"/>
            <w:vAlign w:val="bottom"/>
            <w:gridSpan w:val="2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VOTING SECURITIES AND PRINCIPAL HOLDERS THEREOF</w:t>
              </w:r>
            </w:hyperlink>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77"/>
        </w:trPr>
        <w:tc>
          <w:tcPr>
            <w:tcW w:w="80" w:type="dxa"/>
            <w:vAlign w:val="bottom"/>
          </w:tcPr>
          <w:p>
            <w:pPr>
              <w:spacing w:after="0"/>
              <w:rPr>
                <w:sz w:val="24"/>
                <w:szCs w:val="24"/>
                <w:color w:val="auto"/>
              </w:rPr>
            </w:pPr>
          </w:p>
        </w:tc>
        <w:tc>
          <w:tcPr>
            <w:tcW w:w="278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2"/>
              </w:rPr>
            </w:pPr>
            <w:hyperlink w:anchor="page6">
              <w:r>
                <w:rPr>
                  <w:rFonts w:ascii="Arial" w:cs="Arial" w:eastAsia="Arial" w:hAnsi="Arial"/>
                  <w:sz w:val="18"/>
                  <w:szCs w:val="18"/>
                  <w:color w:val="0000EE"/>
                  <w:w w:val="92"/>
                </w:rPr>
                <w:t>ITEM 1  ELECTION OF DIRECTORS</w:t>
              </w:r>
            </w:hyperlink>
          </w:p>
        </w:tc>
        <w:tc>
          <w:tcPr>
            <w:tcW w:w="1920" w:type="dxa"/>
            <w:vAlign w:val="bottom"/>
            <w:tcBorders>
              <w:top w:val="single" w:sz="8" w:color="0000EE"/>
            </w:tcBorders>
            <w:gridSpan w:val="7"/>
          </w:tcPr>
          <w:p>
            <w:pPr>
              <w:spacing w:after="0"/>
              <w:rPr>
                <w:sz w:val="24"/>
                <w:szCs w:val="24"/>
                <w:color w:val="auto"/>
              </w:rPr>
            </w:pPr>
          </w:p>
        </w:tc>
        <w:tc>
          <w:tcPr>
            <w:tcW w:w="6160" w:type="dxa"/>
            <w:vAlign w:val="bottom"/>
            <w:gridSpan w:val="6"/>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77"/>
        </w:trPr>
        <w:tc>
          <w:tcPr>
            <w:tcW w:w="80" w:type="dxa"/>
            <w:vAlign w:val="bottom"/>
          </w:tcPr>
          <w:p>
            <w:pPr>
              <w:spacing w:after="0"/>
              <w:rPr>
                <w:sz w:val="24"/>
                <w:szCs w:val="24"/>
                <w:color w:val="auto"/>
              </w:rPr>
            </w:pPr>
          </w:p>
        </w:tc>
        <w:tc>
          <w:tcPr>
            <w:tcW w:w="10860" w:type="dxa"/>
            <w:vAlign w:val="bottom"/>
            <w:gridSpan w:val="21"/>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BOARD OF DIRECTORS, COMMITTEES OF THE BOARD AND CORPORATE GOVERNANCE</w:t>
              </w:r>
            </w:hyperlink>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77"/>
        </w:trPr>
        <w:tc>
          <w:tcPr>
            <w:tcW w:w="80" w:type="dxa"/>
            <w:vAlign w:val="bottom"/>
          </w:tcPr>
          <w:p>
            <w:pPr>
              <w:spacing w:after="0"/>
              <w:rPr>
                <w:sz w:val="24"/>
                <w:szCs w:val="24"/>
                <w:color w:val="auto"/>
              </w:rPr>
            </w:pPr>
          </w:p>
        </w:tc>
        <w:tc>
          <w:tcPr>
            <w:tcW w:w="222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9"/>
              </w:rPr>
            </w:pPr>
            <w:hyperlink w:anchor="page11">
              <w:r>
                <w:rPr>
                  <w:rFonts w:ascii="Arial" w:cs="Arial" w:eastAsia="Arial" w:hAnsi="Arial"/>
                  <w:sz w:val="18"/>
                  <w:szCs w:val="18"/>
                  <w:color w:val="0000EE"/>
                  <w:w w:val="89"/>
                </w:rPr>
                <w:t>DIRECTOR COMPENSATION</w:t>
              </w:r>
            </w:hyperlink>
          </w:p>
        </w:tc>
        <w:tc>
          <w:tcPr>
            <w:tcW w:w="4900" w:type="dxa"/>
            <w:vAlign w:val="bottom"/>
            <w:tcBorders>
              <w:top w:val="single" w:sz="8" w:color="0000EE"/>
            </w:tcBorders>
            <w:gridSpan w:val="13"/>
          </w:tcPr>
          <w:p>
            <w:pPr>
              <w:spacing w:after="0"/>
              <w:rPr>
                <w:sz w:val="24"/>
                <w:szCs w:val="24"/>
                <w:color w:val="auto"/>
              </w:rPr>
            </w:pPr>
          </w:p>
        </w:tc>
        <w:tc>
          <w:tcPr>
            <w:tcW w:w="3740" w:type="dxa"/>
            <w:vAlign w:val="bottom"/>
            <w:gridSpan w:val="2"/>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77"/>
        </w:trPr>
        <w:tc>
          <w:tcPr>
            <w:tcW w:w="10940" w:type="dxa"/>
            <w:vAlign w:val="bottom"/>
            <w:gridSpan w:val="22"/>
          </w:tcPr>
          <w:p>
            <w:pPr>
              <w:spacing w:after="0"/>
              <w:rPr>
                <w:rFonts w:ascii="Arial" w:cs="Arial" w:eastAsia="Arial" w:hAnsi="Arial"/>
                <w:sz w:val="18"/>
                <w:szCs w:val="18"/>
                <w:color w:val="0000EE"/>
                <w:w w:val="98"/>
              </w:rPr>
            </w:pPr>
            <w:hyperlink w:anchor="page12">
              <w:r>
                <w:rPr>
                  <w:rFonts w:ascii="Arial" w:cs="Arial" w:eastAsia="Arial" w:hAnsi="Arial"/>
                  <w:sz w:val="18"/>
                  <w:szCs w:val="18"/>
                  <w:color w:val="0000EE"/>
                  <w:w w:val="98"/>
                </w:rPr>
                <w:t>ITEM 2  RATIFICATION OF THE APPOINTMENT OF INDEPENDENT REGISTERED PUBLIC ACCOUNTANTS FOR THE FISCAL YEAR</w:t>
              </w:r>
            </w:hyperlink>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80" w:type="dxa"/>
            <w:vAlign w:val="bottom"/>
            <w:tcBorders>
              <w:top w:val="single" w:sz="8" w:color="0000EE"/>
            </w:tcBorders>
          </w:tcPr>
          <w:p>
            <w:pPr>
              <w:spacing w:after="0"/>
              <w:rPr>
                <w:sz w:val="17"/>
                <w:szCs w:val="17"/>
                <w:color w:val="auto"/>
              </w:rPr>
            </w:pPr>
          </w:p>
        </w:tc>
        <w:tc>
          <w:tcPr>
            <w:tcW w:w="1032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ENDING AUGUST 30, 2008</w:t>
              </w:r>
            </w:hyperlink>
          </w:p>
        </w:tc>
        <w:tc>
          <w:tcPr>
            <w:tcW w:w="540" w:type="dxa"/>
            <w:vAlign w:val="bottom"/>
          </w:tcPr>
          <w:p>
            <w:pPr>
              <w:spacing w:after="0"/>
              <w:rPr>
                <w:sz w:val="17"/>
                <w:szCs w:val="17"/>
                <w:color w:val="auto"/>
              </w:rPr>
            </w:pPr>
          </w:p>
        </w:tc>
        <w:tc>
          <w:tcPr>
            <w:tcW w:w="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16</w:t>
            </w:r>
          </w:p>
        </w:tc>
      </w:tr>
      <w:tr>
        <w:trPr>
          <w:trHeight w:val="20"/>
        </w:trPr>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4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r>
      <w:tr>
        <w:trPr>
          <w:trHeight w:val="277"/>
        </w:trPr>
        <w:tc>
          <w:tcPr>
            <w:tcW w:w="80" w:type="dxa"/>
            <w:vAlign w:val="bottom"/>
          </w:tcPr>
          <w:p>
            <w:pPr>
              <w:spacing w:after="0"/>
              <w:rPr>
                <w:sz w:val="24"/>
                <w:szCs w:val="24"/>
                <w:color w:val="auto"/>
              </w:rPr>
            </w:pPr>
          </w:p>
        </w:tc>
        <w:tc>
          <w:tcPr>
            <w:tcW w:w="138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13">
              <w:r>
                <w:rPr>
                  <w:rFonts w:ascii="Arial" w:cs="Arial" w:eastAsia="Arial" w:hAnsi="Arial"/>
                  <w:sz w:val="18"/>
                  <w:szCs w:val="18"/>
                  <w:color w:val="0000EE"/>
                  <w:w w:val="88"/>
                </w:rPr>
                <w:t>OTHER MATTERS</w:t>
              </w:r>
            </w:hyperlink>
          </w:p>
        </w:tc>
        <w:tc>
          <w:tcPr>
            <w:tcW w:w="9480" w:type="dxa"/>
            <w:vAlign w:val="bottom"/>
            <w:gridSpan w:val="18"/>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277"/>
        </w:trPr>
        <w:tc>
          <w:tcPr>
            <w:tcW w:w="80" w:type="dxa"/>
            <w:vAlign w:val="bottom"/>
          </w:tcPr>
          <w:p>
            <w:pPr>
              <w:spacing w:after="0"/>
              <w:rPr>
                <w:sz w:val="24"/>
                <w:szCs w:val="24"/>
                <w:color w:val="auto"/>
              </w:rPr>
            </w:pPr>
          </w:p>
        </w:tc>
        <w:tc>
          <w:tcPr>
            <w:tcW w:w="10860" w:type="dxa"/>
            <w:vAlign w:val="bottom"/>
            <w:gridSpan w:val="21"/>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EXECUTIVE COMPENSATION</w:t>
              </w:r>
            </w:hyperlink>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560" w:type="dxa"/>
            <w:vAlign w:val="bottom"/>
            <w:gridSpan w:val="5"/>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4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r>
      <w:tr>
        <w:trPr>
          <w:trHeight w:val="277"/>
        </w:trPr>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80" w:type="dxa"/>
            <w:vAlign w:val="bottom"/>
            <w:tcBorders>
              <w:bottom w:val="single" w:sz="8" w:color="0000EE"/>
            </w:tcBorders>
            <w:gridSpan w:val="8"/>
          </w:tcPr>
          <w:p>
            <w:pPr>
              <w:spacing w:after="0"/>
              <w:rPr>
                <w:rFonts w:ascii="Arial" w:cs="Arial" w:eastAsia="Arial" w:hAnsi="Arial"/>
                <w:sz w:val="18"/>
                <w:szCs w:val="18"/>
                <w:color w:val="0000EE"/>
                <w:w w:val="87"/>
              </w:rPr>
            </w:pPr>
            <w:hyperlink w:anchor="page13">
              <w:r>
                <w:rPr>
                  <w:rFonts w:ascii="Arial" w:cs="Arial" w:eastAsia="Arial" w:hAnsi="Arial"/>
                  <w:sz w:val="18"/>
                  <w:szCs w:val="18"/>
                  <w:color w:val="0000EE"/>
                  <w:w w:val="87"/>
                </w:rPr>
                <w:t>Compensation Discussion and Analysis</w:t>
              </w:r>
            </w:hyperlink>
          </w:p>
        </w:tc>
        <w:tc>
          <w:tcPr>
            <w:tcW w:w="7980" w:type="dxa"/>
            <w:vAlign w:val="bottom"/>
            <w:gridSpan w:val="12"/>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277"/>
        </w:trPr>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80" w:type="dxa"/>
            <w:vAlign w:val="bottom"/>
            <w:tcBorders>
              <w:bottom w:val="single" w:sz="8" w:color="0000EE"/>
            </w:tcBorders>
            <w:gridSpan w:val="16"/>
          </w:tcPr>
          <w:p>
            <w:pPr>
              <w:spacing w:after="0"/>
              <w:rPr>
                <w:rFonts w:ascii="Arial" w:cs="Arial" w:eastAsia="Arial" w:hAnsi="Arial"/>
                <w:sz w:val="18"/>
                <w:szCs w:val="18"/>
                <w:color w:val="0000EE"/>
                <w:w w:val="87"/>
              </w:rPr>
            </w:pPr>
            <w:hyperlink w:anchor="page23">
              <w:r>
                <w:rPr>
                  <w:rFonts w:ascii="Arial" w:cs="Arial" w:eastAsia="Arial" w:hAnsi="Arial"/>
                  <w:sz w:val="18"/>
                  <w:szCs w:val="18"/>
                  <w:color w:val="0000EE"/>
                  <w:w w:val="87"/>
                </w:rPr>
                <w:t>Human Resources Committee Report on Compensation Discussion and Analysis</w:t>
              </w:r>
            </w:hyperlink>
          </w:p>
        </w:tc>
        <w:tc>
          <w:tcPr>
            <w:tcW w:w="5080" w:type="dxa"/>
            <w:vAlign w:val="bottom"/>
            <w:gridSpan w:val="4"/>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32</w:t>
            </w:r>
          </w:p>
        </w:tc>
      </w:tr>
      <w:tr>
        <w:trPr>
          <w:trHeight w:val="277"/>
        </w:trPr>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760" w:type="dxa"/>
            <w:vAlign w:val="bottom"/>
            <w:gridSpan w:val="20"/>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Compensation Tables and Narrative Disclosure</w:t>
              </w:r>
            </w:hyperlink>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180" w:type="dxa"/>
            <w:vAlign w:val="bottom"/>
            <w:gridSpan w:val="9"/>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84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r>
      <w:tr>
        <w:trPr>
          <w:trHeight w:val="277"/>
        </w:trPr>
        <w:tc>
          <w:tcPr>
            <w:tcW w:w="80" w:type="dxa"/>
            <w:vAlign w:val="bottom"/>
          </w:tcPr>
          <w:p>
            <w:pPr>
              <w:spacing w:after="0"/>
              <w:rPr>
                <w:sz w:val="24"/>
                <w:szCs w:val="24"/>
                <w:color w:val="auto"/>
              </w:rPr>
            </w:pPr>
          </w:p>
        </w:tc>
        <w:tc>
          <w:tcPr>
            <w:tcW w:w="2940" w:type="dxa"/>
            <w:vAlign w:val="bottom"/>
            <w:tcBorders>
              <w:bottom w:val="single" w:sz="8" w:color="0000EE"/>
            </w:tcBorders>
            <w:gridSpan w:val="11"/>
          </w:tcPr>
          <w:p>
            <w:pPr>
              <w:spacing w:after="0"/>
              <w:rPr>
                <w:rFonts w:ascii="Arial" w:cs="Arial" w:eastAsia="Arial" w:hAnsi="Arial"/>
                <w:sz w:val="18"/>
                <w:szCs w:val="18"/>
                <w:color w:val="0000EE"/>
                <w:w w:val="91"/>
              </w:rPr>
            </w:pPr>
            <w:hyperlink w:anchor="page33">
              <w:r>
                <w:rPr>
                  <w:rFonts w:ascii="Arial" w:cs="Arial" w:eastAsia="Arial" w:hAnsi="Arial"/>
                  <w:sz w:val="18"/>
                  <w:szCs w:val="18"/>
                  <w:color w:val="0000EE"/>
                  <w:w w:val="91"/>
                </w:rPr>
                <w:t>REPORT OF THE AUDIT COMMITTEE</w:t>
              </w:r>
            </w:hyperlink>
          </w:p>
        </w:tc>
        <w:tc>
          <w:tcPr>
            <w:tcW w:w="7920" w:type="dxa"/>
            <w:vAlign w:val="bottom"/>
            <w:gridSpan w:val="10"/>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46</w:t>
            </w:r>
          </w:p>
        </w:tc>
      </w:tr>
      <w:tr>
        <w:trPr>
          <w:trHeight w:val="277"/>
        </w:trPr>
        <w:tc>
          <w:tcPr>
            <w:tcW w:w="80" w:type="dxa"/>
            <w:vAlign w:val="bottom"/>
          </w:tcPr>
          <w:p>
            <w:pPr>
              <w:spacing w:after="0"/>
              <w:rPr>
                <w:sz w:val="24"/>
                <w:szCs w:val="24"/>
                <w:color w:val="auto"/>
              </w:rPr>
            </w:pPr>
          </w:p>
        </w:tc>
        <w:tc>
          <w:tcPr>
            <w:tcW w:w="6020" w:type="dxa"/>
            <w:vAlign w:val="bottom"/>
            <w:tcBorders>
              <w:bottom w:val="single" w:sz="8" w:color="0000EE"/>
            </w:tcBorders>
            <w:gridSpan w:val="18"/>
          </w:tcPr>
          <w:p>
            <w:pPr>
              <w:spacing w:after="0"/>
              <w:rPr>
                <w:rFonts w:ascii="Arial" w:cs="Arial" w:eastAsia="Arial" w:hAnsi="Arial"/>
                <w:sz w:val="18"/>
                <w:szCs w:val="18"/>
                <w:color w:val="0000EE"/>
                <w:w w:val="91"/>
              </w:rPr>
            </w:pPr>
            <w:hyperlink w:anchor="page34">
              <w:r>
                <w:rPr>
                  <w:rFonts w:ascii="Arial" w:cs="Arial" w:eastAsia="Arial" w:hAnsi="Arial"/>
                  <w:sz w:val="18"/>
                  <w:szCs w:val="18"/>
                  <w:color w:val="0000EE"/>
                  <w:w w:val="91"/>
                </w:rPr>
                <w:t>INDEPENDENT REGISTERED PUBLIC ACCOUNTANTS FEES AND SERVICES</w:t>
              </w:r>
            </w:hyperlink>
          </w:p>
        </w:tc>
        <w:tc>
          <w:tcPr>
            <w:tcW w:w="4840" w:type="dxa"/>
            <w:vAlign w:val="bottom"/>
            <w:gridSpan w:val="3"/>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47</w:t>
            </w:r>
          </w:p>
        </w:tc>
      </w:tr>
      <w:tr>
        <w:trPr>
          <w:trHeight w:val="277"/>
        </w:trPr>
        <w:tc>
          <w:tcPr>
            <w:tcW w:w="80" w:type="dxa"/>
            <w:vAlign w:val="bottom"/>
          </w:tcPr>
          <w:p>
            <w:pPr>
              <w:spacing w:after="0"/>
              <w:rPr>
                <w:sz w:val="24"/>
                <w:szCs w:val="24"/>
                <w:color w:val="auto"/>
              </w:rPr>
            </w:pPr>
          </w:p>
        </w:tc>
        <w:tc>
          <w:tcPr>
            <w:tcW w:w="10860" w:type="dxa"/>
            <w:vAlign w:val="bottom"/>
            <w:gridSpan w:val="21"/>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SECTION 16(A) BENEFICIAL OWNERSHIP REPORTING COMPLIANCE</w:t>
              </w:r>
            </w:hyperlink>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47</w:t>
            </w:r>
          </w:p>
        </w:tc>
      </w:tr>
      <w:tr>
        <w:trPr>
          <w:trHeight w:val="277"/>
        </w:trPr>
        <w:tc>
          <w:tcPr>
            <w:tcW w:w="80" w:type="dxa"/>
            <w:vAlign w:val="bottom"/>
          </w:tcPr>
          <w:p>
            <w:pPr>
              <w:spacing w:after="0"/>
              <w:rPr>
                <w:sz w:val="24"/>
                <w:szCs w:val="24"/>
                <w:color w:val="auto"/>
              </w:rPr>
            </w:pPr>
          </w:p>
        </w:tc>
        <w:tc>
          <w:tcPr>
            <w:tcW w:w="384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0"/>
              </w:rPr>
            </w:pPr>
            <w:hyperlink w:anchor="page35">
              <w:r>
                <w:rPr>
                  <w:rFonts w:ascii="Arial" w:cs="Arial" w:eastAsia="Arial" w:hAnsi="Arial"/>
                  <w:sz w:val="18"/>
                  <w:szCs w:val="18"/>
                  <w:color w:val="0000EE"/>
                  <w:w w:val="90"/>
                </w:rPr>
                <w:t>FISCAL YEAR 2008 SHAREHOLDER PROPOSALS</w:t>
              </w:r>
            </w:hyperlink>
          </w:p>
        </w:tc>
        <w:tc>
          <w:tcPr>
            <w:tcW w:w="1640" w:type="dxa"/>
            <w:vAlign w:val="bottom"/>
            <w:tcBorders>
              <w:top w:val="single" w:sz="8" w:color="0000EE"/>
            </w:tcBorders>
            <w:gridSpan w:val="3"/>
          </w:tcPr>
          <w:p>
            <w:pPr>
              <w:spacing w:after="0"/>
              <w:rPr>
                <w:sz w:val="24"/>
                <w:szCs w:val="24"/>
                <w:color w:val="auto"/>
              </w:rPr>
            </w:pPr>
          </w:p>
        </w:tc>
        <w:tc>
          <w:tcPr>
            <w:tcW w:w="5380" w:type="dxa"/>
            <w:vAlign w:val="bottom"/>
            <w:gridSpan w:val="5"/>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48</w:t>
            </w:r>
          </w:p>
        </w:tc>
      </w:tr>
      <w:tr>
        <w:trPr>
          <w:trHeight w:val="277"/>
        </w:trPr>
        <w:tc>
          <w:tcPr>
            <w:tcW w:w="80" w:type="dxa"/>
            <w:vAlign w:val="bottom"/>
          </w:tcPr>
          <w:p>
            <w:pPr>
              <w:spacing w:after="0"/>
              <w:rPr>
                <w:sz w:val="24"/>
                <w:szCs w:val="24"/>
                <w:color w:val="auto"/>
              </w:rPr>
            </w:pPr>
          </w:p>
        </w:tc>
        <w:tc>
          <w:tcPr>
            <w:tcW w:w="10860" w:type="dxa"/>
            <w:vAlign w:val="bottom"/>
            <w:gridSpan w:val="21"/>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GENERAL</w:t>
              </w:r>
            </w:hyperlink>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48</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3460" w:type="dxa"/>
            <w:vAlign w:val="bottom"/>
            <w:gridSpan w:val="12"/>
          </w:tcPr>
          <w:p>
            <w:pPr>
              <w:spacing w:after="0" w:line="20" w:lineRule="exact"/>
              <w:rPr>
                <w:sz w:val="1"/>
                <w:szCs w:val="1"/>
                <w:color w:val="auto"/>
              </w:rPr>
            </w:pPr>
          </w:p>
        </w:tc>
        <w:tc>
          <w:tcPr>
            <w:tcW w:w="6640" w:type="dxa"/>
            <w:vAlign w:val="bottom"/>
            <w:gridSpan w:val="7"/>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r>
      <w:tr>
        <w:trPr>
          <w:trHeight w:val="277"/>
        </w:trPr>
        <w:tc>
          <w:tcPr>
            <w:tcW w:w="80" w:type="dxa"/>
            <w:vAlign w:val="bottom"/>
          </w:tcPr>
          <w:p>
            <w:pPr>
              <w:spacing w:after="0"/>
              <w:rPr>
                <w:sz w:val="24"/>
                <w:szCs w:val="24"/>
                <w:color w:val="auto"/>
              </w:rPr>
            </w:pPr>
          </w:p>
        </w:tc>
        <w:tc>
          <w:tcPr>
            <w:tcW w:w="10860" w:type="dxa"/>
            <w:vAlign w:val="bottom"/>
            <w:gridSpan w:val="21"/>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APPENDIX A (NOMINATION OF DIRECTORS POLICY)</w:t>
              </w:r>
            </w:hyperlink>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50</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718185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P.O. Box 152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Forest City, Iowa 50436</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WINNEBAGO INDUSTRIES, INC.</w:t>
      </w: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FORWARD-LOOKING INFORMATION</w:t>
      </w:r>
    </w:p>
    <w:p>
      <w:pPr>
        <w:sectPr>
          <w:pgSz w:w="11900" w:h="16838" w:orient="portrait"/>
          <w:cols w:equalWidth="0" w:num="1">
            <w:col w:w="11360"/>
          </w:cols>
          <w:pgMar w:left="240" w:top="125" w:right="299" w:bottom="134" w:gutter="0" w:footer="0" w:header="0"/>
        </w:sectPr>
      </w:pPr>
    </w:p>
    <w:bookmarkStart w:id="2" w:name="page3"/>
    <w:bookmarkEnd w:id="2"/>
    <w:p>
      <w:pPr>
        <w:ind w:right="20" w:firstLine="360"/>
        <w:spacing w:after="0" w:line="290" w:lineRule="auto"/>
        <w:rPr>
          <w:sz w:val="20"/>
          <w:szCs w:val="20"/>
          <w:color w:val="auto"/>
        </w:rPr>
      </w:pPr>
      <w:r>
        <w:rPr>
          <w:rFonts w:ascii="Arial" w:cs="Arial" w:eastAsia="Arial" w:hAnsi="Arial"/>
          <w:sz w:val="16"/>
          <w:szCs w:val="16"/>
          <w:color w:val="auto"/>
        </w:rPr>
        <w:t>Statements in this proxy statement not based on historical facts are considered “forward-looking” and, accordingly, involve risks and uncertainties that could cause actual results to differ materially from those discussed. Although such forward-looking statements have been made in good faith and are based on reasonable assumptions, there is no assurance that the expected results will be achieved. These statements include (without limitation) statements as to future expectations, beliefs, plans, strategies, objectives, events, conditions, and financial performance. These statements are intended to constitute “forward-looking” statements in connection with the “safe harbor” provisions of the Private Securities Litigation Reform Act of 1995. Winnebago Industries, Inc., an Iowa corporation (the “Company,” “Winnebago Industries,” “we,” “us” and “our”), is providing this cautionary statement to disclose that there are important factors that could cause actual results to differ materially from those anticipated. Reference is made to our Annual Report on Form 10-K for the fiscal year ended August 25, 2007 (the “2007 Form 10-K”) filed with the Securities and Exchange Commission (the “SEC”) for a list of such factors.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PROXY STATEMENT</w:t>
      </w:r>
    </w:p>
    <w:p>
      <w:pPr>
        <w:spacing w:after="0" w:line="219" w:lineRule="exact"/>
        <w:rPr>
          <w:sz w:val="20"/>
          <w:szCs w:val="20"/>
          <w:color w:val="auto"/>
        </w:rPr>
      </w:pPr>
    </w:p>
    <w:p>
      <w:pPr>
        <w:ind w:right="400" w:firstLine="360"/>
        <w:spacing w:after="0" w:line="286" w:lineRule="auto"/>
        <w:rPr>
          <w:sz w:val="20"/>
          <w:szCs w:val="20"/>
          <w:color w:val="auto"/>
        </w:rPr>
      </w:pPr>
      <w:r>
        <w:rPr>
          <w:rFonts w:ascii="Arial" w:cs="Arial" w:eastAsia="Arial" w:hAnsi="Arial"/>
          <w:sz w:val="17"/>
          <w:szCs w:val="17"/>
          <w:color w:val="auto"/>
        </w:rPr>
        <w:t>This Proxy Statement is furnished in connection with the solicitation by our Board of Directors of proxies to be used at the Annual Meeting of Shareholders of the Company to be held in our South Office Complex Theater, 605 West Crystal Lake Road, Forest City, Iowa on December 18, 2007, at 4:00 p.m., Central Standard Time, and at any and all adjournments thereof (the “Annual Meeting” or the “Meeting”).</w:t>
      </w:r>
    </w:p>
    <w:p>
      <w:pPr>
        <w:spacing w:after="0" w:line="125"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In accordance with rules and regulations recently adopted by the SEC, instead of mailing a printed copy of our proxy materials to each shareholder of record, we are now furnishing proxy materials to our shareholders on the Internet. If you received a Notice of Internet Availability of Proxy Materials by mail, you will not receive a printed copy of the proxy materials, unless specifically requested. Instead, the Notice of Internet Availability of Proxy Materials will instruct you as to how you may access and review all of the important information contained in the proxy materials. The Notice of Internet Availability of Proxy Materials also instructs you as to how you may submit your proxy on the Internet. If you received a Notice of Internet Availability of Proxy Materials by mail and would like to receive a printed copy of our proxy materials you should follow the instructions for requesting such materials included in the Notice of Internet Availability of Proxy Materials.</w:t>
      </w:r>
    </w:p>
    <w:p>
      <w:pPr>
        <w:spacing w:after="0" w:line="1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It is anticipated that the Notice of Internet Availability of Proxy Materials will be mailed to shareholders on or about October 24, 2007.</w:t>
      </w:r>
    </w:p>
    <w:p>
      <w:pPr>
        <w:spacing w:after="0" w:line="185" w:lineRule="exact"/>
        <w:rPr>
          <w:sz w:val="20"/>
          <w:szCs w:val="20"/>
          <w:color w:val="auto"/>
        </w:rPr>
      </w:pPr>
    </w:p>
    <w:p>
      <w:pPr>
        <w:ind w:right="460" w:firstLine="360"/>
        <w:spacing w:after="0" w:line="279" w:lineRule="auto"/>
        <w:rPr>
          <w:sz w:val="20"/>
          <w:szCs w:val="20"/>
          <w:color w:val="auto"/>
        </w:rPr>
      </w:pPr>
      <w:r>
        <w:rPr>
          <w:rFonts w:ascii="Arial" w:cs="Arial" w:eastAsia="Arial" w:hAnsi="Arial"/>
          <w:sz w:val="17"/>
          <w:szCs w:val="17"/>
          <w:color w:val="auto"/>
        </w:rPr>
        <w:t>Only holders of Common Stock of record at the close of business on October 9, 2007 will be entitled to Notice of Internet Availability of Proxy Materials and to vote at the Annual Meeting. At such date, the Company had outstanding 29,553,807 shares of Common Stock, par value $.50 per share (“Common Stock”). Each share of Common Stock entitles the holder to one vote upon each matter to be voted upon at the meeting. A majority of the outstanding shares of Common Stock represented in person or by proxy will constitute a quorum for the Annual Meeting.</w:t>
      </w:r>
    </w:p>
    <w:p>
      <w:pPr>
        <w:spacing w:after="0" w:line="131" w:lineRule="exact"/>
        <w:rPr>
          <w:sz w:val="20"/>
          <w:szCs w:val="20"/>
          <w:color w:val="auto"/>
        </w:rPr>
      </w:pPr>
    </w:p>
    <w:p>
      <w:pPr>
        <w:ind w:right="540" w:firstLine="360"/>
        <w:spacing w:after="0" w:line="277" w:lineRule="auto"/>
        <w:rPr>
          <w:sz w:val="20"/>
          <w:szCs w:val="20"/>
          <w:color w:val="auto"/>
        </w:rPr>
      </w:pPr>
      <w:r>
        <w:rPr>
          <w:rFonts w:ascii="Arial" w:cs="Arial" w:eastAsia="Arial" w:hAnsi="Arial"/>
          <w:sz w:val="18"/>
          <w:szCs w:val="18"/>
          <w:color w:val="auto"/>
        </w:rPr>
        <w:t>If you have returned valid proxy instructions or attend the Meeting in person, your Common Stock will be counted for the purpose of determining whether there is a quorum.</w:t>
      </w:r>
    </w:p>
    <w:p>
      <w:pPr>
        <w:spacing w:after="0" w:line="143"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If you hold shares in your own name, by submitting a proxy you may either vote for or withhold authority to vote for each nominee for the Board of Directors and you may vote in favor of or against the ratification of the appointment of independent registered public accountants. If you withhold authority to vote with respect to any nominee, your shares will still be counted for purposes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5"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establishing a quorum but will have no effect on the election of that nominee. If you sign and submit your proxy card without voting instructions, your shares will be voted for each director nominee and for the ratification of the appointment of independent registered public accountants.</w:t>
      </w:r>
    </w:p>
    <w:p>
      <w:pPr>
        <w:spacing w:after="0" w:line="120" w:lineRule="exact"/>
        <w:rPr>
          <w:sz w:val="20"/>
          <w:szCs w:val="20"/>
          <w:color w:val="auto"/>
        </w:rPr>
      </w:pPr>
    </w:p>
    <w:p>
      <w:pPr>
        <w:ind w:right="40" w:firstLine="360"/>
        <w:spacing w:after="0" w:line="276" w:lineRule="auto"/>
        <w:rPr>
          <w:sz w:val="20"/>
          <w:szCs w:val="20"/>
          <w:color w:val="auto"/>
        </w:rPr>
      </w:pPr>
      <w:r>
        <w:rPr>
          <w:rFonts w:ascii="Arial" w:cs="Arial" w:eastAsia="Arial" w:hAnsi="Arial"/>
          <w:sz w:val="17"/>
          <w:szCs w:val="17"/>
          <w:color w:val="auto"/>
        </w:rPr>
        <w:t>If you hold shares through a broker, follow the voting instructions provided by your broker. If you want to vote in person, a legal proxy must be obtained from your broker and brought to the Meeting. The New York Stock Exchange (“NYSE”) permits brokers to vote their customers’ shares on routine matters when the brokers have not received voting instructions from their customers. The election of directors and the ratification of the appointment of independent registered public accountants are examples of routine matters on which brokers may vote in this way. Brokers may not vote their customers’ shares on non-routine matters such as shareholder proposals unless they have received voting instructions from their customers.</w:t>
      </w:r>
    </w:p>
    <w:p>
      <w:pPr>
        <w:spacing w:after="0" w:line="132" w:lineRule="exact"/>
        <w:rPr>
          <w:sz w:val="20"/>
          <w:szCs w:val="20"/>
          <w:color w:val="auto"/>
        </w:rPr>
      </w:pPr>
    </w:p>
    <w:p>
      <w:pPr>
        <w:ind w:right="140" w:firstLine="360"/>
        <w:spacing w:after="0" w:line="276" w:lineRule="auto"/>
        <w:rPr>
          <w:sz w:val="20"/>
          <w:szCs w:val="20"/>
          <w:color w:val="auto"/>
        </w:rPr>
      </w:pPr>
      <w:r>
        <w:rPr>
          <w:rFonts w:ascii="Arial" w:cs="Arial" w:eastAsia="Arial" w:hAnsi="Arial"/>
          <w:sz w:val="17"/>
          <w:szCs w:val="17"/>
          <w:color w:val="auto"/>
        </w:rPr>
        <w:t>Directors must be elected by a plurality of the votes cast at the Meeting. This means that the three nominees receiving the greatest number of votes will be elected as directors. Votes withheld from any nominee have no legal effect on the election of directors due to the fact that such elections are by a plurality of the votes cast. The ratification of the appointment of the independent registered public accountants requires the affirmative vote of a majority of those shares of Common Stock present in person or represented by proxy. Withheld votes and abstentions with respect to the ratification of the appointment of independent registered public accountants will have the same effect as a vote against the matter.</w:t>
      </w:r>
    </w:p>
    <w:p>
      <w:pPr>
        <w:spacing w:after="0" w:line="132" w:lineRule="exact"/>
        <w:rPr>
          <w:sz w:val="20"/>
          <w:szCs w:val="20"/>
          <w:color w:val="auto"/>
        </w:rPr>
      </w:pPr>
    </w:p>
    <w:p>
      <w:pPr>
        <w:ind w:right="60" w:firstLine="360"/>
        <w:spacing w:after="0" w:line="279" w:lineRule="auto"/>
        <w:rPr>
          <w:sz w:val="20"/>
          <w:szCs w:val="20"/>
          <w:color w:val="auto"/>
        </w:rPr>
      </w:pPr>
      <w:r>
        <w:rPr>
          <w:rFonts w:ascii="Arial" w:cs="Arial" w:eastAsia="Arial" w:hAnsi="Arial"/>
          <w:sz w:val="17"/>
          <w:szCs w:val="17"/>
          <w:color w:val="auto"/>
        </w:rPr>
        <w:t>The Company is not now aware of any matters to be presented at the Annual Meeting other than the election of the three nominees described in this Proxy Statement and the ratification of the appointment of independent registered public accountants. If any matters not described in this Proxy Statement are properly presented at the Meeting, the proxies will use their personal judgment to determine how to vote your shares. If the Meeting is adjourned, the proxies can vote your Common Stock on the new Meeting date as well, unless you have revoked your proxy instructions.</w:t>
      </w:r>
    </w:p>
    <w:p>
      <w:pPr>
        <w:spacing w:after="0" w:line="144" w:lineRule="exact"/>
        <w:rPr>
          <w:sz w:val="20"/>
          <w:szCs w:val="20"/>
          <w:color w:val="auto"/>
        </w:rPr>
      </w:pPr>
    </w:p>
    <w:p>
      <w:pPr>
        <w:ind w:right="320" w:firstLine="360"/>
        <w:spacing w:after="0" w:line="257" w:lineRule="auto"/>
        <w:rPr>
          <w:sz w:val="20"/>
          <w:szCs w:val="20"/>
          <w:color w:val="auto"/>
        </w:rPr>
      </w:pPr>
      <w:r>
        <w:rPr>
          <w:rFonts w:ascii="Arial" w:cs="Arial" w:eastAsia="Arial" w:hAnsi="Arial"/>
          <w:sz w:val="18"/>
          <w:szCs w:val="18"/>
          <w:color w:val="auto"/>
        </w:rPr>
        <w:t>Before the Meeting, you can appoint a proxy to vote your shares of Common Stock by following the instructions as set forth in the Notice of Internet Availability of Proxy Materials. If, by request, you have received a printed copy of our proxy materials, you can appoint a proxy to vote your shares of Common Stock (i) by using the Internet (http://www.eproxy.com/wgo/), (ii) by calling the toll-free telephone number (1-800-560-1965) or (iii) you may indicate your vote by completing, signing and dating the proxy card where indicated and by mailing or otherwise returning the card to us by 12:00 p.m. Central Standard Time on December 17, 2007.</w:t>
      </w:r>
    </w:p>
    <w:p>
      <w:pPr>
        <w:spacing w:after="0" w:line="148" w:lineRule="exact"/>
        <w:rPr>
          <w:sz w:val="20"/>
          <w:szCs w:val="20"/>
          <w:color w:val="auto"/>
        </w:rPr>
      </w:pPr>
    </w:p>
    <w:p>
      <w:pPr>
        <w:ind w:right="100" w:firstLine="360"/>
        <w:spacing w:after="0" w:line="293" w:lineRule="auto"/>
        <w:rPr>
          <w:sz w:val="20"/>
          <w:szCs w:val="20"/>
          <w:color w:val="auto"/>
        </w:rPr>
      </w:pPr>
      <w:r>
        <w:rPr>
          <w:rFonts w:ascii="Arial" w:cs="Arial" w:eastAsia="Arial" w:hAnsi="Arial"/>
          <w:sz w:val="16"/>
          <w:szCs w:val="16"/>
          <w:color w:val="auto"/>
        </w:rPr>
        <w:t>If a proxy card is executed and returned, it may nevertheless be revoked at any time insofar as it has not been exercised. A person may revoke a proxy electronically by entering a new vote via the Internet or by telephone or a proxy may be revoked by (i) giving written notice to the Secretary of the Company (the “Secretary”), (ii) subsequently granting a later-dated proxy or (iii) attending the Meeting and voting in person. You may also be represented by another person at the Meeting by executing a proper proxy designating that person. Unless revoked, the shares represented by validly executed proxies will be voted at the Meeting in accordance with the instructions indicated thereon. To revoke a proxy by telephone or the Internet, you must do so by 12:00 p.m. Central Standard Time on December 17, 2007 (following the directions on the instructions as set forth in the Notice of Internet Availability of Proxy Materials or in</w:t>
      </w:r>
    </w:p>
    <w:p>
      <w:pPr>
        <w:sectPr>
          <w:pgSz w:w="11900" w:h="16838" w:orient="portrait"/>
          <w:cols w:equalWidth="0" w:num="1">
            <w:col w:w="11420"/>
          </w:cols>
          <w:pgMar w:left="240" w:top="125" w:right="239" w:bottom="0" w:gutter="0" w:footer="0" w:header="0"/>
        </w:sectPr>
      </w:pPr>
    </w:p>
    <w:bookmarkStart w:id="3" w:name="page4"/>
    <w:bookmarkEnd w:id="3"/>
    <w:p>
      <w:pPr>
        <w:spacing w:after="0" w:line="6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printed proxy materials received by request). Attendance at the Annual Meeting will not cause your previously granted proxy to be revoked unless you specifically so request.</w:t>
      </w:r>
    </w:p>
    <w:p>
      <w:pPr>
        <w:spacing w:after="0" w:line="126" w:lineRule="exact"/>
        <w:rPr>
          <w:sz w:val="20"/>
          <w:szCs w:val="20"/>
          <w:color w:val="auto"/>
        </w:rPr>
      </w:pPr>
    </w:p>
    <w:p>
      <w:pPr>
        <w:ind w:right="80" w:firstLine="360"/>
        <w:spacing w:after="0" w:line="261" w:lineRule="auto"/>
        <w:rPr>
          <w:sz w:val="20"/>
          <w:szCs w:val="20"/>
          <w:color w:val="auto"/>
        </w:rPr>
      </w:pPr>
      <w:r>
        <w:rPr>
          <w:rFonts w:ascii="Arial" w:cs="Arial" w:eastAsia="Arial" w:hAnsi="Arial"/>
          <w:sz w:val="18"/>
          <w:szCs w:val="18"/>
          <w:b w:val="1"/>
          <w:bCs w:val="1"/>
          <w:color w:val="auto"/>
        </w:rPr>
        <w:t>If no instructions are indicated on a proxy that is signed and received by the Company, it will be voted: (i) for the election of the three nominees for director named below (Item 1), (ii) for the ratification of the appointment of Deloitte &amp; Touche LLP as our independent registered public accountants for our Fiscal Year 2008 (Item 2) and (iii) in the discretion of the named proxies upon such other matters as may properly come before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VOTING SECURITIES AND PRINCIPAL HOLDERS THEREOF</w:t>
      </w:r>
    </w:p>
    <w:p>
      <w:pPr>
        <w:spacing w:after="0" w:line="219" w:lineRule="exact"/>
        <w:rPr>
          <w:sz w:val="20"/>
          <w:szCs w:val="20"/>
          <w:color w:val="auto"/>
        </w:rPr>
      </w:pPr>
    </w:p>
    <w:p>
      <w:pPr>
        <w:ind w:right="660" w:firstLine="360"/>
        <w:spacing w:after="0" w:line="277" w:lineRule="auto"/>
        <w:rPr>
          <w:sz w:val="20"/>
          <w:szCs w:val="20"/>
          <w:color w:val="auto"/>
        </w:rPr>
      </w:pPr>
      <w:r>
        <w:rPr>
          <w:rFonts w:ascii="Arial" w:cs="Arial" w:eastAsia="Arial" w:hAnsi="Arial"/>
          <w:sz w:val="18"/>
          <w:szCs w:val="18"/>
          <w:color w:val="auto"/>
        </w:rPr>
        <w:t>The following table contains information with respect to the ownership of the Common Stock by each person known to the Company who is the beneficial owner of more than five percent of the outstanding Common Stock.</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w:t>
            </w:r>
          </w:p>
        </w:tc>
        <w:tc>
          <w:tcPr>
            <w:tcW w:w="232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90"/>
              </w:rPr>
              <w:t>Shares of</w:t>
            </w:r>
          </w:p>
        </w:tc>
        <w:tc>
          <w:tcPr>
            <w:tcW w:w="15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44"/>
        </w:trPr>
        <w:tc>
          <w:tcPr>
            <w:tcW w:w="7520" w:type="dxa"/>
            <w:vAlign w:val="bottom"/>
            <w:gridSpan w:val="3"/>
            <w:vMerge w:val="continue"/>
          </w:tcPr>
          <w:p>
            <w:pPr>
              <w:spacing w:after="0"/>
              <w:rPr>
                <w:sz w:val="12"/>
                <w:szCs w:val="12"/>
                <w:color w:val="auto"/>
              </w:rPr>
            </w:pPr>
          </w:p>
        </w:tc>
        <w:tc>
          <w:tcPr>
            <w:tcW w:w="2320" w:type="dxa"/>
            <w:vAlign w:val="bottom"/>
            <w:gridSpan w:val="2"/>
          </w:tcPr>
          <w:p>
            <w:pPr>
              <w:jc w:val="center"/>
              <w:ind w:right="860"/>
              <w:spacing w:after="0" w:line="145" w:lineRule="exact"/>
              <w:rPr>
                <w:sz w:val="20"/>
                <w:szCs w:val="20"/>
                <w:color w:val="auto"/>
              </w:rPr>
            </w:pPr>
            <w:r>
              <w:rPr>
                <w:rFonts w:ascii="Arial" w:cs="Arial" w:eastAsia="Arial" w:hAnsi="Arial"/>
                <w:sz w:val="14"/>
                <w:szCs w:val="14"/>
                <w:b w:val="1"/>
                <w:bCs w:val="1"/>
                <w:color w:val="auto"/>
                <w:w w:val="92"/>
              </w:rPr>
              <w:t>Common Stock Owned</w:t>
            </w:r>
          </w:p>
        </w:tc>
        <w:tc>
          <w:tcPr>
            <w:tcW w:w="1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4"/>
        </w:trPr>
        <w:tc>
          <w:tcPr>
            <w:tcW w:w="7520" w:type="dxa"/>
            <w:vAlign w:val="bottom"/>
            <w:gridSpan w:val="3"/>
          </w:tcPr>
          <w:p>
            <w:pPr>
              <w:spacing w:after="0"/>
              <w:rPr>
                <w:sz w:val="20"/>
                <w:szCs w:val="20"/>
                <w:color w:val="auto"/>
              </w:rPr>
            </w:pPr>
            <w:r>
              <w:rPr>
                <w:rFonts w:ascii="Arial" w:cs="Arial" w:eastAsia="Arial" w:hAnsi="Arial"/>
                <w:sz w:val="14"/>
                <w:szCs w:val="14"/>
                <w:b w:val="1"/>
                <w:bCs w:val="1"/>
                <w:color w:val="auto"/>
              </w:rPr>
              <w:t>of Beneficial Owner</w:t>
            </w:r>
          </w:p>
        </w:tc>
        <w:tc>
          <w:tcPr>
            <w:tcW w:w="232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92"/>
              </w:rPr>
              <w:t>Beneficially</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Common Stock (%)</w:t>
            </w:r>
            <w:r>
              <w:rPr>
                <w:rFonts w:ascii="Arial" w:cs="Arial" w:eastAsia="Arial" w:hAnsi="Arial"/>
                <w:sz w:val="23"/>
                <w:szCs w:val="23"/>
                <w:b w:val="1"/>
                <w:bCs w:val="1"/>
                <w:color w:val="auto"/>
                <w:w w:val="92"/>
                <w:vertAlign w:val="superscript"/>
              </w:rPr>
              <w:t>(1)</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80" w:type="dxa"/>
            <w:vAlign w:val="bottom"/>
            <w:tcBorders>
              <w:top w:val="single" w:sz="8" w:color="auto"/>
            </w:tcBorders>
          </w:tcPr>
          <w:p>
            <w:pPr>
              <w:spacing w:after="0"/>
              <w:rPr>
                <w:sz w:val="8"/>
                <w:szCs w:val="8"/>
                <w:color w:val="auto"/>
              </w:rPr>
            </w:pPr>
          </w:p>
        </w:tc>
        <w:tc>
          <w:tcPr>
            <w:tcW w:w="6020" w:type="dxa"/>
            <w:vAlign w:val="bottom"/>
          </w:tcPr>
          <w:p>
            <w:pPr>
              <w:spacing w:after="0"/>
              <w:rPr>
                <w:sz w:val="8"/>
                <w:szCs w:val="8"/>
                <w:color w:val="auto"/>
              </w:rPr>
            </w:pPr>
          </w:p>
        </w:tc>
        <w:tc>
          <w:tcPr>
            <w:tcW w:w="1460" w:type="dxa"/>
            <w:vAlign w:val="bottom"/>
            <w:tcBorders>
              <w:top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14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500" w:type="dxa"/>
            <w:vAlign w:val="bottom"/>
            <w:gridSpan w:val="2"/>
            <w:shd w:val="clear" w:color="auto" w:fill="D6F3E8"/>
          </w:tcPr>
          <w:p>
            <w:pPr>
              <w:spacing w:after="0" w:line="201" w:lineRule="exact"/>
              <w:rPr>
                <w:sz w:val="20"/>
                <w:szCs w:val="20"/>
                <w:color w:val="auto"/>
              </w:rPr>
            </w:pPr>
            <w:r>
              <w:rPr>
                <w:rFonts w:ascii="Arial" w:cs="Arial" w:eastAsia="Arial" w:hAnsi="Arial"/>
                <w:sz w:val="18"/>
                <w:szCs w:val="18"/>
                <w:color w:val="auto"/>
              </w:rPr>
              <w:t>FMR Corp.</w:t>
            </w:r>
          </w:p>
        </w:tc>
        <w:tc>
          <w:tcPr>
            <w:tcW w:w="2320" w:type="dxa"/>
            <w:vAlign w:val="bottom"/>
            <w:gridSpan w:val="2"/>
            <w:shd w:val="clear" w:color="auto" w:fill="D6F3E8"/>
          </w:tcPr>
          <w:p>
            <w:pPr>
              <w:jc w:val="right"/>
              <w:ind w:right="680"/>
              <w:spacing w:after="0" w:line="202" w:lineRule="exact"/>
              <w:rPr>
                <w:sz w:val="20"/>
                <w:szCs w:val="20"/>
                <w:color w:val="auto"/>
              </w:rPr>
            </w:pPr>
            <w:r>
              <w:rPr>
                <w:rFonts w:ascii="Arial" w:cs="Arial" w:eastAsia="Arial" w:hAnsi="Arial"/>
                <w:sz w:val="15"/>
                <w:szCs w:val="15"/>
                <w:color w:val="auto"/>
              </w:rPr>
              <w:t>3,526,104</w:t>
            </w:r>
            <w:r>
              <w:rPr>
                <w:rFonts w:ascii="Arial" w:cs="Arial" w:eastAsia="Arial" w:hAnsi="Arial"/>
                <w:sz w:val="23"/>
                <w:szCs w:val="23"/>
                <w:color w:val="auto"/>
                <w:vertAlign w:val="superscript"/>
              </w:rPr>
              <w:t>(2)</w:t>
            </w:r>
          </w:p>
        </w:tc>
        <w:tc>
          <w:tcPr>
            <w:tcW w:w="1580" w:type="dxa"/>
            <w:vAlign w:val="bottom"/>
            <w:gridSpan w:val="2"/>
            <w:shd w:val="clear" w:color="auto" w:fill="D6F3E8"/>
          </w:tcPr>
          <w:p>
            <w:pPr>
              <w:jc w:val="right"/>
              <w:ind w:right="100"/>
              <w:spacing w:after="0" w:line="201" w:lineRule="exact"/>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shd w:val="clear" w:color="auto" w:fill="D6F3E8"/>
          </w:tcPr>
          <w:p>
            <w:pPr>
              <w:ind w:left="80"/>
              <w:spacing w:after="0"/>
              <w:rPr>
                <w:sz w:val="20"/>
                <w:szCs w:val="20"/>
                <w:color w:val="auto"/>
              </w:rPr>
            </w:pPr>
            <w:r>
              <w:rPr>
                <w:rFonts w:ascii="Arial" w:cs="Arial" w:eastAsia="Arial" w:hAnsi="Arial"/>
                <w:sz w:val="18"/>
                <w:szCs w:val="18"/>
                <w:color w:val="auto"/>
              </w:rPr>
              <w:t>82 Devonshire Street</w:t>
            </w:r>
          </w:p>
        </w:tc>
        <w:tc>
          <w:tcPr>
            <w:tcW w:w="1460" w:type="dxa"/>
            <w:vAlign w:val="bottom"/>
            <w:shd w:val="clear" w:color="auto" w:fill="D6F3E8"/>
          </w:tcPr>
          <w:p>
            <w:pPr>
              <w:spacing w:after="0"/>
              <w:rPr>
                <w:sz w:val="18"/>
                <w:szCs w:val="18"/>
                <w:color w:val="auto"/>
              </w:rPr>
            </w:pPr>
          </w:p>
        </w:tc>
        <w:tc>
          <w:tcPr>
            <w:tcW w:w="860" w:type="dxa"/>
            <w:vAlign w:val="bottom"/>
            <w:shd w:val="clear" w:color="auto" w:fill="D6F3E8"/>
          </w:tcPr>
          <w:p>
            <w:pPr>
              <w:spacing w:after="0"/>
              <w:rPr>
                <w:sz w:val="18"/>
                <w:szCs w:val="18"/>
                <w:color w:val="auto"/>
              </w:rPr>
            </w:pPr>
          </w:p>
        </w:tc>
        <w:tc>
          <w:tcPr>
            <w:tcW w:w="148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00" w:type="dxa"/>
            <w:vAlign w:val="bottom"/>
            <w:gridSpan w:val="2"/>
            <w:shd w:val="clear" w:color="auto" w:fill="D6F3E8"/>
          </w:tcPr>
          <w:p>
            <w:pPr>
              <w:ind w:left="80"/>
              <w:spacing w:after="0"/>
              <w:rPr>
                <w:sz w:val="20"/>
                <w:szCs w:val="20"/>
                <w:color w:val="auto"/>
              </w:rPr>
            </w:pPr>
            <w:r>
              <w:rPr>
                <w:rFonts w:ascii="Arial" w:cs="Arial" w:eastAsia="Arial" w:hAnsi="Arial"/>
                <w:sz w:val="18"/>
                <w:szCs w:val="18"/>
                <w:color w:val="auto"/>
              </w:rPr>
              <w:t>Boston, Massachusetts 02109</w:t>
            </w:r>
          </w:p>
        </w:tc>
        <w:tc>
          <w:tcPr>
            <w:tcW w:w="1460" w:type="dxa"/>
            <w:vAlign w:val="bottom"/>
            <w:shd w:val="clear" w:color="auto" w:fill="D6F3E8"/>
          </w:tcPr>
          <w:p>
            <w:pPr>
              <w:spacing w:after="0"/>
              <w:rPr>
                <w:sz w:val="20"/>
                <w:szCs w:val="20"/>
                <w:color w:val="auto"/>
              </w:rPr>
            </w:pPr>
          </w:p>
        </w:tc>
        <w:tc>
          <w:tcPr>
            <w:tcW w:w="860" w:type="dxa"/>
            <w:vAlign w:val="bottom"/>
            <w:shd w:val="clear" w:color="auto" w:fill="D6F3E8"/>
          </w:tcPr>
          <w:p>
            <w:pPr>
              <w:spacing w:after="0"/>
              <w:rPr>
                <w:sz w:val="20"/>
                <w:szCs w:val="20"/>
                <w:color w:val="auto"/>
              </w:rPr>
            </w:pPr>
          </w:p>
        </w:tc>
        <w:tc>
          <w:tcPr>
            <w:tcW w:w="1480" w:type="dxa"/>
            <w:vAlign w:val="bottom"/>
            <w:shd w:val="clear" w:color="auto" w:fill="D6F3E8"/>
          </w:tcPr>
          <w:p>
            <w:pPr>
              <w:spacing w:after="0"/>
              <w:rPr>
                <w:sz w:val="20"/>
                <w:szCs w:val="20"/>
                <w:color w:val="auto"/>
              </w:rPr>
            </w:pPr>
          </w:p>
        </w:tc>
        <w:tc>
          <w:tcPr>
            <w:tcW w:w="100" w:type="dxa"/>
            <w:vAlign w:val="bottom"/>
            <w:shd w:val="clear" w:color="auto" w:fill="D6F3E8"/>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00" w:type="dxa"/>
            <w:vAlign w:val="bottom"/>
            <w:gridSpan w:val="2"/>
          </w:tcPr>
          <w:p>
            <w:pPr>
              <w:spacing w:after="0" w:line="201" w:lineRule="exact"/>
              <w:rPr>
                <w:sz w:val="20"/>
                <w:szCs w:val="20"/>
                <w:color w:val="auto"/>
              </w:rPr>
            </w:pPr>
            <w:r>
              <w:rPr>
                <w:rFonts w:ascii="Arial" w:cs="Arial" w:eastAsia="Arial" w:hAnsi="Arial"/>
                <w:sz w:val="18"/>
                <w:szCs w:val="18"/>
                <w:color w:val="auto"/>
              </w:rPr>
              <w:t>Royce &amp; Associates, LLC</w:t>
            </w:r>
          </w:p>
        </w:tc>
        <w:tc>
          <w:tcPr>
            <w:tcW w:w="2320" w:type="dxa"/>
            <w:vAlign w:val="bottom"/>
            <w:gridSpan w:val="2"/>
          </w:tcPr>
          <w:p>
            <w:pPr>
              <w:jc w:val="right"/>
              <w:ind w:right="680"/>
              <w:spacing w:after="0" w:line="202" w:lineRule="exact"/>
              <w:rPr>
                <w:sz w:val="20"/>
                <w:szCs w:val="20"/>
                <w:color w:val="auto"/>
              </w:rPr>
            </w:pPr>
            <w:r>
              <w:rPr>
                <w:rFonts w:ascii="Arial" w:cs="Arial" w:eastAsia="Arial" w:hAnsi="Arial"/>
                <w:sz w:val="15"/>
                <w:szCs w:val="15"/>
                <w:color w:val="auto"/>
              </w:rPr>
              <w:t>3,419,800</w:t>
            </w:r>
            <w:r>
              <w:rPr>
                <w:rFonts w:ascii="Arial" w:cs="Arial" w:eastAsia="Arial" w:hAnsi="Arial"/>
                <w:sz w:val="23"/>
                <w:szCs w:val="23"/>
                <w:color w:val="auto"/>
                <w:vertAlign w:val="superscript"/>
              </w:rPr>
              <w:t>(3)</w:t>
            </w:r>
          </w:p>
        </w:tc>
        <w:tc>
          <w:tcPr>
            <w:tcW w:w="158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tcPr>
          <w:p>
            <w:pPr>
              <w:ind w:left="80"/>
              <w:spacing w:after="0"/>
              <w:rPr>
                <w:sz w:val="20"/>
                <w:szCs w:val="20"/>
                <w:color w:val="auto"/>
              </w:rPr>
            </w:pPr>
            <w:r>
              <w:rPr>
                <w:rFonts w:ascii="Arial" w:cs="Arial" w:eastAsia="Arial" w:hAnsi="Arial"/>
                <w:sz w:val="18"/>
                <w:szCs w:val="18"/>
                <w:color w:val="auto"/>
              </w:rPr>
              <w:t>1414 Avenue of the Americas</w:t>
            </w:r>
          </w:p>
        </w:tc>
        <w:tc>
          <w:tcPr>
            <w:tcW w:w="1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00" w:type="dxa"/>
            <w:vAlign w:val="bottom"/>
            <w:gridSpan w:val="2"/>
          </w:tcPr>
          <w:p>
            <w:pPr>
              <w:ind w:left="80"/>
              <w:spacing w:after="0"/>
              <w:rPr>
                <w:sz w:val="20"/>
                <w:szCs w:val="20"/>
                <w:color w:val="auto"/>
              </w:rPr>
            </w:pPr>
            <w:r>
              <w:rPr>
                <w:rFonts w:ascii="Arial" w:cs="Arial" w:eastAsia="Arial" w:hAnsi="Arial"/>
                <w:sz w:val="18"/>
                <w:szCs w:val="18"/>
                <w:color w:val="auto"/>
              </w:rPr>
              <w:t>New York, New York 10019</w:t>
            </w:r>
          </w:p>
        </w:tc>
        <w:tc>
          <w:tcPr>
            <w:tcW w:w="1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00" w:type="dxa"/>
            <w:vAlign w:val="bottom"/>
            <w:gridSpan w:val="2"/>
            <w:shd w:val="clear" w:color="auto" w:fill="D6F3E8"/>
          </w:tcPr>
          <w:p>
            <w:pPr>
              <w:spacing w:after="0" w:line="201" w:lineRule="exact"/>
              <w:rPr>
                <w:sz w:val="20"/>
                <w:szCs w:val="20"/>
                <w:color w:val="auto"/>
              </w:rPr>
            </w:pPr>
            <w:r>
              <w:rPr>
                <w:rFonts w:ascii="Arial" w:cs="Arial" w:eastAsia="Arial" w:hAnsi="Arial"/>
                <w:sz w:val="18"/>
                <w:szCs w:val="18"/>
                <w:color w:val="auto"/>
              </w:rPr>
              <w:t>EARNEST Partners, LLC</w:t>
            </w:r>
          </w:p>
        </w:tc>
        <w:tc>
          <w:tcPr>
            <w:tcW w:w="2320" w:type="dxa"/>
            <w:vAlign w:val="bottom"/>
            <w:gridSpan w:val="2"/>
            <w:shd w:val="clear" w:color="auto" w:fill="D6F3E8"/>
          </w:tcPr>
          <w:p>
            <w:pPr>
              <w:jc w:val="right"/>
              <w:ind w:right="680"/>
              <w:spacing w:after="0" w:line="202" w:lineRule="exact"/>
              <w:rPr>
                <w:sz w:val="20"/>
                <w:szCs w:val="20"/>
                <w:color w:val="auto"/>
              </w:rPr>
            </w:pPr>
            <w:r>
              <w:rPr>
                <w:rFonts w:ascii="Arial" w:cs="Arial" w:eastAsia="Arial" w:hAnsi="Arial"/>
                <w:sz w:val="15"/>
                <w:szCs w:val="15"/>
                <w:color w:val="auto"/>
              </w:rPr>
              <w:t>2,513,501</w:t>
            </w:r>
            <w:r>
              <w:rPr>
                <w:rFonts w:ascii="Arial" w:cs="Arial" w:eastAsia="Arial" w:hAnsi="Arial"/>
                <w:sz w:val="23"/>
                <w:szCs w:val="23"/>
                <w:color w:val="auto"/>
                <w:vertAlign w:val="superscript"/>
              </w:rPr>
              <w:t>(4)</w:t>
            </w:r>
          </w:p>
        </w:tc>
        <w:tc>
          <w:tcPr>
            <w:tcW w:w="1580" w:type="dxa"/>
            <w:vAlign w:val="bottom"/>
            <w:gridSpan w:val="2"/>
            <w:shd w:val="clear" w:color="auto" w:fill="D6F3E8"/>
          </w:tcPr>
          <w:p>
            <w:pPr>
              <w:jc w:val="right"/>
              <w:ind w:right="100"/>
              <w:spacing w:after="0" w:line="201"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shd w:val="clear" w:color="auto" w:fill="D6F3E8"/>
          </w:tcPr>
          <w:p>
            <w:pPr>
              <w:ind w:left="80"/>
              <w:spacing w:after="0"/>
              <w:rPr>
                <w:sz w:val="20"/>
                <w:szCs w:val="20"/>
                <w:color w:val="auto"/>
              </w:rPr>
            </w:pPr>
            <w:r>
              <w:rPr>
                <w:rFonts w:ascii="Arial" w:cs="Arial" w:eastAsia="Arial" w:hAnsi="Arial"/>
                <w:sz w:val="18"/>
                <w:szCs w:val="18"/>
                <w:color w:val="auto"/>
              </w:rPr>
              <w:t>75 Fourteenth Street, Suite 2300</w:t>
            </w:r>
          </w:p>
        </w:tc>
        <w:tc>
          <w:tcPr>
            <w:tcW w:w="1460" w:type="dxa"/>
            <w:vAlign w:val="bottom"/>
            <w:shd w:val="clear" w:color="auto" w:fill="D6F3E8"/>
          </w:tcPr>
          <w:p>
            <w:pPr>
              <w:spacing w:after="0"/>
              <w:rPr>
                <w:sz w:val="18"/>
                <w:szCs w:val="18"/>
                <w:color w:val="auto"/>
              </w:rPr>
            </w:pPr>
          </w:p>
        </w:tc>
        <w:tc>
          <w:tcPr>
            <w:tcW w:w="860" w:type="dxa"/>
            <w:vAlign w:val="bottom"/>
            <w:shd w:val="clear" w:color="auto" w:fill="D6F3E8"/>
          </w:tcPr>
          <w:p>
            <w:pPr>
              <w:spacing w:after="0"/>
              <w:rPr>
                <w:sz w:val="18"/>
                <w:szCs w:val="18"/>
                <w:color w:val="auto"/>
              </w:rPr>
            </w:pPr>
          </w:p>
        </w:tc>
        <w:tc>
          <w:tcPr>
            <w:tcW w:w="148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00" w:type="dxa"/>
            <w:vAlign w:val="bottom"/>
            <w:gridSpan w:val="2"/>
            <w:shd w:val="clear" w:color="auto" w:fill="D6F3E8"/>
          </w:tcPr>
          <w:p>
            <w:pPr>
              <w:ind w:left="80"/>
              <w:spacing w:after="0"/>
              <w:rPr>
                <w:sz w:val="20"/>
                <w:szCs w:val="20"/>
                <w:color w:val="auto"/>
              </w:rPr>
            </w:pPr>
            <w:r>
              <w:rPr>
                <w:rFonts w:ascii="Arial" w:cs="Arial" w:eastAsia="Arial" w:hAnsi="Arial"/>
                <w:sz w:val="18"/>
                <w:szCs w:val="18"/>
                <w:color w:val="auto"/>
              </w:rPr>
              <w:t>Atlanta, Georgia 30309</w:t>
            </w:r>
          </w:p>
        </w:tc>
        <w:tc>
          <w:tcPr>
            <w:tcW w:w="1460" w:type="dxa"/>
            <w:vAlign w:val="bottom"/>
            <w:shd w:val="clear" w:color="auto" w:fill="D6F3E8"/>
          </w:tcPr>
          <w:p>
            <w:pPr>
              <w:spacing w:after="0"/>
              <w:rPr>
                <w:sz w:val="20"/>
                <w:szCs w:val="20"/>
                <w:color w:val="auto"/>
              </w:rPr>
            </w:pPr>
          </w:p>
        </w:tc>
        <w:tc>
          <w:tcPr>
            <w:tcW w:w="860" w:type="dxa"/>
            <w:vAlign w:val="bottom"/>
            <w:shd w:val="clear" w:color="auto" w:fill="D6F3E8"/>
          </w:tcPr>
          <w:p>
            <w:pPr>
              <w:spacing w:after="0"/>
              <w:rPr>
                <w:sz w:val="20"/>
                <w:szCs w:val="20"/>
                <w:color w:val="auto"/>
              </w:rPr>
            </w:pPr>
          </w:p>
        </w:tc>
        <w:tc>
          <w:tcPr>
            <w:tcW w:w="1480" w:type="dxa"/>
            <w:vAlign w:val="bottom"/>
            <w:shd w:val="clear" w:color="auto" w:fill="D6F3E8"/>
          </w:tcPr>
          <w:p>
            <w:pPr>
              <w:spacing w:after="0"/>
              <w:rPr>
                <w:sz w:val="20"/>
                <w:szCs w:val="20"/>
                <w:color w:val="auto"/>
              </w:rPr>
            </w:pPr>
          </w:p>
        </w:tc>
        <w:tc>
          <w:tcPr>
            <w:tcW w:w="100" w:type="dxa"/>
            <w:vAlign w:val="bottom"/>
            <w:shd w:val="clear" w:color="auto" w:fill="D6F3E8"/>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00" w:type="dxa"/>
            <w:vAlign w:val="bottom"/>
            <w:gridSpan w:val="2"/>
          </w:tcPr>
          <w:p>
            <w:pPr>
              <w:spacing w:after="0" w:line="201" w:lineRule="exact"/>
              <w:rPr>
                <w:sz w:val="20"/>
                <w:szCs w:val="20"/>
                <w:color w:val="auto"/>
              </w:rPr>
            </w:pPr>
            <w:r>
              <w:rPr>
                <w:rFonts w:ascii="Arial" w:cs="Arial" w:eastAsia="Arial" w:hAnsi="Arial"/>
                <w:sz w:val="18"/>
                <w:szCs w:val="18"/>
                <w:color w:val="auto"/>
              </w:rPr>
              <w:t>Barrow, Hanley, Mewhinney &amp; Strauss, Inc.</w:t>
            </w:r>
          </w:p>
        </w:tc>
        <w:tc>
          <w:tcPr>
            <w:tcW w:w="2320" w:type="dxa"/>
            <w:vAlign w:val="bottom"/>
            <w:gridSpan w:val="2"/>
          </w:tcPr>
          <w:p>
            <w:pPr>
              <w:jc w:val="right"/>
              <w:ind w:right="680"/>
              <w:spacing w:after="0" w:line="202" w:lineRule="exact"/>
              <w:rPr>
                <w:sz w:val="20"/>
                <w:szCs w:val="20"/>
                <w:color w:val="auto"/>
              </w:rPr>
            </w:pPr>
            <w:r>
              <w:rPr>
                <w:rFonts w:ascii="Arial" w:cs="Arial" w:eastAsia="Arial" w:hAnsi="Arial"/>
                <w:sz w:val="15"/>
                <w:szCs w:val="15"/>
                <w:color w:val="auto"/>
              </w:rPr>
              <w:t>2,280,025</w:t>
            </w:r>
            <w:r>
              <w:rPr>
                <w:rFonts w:ascii="Arial" w:cs="Arial" w:eastAsia="Arial" w:hAnsi="Arial"/>
                <w:sz w:val="23"/>
                <w:szCs w:val="23"/>
                <w:color w:val="auto"/>
                <w:vertAlign w:val="superscript"/>
              </w:rPr>
              <w:t>(5)</w:t>
            </w:r>
          </w:p>
        </w:tc>
        <w:tc>
          <w:tcPr>
            <w:tcW w:w="158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tcPr>
          <w:p>
            <w:pPr>
              <w:ind w:left="80"/>
              <w:spacing w:after="0"/>
              <w:rPr>
                <w:sz w:val="20"/>
                <w:szCs w:val="20"/>
                <w:color w:val="auto"/>
              </w:rPr>
            </w:pPr>
            <w:r>
              <w:rPr>
                <w:rFonts w:ascii="Arial" w:cs="Arial" w:eastAsia="Arial" w:hAnsi="Arial"/>
                <w:sz w:val="18"/>
                <w:szCs w:val="18"/>
                <w:color w:val="auto"/>
              </w:rPr>
              <w:t>2200 Ross Avenue, 31st Floor</w:t>
            </w:r>
          </w:p>
        </w:tc>
        <w:tc>
          <w:tcPr>
            <w:tcW w:w="1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00" w:type="dxa"/>
            <w:vAlign w:val="bottom"/>
            <w:gridSpan w:val="2"/>
          </w:tcPr>
          <w:p>
            <w:pPr>
              <w:ind w:left="80"/>
              <w:spacing w:after="0"/>
              <w:rPr>
                <w:sz w:val="20"/>
                <w:szCs w:val="20"/>
                <w:color w:val="auto"/>
              </w:rPr>
            </w:pPr>
            <w:r>
              <w:rPr>
                <w:rFonts w:ascii="Arial" w:cs="Arial" w:eastAsia="Arial" w:hAnsi="Arial"/>
                <w:sz w:val="18"/>
                <w:szCs w:val="18"/>
                <w:color w:val="auto"/>
              </w:rPr>
              <w:t>Dallas, Texas 75201</w:t>
            </w:r>
          </w:p>
        </w:tc>
        <w:tc>
          <w:tcPr>
            <w:tcW w:w="1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00" w:type="dxa"/>
            <w:vAlign w:val="bottom"/>
            <w:gridSpan w:val="2"/>
            <w:shd w:val="clear" w:color="auto" w:fill="D6F3E8"/>
          </w:tcPr>
          <w:p>
            <w:pPr>
              <w:spacing w:after="0" w:line="201" w:lineRule="exact"/>
              <w:rPr>
                <w:sz w:val="20"/>
                <w:szCs w:val="20"/>
                <w:color w:val="auto"/>
              </w:rPr>
            </w:pPr>
            <w:r>
              <w:rPr>
                <w:rFonts w:ascii="Arial" w:cs="Arial" w:eastAsia="Arial" w:hAnsi="Arial"/>
                <w:sz w:val="18"/>
                <w:szCs w:val="18"/>
                <w:color w:val="auto"/>
              </w:rPr>
              <w:t>Vanguard Whitehall Funds – Vanguard</w:t>
            </w:r>
          </w:p>
        </w:tc>
        <w:tc>
          <w:tcPr>
            <w:tcW w:w="2320" w:type="dxa"/>
            <w:vAlign w:val="bottom"/>
            <w:gridSpan w:val="2"/>
            <w:shd w:val="clear" w:color="auto" w:fill="D6F3E8"/>
          </w:tcPr>
          <w:p>
            <w:pPr>
              <w:jc w:val="right"/>
              <w:ind w:right="680"/>
              <w:spacing w:after="0" w:line="202" w:lineRule="exact"/>
              <w:rPr>
                <w:sz w:val="20"/>
                <w:szCs w:val="20"/>
                <w:color w:val="auto"/>
              </w:rPr>
            </w:pPr>
            <w:r>
              <w:rPr>
                <w:rFonts w:ascii="Arial" w:cs="Arial" w:eastAsia="Arial" w:hAnsi="Arial"/>
                <w:sz w:val="15"/>
                <w:szCs w:val="15"/>
                <w:color w:val="auto"/>
              </w:rPr>
              <w:t>1,847,300</w:t>
            </w:r>
            <w:r>
              <w:rPr>
                <w:rFonts w:ascii="Arial" w:cs="Arial" w:eastAsia="Arial" w:hAnsi="Arial"/>
                <w:sz w:val="23"/>
                <w:szCs w:val="23"/>
                <w:color w:val="auto"/>
                <w:vertAlign w:val="superscript"/>
              </w:rPr>
              <w:t>(6)</w:t>
            </w:r>
          </w:p>
        </w:tc>
        <w:tc>
          <w:tcPr>
            <w:tcW w:w="1580" w:type="dxa"/>
            <w:vAlign w:val="bottom"/>
            <w:gridSpan w:val="2"/>
            <w:shd w:val="clear" w:color="auto" w:fill="D6F3E8"/>
          </w:tcPr>
          <w:p>
            <w:pPr>
              <w:jc w:val="right"/>
              <w:ind w:right="100"/>
              <w:spacing w:after="0" w:line="201"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shd w:val="clear" w:color="auto" w:fill="D6F3E8"/>
          </w:tcPr>
          <w:p>
            <w:pPr>
              <w:ind w:left="80"/>
              <w:spacing w:after="0"/>
              <w:rPr>
                <w:sz w:val="20"/>
                <w:szCs w:val="20"/>
                <w:color w:val="auto"/>
              </w:rPr>
            </w:pPr>
            <w:r>
              <w:rPr>
                <w:rFonts w:ascii="Arial" w:cs="Arial" w:eastAsia="Arial" w:hAnsi="Arial"/>
                <w:sz w:val="18"/>
                <w:szCs w:val="18"/>
                <w:color w:val="auto"/>
              </w:rPr>
              <w:t>Selected Value Fund</w:t>
            </w:r>
          </w:p>
        </w:tc>
        <w:tc>
          <w:tcPr>
            <w:tcW w:w="1460" w:type="dxa"/>
            <w:vAlign w:val="bottom"/>
            <w:shd w:val="clear" w:color="auto" w:fill="D6F3E8"/>
          </w:tcPr>
          <w:p>
            <w:pPr>
              <w:spacing w:after="0"/>
              <w:rPr>
                <w:sz w:val="18"/>
                <w:szCs w:val="18"/>
                <w:color w:val="auto"/>
              </w:rPr>
            </w:pPr>
          </w:p>
        </w:tc>
        <w:tc>
          <w:tcPr>
            <w:tcW w:w="860" w:type="dxa"/>
            <w:vAlign w:val="bottom"/>
            <w:shd w:val="clear" w:color="auto" w:fill="D6F3E8"/>
          </w:tcPr>
          <w:p>
            <w:pPr>
              <w:spacing w:after="0"/>
              <w:rPr>
                <w:sz w:val="18"/>
                <w:szCs w:val="18"/>
                <w:color w:val="auto"/>
              </w:rPr>
            </w:pPr>
          </w:p>
        </w:tc>
        <w:tc>
          <w:tcPr>
            <w:tcW w:w="148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shd w:val="clear" w:color="auto" w:fill="D6F3E8"/>
          </w:tcPr>
          <w:p>
            <w:pPr>
              <w:ind w:left="80"/>
              <w:spacing w:after="0"/>
              <w:rPr>
                <w:sz w:val="20"/>
                <w:szCs w:val="20"/>
                <w:color w:val="auto"/>
              </w:rPr>
            </w:pPr>
            <w:r>
              <w:rPr>
                <w:rFonts w:ascii="Arial" w:cs="Arial" w:eastAsia="Arial" w:hAnsi="Arial"/>
                <w:sz w:val="18"/>
                <w:szCs w:val="18"/>
                <w:color w:val="auto"/>
              </w:rPr>
              <w:t>100 Vanguard Boulevard</w:t>
            </w:r>
          </w:p>
        </w:tc>
        <w:tc>
          <w:tcPr>
            <w:tcW w:w="1460" w:type="dxa"/>
            <w:vAlign w:val="bottom"/>
            <w:shd w:val="clear" w:color="auto" w:fill="D6F3E8"/>
          </w:tcPr>
          <w:p>
            <w:pPr>
              <w:spacing w:after="0"/>
              <w:rPr>
                <w:sz w:val="18"/>
                <w:szCs w:val="18"/>
                <w:color w:val="auto"/>
              </w:rPr>
            </w:pPr>
          </w:p>
        </w:tc>
        <w:tc>
          <w:tcPr>
            <w:tcW w:w="860" w:type="dxa"/>
            <w:vAlign w:val="bottom"/>
            <w:shd w:val="clear" w:color="auto" w:fill="D6F3E8"/>
          </w:tcPr>
          <w:p>
            <w:pPr>
              <w:spacing w:after="0"/>
              <w:rPr>
                <w:sz w:val="18"/>
                <w:szCs w:val="18"/>
                <w:color w:val="auto"/>
              </w:rPr>
            </w:pPr>
          </w:p>
        </w:tc>
        <w:tc>
          <w:tcPr>
            <w:tcW w:w="148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00" w:type="dxa"/>
            <w:vAlign w:val="bottom"/>
            <w:gridSpan w:val="2"/>
            <w:shd w:val="clear" w:color="auto" w:fill="D6F3E8"/>
          </w:tcPr>
          <w:p>
            <w:pPr>
              <w:ind w:left="80"/>
              <w:spacing w:after="0"/>
              <w:rPr>
                <w:sz w:val="20"/>
                <w:szCs w:val="20"/>
                <w:color w:val="auto"/>
              </w:rPr>
            </w:pPr>
            <w:r>
              <w:rPr>
                <w:rFonts w:ascii="Arial" w:cs="Arial" w:eastAsia="Arial" w:hAnsi="Arial"/>
                <w:sz w:val="18"/>
                <w:szCs w:val="18"/>
                <w:color w:val="auto"/>
              </w:rPr>
              <w:t>Malvern, Pennsylvania 19355</w:t>
            </w:r>
          </w:p>
        </w:tc>
        <w:tc>
          <w:tcPr>
            <w:tcW w:w="1460" w:type="dxa"/>
            <w:vAlign w:val="bottom"/>
            <w:shd w:val="clear" w:color="auto" w:fill="D6F3E8"/>
          </w:tcPr>
          <w:p>
            <w:pPr>
              <w:spacing w:after="0"/>
              <w:rPr>
                <w:sz w:val="20"/>
                <w:szCs w:val="20"/>
                <w:color w:val="auto"/>
              </w:rPr>
            </w:pPr>
          </w:p>
        </w:tc>
        <w:tc>
          <w:tcPr>
            <w:tcW w:w="860" w:type="dxa"/>
            <w:vAlign w:val="bottom"/>
            <w:shd w:val="clear" w:color="auto" w:fill="D6F3E8"/>
          </w:tcPr>
          <w:p>
            <w:pPr>
              <w:spacing w:after="0"/>
              <w:rPr>
                <w:sz w:val="20"/>
                <w:szCs w:val="20"/>
                <w:color w:val="auto"/>
              </w:rPr>
            </w:pPr>
          </w:p>
        </w:tc>
        <w:tc>
          <w:tcPr>
            <w:tcW w:w="1480" w:type="dxa"/>
            <w:vAlign w:val="bottom"/>
            <w:shd w:val="clear" w:color="auto" w:fill="D6F3E8"/>
          </w:tcPr>
          <w:p>
            <w:pPr>
              <w:spacing w:after="0"/>
              <w:rPr>
                <w:sz w:val="20"/>
                <w:szCs w:val="20"/>
                <w:color w:val="auto"/>
              </w:rPr>
            </w:pPr>
          </w:p>
        </w:tc>
        <w:tc>
          <w:tcPr>
            <w:tcW w:w="100" w:type="dxa"/>
            <w:vAlign w:val="bottom"/>
            <w:shd w:val="clear" w:color="auto" w:fill="D6F3E8"/>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00" w:type="dxa"/>
            <w:vAlign w:val="bottom"/>
            <w:gridSpan w:val="2"/>
          </w:tcPr>
          <w:p>
            <w:pPr>
              <w:spacing w:after="0" w:line="201" w:lineRule="exact"/>
              <w:rPr>
                <w:sz w:val="20"/>
                <w:szCs w:val="20"/>
                <w:color w:val="auto"/>
              </w:rPr>
            </w:pPr>
            <w:r>
              <w:rPr>
                <w:rFonts w:ascii="Arial" w:cs="Arial" w:eastAsia="Arial" w:hAnsi="Arial"/>
                <w:sz w:val="18"/>
                <w:szCs w:val="18"/>
                <w:color w:val="auto"/>
              </w:rPr>
              <w:t>Fenimore Asset Management, Inc.</w:t>
            </w:r>
          </w:p>
        </w:tc>
        <w:tc>
          <w:tcPr>
            <w:tcW w:w="2320" w:type="dxa"/>
            <w:vAlign w:val="bottom"/>
            <w:gridSpan w:val="2"/>
          </w:tcPr>
          <w:p>
            <w:pPr>
              <w:jc w:val="right"/>
              <w:ind w:right="680"/>
              <w:spacing w:after="0" w:line="202" w:lineRule="exact"/>
              <w:rPr>
                <w:sz w:val="20"/>
                <w:szCs w:val="20"/>
                <w:color w:val="auto"/>
              </w:rPr>
            </w:pPr>
            <w:r>
              <w:rPr>
                <w:rFonts w:ascii="Arial" w:cs="Arial" w:eastAsia="Arial" w:hAnsi="Arial"/>
                <w:sz w:val="15"/>
                <w:szCs w:val="15"/>
                <w:color w:val="auto"/>
              </w:rPr>
              <w:t>1,819,155</w:t>
            </w:r>
            <w:r>
              <w:rPr>
                <w:rFonts w:ascii="Arial" w:cs="Arial" w:eastAsia="Arial" w:hAnsi="Arial"/>
                <w:sz w:val="23"/>
                <w:szCs w:val="23"/>
                <w:color w:val="auto"/>
                <w:vertAlign w:val="superscript"/>
              </w:rPr>
              <w:t>(7)</w:t>
            </w:r>
          </w:p>
        </w:tc>
        <w:tc>
          <w:tcPr>
            <w:tcW w:w="158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tcPr>
          <w:p>
            <w:pPr>
              <w:ind w:left="80"/>
              <w:spacing w:after="0"/>
              <w:rPr>
                <w:sz w:val="20"/>
                <w:szCs w:val="20"/>
                <w:color w:val="auto"/>
              </w:rPr>
            </w:pPr>
            <w:r>
              <w:rPr>
                <w:rFonts w:ascii="Arial" w:cs="Arial" w:eastAsia="Arial" w:hAnsi="Arial"/>
                <w:sz w:val="18"/>
                <w:szCs w:val="18"/>
                <w:color w:val="auto"/>
              </w:rPr>
              <w:t>384 N. Grand Street, Box 310</w:t>
            </w:r>
          </w:p>
        </w:tc>
        <w:tc>
          <w:tcPr>
            <w:tcW w:w="1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00" w:type="dxa"/>
            <w:vAlign w:val="bottom"/>
            <w:gridSpan w:val="2"/>
          </w:tcPr>
          <w:p>
            <w:pPr>
              <w:ind w:left="80"/>
              <w:spacing w:after="0"/>
              <w:rPr>
                <w:sz w:val="20"/>
                <w:szCs w:val="20"/>
                <w:color w:val="auto"/>
              </w:rPr>
            </w:pPr>
            <w:r>
              <w:rPr>
                <w:rFonts w:ascii="Arial" w:cs="Arial" w:eastAsia="Arial" w:hAnsi="Arial"/>
                <w:sz w:val="18"/>
                <w:szCs w:val="18"/>
                <w:color w:val="auto"/>
              </w:rPr>
              <w:t>Cableskill, New York 12043</w:t>
            </w:r>
          </w:p>
        </w:tc>
        <w:tc>
          <w:tcPr>
            <w:tcW w:w="1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466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540" w:hanging="478"/>
        <w:spacing w:after="0"/>
        <w:tabs>
          <w:tab w:leader="none" w:pos="540" w:val="left"/>
        </w:tabs>
        <w:numPr>
          <w:ilvl w:val="0"/>
          <w:numId w:val="8"/>
        </w:numPr>
        <w:rPr>
          <w:rFonts w:ascii="Arial" w:cs="Arial" w:eastAsia="Arial" w:hAnsi="Arial"/>
          <w:sz w:val="14"/>
          <w:szCs w:val="14"/>
          <w:color w:val="auto"/>
        </w:rPr>
      </w:pPr>
      <w:r>
        <w:rPr>
          <w:rFonts w:ascii="Arial" w:cs="Arial" w:eastAsia="Arial" w:hAnsi="Arial"/>
          <w:sz w:val="14"/>
          <w:szCs w:val="14"/>
          <w:color w:val="auto"/>
        </w:rPr>
        <w:t>Based on 29,553,807 outstanding shares of Common Stock on October 9, 2007.</w:t>
      </w:r>
    </w:p>
    <w:p>
      <w:pPr>
        <w:spacing w:after="0" w:line="95" w:lineRule="exact"/>
        <w:rPr>
          <w:rFonts w:ascii="Arial" w:cs="Arial" w:eastAsia="Arial" w:hAnsi="Arial"/>
          <w:sz w:val="14"/>
          <w:szCs w:val="14"/>
          <w:color w:val="auto"/>
        </w:rPr>
      </w:pPr>
    </w:p>
    <w:p>
      <w:pPr>
        <w:ind w:left="540" w:right="60" w:hanging="478"/>
        <w:spacing w:after="0" w:line="256" w:lineRule="auto"/>
        <w:tabs>
          <w:tab w:leader="none" w:pos="540" w:val="left"/>
        </w:tabs>
        <w:numPr>
          <w:ilvl w:val="0"/>
          <w:numId w:val="8"/>
        </w:numPr>
        <w:rPr>
          <w:rFonts w:ascii="Arial" w:cs="Arial" w:eastAsia="Arial" w:hAnsi="Arial"/>
          <w:sz w:val="13"/>
          <w:szCs w:val="13"/>
          <w:color w:val="auto"/>
        </w:rPr>
      </w:pPr>
      <w:r>
        <w:rPr>
          <w:rFonts w:ascii="Arial" w:cs="Arial" w:eastAsia="Arial" w:hAnsi="Arial"/>
          <w:sz w:val="13"/>
          <w:szCs w:val="13"/>
          <w:color w:val="auto"/>
        </w:rPr>
        <w:t>The number of shares owned as of December 31, 2006 according to Amendment No. 1 to Schedule 13G filed with the SEC on February 14, 2007. FMR Corp., a parent holding company, is the beneficial owner of all 3,526,104 shares of Common Stock and has sole voting power and sole dispositive power with respect to 141,358 shares and 3,526,104 shares, respectively. Edward C. Johnson III serves as Chairman of FMR Corp. Members of the Edward C. Johnson III family own shares of common stock representing approximately 49% of the voting power of FMR Corp. Mr. Johnson and members of his family may be deemed to form a controlling group with respect to the common voting stock of FMR Corp.</w:t>
      </w:r>
    </w:p>
    <w:p>
      <w:pPr>
        <w:spacing w:after="0" w:line="64" w:lineRule="exact"/>
        <w:rPr>
          <w:rFonts w:ascii="Arial" w:cs="Arial" w:eastAsia="Arial" w:hAnsi="Arial"/>
          <w:sz w:val="13"/>
          <w:szCs w:val="13"/>
          <w:color w:val="auto"/>
        </w:rPr>
      </w:pPr>
    </w:p>
    <w:p>
      <w:pPr>
        <w:ind w:left="540"/>
        <w:spacing w:after="0"/>
        <w:rPr>
          <w:rFonts w:ascii="Arial" w:cs="Arial" w:eastAsia="Arial" w:hAnsi="Arial"/>
          <w:sz w:val="13"/>
          <w:szCs w:val="13"/>
          <w:color w:val="auto"/>
        </w:rPr>
      </w:pPr>
      <w:r>
        <w:rPr>
          <w:rFonts w:ascii="Arial" w:cs="Arial" w:eastAsia="Arial" w:hAnsi="Arial"/>
          <w:sz w:val="14"/>
          <w:szCs w:val="14"/>
          <w:color w:val="auto"/>
        </w:rPr>
        <w:t>Of these 3,526,104 shares of Common Stock:</w:t>
      </w:r>
    </w:p>
    <w:p>
      <w:pPr>
        <w:spacing w:after="0" w:line="95" w:lineRule="exact"/>
        <w:rPr>
          <w:rFonts w:ascii="Arial" w:cs="Arial" w:eastAsia="Arial" w:hAnsi="Arial"/>
          <w:sz w:val="13"/>
          <w:szCs w:val="13"/>
          <w:color w:val="auto"/>
        </w:rPr>
      </w:pPr>
    </w:p>
    <w:p>
      <w:pPr>
        <w:jc w:val="both"/>
        <w:ind w:left="660" w:right="340" w:hanging="139"/>
        <w:spacing w:after="0" w:line="238" w:lineRule="auto"/>
        <w:tabs>
          <w:tab w:leader="none" w:pos="638" w:val="left"/>
        </w:tabs>
        <w:numPr>
          <w:ilvl w:val="1"/>
          <w:numId w:val="8"/>
        </w:numPr>
        <w:rPr>
          <w:rFonts w:ascii="Arial" w:cs="Arial" w:eastAsia="Arial" w:hAnsi="Arial"/>
          <w:sz w:val="14"/>
          <w:szCs w:val="14"/>
          <w:color w:val="auto"/>
        </w:rPr>
      </w:pPr>
      <w:r>
        <w:rPr>
          <w:rFonts w:ascii="Arial" w:cs="Arial" w:eastAsia="Arial" w:hAnsi="Arial"/>
          <w:sz w:val="14"/>
          <w:szCs w:val="14"/>
          <w:color w:val="auto"/>
        </w:rPr>
        <w:t>3,496,204 shares are beneficially owned by Fidelity Management &amp; Research Company, an investment adviser and a wholly-owned subsidiary of FMR Corp. Mr. Johnson and FMR Corp., through its control of Fidelity Management &amp; Research Company, each has sole dispositive power with respect to these shares. The interest of one person, Fid Value Fund, an investment company, in the Common Stock amounted to 1,655,405 shares at December 31, 2006.</w:t>
      </w:r>
    </w:p>
    <w:p>
      <w:pPr>
        <w:spacing w:after="0" w:line="74" w:lineRule="exact"/>
        <w:rPr>
          <w:rFonts w:ascii="Arial" w:cs="Arial" w:eastAsia="Arial" w:hAnsi="Arial"/>
          <w:sz w:val="14"/>
          <w:szCs w:val="14"/>
          <w:color w:val="auto"/>
        </w:rPr>
      </w:pPr>
    </w:p>
    <w:p>
      <w:pPr>
        <w:ind w:left="660" w:right="140" w:hanging="139"/>
        <w:spacing w:after="0" w:line="253" w:lineRule="auto"/>
        <w:tabs>
          <w:tab w:leader="none" w:pos="638" w:val="left"/>
        </w:tabs>
        <w:numPr>
          <w:ilvl w:val="1"/>
          <w:numId w:val="8"/>
        </w:numPr>
        <w:rPr>
          <w:rFonts w:ascii="Arial" w:cs="Arial" w:eastAsia="Arial" w:hAnsi="Arial"/>
          <w:sz w:val="14"/>
          <w:szCs w:val="14"/>
          <w:color w:val="auto"/>
        </w:rPr>
      </w:pPr>
      <w:r>
        <w:rPr>
          <w:rFonts w:ascii="Arial" w:cs="Arial" w:eastAsia="Arial" w:hAnsi="Arial"/>
          <w:sz w:val="14"/>
          <w:szCs w:val="14"/>
          <w:color w:val="auto"/>
        </w:rPr>
        <w:t>26,000 shares are beneficially owned by Fidelity Management Trust Company, a bank and a wholly-owned subsidiary of FMR Corp. Mr. Johnson and FMR Corp., through its control of Fidelity Management Trust Company, each has sole voting power and sole dispositive power with respect to these shares.</w:t>
      </w:r>
    </w:p>
    <w:p>
      <w:pPr>
        <w:spacing w:after="0" w:line="65" w:lineRule="exact"/>
        <w:rPr>
          <w:rFonts w:ascii="Arial" w:cs="Arial" w:eastAsia="Arial" w:hAnsi="Arial"/>
          <w:sz w:val="14"/>
          <w:szCs w:val="14"/>
          <w:color w:val="auto"/>
        </w:rPr>
      </w:pPr>
    </w:p>
    <w:p>
      <w:pPr>
        <w:ind w:left="660" w:right="140" w:hanging="139"/>
        <w:spacing w:after="0" w:line="253" w:lineRule="auto"/>
        <w:tabs>
          <w:tab w:leader="none" w:pos="638" w:val="left"/>
        </w:tabs>
        <w:numPr>
          <w:ilvl w:val="1"/>
          <w:numId w:val="8"/>
        </w:numPr>
        <w:rPr>
          <w:rFonts w:ascii="Arial" w:cs="Arial" w:eastAsia="Arial" w:hAnsi="Arial"/>
          <w:sz w:val="14"/>
          <w:szCs w:val="14"/>
          <w:color w:val="auto"/>
        </w:rPr>
      </w:pPr>
      <w:r>
        <w:rPr>
          <w:rFonts w:ascii="Arial" w:cs="Arial" w:eastAsia="Arial" w:hAnsi="Arial"/>
          <w:sz w:val="14"/>
          <w:szCs w:val="14"/>
          <w:color w:val="auto"/>
        </w:rPr>
        <w:t>3,900 shares are beneficially owned by Pyramis Global Advisors Trust Company, a bank and a wholly-owned subsidiary of FMR Corp. Mr. Johnson and FMR Corp., through its control of Pyramis Global Advisors Trust Company, each has sole voting power and sole dispositive power with respect to these shares.</w:t>
      </w:r>
    </w:p>
    <w:p>
      <w:pPr>
        <w:spacing w:after="0" w:line="66" w:lineRule="exact"/>
        <w:rPr>
          <w:sz w:val="20"/>
          <w:szCs w:val="20"/>
          <w:color w:val="auto"/>
        </w:rPr>
      </w:pPr>
    </w:p>
    <w:p>
      <w:pPr>
        <w:ind w:left="540"/>
        <w:spacing w:after="0"/>
        <w:rPr>
          <w:sz w:val="20"/>
          <w:szCs w:val="20"/>
          <w:color w:val="auto"/>
        </w:rPr>
      </w:pPr>
      <w:r>
        <w:rPr>
          <w:rFonts w:ascii="Arial" w:cs="Arial" w:eastAsia="Arial" w:hAnsi="Arial"/>
          <w:sz w:val="14"/>
          <w:szCs w:val="14"/>
          <w:color w:val="auto"/>
        </w:rPr>
        <w:t>The information contained in this footnote is derived from information contained in the Amendment No. 1 to Schedule 13G filed by FMR Corp. with the SEC referred to herein.</w:t>
      </w:r>
    </w:p>
    <w:p>
      <w:pPr>
        <w:spacing w:after="0" w:line="96" w:lineRule="exact"/>
        <w:rPr>
          <w:sz w:val="20"/>
          <w:szCs w:val="20"/>
          <w:color w:val="auto"/>
        </w:rPr>
      </w:pPr>
    </w:p>
    <w:p>
      <w:pPr>
        <w:jc w:val="both"/>
        <w:ind w:left="540" w:right="80" w:hanging="478"/>
        <w:spacing w:after="0" w:line="264" w:lineRule="auto"/>
        <w:tabs>
          <w:tab w:leader="none" w:pos="54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number of shares owned as of December 31, 2006 according to Amendment No. 4 to Schedule 13G filed with the SEC on January 25, 2007. Royce &amp; Associates, LLC, an investment adviser, is the beneficial owner of all 3,419,800 shares of Common Stock and has sole voting power and sole dispositive power with respect to all shares. The information contained in this footnote is derived from information contained in the Amendment No. 4 to Schedule 13G filed by Royce &amp; Associates, LLC with the SEC referred to herein.</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4" w:lineRule="exact"/>
        <w:rPr>
          <w:sz w:val="20"/>
          <w:szCs w:val="20"/>
          <w:color w:val="auto"/>
        </w:rPr>
      </w:pPr>
    </w:p>
    <w:p>
      <w:pPr>
        <w:ind w:left="540" w:right="60" w:hanging="478"/>
        <w:spacing w:after="0" w:line="234" w:lineRule="auto"/>
        <w:tabs>
          <w:tab w:leader="none" w:pos="5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number of shares owned as of December 31, 2006 according to Amendment No. 3 to Schedule 13G filed with the SEC on February 14, 2007. EARNEST Partners, LLC, an investment adviser, is the beneficial owner of all 2,513,501 shares of Common Stock and has sole voting power, shared voting power and sole dispositive power with respect to 834,922 shares, 825,079 shares and 2,513,501 shares, respectively. The information contained in this footnote is derived from information contained in the Amendment No. 3 to Schedule 13G filed by EARNEST Partners, LLC with the SEC referred to herein.</w:t>
      </w:r>
    </w:p>
    <w:p>
      <w:pPr>
        <w:spacing w:after="0" w:line="74" w:lineRule="exact"/>
        <w:rPr>
          <w:rFonts w:ascii="Arial" w:cs="Arial" w:eastAsia="Arial" w:hAnsi="Arial"/>
          <w:sz w:val="14"/>
          <w:szCs w:val="14"/>
          <w:color w:val="auto"/>
        </w:rPr>
      </w:pPr>
    </w:p>
    <w:p>
      <w:pPr>
        <w:ind w:left="540" w:right="100" w:hanging="478"/>
        <w:spacing w:after="0" w:line="234" w:lineRule="auto"/>
        <w:tabs>
          <w:tab w:leader="none" w:pos="5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number of shares owned as of December 31, 2006 according to the Schedule 13G filed with the SEC on February 9, 2007. Barrow, Hanley, Mewhinney &amp; Strauss, Inc., an investment adviser, is the beneficial owner of all 2,280,025 shares of Common Stock and has sole voting power, shared voting power and sole dispositive power with respect to 289,425 shares, 1,990,600 shares and 2,280,025 shares, respectively. The information contained in this footnote is derived from information contained in the Schedule 13G filed by Barrow, Hanley, Mewhinney &amp; Strauss, Inc. with the SEC referred to herein.</w:t>
      </w:r>
    </w:p>
    <w:p>
      <w:pPr>
        <w:spacing w:after="0" w:line="74" w:lineRule="exact"/>
        <w:rPr>
          <w:rFonts w:ascii="Arial" w:cs="Arial" w:eastAsia="Arial" w:hAnsi="Arial"/>
          <w:sz w:val="14"/>
          <w:szCs w:val="14"/>
          <w:color w:val="auto"/>
        </w:rPr>
      </w:pPr>
    </w:p>
    <w:p>
      <w:pPr>
        <w:jc w:val="both"/>
        <w:ind w:left="540" w:right="260" w:hanging="478"/>
        <w:spacing w:after="0" w:line="291" w:lineRule="auto"/>
        <w:tabs>
          <w:tab w:leader="none" w:pos="54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The number of shares owned as of December 31, 2006 according to Amendment No. 1 to Schedule 13G filed with the SEC on February 13, 2007. Vanguard Whitehall Funds–Vanguard Selected Value Fund is the beneficial owner of all 1,847,300 shares of Common Stock and has sole voting power with respect to all shares. The information contained in this footnote is</w:t>
      </w:r>
    </w:p>
    <w:p>
      <w:pPr>
        <w:sectPr>
          <w:pgSz w:w="11900" w:h="16904" w:orient="portrait"/>
          <w:cols w:equalWidth="0" w:num="1">
            <w:col w:w="11420"/>
          </w:cols>
          <w:pgMar w:left="240" w:top="125" w:right="239" w:bottom="0" w:gutter="0" w:footer="0" w:header="0"/>
        </w:sectPr>
      </w:pPr>
    </w:p>
    <w:bookmarkStart w:id="4" w:name="page5"/>
    <w:bookmarkEnd w:id="4"/>
    <w:p>
      <w:pPr>
        <w:ind w:left="540"/>
        <w:spacing w:after="0"/>
        <w:rPr>
          <w:sz w:val="20"/>
          <w:szCs w:val="20"/>
          <w:color w:val="auto"/>
        </w:rPr>
      </w:pPr>
      <w:r>
        <w:rPr>
          <w:rFonts w:ascii="Arial" w:cs="Arial" w:eastAsia="Arial" w:hAnsi="Arial"/>
          <w:sz w:val="14"/>
          <w:szCs w:val="14"/>
          <w:color w:val="auto"/>
        </w:rPr>
        <w:t>derived from information contained in Amendment No. 1 to Schedule 13G filed by Vanguard Whitehall Funds–Vanguard Selected Value Fund with the SEC referred to herein.</w:t>
      </w:r>
    </w:p>
    <w:p>
      <w:pPr>
        <w:spacing w:after="0" w:line="95" w:lineRule="exact"/>
        <w:rPr>
          <w:sz w:val="20"/>
          <w:szCs w:val="20"/>
          <w:color w:val="auto"/>
        </w:rPr>
      </w:pPr>
    </w:p>
    <w:p>
      <w:pPr>
        <w:ind w:left="540" w:right="40" w:hanging="478"/>
        <w:spacing w:after="0" w:line="238" w:lineRule="auto"/>
        <w:tabs>
          <w:tab w:leader="none" w:pos="5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number of shares owned as of December 31, 2006 according to the Schedule 13G filed with the SEC on January 17, 2007. Fenimore Asset Management, Inc., an investment adviser, is the beneficial owner of all 1,819,155 shares of Common Stock and has sole voting power and sole dispositive power with respect to all shares. The information contained in this footnote is derived from information contained in the Schedule 13G filed by Fenimore Asset Management, Inc. with the SEC referred to herein.</w:t>
      </w:r>
    </w:p>
    <w:p>
      <w:pPr>
        <w:spacing w:after="0" w:line="200" w:lineRule="exact"/>
        <w:rPr>
          <w:sz w:val="20"/>
          <w:szCs w:val="20"/>
          <w:color w:val="auto"/>
        </w:rPr>
      </w:pPr>
    </w:p>
    <w:p>
      <w:pPr>
        <w:spacing w:after="0" w:line="25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sets forth certain information known to the Company with respect to beneficial ownership of Company Common Stock at October 9,</w:t>
      </w:r>
    </w:p>
    <w:p>
      <w:pPr>
        <w:spacing w:after="0" w:line="46"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2007 for (i) each director and nominee for director of the Company, (ii) the Company’s Chairman and Chief Executive Officer, the Company’s Chief Financial Officer and the three most highly compensated executive officers of the Company (other than the Chairman and Chief Executive Officer and the Chief Financial Officer) who were serving as executive officers at the end of fiscal 2007, named in the Summary Compensation Table below, and (iii) all executive officers, directors and nominees for director as a group.</w:t>
      </w:r>
    </w:p>
    <w:p>
      <w:pPr>
        <w:spacing w:after="0" w:line="12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5000" w:type="dxa"/>
            <w:vAlign w:val="bottom"/>
          </w:tcPr>
          <w:p>
            <w:pPr>
              <w:jc w:val="center"/>
              <w:ind w:left="1868"/>
              <w:spacing w:after="0"/>
              <w:rPr>
                <w:sz w:val="20"/>
                <w:szCs w:val="20"/>
                <w:color w:val="auto"/>
              </w:rPr>
            </w:pPr>
            <w:r>
              <w:rPr>
                <w:rFonts w:ascii="Arial" w:cs="Arial" w:eastAsia="Arial" w:hAnsi="Arial"/>
                <w:sz w:val="14"/>
                <w:szCs w:val="14"/>
                <w:b w:val="1"/>
                <w:bCs w:val="1"/>
                <w:color w:val="auto"/>
                <w:w w:val="90"/>
              </w:rPr>
              <w:t>Shares of Common Stock</w:t>
            </w:r>
          </w:p>
        </w:tc>
        <w:tc>
          <w:tcPr>
            <w:tcW w:w="2120" w:type="dxa"/>
            <w:vAlign w:val="bottom"/>
            <w:vMerge w:val="restart"/>
          </w:tcPr>
          <w:p>
            <w:pPr>
              <w:jc w:val="center"/>
              <w:ind w:left="668"/>
              <w:spacing w:after="0"/>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58"/>
        </w:trPr>
        <w:tc>
          <w:tcPr>
            <w:tcW w:w="3060" w:type="dxa"/>
            <w:vAlign w:val="bottom"/>
          </w:tcPr>
          <w:p>
            <w:pPr>
              <w:spacing w:after="0"/>
              <w:rPr>
                <w:sz w:val="13"/>
                <w:szCs w:val="13"/>
                <w:color w:val="auto"/>
              </w:rPr>
            </w:pPr>
          </w:p>
        </w:tc>
        <w:tc>
          <w:tcPr>
            <w:tcW w:w="5000" w:type="dxa"/>
            <w:vAlign w:val="bottom"/>
          </w:tcPr>
          <w:p>
            <w:pPr>
              <w:jc w:val="center"/>
              <w:ind w:left="1868"/>
              <w:spacing w:after="0" w:line="159" w:lineRule="exact"/>
              <w:rPr>
                <w:sz w:val="20"/>
                <w:szCs w:val="20"/>
                <w:color w:val="auto"/>
              </w:rPr>
            </w:pPr>
            <w:r>
              <w:rPr>
                <w:rFonts w:ascii="Arial" w:cs="Arial" w:eastAsia="Arial" w:hAnsi="Arial"/>
                <w:sz w:val="14"/>
                <w:szCs w:val="14"/>
                <w:b w:val="1"/>
                <w:bCs w:val="1"/>
                <w:color w:val="auto"/>
                <w:w w:val="92"/>
              </w:rPr>
              <w:t>Owned Beneficially at</w:t>
            </w:r>
          </w:p>
        </w:tc>
        <w:tc>
          <w:tcPr>
            <w:tcW w:w="2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17"/>
        </w:trPr>
        <w:tc>
          <w:tcPr>
            <w:tcW w:w="306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5000" w:type="dxa"/>
            <w:vAlign w:val="bottom"/>
          </w:tcPr>
          <w:p>
            <w:pPr>
              <w:jc w:val="center"/>
              <w:ind w:left="1868"/>
              <w:spacing w:after="0"/>
              <w:rPr>
                <w:sz w:val="20"/>
                <w:szCs w:val="20"/>
                <w:color w:val="auto"/>
              </w:rPr>
            </w:pPr>
            <w:r>
              <w:rPr>
                <w:rFonts w:ascii="Arial" w:cs="Arial" w:eastAsia="Arial" w:hAnsi="Arial"/>
                <w:sz w:val="14"/>
                <w:szCs w:val="14"/>
                <w:b w:val="1"/>
                <w:bCs w:val="1"/>
                <w:color w:val="auto"/>
                <w:w w:val="89"/>
              </w:rPr>
              <w:t>October 9, 2007</w:t>
            </w:r>
            <w:r>
              <w:rPr>
                <w:rFonts w:ascii="Arial" w:cs="Arial" w:eastAsia="Arial" w:hAnsi="Arial"/>
                <w:sz w:val="23"/>
                <w:szCs w:val="23"/>
                <w:b w:val="1"/>
                <w:bCs w:val="1"/>
                <w:color w:val="auto"/>
                <w:w w:val="89"/>
                <w:vertAlign w:val="superscript"/>
              </w:rPr>
              <w:t>(1)</w:t>
            </w:r>
          </w:p>
        </w:tc>
        <w:tc>
          <w:tcPr>
            <w:tcW w:w="2120" w:type="dxa"/>
            <w:vAlign w:val="bottom"/>
          </w:tcPr>
          <w:p>
            <w:pPr>
              <w:jc w:val="center"/>
              <w:ind w:left="688"/>
              <w:spacing w:after="0"/>
              <w:rPr>
                <w:sz w:val="20"/>
                <w:szCs w:val="20"/>
                <w:color w:val="auto"/>
              </w:rPr>
            </w:pPr>
            <w:r>
              <w:rPr>
                <w:rFonts w:ascii="Arial" w:cs="Arial" w:eastAsia="Arial" w:hAnsi="Arial"/>
                <w:sz w:val="14"/>
                <w:szCs w:val="14"/>
                <w:b w:val="1"/>
                <w:bCs w:val="1"/>
                <w:color w:val="auto"/>
                <w:w w:val="92"/>
              </w:rPr>
              <w:t>Common Stock (%)</w:t>
            </w:r>
            <w:r>
              <w:rPr>
                <w:rFonts w:ascii="Arial" w:cs="Arial" w:eastAsia="Arial" w:hAnsi="Arial"/>
                <w:sz w:val="23"/>
                <w:szCs w:val="23"/>
                <w:b w:val="1"/>
                <w:bCs w:val="1"/>
                <w:color w:val="auto"/>
                <w:w w:val="92"/>
                <w:vertAlign w:val="superscript"/>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-3810</wp:posOffset>
            </wp:positionV>
            <wp:extent cx="5143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350" cy="8890"/>
                    </a:xfrm>
                    <a:prstGeom prst="rect">
                      <a:avLst/>
                    </a:prstGeom>
                    <a:noFill/>
                  </pic:spPr>
                </pic:pic>
              </a:graphicData>
            </a:graphic>
          </wp:anchor>
        </w:drawing>
        <w:drawing>
          <wp:anchor simplePos="0" relativeHeight="251657728" behindDoc="1" locked="0" layoutInCell="0" allowOverlap="1">
            <wp:simplePos x="0" y="0"/>
            <wp:positionH relativeFrom="column">
              <wp:posOffset>3581400</wp:posOffset>
            </wp:positionH>
            <wp:positionV relativeFrom="paragraph">
              <wp:posOffset>-3810</wp:posOffset>
            </wp:positionV>
            <wp:extent cx="32499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tbl>
      <w:tblPr>
        <w:tblLayout w:type="fixed"/>
        <w:tblInd w:w="580" w:type="dxa"/>
        <w:tblCellMar>
          <w:top w:w="0" w:type="dxa"/>
          <w:left w:w="0" w:type="dxa"/>
          <w:bottom w:w="0" w:type="dxa"/>
          <w:right w:w="0" w:type="dxa"/>
        </w:tblCellMar>
      </w:tblPr>
      <w:tr>
        <w:trPr>
          <w:trHeight w:val="129"/>
        </w:trPr>
        <w:tc>
          <w:tcPr>
            <w:tcW w:w="4540" w:type="dxa"/>
            <w:vAlign w:val="bottom"/>
            <w:shd w:val="clear" w:color="auto" w:fill="D6F3E8"/>
          </w:tcPr>
          <w:p>
            <w:pPr>
              <w:spacing w:after="0" w:line="129" w:lineRule="exact"/>
              <w:rPr>
                <w:sz w:val="20"/>
                <w:szCs w:val="20"/>
                <w:color w:val="auto"/>
              </w:rPr>
            </w:pPr>
            <w:r>
              <w:rPr>
                <w:rFonts w:ascii="Arial" w:cs="Arial" w:eastAsia="Arial" w:hAnsi="Arial"/>
                <w:sz w:val="14"/>
                <w:szCs w:val="14"/>
                <w:color w:val="auto"/>
              </w:rPr>
              <w:t>Irvin E. Aal</w:t>
            </w:r>
          </w:p>
        </w:tc>
        <w:tc>
          <w:tcPr>
            <w:tcW w:w="3640" w:type="dxa"/>
            <w:vAlign w:val="bottom"/>
            <w:shd w:val="clear" w:color="auto" w:fill="D6F3E8"/>
          </w:tcPr>
          <w:p>
            <w:pPr>
              <w:jc w:val="right"/>
              <w:ind w:right="1552"/>
              <w:spacing w:after="0" w:line="129" w:lineRule="exact"/>
              <w:rPr>
                <w:sz w:val="20"/>
                <w:szCs w:val="20"/>
                <w:color w:val="auto"/>
              </w:rPr>
            </w:pPr>
            <w:r>
              <w:rPr>
                <w:rFonts w:ascii="Arial" w:cs="Arial" w:eastAsia="Arial" w:hAnsi="Arial"/>
                <w:sz w:val="14"/>
                <w:szCs w:val="14"/>
                <w:color w:val="auto"/>
              </w:rPr>
              <w:t>34,049</w:t>
            </w:r>
          </w:p>
        </w:tc>
        <w:tc>
          <w:tcPr>
            <w:tcW w:w="2100" w:type="dxa"/>
            <w:vAlign w:val="bottom"/>
            <w:vMerge w:val="restart"/>
            <w:shd w:val="clear" w:color="auto" w:fill="D6F3E8"/>
          </w:tcPr>
          <w:p>
            <w:pPr>
              <w:jc w:val="center"/>
              <w:ind w:left="568"/>
              <w:spacing w:after="0"/>
              <w:rPr>
                <w:sz w:val="20"/>
                <w:szCs w:val="20"/>
                <w:color w:val="auto"/>
              </w:rPr>
            </w:pPr>
            <w:r>
              <w:rPr>
                <w:rFonts w:ascii="Arial" w:cs="Arial" w:eastAsia="Arial" w:hAnsi="Arial"/>
                <w:sz w:val="15"/>
                <w:szCs w:val="15"/>
                <w:color w:val="auto"/>
                <w:w w:val="97"/>
              </w:rPr>
              <w:t>(5)</w:t>
            </w:r>
          </w:p>
        </w:tc>
        <w:tc>
          <w:tcPr>
            <w:tcW w:w="0" w:type="dxa"/>
            <w:vAlign w:val="bottom"/>
          </w:tcPr>
          <w:p>
            <w:pPr>
              <w:spacing w:after="0"/>
              <w:rPr>
                <w:sz w:val="1"/>
                <w:szCs w:val="1"/>
                <w:color w:val="auto"/>
              </w:rPr>
            </w:pPr>
          </w:p>
        </w:tc>
      </w:tr>
      <w:tr>
        <w:trPr>
          <w:trHeight w:val="201"/>
        </w:trPr>
        <w:tc>
          <w:tcPr>
            <w:tcW w:w="4540" w:type="dxa"/>
            <w:vAlign w:val="bottom"/>
            <w:shd w:val="clear" w:color="auto" w:fill="D6F3E8"/>
          </w:tcPr>
          <w:p>
            <w:pPr>
              <w:spacing w:after="0"/>
              <w:rPr>
                <w:sz w:val="17"/>
                <w:szCs w:val="17"/>
                <w:color w:val="auto"/>
              </w:rPr>
            </w:pPr>
          </w:p>
        </w:tc>
        <w:tc>
          <w:tcPr>
            <w:tcW w:w="3640" w:type="dxa"/>
            <w:vAlign w:val="bottom"/>
            <w:shd w:val="clear" w:color="auto" w:fill="D6F3E8"/>
          </w:tcPr>
          <w:p>
            <w:pPr>
              <w:ind w:left="2040"/>
              <w:spacing w:after="0"/>
              <w:rPr>
                <w:sz w:val="20"/>
                <w:szCs w:val="20"/>
                <w:color w:val="auto"/>
              </w:rPr>
            </w:pPr>
            <w:r>
              <w:rPr>
                <w:rFonts w:ascii="Arial" w:cs="Arial" w:eastAsia="Arial" w:hAnsi="Arial"/>
                <w:sz w:val="15"/>
                <w:szCs w:val="15"/>
                <w:color w:val="auto"/>
              </w:rPr>
              <w:t>(3)(4)</w:t>
            </w:r>
          </w:p>
        </w:tc>
        <w:tc>
          <w:tcPr>
            <w:tcW w:w="2100" w:type="dxa"/>
            <w:vAlign w:val="bottom"/>
            <w:vMerge w:val="continue"/>
            <w:shd w:val="clear" w:color="auto" w:fill="D6F3E8"/>
          </w:tcPr>
          <w:p>
            <w:pPr>
              <w:spacing w:after="0"/>
              <w:rPr>
                <w:sz w:val="17"/>
                <w:szCs w:val="17"/>
                <w:color w:val="auto"/>
              </w:rPr>
            </w:pPr>
          </w:p>
        </w:tc>
        <w:tc>
          <w:tcPr>
            <w:tcW w:w="0" w:type="dxa"/>
            <w:vAlign w:val="bottom"/>
          </w:tcPr>
          <w:p>
            <w:pPr>
              <w:spacing w:after="0"/>
              <w:rPr>
                <w:sz w:val="1"/>
                <w:szCs w:val="1"/>
                <w:color w:val="auto"/>
              </w:rPr>
            </w:pPr>
          </w:p>
        </w:tc>
      </w:tr>
      <w:tr>
        <w:trPr>
          <w:trHeight w:val="15"/>
        </w:trPr>
        <w:tc>
          <w:tcPr>
            <w:tcW w:w="4540" w:type="dxa"/>
            <w:vAlign w:val="bottom"/>
          </w:tcPr>
          <w:p>
            <w:pPr>
              <w:spacing w:after="0"/>
              <w:rPr>
                <w:sz w:val="20"/>
                <w:szCs w:val="20"/>
                <w:color w:val="auto"/>
              </w:rPr>
            </w:pPr>
            <w:r>
              <w:rPr>
                <w:rFonts w:ascii="Arial" w:cs="Arial" w:eastAsia="Arial" w:hAnsi="Arial"/>
                <w:sz w:val="1"/>
                <w:szCs w:val="1"/>
                <w:color w:val="auto"/>
              </w:rPr>
              <w:t>Edwin F. Barker</w:t>
            </w:r>
          </w:p>
        </w:tc>
        <w:tc>
          <w:tcPr>
            <w:tcW w:w="3640" w:type="dxa"/>
            <w:vAlign w:val="bottom"/>
          </w:tcPr>
          <w:p>
            <w:pPr>
              <w:jc w:val="right"/>
              <w:ind w:right="1552"/>
              <w:spacing w:after="0"/>
              <w:rPr>
                <w:sz w:val="20"/>
                <w:szCs w:val="20"/>
                <w:color w:val="auto"/>
              </w:rPr>
            </w:pPr>
            <w:r>
              <w:rPr>
                <w:rFonts w:ascii="Arial" w:cs="Arial" w:eastAsia="Arial" w:hAnsi="Arial"/>
                <w:sz w:val="1"/>
                <w:szCs w:val="1"/>
                <w:color w:val="auto"/>
              </w:rPr>
              <w:t>85,349</w:t>
            </w:r>
          </w:p>
        </w:tc>
        <w:tc>
          <w:tcPr>
            <w:tcW w:w="2100" w:type="dxa"/>
            <w:vAlign w:val="bottom"/>
            <w:vMerge w:val="restart"/>
          </w:tcPr>
          <w:p>
            <w:pPr>
              <w:jc w:val="center"/>
              <w:ind w:left="568"/>
              <w:spacing w:after="0"/>
              <w:rPr>
                <w:sz w:val="20"/>
                <w:szCs w:val="20"/>
                <w:color w:val="auto"/>
              </w:rPr>
            </w:pPr>
            <w:r>
              <w:rPr>
                <w:rFonts w:ascii="Arial" w:cs="Arial" w:eastAsia="Arial" w:hAnsi="Arial"/>
                <w:sz w:val="15"/>
                <w:szCs w:val="15"/>
                <w:color w:val="auto"/>
                <w:w w:val="97"/>
              </w:rPr>
              <w:t>(5)</w:t>
            </w:r>
          </w:p>
        </w:tc>
        <w:tc>
          <w:tcPr>
            <w:tcW w:w="0" w:type="dxa"/>
            <w:vAlign w:val="bottom"/>
          </w:tcPr>
          <w:p>
            <w:pPr>
              <w:spacing w:after="0" w:line="20" w:lineRule="exact"/>
              <w:rPr>
                <w:sz w:val="1"/>
                <w:szCs w:val="1"/>
                <w:color w:val="auto"/>
              </w:rPr>
            </w:pPr>
          </w:p>
        </w:tc>
      </w:tr>
      <w:tr>
        <w:trPr>
          <w:trHeight w:val="190"/>
        </w:trPr>
        <w:tc>
          <w:tcPr>
            <w:tcW w:w="4540" w:type="dxa"/>
            <w:vAlign w:val="bottom"/>
          </w:tcPr>
          <w:p>
            <w:pPr>
              <w:spacing w:after="0"/>
              <w:rPr>
                <w:sz w:val="16"/>
                <w:szCs w:val="16"/>
                <w:color w:val="auto"/>
              </w:rPr>
            </w:pPr>
          </w:p>
        </w:tc>
        <w:tc>
          <w:tcPr>
            <w:tcW w:w="3640" w:type="dxa"/>
            <w:vAlign w:val="bottom"/>
          </w:tcPr>
          <w:p>
            <w:pPr>
              <w:ind w:left="2040"/>
              <w:spacing w:after="0"/>
              <w:rPr>
                <w:sz w:val="20"/>
                <w:szCs w:val="20"/>
                <w:color w:val="auto"/>
              </w:rPr>
            </w:pPr>
            <w:r>
              <w:rPr>
                <w:rFonts w:ascii="Arial" w:cs="Arial" w:eastAsia="Arial" w:hAnsi="Arial"/>
                <w:sz w:val="15"/>
                <w:szCs w:val="15"/>
                <w:color w:val="auto"/>
              </w:rPr>
              <w:t>(3)</w:t>
            </w:r>
          </w:p>
        </w:tc>
        <w:tc>
          <w:tcPr>
            <w:tcW w:w="2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540" w:type="dxa"/>
            <w:vAlign w:val="bottom"/>
            <w:shd w:val="clear" w:color="auto" w:fill="D6F3E8"/>
          </w:tcPr>
          <w:p>
            <w:pPr>
              <w:spacing w:after="0" w:line="27" w:lineRule="exact"/>
              <w:rPr>
                <w:sz w:val="20"/>
                <w:szCs w:val="20"/>
                <w:color w:val="auto"/>
              </w:rPr>
            </w:pPr>
            <w:r>
              <w:rPr>
                <w:rFonts w:ascii="Arial" w:cs="Arial" w:eastAsia="Arial" w:hAnsi="Arial"/>
                <w:sz w:val="3"/>
                <w:szCs w:val="3"/>
                <w:color w:val="auto"/>
              </w:rPr>
              <w:t>Raymond M. Beebe</w:t>
            </w:r>
          </w:p>
        </w:tc>
        <w:tc>
          <w:tcPr>
            <w:tcW w:w="3640" w:type="dxa"/>
            <w:vAlign w:val="bottom"/>
            <w:shd w:val="clear" w:color="auto" w:fill="D6F3E8"/>
          </w:tcPr>
          <w:p>
            <w:pPr>
              <w:jc w:val="right"/>
              <w:ind w:right="1552"/>
              <w:spacing w:after="0" w:line="27" w:lineRule="exact"/>
              <w:rPr>
                <w:sz w:val="20"/>
                <w:szCs w:val="20"/>
                <w:color w:val="auto"/>
              </w:rPr>
            </w:pPr>
            <w:r>
              <w:rPr>
                <w:rFonts w:ascii="Arial" w:cs="Arial" w:eastAsia="Arial" w:hAnsi="Arial"/>
                <w:sz w:val="3"/>
                <w:szCs w:val="3"/>
                <w:color w:val="auto"/>
              </w:rPr>
              <w:t>43,933</w:t>
            </w:r>
          </w:p>
        </w:tc>
        <w:tc>
          <w:tcPr>
            <w:tcW w:w="2100" w:type="dxa"/>
            <w:vAlign w:val="bottom"/>
            <w:vMerge w:val="restart"/>
            <w:shd w:val="clear" w:color="auto" w:fill="D6F3E8"/>
          </w:tcPr>
          <w:p>
            <w:pPr>
              <w:jc w:val="center"/>
              <w:ind w:left="568"/>
              <w:spacing w:after="0"/>
              <w:rPr>
                <w:sz w:val="20"/>
                <w:szCs w:val="20"/>
                <w:color w:val="auto"/>
              </w:rPr>
            </w:pPr>
            <w:r>
              <w:rPr>
                <w:rFonts w:ascii="Arial" w:cs="Arial" w:eastAsia="Arial" w:hAnsi="Arial"/>
                <w:sz w:val="15"/>
                <w:szCs w:val="15"/>
                <w:color w:val="auto"/>
                <w:w w:val="97"/>
              </w:rPr>
              <w:t>(5)</w:t>
            </w:r>
          </w:p>
        </w:tc>
        <w:tc>
          <w:tcPr>
            <w:tcW w:w="0" w:type="dxa"/>
            <w:vAlign w:val="bottom"/>
          </w:tcPr>
          <w:p>
            <w:pPr>
              <w:spacing w:after="0" w:line="20" w:lineRule="exact"/>
              <w:rPr>
                <w:sz w:val="1"/>
                <w:szCs w:val="1"/>
                <w:color w:val="auto"/>
              </w:rPr>
            </w:pPr>
          </w:p>
        </w:tc>
      </w:tr>
      <w:tr>
        <w:trPr>
          <w:trHeight w:val="201"/>
        </w:trPr>
        <w:tc>
          <w:tcPr>
            <w:tcW w:w="4540" w:type="dxa"/>
            <w:vAlign w:val="bottom"/>
            <w:shd w:val="clear" w:color="auto" w:fill="D6F3E8"/>
          </w:tcPr>
          <w:p>
            <w:pPr>
              <w:spacing w:after="0"/>
              <w:rPr>
                <w:sz w:val="17"/>
                <w:szCs w:val="17"/>
                <w:color w:val="auto"/>
              </w:rPr>
            </w:pPr>
          </w:p>
        </w:tc>
        <w:tc>
          <w:tcPr>
            <w:tcW w:w="3640" w:type="dxa"/>
            <w:vAlign w:val="bottom"/>
            <w:shd w:val="clear" w:color="auto" w:fill="D6F3E8"/>
          </w:tcPr>
          <w:p>
            <w:pPr>
              <w:ind w:left="2040"/>
              <w:spacing w:after="0"/>
              <w:rPr>
                <w:sz w:val="20"/>
                <w:szCs w:val="20"/>
                <w:color w:val="auto"/>
              </w:rPr>
            </w:pPr>
            <w:r>
              <w:rPr>
                <w:rFonts w:ascii="Arial" w:cs="Arial" w:eastAsia="Arial" w:hAnsi="Arial"/>
                <w:sz w:val="15"/>
                <w:szCs w:val="15"/>
                <w:color w:val="auto"/>
              </w:rPr>
              <w:t>(3)</w:t>
            </w:r>
          </w:p>
        </w:tc>
        <w:tc>
          <w:tcPr>
            <w:tcW w:w="2100" w:type="dxa"/>
            <w:vAlign w:val="bottom"/>
            <w:vMerge w:val="continue"/>
            <w:shd w:val="clear" w:color="auto" w:fill="D6F3E8"/>
          </w:tcPr>
          <w:p>
            <w:pPr>
              <w:spacing w:after="0"/>
              <w:rPr>
                <w:sz w:val="17"/>
                <w:szCs w:val="17"/>
                <w:color w:val="auto"/>
              </w:rPr>
            </w:pPr>
          </w:p>
        </w:tc>
        <w:tc>
          <w:tcPr>
            <w:tcW w:w="0" w:type="dxa"/>
            <w:vAlign w:val="bottom"/>
          </w:tcPr>
          <w:p>
            <w:pPr>
              <w:spacing w:after="0"/>
              <w:rPr>
                <w:sz w:val="1"/>
                <w:szCs w:val="1"/>
                <w:color w:val="auto"/>
              </w:rPr>
            </w:pPr>
          </w:p>
        </w:tc>
      </w:tr>
      <w:tr>
        <w:trPr>
          <w:trHeight w:val="15"/>
        </w:trPr>
        <w:tc>
          <w:tcPr>
            <w:tcW w:w="4540" w:type="dxa"/>
            <w:vAlign w:val="bottom"/>
          </w:tcPr>
          <w:p>
            <w:pPr>
              <w:spacing w:after="0"/>
              <w:rPr>
                <w:sz w:val="20"/>
                <w:szCs w:val="20"/>
                <w:color w:val="auto"/>
              </w:rPr>
            </w:pPr>
            <w:r>
              <w:rPr>
                <w:rFonts w:ascii="Arial" w:cs="Arial" w:eastAsia="Arial" w:hAnsi="Arial"/>
                <w:sz w:val="1"/>
                <w:szCs w:val="1"/>
                <w:color w:val="auto"/>
              </w:rPr>
              <w:t>Jerry N. Currie</w:t>
            </w:r>
          </w:p>
        </w:tc>
        <w:tc>
          <w:tcPr>
            <w:tcW w:w="3640" w:type="dxa"/>
            <w:vAlign w:val="bottom"/>
          </w:tcPr>
          <w:p>
            <w:pPr>
              <w:jc w:val="right"/>
              <w:ind w:right="1552"/>
              <w:spacing w:after="0"/>
              <w:rPr>
                <w:sz w:val="20"/>
                <w:szCs w:val="20"/>
                <w:color w:val="auto"/>
              </w:rPr>
            </w:pPr>
            <w:r>
              <w:rPr>
                <w:rFonts w:ascii="Arial" w:cs="Arial" w:eastAsia="Arial" w:hAnsi="Arial"/>
                <w:sz w:val="1"/>
                <w:szCs w:val="1"/>
                <w:color w:val="auto"/>
              </w:rPr>
              <w:t>36,000</w:t>
            </w:r>
          </w:p>
        </w:tc>
        <w:tc>
          <w:tcPr>
            <w:tcW w:w="2100" w:type="dxa"/>
            <w:vAlign w:val="bottom"/>
            <w:vMerge w:val="restart"/>
          </w:tcPr>
          <w:p>
            <w:pPr>
              <w:jc w:val="center"/>
              <w:ind w:left="568"/>
              <w:spacing w:after="0"/>
              <w:rPr>
                <w:sz w:val="20"/>
                <w:szCs w:val="20"/>
                <w:color w:val="auto"/>
              </w:rPr>
            </w:pPr>
            <w:r>
              <w:rPr>
                <w:rFonts w:ascii="Arial" w:cs="Arial" w:eastAsia="Arial" w:hAnsi="Arial"/>
                <w:sz w:val="15"/>
                <w:szCs w:val="15"/>
                <w:color w:val="auto"/>
                <w:w w:val="97"/>
              </w:rPr>
              <w:t>(5)</w:t>
            </w:r>
          </w:p>
        </w:tc>
        <w:tc>
          <w:tcPr>
            <w:tcW w:w="0" w:type="dxa"/>
            <w:vAlign w:val="bottom"/>
          </w:tcPr>
          <w:p>
            <w:pPr>
              <w:spacing w:after="0" w:line="20" w:lineRule="exact"/>
              <w:rPr>
                <w:sz w:val="1"/>
                <w:szCs w:val="1"/>
                <w:color w:val="auto"/>
              </w:rPr>
            </w:pPr>
          </w:p>
        </w:tc>
      </w:tr>
      <w:tr>
        <w:trPr>
          <w:trHeight w:val="190"/>
        </w:trPr>
        <w:tc>
          <w:tcPr>
            <w:tcW w:w="4540" w:type="dxa"/>
            <w:vAlign w:val="bottom"/>
          </w:tcPr>
          <w:p>
            <w:pPr>
              <w:spacing w:after="0"/>
              <w:rPr>
                <w:sz w:val="16"/>
                <w:szCs w:val="16"/>
                <w:color w:val="auto"/>
              </w:rPr>
            </w:pPr>
          </w:p>
        </w:tc>
        <w:tc>
          <w:tcPr>
            <w:tcW w:w="3640" w:type="dxa"/>
            <w:vAlign w:val="bottom"/>
          </w:tcPr>
          <w:p>
            <w:pPr>
              <w:ind w:left="2040"/>
              <w:spacing w:after="0"/>
              <w:rPr>
                <w:sz w:val="20"/>
                <w:szCs w:val="20"/>
                <w:color w:val="auto"/>
              </w:rPr>
            </w:pPr>
            <w:r>
              <w:rPr>
                <w:rFonts w:ascii="Arial" w:cs="Arial" w:eastAsia="Arial" w:hAnsi="Arial"/>
                <w:sz w:val="15"/>
                <w:szCs w:val="15"/>
                <w:color w:val="auto"/>
              </w:rPr>
              <w:t>(3)</w:t>
            </w:r>
          </w:p>
        </w:tc>
        <w:tc>
          <w:tcPr>
            <w:tcW w:w="2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540" w:type="dxa"/>
            <w:vAlign w:val="bottom"/>
            <w:shd w:val="clear" w:color="auto" w:fill="D6F3E8"/>
          </w:tcPr>
          <w:p>
            <w:pPr>
              <w:spacing w:after="0" w:line="27" w:lineRule="exact"/>
              <w:rPr>
                <w:sz w:val="20"/>
                <w:szCs w:val="20"/>
                <w:color w:val="auto"/>
              </w:rPr>
            </w:pPr>
            <w:r>
              <w:rPr>
                <w:rFonts w:ascii="Arial" w:cs="Arial" w:eastAsia="Arial" w:hAnsi="Arial"/>
                <w:sz w:val="3"/>
                <w:szCs w:val="3"/>
                <w:color w:val="auto"/>
              </w:rPr>
              <w:t>Joseph W. England</w:t>
            </w:r>
          </w:p>
        </w:tc>
        <w:tc>
          <w:tcPr>
            <w:tcW w:w="3640" w:type="dxa"/>
            <w:vAlign w:val="bottom"/>
            <w:shd w:val="clear" w:color="auto" w:fill="D6F3E8"/>
          </w:tcPr>
          <w:p>
            <w:pPr>
              <w:jc w:val="right"/>
              <w:ind w:right="1552"/>
              <w:spacing w:after="0" w:line="27" w:lineRule="exact"/>
              <w:rPr>
                <w:sz w:val="20"/>
                <w:szCs w:val="20"/>
                <w:color w:val="auto"/>
              </w:rPr>
            </w:pPr>
            <w:r>
              <w:rPr>
                <w:rFonts w:ascii="Arial" w:cs="Arial" w:eastAsia="Arial" w:hAnsi="Arial"/>
                <w:sz w:val="3"/>
                <w:szCs w:val="3"/>
                <w:color w:val="auto"/>
              </w:rPr>
              <w:t>52,974</w:t>
            </w:r>
          </w:p>
        </w:tc>
        <w:tc>
          <w:tcPr>
            <w:tcW w:w="2100" w:type="dxa"/>
            <w:vAlign w:val="bottom"/>
            <w:vMerge w:val="restart"/>
            <w:shd w:val="clear" w:color="auto" w:fill="D6F3E8"/>
          </w:tcPr>
          <w:p>
            <w:pPr>
              <w:jc w:val="center"/>
              <w:ind w:left="568"/>
              <w:spacing w:after="0"/>
              <w:rPr>
                <w:sz w:val="20"/>
                <w:szCs w:val="20"/>
                <w:color w:val="auto"/>
              </w:rPr>
            </w:pPr>
            <w:r>
              <w:rPr>
                <w:rFonts w:ascii="Arial" w:cs="Arial" w:eastAsia="Arial" w:hAnsi="Arial"/>
                <w:sz w:val="15"/>
                <w:szCs w:val="15"/>
                <w:color w:val="auto"/>
                <w:w w:val="97"/>
              </w:rPr>
              <w:t>(5)</w:t>
            </w:r>
          </w:p>
        </w:tc>
        <w:tc>
          <w:tcPr>
            <w:tcW w:w="0" w:type="dxa"/>
            <w:vAlign w:val="bottom"/>
          </w:tcPr>
          <w:p>
            <w:pPr>
              <w:spacing w:after="0" w:line="20" w:lineRule="exact"/>
              <w:rPr>
                <w:sz w:val="1"/>
                <w:szCs w:val="1"/>
                <w:color w:val="auto"/>
              </w:rPr>
            </w:pPr>
          </w:p>
        </w:tc>
      </w:tr>
      <w:tr>
        <w:trPr>
          <w:trHeight w:val="201"/>
        </w:trPr>
        <w:tc>
          <w:tcPr>
            <w:tcW w:w="4540" w:type="dxa"/>
            <w:vAlign w:val="bottom"/>
            <w:shd w:val="clear" w:color="auto" w:fill="D6F3E8"/>
          </w:tcPr>
          <w:p>
            <w:pPr>
              <w:spacing w:after="0"/>
              <w:rPr>
                <w:sz w:val="17"/>
                <w:szCs w:val="17"/>
                <w:color w:val="auto"/>
              </w:rPr>
            </w:pPr>
          </w:p>
        </w:tc>
        <w:tc>
          <w:tcPr>
            <w:tcW w:w="3640" w:type="dxa"/>
            <w:vAlign w:val="bottom"/>
            <w:shd w:val="clear" w:color="auto" w:fill="D6F3E8"/>
          </w:tcPr>
          <w:p>
            <w:pPr>
              <w:ind w:left="2040"/>
              <w:spacing w:after="0"/>
              <w:rPr>
                <w:sz w:val="20"/>
                <w:szCs w:val="20"/>
                <w:color w:val="auto"/>
              </w:rPr>
            </w:pPr>
            <w:r>
              <w:rPr>
                <w:rFonts w:ascii="Arial" w:cs="Arial" w:eastAsia="Arial" w:hAnsi="Arial"/>
                <w:sz w:val="15"/>
                <w:szCs w:val="15"/>
                <w:color w:val="auto"/>
              </w:rPr>
              <w:t>(3)(4)</w:t>
            </w:r>
          </w:p>
        </w:tc>
        <w:tc>
          <w:tcPr>
            <w:tcW w:w="2100" w:type="dxa"/>
            <w:vAlign w:val="bottom"/>
            <w:vMerge w:val="continue"/>
            <w:shd w:val="clear" w:color="auto" w:fill="D6F3E8"/>
          </w:tcPr>
          <w:p>
            <w:pPr>
              <w:spacing w:after="0"/>
              <w:rPr>
                <w:sz w:val="17"/>
                <w:szCs w:val="17"/>
                <w:color w:val="auto"/>
              </w:rPr>
            </w:pPr>
          </w:p>
        </w:tc>
        <w:tc>
          <w:tcPr>
            <w:tcW w:w="0" w:type="dxa"/>
            <w:vAlign w:val="bottom"/>
          </w:tcPr>
          <w:p>
            <w:pPr>
              <w:spacing w:after="0"/>
              <w:rPr>
                <w:sz w:val="1"/>
                <w:szCs w:val="1"/>
                <w:color w:val="auto"/>
              </w:rPr>
            </w:pPr>
          </w:p>
        </w:tc>
      </w:tr>
      <w:tr>
        <w:trPr>
          <w:trHeight w:val="15"/>
        </w:trPr>
        <w:tc>
          <w:tcPr>
            <w:tcW w:w="4540" w:type="dxa"/>
            <w:vAlign w:val="bottom"/>
          </w:tcPr>
          <w:p>
            <w:pPr>
              <w:spacing w:after="0"/>
              <w:rPr>
                <w:sz w:val="20"/>
                <w:szCs w:val="20"/>
                <w:color w:val="auto"/>
              </w:rPr>
            </w:pPr>
            <w:r>
              <w:rPr>
                <w:rFonts w:ascii="Arial" w:cs="Arial" w:eastAsia="Arial" w:hAnsi="Arial"/>
                <w:sz w:val="1"/>
                <w:szCs w:val="1"/>
                <w:color w:val="auto"/>
              </w:rPr>
              <w:t>Lawrence A. Erickson</w:t>
            </w:r>
          </w:p>
        </w:tc>
        <w:tc>
          <w:tcPr>
            <w:tcW w:w="3640" w:type="dxa"/>
            <w:vAlign w:val="bottom"/>
          </w:tcPr>
          <w:p>
            <w:pPr>
              <w:jc w:val="right"/>
              <w:ind w:right="1552"/>
              <w:spacing w:after="0"/>
              <w:rPr>
                <w:sz w:val="20"/>
                <w:szCs w:val="20"/>
                <w:color w:val="auto"/>
              </w:rPr>
            </w:pPr>
            <w:r>
              <w:rPr>
                <w:rFonts w:ascii="Arial" w:cs="Arial" w:eastAsia="Arial" w:hAnsi="Arial"/>
                <w:sz w:val="1"/>
                <w:szCs w:val="1"/>
                <w:color w:val="auto"/>
              </w:rPr>
              <w:t>18,762</w:t>
            </w:r>
          </w:p>
        </w:tc>
        <w:tc>
          <w:tcPr>
            <w:tcW w:w="2100" w:type="dxa"/>
            <w:vAlign w:val="bottom"/>
            <w:vMerge w:val="restart"/>
          </w:tcPr>
          <w:p>
            <w:pPr>
              <w:jc w:val="center"/>
              <w:ind w:left="568"/>
              <w:spacing w:after="0"/>
              <w:rPr>
                <w:sz w:val="20"/>
                <w:szCs w:val="20"/>
                <w:color w:val="auto"/>
              </w:rPr>
            </w:pPr>
            <w:r>
              <w:rPr>
                <w:rFonts w:ascii="Arial" w:cs="Arial" w:eastAsia="Arial" w:hAnsi="Arial"/>
                <w:sz w:val="15"/>
                <w:szCs w:val="15"/>
                <w:color w:val="auto"/>
                <w:w w:val="97"/>
              </w:rPr>
              <w:t>(5)</w:t>
            </w:r>
          </w:p>
        </w:tc>
        <w:tc>
          <w:tcPr>
            <w:tcW w:w="0" w:type="dxa"/>
            <w:vAlign w:val="bottom"/>
          </w:tcPr>
          <w:p>
            <w:pPr>
              <w:spacing w:after="0" w:line="20" w:lineRule="exact"/>
              <w:rPr>
                <w:sz w:val="1"/>
                <w:szCs w:val="1"/>
                <w:color w:val="auto"/>
              </w:rPr>
            </w:pPr>
          </w:p>
        </w:tc>
      </w:tr>
      <w:tr>
        <w:trPr>
          <w:trHeight w:val="190"/>
        </w:trPr>
        <w:tc>
          <w:tcPr>
            <w:tcW w:w="4540" w:type="dxa"/>
            <w:vAlign w:val="bottom"/>
          </w:tcPr>
          <w:p>
            <w:pPr>
              <w:spacing w:after="0"/>
              <w:rPr>
                <w:sz w:val="16"/>
                <w:szCs w:val="16"/>
                <w:color w:val="auto"/>
              </w:rPr>
            </w:pPr>
          </w:p>
        </w:tc>
        <w:tc>
          <w:tcPr>
            <w:tcW w:w="3640" w:type="dxa"/>
            <w:vAlign w:val="bottom"/>
          </w:tcPr>
          <w:p>
            <w:pPr>
              <w:ind w:left="2040"/>
              <w:spacing w:after="0"/>
              <w:rPr>
                <w:sz w:val="20"/>
                <w:szCs w:val="20"/>
                <w:color w:val="auto"/>
              </w:rPr>
            </w:pPr>
            <w:r>
              <w:rPr>
                <w:rFonts w:ascii="Arial" w:cs="Arial" w:eastAsia="Arial" w:hAnsi="Arial"/>
                <w:sz w:val="15"/>
                <w:szCs w:val="15"/>
                <w:color w:val="auto"/>
              </w:rPr>
              <w:t>(3)(4)</w:t>
            </w:r>
          </w:p>
        </w:tc>
        <w:tc>
          <w:tcPr>
            <w:tcW w:w="2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540" w:type="dxa"/>
            <w:vAlign w:val="bottom"/>
            <w:shd w:val="clear" w:color="auto" w:fill="D6F3E8"/>
          </w:tcPr>
          <w:p>
            <w:pPr>
              <w:spacing w:after="0" w:line="27" w:lineRule="exact"/>
              <w:rPr>
                <w:sz w:val="20"/>
                <w:szCs w:val="20"/>
                <w:color w:val="auto"/>
              </w:rPr>
            </w:pPr>
            <w:r>
              <w:rPr>
                <w:rFonts w:ascii="Arial" w:cs="Arial" w:eastAsia="Arial" w:hAnsi="Arial"/>
                <w:sz w:val="3"/>
                <w:szCs w:val="3"/>
                <w:color w:val="auto"/>
              </w:rPr>
              <w:t>John V. Hanson</w:t>
            </w:r>
          </w:p>
        </w:tc>
        <w:tc>
          <w:tcPr>
            <w:tcW w:w="3640" w:type="dxa"/>
            <w:vAlign w:val="bottom"/>
            <w:shd w:val="clear" w:color="auto" w:fill="D6F3E8"/>
          </w:tcPr>
          <w:p>
            <w:pPr>
              <w:jc w:val="right"/>
              <w:ind w:right="1552"/>
              <w:spacing w:after="0" w:line="27" w:lineRule="exact"/>
              <w:rPr>
                <w:sz w:val="20"/>
                <w:szCs w:val="20"/>
                <w:color w:val="auto"/>
              </w:rPr>
            </w:pPr>
            <w:r>
              <w:rPr>
                <w:rFonts w:ascii="Arial" w:cs="Arial" w:eastAsia="Arial" w:hAnsi="Arial"/>
                <w:sz w:val="3"/>
                <w:szCs w:val="3"/>
                <w:color w:val="auto"/>
              </w:rPr>
              <w:t>33,260</w:t>
            </w:r>
          </w:p>
        </w:tc>
        <w:tc>
          <w:tcPr>
            <w:tcW w:w="2100" w:type="dxa"/>
            <w:vAlign w:val="bottom"/>
            <w:vMerge w:val="restart"/>
            <w:shd w:val="clear" w:color="auto" w:fill="D6F3E8"/>
          </w:tcPr>
          <w:p>
            <w:pPr>
              <w:jc w:val="center"/>
              <w:ind w:left="568"/>
              <w:spacing w:after="0"/>
              <w:rPr>
                <w:sz w:val="20"/>
                <w:szCs w:val="20"/>
                <w:color w:val="auto"/>
              </w:rPr>
            </w:pPr>
            <w:r>
              <w:rPr>
                <w:rFonts w:ascii="Arial" w:cs="Arial" w:eastAsia="Arial" w:hAnsi="Arial"/>
                <w:sz w:val="15"/>
                <w:szCs w:val="15"/>
                <w:color w:val="auto"/>
                <w:w w:val="97"/>
              </w:rPr>
              <w:t>(5)</w:t>
            </w:r>
          </w:p>
        </w:tc>
        <w:tc>
          <w:tcPr>
            <w:tcW w:w="0" w:type="dxa"/>
            <w:vAlign w:val="bottom"/>
          </w:tcPr>
          <w:p>
            <w:pPr>
              <w:spacing w:after="0" w:line="20" w:lineRule="exact"/>
              <w:rPr>
                <w:sz w:val="1"/>
                <w:szCs w:val="1"/>
                <w:color w:val="auto"/>
              </w:rPr>
            </w:pPr>
          </w:p>
        </w:tc>
      </w:tr>
      <w:tr>
        <w:trPr>
          <w:trHeight w:val="201"/>
        </w:trPr>
        <w:tc>
          <w:tcPr>
            <w:tcW w:w="4540" w:type="dxa"/>
            <w:vAlign w:val="bottom"/>
            <w:shd w:val="clear" w:color="auto" w:fill="D6F3E8"/>
          </w:tcPr>
          <w:p>
            <w:pPr>
              <w:spacing w:after="0"/>
              <w:rPr>
                <w:sz w:val="17"/>
                <w:szCs w:val="17"/>
                <w:color w:val="auto"/>
              </w:rPr>
            </w:pPr>
          </w:p>
        </w:tc>
        <w:tc>
          <w:tcPr>
            <w:tcW w:w="3640" w:type="dxa"/>
            <w:vAlign w:val="bottom"/>
            <w:shd w:val="clear" w:color="auto" w:fill="D6F3E8"/>
          </w:tcPr>
          <w:p>
            <w:pPr>
              <w:ind w:left="2040"/>
              <w:spacing w:after="0"/>
              <w:rPr>
                <w:sz w:val="20"/>
                <w:szCs w:val="20"/>
                <w:color w:val="auto"/>
              </w:rPr>
            </w:pPr>
            <w:r>
              <w:rPr>
                <w:rFonts w:ascii="Arial" w:cs="Arial" w:eastAsia="Arial" w:hAnsi="Arial"/>
                <w:sz w:val="15"/>
                <w:szCs w:val="15"/>
                <w:color w:val="auto"/>
              </w:rPr>
              <w:t>(3)(6)</w:t>
            </w:r>
          </w:p>
        </w:tc>
        <w:tc>
          <w:tcPr>
            <w:tcW w:w="2100" w:type="dxa"/>
            <w:vAlign w:val="bottom"/>
            <w:vMerge w:val="continue"/>
            <w:shd w:val="clear" w:color="auto" w:fill="D6F3E8"/>
          </w:tcPr>
          <w:p>
            <w:pPr>
              <w:spacing w:after="0"/>
              <w:rPr>
                <w:sz w:val="17"/>
                <w:szCs w:val="17"/>
                <w:color w:val="auto"/>
              </w:rPr>
            </w:pPr>
          </w:p>
        </w:tc>
        <w:tc>
          <w:tcPr>
            <w:tcW w:w="0" w:type="dxa"/>
            <w:vAlign w:val="bottom"/>
          </w:tcPr>
          <w:p>
            <w:pPr>
              <w:spacing w:after="0"/>
              <w:rPr>
                <w:sz w:val="1"/>
                <w:szCs w:val="1"/>
                <w:color w:val="auto"/>
              </w:rPr>
            </w:pPr>
          </w:p>
        </w:tc>
      </w:tr>
      <w:tr>
        <w:trPr>
          <w:trHeight w:val="15"/>
        </w:trPr>
        <w:tc>
          <w:tcPr>
            <w:tcW w:w="4540" w:type="dxa"/>
            <w:vAlign w:val="bottom"/>
          </w:tcPr>
          <w:p>
            <w:pPr>
              <w:spacing w:after="0"/>
              <w:rPr>
                <w:sz w:val="20"/>
                <w:szCs w:val="20"/>
                <w:color w:val="auto"/>
              </w:rPr>
            </w:pPr>
            <w:r>
              <w:rPr>
                <w:rFonts w:ascii="Arial" w:cs="Arial" w:eastAsia="Arial" w:hAnsi="Arial"/>
                <w:sz w:val="1"/>
                <w:szCs w:val="1"/>
                <w:color w:val="auto"/>
              </w:rPr>
              <w:t>John E. Herlitz</w:t>
            </w:r>
          </w:p>
        </w:tc>
        <w:tc>
          <w:tcPr>
            <w:tcW w:w="3640" w:type="dxa"/>
            <w:vAlign w:val="bottom"/>
          </w:tcPr>
          <w:p>
            <w:pPr>
              <w:jc w:val="right"/>
              <w:ind w:right="1552"/>
              <w:spacing w:after="0"/>
              <w:rPr>
                <w:sz w:val="20"/>
                <w:szCs w:val="20"/>
                <w:color w:val="auto"/>
              </w:rPr>
            </w:pPr>
            <w:r>
              <w:rPr>
                <w:rFonts w:ascii="Arial" w:cs="Arial" w:eastAsia="Arial" w:hAnsi="Arial"/>
                <w:sz w:val="1"/>
                <w:szCs w:val="1"/>
                <w:color w:val="auto"/>
              </w:rPr>
              <w:t>18,788</w:t>
            </w:r>
          </w:p>
        </w:tc>
        <w:tc>
          <w:tcPr>
            <w:tcW w:w="2100" w:type="dxa"/>
            <w:vAlign w:val="bottom"/>
            <w:vMerge w:val="restart"/>
          </w:tcPr>
          <w:p>
            <w:pPr>
              <w:jc w:val="center"/>
              <w:ind w:left="568"/>
              <w:spacing w:after="0"/>
              <w:rPr>
                <w:sz w:val="20"/>
                <w:szCs w:val="20"/>
                <w:color w:val="auto"/>
              </w:rPr>
            </w:pPr>
            <w:r>
              <w:rPr>
                <w:rFonts w:ascii="Arial" w:cs="Arial" w:eastAsia="Arial" w:hAnsi="Arial"/>
                <w:sz w:val="15"/>
                <w:szCs w:val="15"/>
                <w:color w:val="auto"/>
                <w:w w:val="97"/>
              </w:rPr>
              <w:t>(5)</w:t>
            </w:r>
          </w:p>
        </w:tc>
        <w:tc>
          <w:tcPr>
            <w:tcW w:w="0" w:type="dxa"/>
            <w:vAlign w:val="bottom"/>
          </w:tcPr>
          <w:p>
            <w:pPr>
              <w:spacing w:after="0" w:line="20" w:lineRule="exact"/>
              <w:rPr>
                <w:sz w:val="1"/>
                <w:szCs w:val="1"/>
                <w:color w:val="auto"/>
              </w:rPr>
            </w:pPr>
          </w:p>
        </w:tc>
      </w:tr>
      <w:tr>
        <w:trPr>
          <w:trHeight w:val="190"/>
        </w:trPr>
        <w:tc>
          <w:tcPr>
            <w:tcW w:w="4540" w:type="dxa"/>
            <w:vAlign w:val="bottom"/>
          </w:tcPr>
          <w:p>
            <w:pPr>
              <w:spacing w:after="0"/>
              <w:rPr>
                <w:sz w:val="16"/>
                <w:szCs w:val="16"/>
                <w:color w:val="auto"/>
              </w:rPr>
            </w:pPr>
          </w:p>
        </w:tc>
        <w:tc>
          <w:tcPr>
            <w:tcW w:w="3640" w:type="dxa"/>
            <w:vAlign w:val="bottom"/>
          </w:tcPr>
          <w:p>
            <w:pPr>
              <w:ind w:left="2040"/>
              <w:spacing w:after="0"/>
              <w:rPr>
                <w:sz w:val="20"/>
                <w:szCs w:val="20"/>
                <w:color w:val="auto"/>
              </w:rPr>
            </w:pPr>
            <w:r>
              <w:rPr>
                <w:rFonts w:ascii="Arial" w:cs="Arial" w:eastAsia="Arial" w:hAnsi="Arial"/>
                <w:sz w:val="15"/>
                <w:szCs w:val="15"/>
                <w:color w:val="auto"/>
              </w:rPr>
              <w:t>(3)(4)</w:t>
            </w:r>
          </w:p>
        </w:tc>
        <w:tc>
          <w:tcPr>
            <w:tcW w:w="2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540" w:type="dxa"/>
            <w:vAlign w:val="bottom"/>
            <w:shd w:val="clear" w:color="auto" w:fill="D6F3E8"/>
          </w:tcPr>
          <w:p>
            <w:pPr>
              <w:spacing w:after="0" w:line="27" w:lineRule="exact"/>
              <w:rPr>
                <w:sz w:val="20"/>
                <w:szCs w:val="20"/>
                <w:color w:val="auto"/>
              </w:rPr>
            </w:pPr>
            <w:r>
              <w:rPr>
                <w:rFonts w:ascii="Arial" w:cs="Arial" w:eastAsia="Arial" w:hAnsi="Arial"/>
                <w:sz w:val="3"/>
                <w:szCs w:val="3"/>
                <w:color w:val="auto"/>
              </w:rPr>
              <w:t>Bruce D. Hertzke</w:t>
            </w:r>
          </w:p>
        </w:tc>
        <w:tc>
          <w:tcPr>
            <w:tcW w:w="3640" w:type="dxa"/>
            <w:vAlign w:val="bottom"/>
            <w:shd w:val="clear" w:color="auto" w:fill="D6F3E8"/>
          </w:tcPr>
          <w:p>
            <w:pPr>
              <w:jc w:val="right"/>
              <w:ind w:right="1552"/>
              <w:spacing w:after="0" w:line="27" w:lineRule="exact"/>
              <w:rPr>
                <w:sz w:val="20"/>
                <w:szCs w:val="20"/>
                <w:color w:val="auto"/>
              </w:rPr>
            </w:pPr>
            <w:r>
              <w:rPr>
                <w:rFonts w:ascii="Arial" w:cs="Arial" w:eastAsia="Arial" w:hAnsi="Arial"/>
                <w:sz w:val="3"/>
                <w:szCs w:val="3"/>
                <w:color w:val="auto"/>
              </w:rPr>
              <w:t>322,709</w:t>
            </w:r>
          </w:p>
        </w:tc>
        <w:tc>
          <w:tcPr>
            <w:tcW w:w="2100" w:type="dxa"/>
            <w:vAlign w:val="bottom"/>
            <w:shd w:val="clear" w:color="auto" w:fill="D6F3E8"/>
          </w:tcPr>
          <w:p>
            <w:pPr>
              <w:jc w:val="center"/>
              <w:ind w:left="568"/>
              <w:spacing w:after="0" w:line="27" w:lineRule="exact"/>
              <w:rPr>
                <w:sz w:val="20"/>
                <w:szCs w:val="20"/>
                <w:color w:val="auto"/>
              </w:rPr>
            </w:pPr>
            <w:r>
              <w:rPr>
                <w:rFonts w:ascii="Arial" w:cs="Arial" w:eastAsia="Arial" w:hAnsi="Arial"/>
                <w:sz w:val="3"/>
                <w:szCs w:val="3"/>
                <w:color w:val="auto"/>
              </w:rPr>
              <w:t>1.1</w:t>
            </w:r>
          </w:p>
        </w:tc>
        <w:tc>
          <w:tcPr>
            <w:tcW w:w="0" w:type="dxa"/>
            <w:vAlign w:val="bottom"/>
          </w:tcPr>
          <w:p>
            <w:pPr>
              <w:spacing w:after="0" w:line="20" w:lineRule="exact"/>
              <w:rPr>
                <w:sz w:val="1"/>
                <w:szCs w:val="1"/>
                <w:color w:val="auto"/>
              </w:rPr>
            </w:pPr>
          </w:p>
        </w:tc>
      </w:tr>
      <w:tr>
        <w:trPr>
          <w:trHeight w:val="201"/>
        </w:trPr>
        <w:tc>
          <w:tcPr>
            <w:tcW w:w="4540" w:type="dxa"/>
            <w:vAlign w:val="bottom"/>
            <w:shd w:val="clear" w:color="auto" w:fill="D6F3E8"/>
          </w:tcPr>
          <w:p>
            <w:pPr>
              <w:spacing w:after="0"/>
              <w:rPr>
                <w:sz w:val="17"/>
                <w:szCs w:val="17"/>
                <w:color w:val="auto"/>
              </w:rPr>
            </w:pPr>
          </w:p>
        </w:tc>
        <w:tc>
          <w:tcPr>
            <w:tcW w:w="3640" w:type="dxa"/>
            <w:vAlign w:val="bottom"/>
            <w:shd w:val="clear" w:color="auto" w:fill="D6F3E8"/>
          </w:tcPr>
          <w:p>
            <w:pPr>
              <w:ind w:left="2040"/>
              <w:spacing w:after="0"/>
              <w:rPr>
                <w:sz w:val="20"/>
                <w:szCs w:val="20"/>
                <w:color w:val="auto"/>
              </w:rPr>
            </w:pPr>
            <w:r>
              <w:rPr>
                <w:rFonts w:ascii="Arial" w:cs="Arial" w:eastAsia="Arial" w:hAnsi="Arial"/>
                <w:sz w:val="15"/>
                <w:szCs w:val="15"/>
                <w:color w:val="auto"/>
              </w:rPr>
              <w:t>(3)</w:t>
            </w:r>
          </w:p>
        </w:tc>
        <w:tc>
          <w:tcPr>
            <w:tcW w:w="2100" w:type="dxa"/>
            <w:vAlign w:val="bottom"/>
            <w:shd w:val="clear" w:color="auto" w:fill="D6F3E8"/>
          </w:tcPr>
          <w:p>
            <w:pPr>
              <w:spacing w:after="0"/>
              <w:rPr>
                <w:sz w:val="17"/>
                <w:szCs w:val="17"/>
                <w:color w:val="auto"/>
              </w:rPr>
            </w:pPr>
          </w:p>
        </w:tc>
        <w:tc>
          <w:tcPr>
            <w:tcW w:w="0" w:type="dxa"/>
            <w:vAlign w:val="bottom"/>
          </w:tcPr>
          <w:p>
            <w:pPr>
              <w:spacing w:after="0"/>
              <w:rPr>
                <w:sz w:val="1"/>
                <w:szCs w:val="1"/>
                <w:color w:val="auto"/>
              </w:rPr>
            </w:pPr>
          </w:p>
        </w:tc>
      </w:tr>
      <w:tr>
        <w:trPr>
          <w:trHeight w:val="15"/>
        </w:trPr>
        <w:tc>
          <w:tcPr>
            <w:tcW w:w="4540" w:type="dxa"/>
            <w:vAlign w:val="bottom"/>
          </w:tcPr>
          <w:p>
            <w:pPr>
              <w:spacing w:after="0"/>
              <w:rPr>
                <w:sz w:val="20"/>
                <w:szCs w:val="20"/>
                <w:color w:val="auto"/>
              </w:rPr>
            </w:pPr>
            <w:r>
              <w:rPr>
                <w:rFonts w:ascii="Arial" w:cs="Arial" w:eastAsia="Arial" w:hAnsi="Arial"/>
                <w:sz w:val="1"/>
                <w:szCs w:val="1"/>
                <w:color w:val="auto"/>
              </w:rPr>
              <w:t>Gerald C. Kitch</w:t>
            </w:r>
          </w:p>
        </w:tc>
        <w:tc>
          <w:tcPr>
            <w:tcW w:w="3640" w:type="dxa"/>
            <w:vAlign w:val="bottom"/>
          </w:tcPr>
          <w:p>
            <w:pPr>
              <w:jc w:val="right"/>
              <w:ind w:right="1552"/>
              <w:spacing w:after="0"/>
              <w:rPr>
                <w:sz w:val="20"/>
                <w:szCs w:val="20"/>
                <w:color w:val="auto"/>
              </w:rPr>
            </w:pPr>
            <w:r>
              <w:rPr>
                <w:rFonts w:ascii="Arial" w:cs="Arial" w:eastAsia="Arial" w:hAnsi="Arial"/>
                <w:sz w:val="1"/>
                <w:szCs w:val="1"/>
                <w:color w:val="auto"/>
              </w:rPr>
              <w:t>58,165</w:t>
            </w:r>
          </w:p>
        </w:tc>
        <w:tc>
          <w:tcPr>
            <w:tcW w:w="2100" w:type="dxa"/>
            <w:vAlign w:val="bottom"/>
            <w:vMerge w:val="restart"/>
          </w:tcPr>
          <w:p>
            <w:pPr>
              <w:jc w:val="center"/>
              <w:ind w:left="568"/>
              <w:spacing w:after="0"/>
              <w:rPr>
                <w:sz w:val="20"/>
                <w:szCs w:val="20"/>
                <w:color w:val="auto"/>
              </w:rPr>
            </w:pPr>
            <w:r>
              <w:rPr>
                <w:rFonts w:ascii="Arial" w:cs="Arial" w:eastAsia="Arial" w:hAnsi="Arial"/>
                <w:sz w:val="15"/>
                <w:szCs w:val="15"/>
                <w:color w:val="auto"/>
                <w:w w:val="97"/>
              </w:rPr>
              <w:t>(5)</w:t>
            </w:r>
          </w:p>
        </w:tc>
        <w:tc>
          <w:tcPr>
            <w:tcW w:w="0" w:type="dxa"/>
            <w:vAlign w:val="bottom"/>
          </w:tcPr>
          <w:p>
            <w:pPr>
              <w:spacing w:after="0" w:line="20" w:lineRule="exact"/>
              <w:rPr>
                <w:sz w:val="1"/>
                <w:szCs w:val="1"/>
                <w:color w:val="auto"/>
              </w:rPr>
            </w:pPr>
          </w:p>
        </w:tc>
      </w:tr>
      <w:tr>
        <w:trPr>
          <w:trHeight w:val="190"/>
        </w:trPr>
        <w:tc>
          <w:tcPr>
            <w:tcW w:w="4540" w:type="dxa"/>
            <w:vAlign w:val="bottom"/>
          </w:tcPr>
          <w:p>
            <w:pPr>
              <w:spacing w:after="0"/>
              <w:rPr>
                <w:sz w:val="16"/>
                <w:szCs w:val="16"/>
                <w:color w:val="auto"/>
              </w:rPr>
            </w:pPr>
          </w:p>
        </w:tc>
        <w:tc>
          <w:tcPr>
            <w:tcW w:w="3640" w:type="dxa"/>
            <w:vAlign w:val="bottom"/>
          </w:tcPr>
          <w:p>
            <w:pPr>
              <w:ind w:left="2040"/>
              <w:spacing w:after="0"/>
              <w:rPr>
                <w:sz w:val="20"/>
                <w:szCs w:val="20"/>
                <w:color w:val="auto"/>
              </w:rPr>
            </w:pPr>
            <w:r>
              <w:rPr>
                <w:rFonts w:ascii="Arial" w:cs="Arial" w:eastAsia="Arial" w:hAnsi="Arial"/>
                <w:sz w:val="15"/>
                <w:szCs w:val="15"/>
                <w:color w:val="auto"/>
              </w:rPr>
              <w:t>(3)(4)</w:t>
            </w:r>
          </w:p>
        </w:tc>
        <w:tc>
          <w:tcPr>
            <w:tcW w:w="2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540" w:type="dxa"/>
            <w:vAlign w:val="bottom"/>
            <w:shd w:val="clear" w:color="auto" w:fill="D6F3E8"/>
          </w:tcPr>
          <w:p>
            <w:pPr>
              <w:spacing w:after="0" w:line="27" w:lineRule="exact"/>
              <w:rPr>
                <w:sz w:val="20"/>
                <w:szCs w:val="20"/>
                <w:color w:val="auto"/>
              </w:rPr>
            </w:pPr>
            <w:r>
              <w:rPr>
                <w:rFonts w:ascii="Arial" w:cs="Arial" w:eastAsia="Arial" w:hAnsi="Arial"/>
                <w:sz w:val="3"/>
                <w:szCs w:val="3"/>
                <w:color w:val="auto"/>
              </w:rPr>
              <w:t>Sarah N. Nielsen</w:t>
            </w:r>
          </w:p>
        </w:tc>
        <w:tc>
          <w:tcPr>
            <w:tcW w:w="3640" w:type="dxa"/>
            <w:vAlign w:val="bottom"/>
            <w:shd w:val="clear" w:color="auto" w:fill="D6F3E8"/>
          </w:tcPr>
          <w:p>
            <w:pPr>
              <w:jc w:val="right"/>
              <w:ind w:right="1552"/>
              <w:spacing w:after="0" w:line="27" w:lineRule="exact"/>
              <w:rPr>
                <w:sz w:val="20"/>
                <w:szCs w:val="20"/>
                <w:color w:val="auto"/>
              </w:rPr>
            </w:pPr>
            <w:r>
              <w:rPr>
                <w:rFonts w:ascii="Arial" w:cs="Arial" w:eastAsia="Arial" w:hAnsi="Arial"/>
                <w:sz w:val="3"/>
                <w:szCs w:val="3"/>
                <w:color w:val="auto"/>
              </w:rPr>
              <w:t>12,333</w:t>
            </w:r>
          </w:p>
        </w:tc>
        <w:tc>
          <w:tcPr>
            <w:tcW w:w="2100" w:type="dxa"/>
            <w:vAlign w:val="bottom"/>
            <w:vMerge w:val="restart"/>
            <w:shd w:val="clear" w:color="auto" w:fill="D6F3E8"/>
          </w:tcPr>
          <w:p>
            <w:pPr>
              <w:jc w:val="center"/>
              <w:ind w:left="568"/>
              <w:spacing w:after="0"/>
              <w:rPr>
                <w:sz w:val="20"/>
                <w:szCs w:val="20"/>
                <w:color w:val="auto"/>
              </w:rPr>
            </w:pPr>
            <w:r>
              <w:rPr>
                <w:rFonts w:ascii="Arial" w:cs="Arial" w:eastAsia="Arial" w:hAnsi="Arial"/>
                <w:sz w:val="15"/>
                <w:szCs w:val="15"/>
                <w:color w:val="auto"/>
                <w:w w:val="97"/>
              </w:rPr>
              <w:t>(5)</w:t>
            </w:r>
          </w:p>
        </w:tc>
        <w:tc>
          <w:tcPr>
            <w:tcW w:w="0" w:type="dxa"/>
            <w:vAlign w:val="bottom"/>
          </w:tcPr>
          <w:p>
            <w:pPr>
              <w:spacing w:after="0" w:line="20" w:lineRule="exact"/>
              <w:rPr>
                <w:sz w:val="1"/>
                <w:szCs w:val="1"/>
                <w:color w:val="auto"/>
              </w:rPr>
            </w:pPr>
          </w:p>
        </w:tc>
      </w:tr>
      <w:tr>
        <w:trPr>
          <w:trHeight w:val="201"/>
        </w:trPr>
        <w:tc>
          <w:tcPr>
            <w:tcW w:w="4540" w:type="dxa"/>
            <w:vAlign w:val="bottom"/>
            <w:shd w:val="clear" w:color="auto" w:fill="D6F3E8"/>
          </w:tcPr>
          <w:p>
            <w:pPr>
              <w:spacing w:after="0"/>
              <w:rPr>
                <w:sz w:val="17"/>
                <w:szCs w:val="17"/>
                <w:color w:val="auto"/>
              </w:rPr>
            </w:pPr>
          </w:p>
        </w:tc>
        <w:tc>
          <w:tcPr>
            <w:tcW w:w="3640" w:type="dxa"/>
            <w:vAlign w:val="bottom"/>
            <w:shd w:val="clear" w:color="auto" w:fill="D6F3E8"/>
          </w:tcPr>
          <w:p>
            <w:pPr>
              <w:ind w:left="2040"/>
              <w:spacing w:after="0"/>
              <w:rPr>
                <w:sz w:val="20"/>
                <w:szCs w:val="20"/>
                <w:color w:val="auto"/>
              </w:rPr>
            </w:pPr>
            <w:r>
              <w:rPr>
                <w:rFonts w:ascii="Arial" w:cs="Arial" w:eastAsia="Arial" w:hAnsi="Arial"/>
                <w:sz w:val="15"/>
                <w:szCs w:val="15"/>
                <w:color w:val="auto"/>
              </w:rPr>
              <w:t>(3)</w:t>
            </w:r>
          </w:p>
        </w:tc>
        <w:tc>
          <w:tcPr>
            <w:tcW w:w="2100" w:type="dxa"/>
            <w:vAlign w:val="bottom"/>
            <w:vMerge w:val="continue"/>
            <w:shd w:val="clear" w:color="auto" w:fill="D6F3E8"/>
          </w:tcPr>
          <w:p>
            <w:pPr>
              <w:spacing w:after="0"/>
              <w:rPr>
                <w:sz w:val="17"/>
                <w:szCs w:val="17"/>
                <w:color w:val="auto"/>
              </w:rPr>
            </w:pPr>
          </w:p>
        </w:tc>
        <w:tc>
          <w:tcPr>
            <w:tcW w:w="0" w:type="dxa"/>
            <w:vAlign w:val="bottom"/>
          </w:tcPr>
          <w:p>
            <w:pPr>
              <w:spacing w:after="0"/>
              <w:rPr>
                <w:sz w:val="1"/>
                <w:szCs w:val="1"/>
                <w:color w:val="auto"/>
              </w:rPr>
            </w:pPr>
          </w:p>
        </w:tc>
      </w:tr>
      <w:tr>
        <w:trPr>
          <w:trHeight w:val="15"/>
        </w:trPr>
        <w:tc>
          <w:tcPr>
            <w:tcW w:w="4540" w:type="dxa"/>
            <w:vAlign w:val="bottom"/>
          </w:tcPr>
          <w:p>
            <w:pPr>
              <w:spacing w:after="0"/>
              <w:rPr>
                <w:sz w:val="20"/>
                <w:szCs w:val="20"/>
                <w:color w:val="auto"/>
              </w:rPr>
            </w:pPr>
            <w:r>
              <w:rPr>
                <w:rFonts w:ascii="Arial" w:cs="Arial" w:eastAsia="Arial" w:hAnsi="Arial"/>
                <w:sz w:val="1"/>
                <w:szCs w:val="1"/>
                <w:color w:val="auto"/>
              </w:rPr>
              <w:t>William J. O’Leary</w:t>
            </w:r>
          </w:p>
        </w:tc>
        <w:tc>
          <w:tcPr>
            <w:tcW w:w="3640" w:type="dxa"/>
            <w:vAlign w:val="bottom"/>
          </w:tcPr>
          <w:p>
            <w:pPr>
              <w:jc w:val="right"/>
              <w:ind w:right="1552"/>
              <w:spacing w:after="0"/>
              <w:rPr>
                <w:sz w:val="20"/>
                <w:szCs w:val="20"/>
                <w:color w:val="auto"/>
              </w:rPr>
            </w:pPr>
            <w:r>
              <w:rPr>
                <w:rFonts w:ascii="Arial" w:cs="Arial" w:eastAsia="Arial" w:hAnsi="Arial"/>
                <w:sz w:val="1"/>
                <w:szCs w:val="1"/>
                <w:color w:val="auto"/>
              </w:rPr>
              <w:t>47,333</w:t>
            </w:r>
          </w:p>
        </w:tc>
        <w:tc>
          <w:tcPr>
            <w:tcW w:w="2100" w:type="dxa"/>
            <w:vAlign w:val="bottom"/>
            <w:vMerge w:val="restart"/>
          </w:tcPr>
          <w:p>
            <w:pPr>
              <w:jc w:val="center"/>
              <w:ind w:left="568"/>
              <w:spacing w:after="0"/>
              <w:rPr>
                <w:sz w:val="20"/>
                <w:szCs w:val="20"/>
                <w:color w:val="auto"/>
              </w:rPr>
            </w:pPr>
            <w:r>
              <w:rPr>
                <w:rFonts w:ascii="Arial" w:cs="Arial" w:eastAsia="Arial" w:hAnsi="Arial"/>
                <w:sz w:val="15"/>
                <w:szCs w:val="15"/>
                <w:color w:val="auto"/>
                <w:w w:val="97"/>
              </w:rPr>
              <w:t>(5)</w:t>
            </w:r>
          </w:p>
        </w:tc>
        <w:tc>
          <w:tcPr>
            <w:tcW w:w="0" w:type="dxa"/>
            <w:vAlign w:val="bottom"/>
          </w:tcPr>
          <w:p>
            <w:pPr>
              <w:spacing w:after="0" w:line="20" w:lineRule="exact"/>
              <w:rPr>
                <w:sz w:val="1"/>
                <w:szCs w:val="1"/>
                <w:color w:val="auto"/>
              </w:rPr>
            </w:pPr>
          </w:p>
        </w:tc>
      </w:tr>
      <w:tr>
        <w:trPr>
          <w:trHeight w:val="190"/>
        </w:trPr>
        <w:tc>
          <w:tcPr>
            <w:tcW w:w="4540" w:type="dxa"/>
            <w:vAlign w:val="bottom"/>
          </w:tcPr>
          <w:p>
            <w:pPr>
              <w:spacing w:after="0"/>
              <w:rPr>
                <w:sz w:val="16"/>
                <w:szCs w:val="16"/>
                <w:color w:val="auto"/>
              </w:rPr>
            </w:pPr>
          </w:p>
        </w:tc>
        <w:tc>
          <w:tcPr>
            <w:tcW w:w="3640" w:type="dxa"/>
            <w:vAlign w:val="bottom"/>
          </w:tcPr>
          <w:p>
            <w:pPr>
              <w:ind w:left="2040"/>
              <w:spacing w:after="0"/>
              <w:rPr>
                <w:sz w:val="20"/>
                <w:szCs w:val="20"/>
                <w:color w:val="auto"/>
              </w:rPr>
            </w:pPr>
            <w:r>
              <w:rPr>
                <w:rFonts w:ascii="Arial" w:cs="Arial" w:eastAsia="Arial" w:hAnsi="Arial"/>
                <w:sz w:val="15"/>
                <w:szCs w:val="15"/>
                <w:color w:val="auto"/>
              </w:rPr>
              <w:t>(3)</w:t>
            </w:r>
          </w:p>
        </w:tc>
        <w:tc>
          <w:tcPr>
            <w:tcW w:w="2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540" w:type="dxa"/>
            <w:vAlign w:val="bottom"/>
            <w:shd w:val="clear" w:color="auto" w:fill="D6F3E8"/>
          </w:tcPr>
          <w:p>
            <w:pPr>
              <w:spacing w:after="0" w:line="27" w:lineRule="exact"/>
              <w:rPr>
                <w:sz w:val="20"/>
                <w:szCs w:val="20"/>
                <w:color w:val="auto"/>
              </w:rPr>
            </w:pPr>
            <w:r>
              <w:rPr>
                <w:rFonts w:ascii="Arial" w:cs="Arial" w:eastAsia="Arial" w:hAnsi="Arial"/>
                <w:sz w:val="3"/>
                <w:szCs w:val="3"/>
                <w:color w:val="auto"/>
              </w:rPr>
              <w:t>Robert J. Olson</w:t>
            </w:r>
          </w:p>
        </w:tc>
        <w:tc>
          <w:tcPr>
            <w:tcW w:w="3640" w:type="dxa"/>
            <w:vAlign w:val="bottom"/>
            <w:shd w:val="clear" w:color="auto" w:fill="D6F3E8"/>
          </w:tcPr>
          <w:p>
            <w:pPr>
              <w:jc w:val="right"/>
              <w:ind w:right="1552"/>
              <w:spacing w:after="0" w:line="27" w:lineRule="exact"/>
              <w:rPr>
                <w:sz w:val="20"/>
                <w:szCs w:val="20"/>
                <w:color w:val="auto"/>
              </w:rPr>
            </w:pPr>
            <w:r>
              <w:rPr>
                <w:rFonts w:ascii="Arial" w:cs="Arial" w:eastAsia="Arial" w:hAnsi="Arial"/>
                <w:sz w:val="3"/>
                <w:szCs w:val="3"/>
                <w:color w:val="auto"/>
              </w:rPr>
              <w:t>60,583</w:t>
            </w:r>
          </w:p>
        </w:tc>
        <w:tc>
          <w:tcPr>
            <w:tcW w:w="2100" w:type="dxa"/>
            <w:vAlign w:val="bottom"/>
            <w:vMerge w:val="restart"/>
            <w:shd w:val="clear" w:color="auto" w:fill="D6F3E8"/>
          </w:tcPr>
          <w:p>
            <w:pPr>
              <w:jc w:val="center"/>
              <w:ind w:left="568"/>
              <w:spacing w:after="0"/>
              <w:rPr>
                <w:sz w:val="20"/>
                <w:szCs w:val="20"/>
                <w:color w:val="auto"/>
              </w:rPr>
            </w:pPr>
            <w:r>
              <w:rPr>
                <w:rFonts w:ascii="Arial" w:cs="Arial" w:eastAsia="Arial" w:hAnsi="Arial"/>
                <w:sz w:val="15"/>
                <w:szCs w:val="15"/>
                <w:color w:val="auto"/>
                <w:w w:val="97"/>
              </w:rPr>
              <w:t>(5)</w:t>
            </w:r>
          </w:p>
        </w:tc>
        <w:tc>
          <w:tcPr>
            <w:tcW w:w="0" w:type="dxa"/>
            <w:vAlign w:val="bottom"/>
          </w:tcPr>
          <w:p>
            <w:pPr>
              <w:spacing w:after="0" w:line="20" w:lineRule="exact"/>
              <w:rPr>
                <w:sz w:val="1"/>
                <w:szCs w:val="1"/>
                <w:color w:val="auto"/>
              </w:rPr>
            </w:pPr>
          </w:p>
        </w:tc>
      </w:tr>
      <w:tr>
        <w:trPr>
          <w:trHeight w:val="201"/>
        </w:trPr>
        <w:tc>
          <w:tcPr>
            <w:tcW w:w="4540" w:type="dxa"/>
            <w:vAlign w:val="bottom"/>
            <w:shd w:val="clear" w:color="auto" w:fill="D6F3E8"/>
          </w:tcPr>
          <w:p>
            <w:pPr>
              <w:spacing w:after="0"/>
              <w:rPr>
                <w:sz w:val="17"/>
                <w:szCs w:val="17"/>
                <w:color w:val="auto"/>
              </w:rPr>
            </w:pPr>
          </w:p>
        </w:tc>
        <w:tc>
          <w:tcPr>
            <w:tcW w:w="3640" w:type="dxa"/>
            <w:vAlign w:val="bottom"/>
            <w:shd w:val="clear" w:color="auto" w:fill="D6F3E8"/>
          </w:tcPr>
          <w:p>
            <w:pPr>
              <w:ind w:left="2040"/>
              <w:spacing w:after="0"/>
              <w:rPr>
                <w:sz w:val="20"/>
                <w:szCs w:val="20"/>
                <w:color w:val="auto"/>
              </w:rPr>
            </w:pPr>
            <w:r>
              <w:rPr>
                <w:rFonts w:ascii="Arial" w:cs="Arial" w:eastAsia="Arial" w:hAnsi="Arial"/>
                <w:sz w:val="15"/>
                <w:szCs w:val="15"/>
                <w:color w:val="auto"/>
              </w:rPr>
              <w:t>(3)</w:t>
            </w:r>
          </w:p>
        </w:tc>
        <w:tc>
          <w:tcPr>
            <w:tcW w:w="2100" w:type="dxa"/>
            <w:vAlign w:val="bottom"/>
            <w:vMerge w:val="continue"/>
            <w:shd w:val="clear" w:color="auto" w:fill="D6F3E8"/>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540" w:type="dxa"/>
            <w:vAlign w:val="bottom"/>
          </w:tcPr>
          <w:p>
            <w:pPr>
              <w:spacing w:after="0" w:line="201" w:lineRule="exact"/>
              <w:rPr>
                <w:sz w:val="20"/>
                <w:szCs w:val="20"/>
                <w:color w:val="auto"/>
              </w:rPr>
            </w:pPr>
            <w:r>
              <w:rPr>
                <w:rFonts w:ascii="Arial" w:cs="Arial" w:eastAsia="Arial" w:hAnsi="Arial"/>
                <w:sz w:val="18"/>
                <w:szCs w:val="18"/>
                <w:color w:val="auto"/>
              </w:rPr>
              <w:t>Directors and executive officers as a group</w:t>
            </w:r>
          </w:p>
        </w:tc>
        <w:tc>
          <w:tcPr>
            <w:tcW w:w="3640" w:type="dxa"/>
            <w:vAlign w:val="bottom"/>
            <w:vMerge w:val="restart"/>
          </w:tcPr>
          <w:p>
            <w:pPr>
              <w:jc w:val="right"/>
              <w:ind w:right="1552"/>
              <w:spacing w:after="0"/>
              <w:rPr>
                <w:sz w:val="20"/>
                <w:szCs w:val="20"/>
                <w:color w:val="auto"/>
              </w:rPr>
            </w:pPr>
            <w:r>
              <w:rPr>
                <w:rFonts w:ascii="Arial" w:cs="Arial" w:eastAsia="Arial" w:hAnsi="Arial"/>
                <w:sz w:val="18"/>
                <w:szCs w:val="18"/>
                <w:color w:val="auto"/>
              </w:rPr>
              <w:t>946,607</w:t>
            </w:r>
          </w:p>
        </w:tc>
        <w:tc>
          <w:tcPr>
            <w:tcW w:w="2100" w:type="dxa"/>
            <w:vAlign w:val="bottom"/>
            <w:vMerge w:val="restart"/>
          </w:tcPr>
          <w:p>
            <w:pPr>
              <w:jc w:val="center"/>
              <w:ind w:left="568"/>
              <w:spacing w:after="0"/>
              <w:rPr>
                <w:sz w:val="20"/>
                <w:szCs w:val="20"/>
                <w:color w:val="auto"/>
              </w:rPr>
            </w:pPr>
            <w:r>
              <w:rPr>
                <w:rFonts w:ascii="Arial" w:cs="Arial" w:eastAsia="Arial" w:hAnsi="Arial"/>
                <w:sz w:val="18"/>
                <w:szCs w:val="18"/>
                <w:color w:val="auto"/>
                <w:w w:val="87"/>
              </w:rPr>
              <w:t>3.2</w:t>
            </w:r>
          </w:p>
        </w:tc>
        <w:tc>
          <w:tcPr>
            <w:tcW w:w="0" w:type="dxa"/>
            <w:vAlign w:val="bottom"/>
          </w:tcPr>
          <w:p>
            <w:pPr>
              <w:spacing w:after="0"/>
              <w:rPr>
                <w:sz w:val="1"/>
                <w:szCs w:val="1"/>
                <w:color w:val="auto"/>
              </w:rPr>
            </w:pPr>
          </w:p>
        </w:tc>
      </w:tr>
      <w:tr>
        <w:trPr>
          <w:trHeight w:val="29"/>
        </w:trPr>
        <w:tc>
          <w:tcPr>
            <w:tcW w:w="4540" w:type="dxa"/>
            <w:vAlign w:val="bottom"/>
          </w:tcPr>
          <w:p>
            <w:pPr>
              <w:ind w:left="100"/>
              <w:spacing w:after="0" w:line="30" w:lineRule="exact"/>
              <w:rPr>
                <w:sz w:val="20"/>
                <w:szCs w:val="20"/>
                <w:color w:val="auto"/>
              </w:rPr>
            </w:pPr>
            <w:r>
              <w:rPr>
                <w:rFonts w:ascii="Arial" w:cs="Arial" w:eastAsia="Arial" w:hAnsi="Arial"/>
                <w:sz w:val="3"/>
                <w:szCs w:val="3"/>
                <w:color w:val="auto"/>
              </w:rPr>
              <w:t>(19 persons)</w:t>
            </w:r>
          </w:p>
        </w:tc>
        <w:tc>
          <w:tcPr>
            <w:tcW w:w="3640" w:type="dxa"/>
            <w:vAlign w:val="bottom"/>
            <w:vMerge w:val="continue"/>
          </w:tcPr>
          <w:p>
            <w:pPr>
              <w:spacing w:after="0"/>
              <w:rPr>
                <w:sz w:val="2"/>
                <w:szCs w:val="2"/>
                <w:color w:val="auto"/>
              </w:rPr>
            </w:pPr>
          </w:p>
        </w:tc>
        <w:tc>
          <w:tcPr>
            <w:tcW w:w="21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4540" w:type="dxa"/>
            <w:vAlign w:val="bottom"/>
          </w:tcPr>
          <w:p>
            <w:pPr>
              <w:spacing w:after="0"/>
              <w:rPr>
                <w:sz w:val="16"/>
                <w:szCs w:val="16"/>
                <w:color w:val="auto"/>
              </w:rPr>
            </w:pPr>
          </w:p>
        </w:tc>
        <w:tc>
          <w:tcPr>
            <w:tcW w:w="3640" w:type="dxa"/>
            <w:vAlign w:val="bottom"/>
          </w:tcPr>
          <w:p>
            <w:pPr>
              <w:ind w:left="2040"/>
              <w:spacing w:after="0"/>
              <w:rPr>
                <w:sz w:val="20"/>
                <w:szCs w:val="20"/>
                <w:color w:val="auto"/>
              </w:rPr>
            </w:pPr>
            <w:r>
              <w:rPr>
                <w:rFonts w:ascii="Arial" w:cs="Arial" w:eastAsia="Arial" w:hAnsi="Arial"/>
                <w:sz w:val="15"/>
                <w:szCs w:val="15"/>
                <w:color w:val="auto"/>
              </w:rPr>
              <w:t>(3)(4)</w:t>
            </w:r>
          </w:p>
        </w:tc>
        <w:tc>
          <w:tcPr>
            <w:tcW w:w="2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146621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ind w:left="540" w:hanging="478"/>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Includes shares held jointly with or by spouse and shares held as custodian, beneficial ownership of which is disclaimed.</w:t>
      </w:r>
    </w:p>
    <w:p>
      <w:pPr>
        <w:spacing w:after="0" w:line="95" w:lineRule="exact"/>
        <w:rPr>
          <w:rFonts w:ascii="Arial" w:cs="Arial" w:eastAsia="Arial" w:hAnsi="Arial"/>
          <w:sz w:val="14"/>
          <w:szCs w:val="14"/>
          <w:color w:val="auto"/>
        </w:rPr>
      </w:pPr>
    </w:p>
    <w:p>
      <w:pPr>
        <w:ind w:left="540" w:right="260" w:hanging="478"/>
        <w:spacing w:after="0" w:line="238" w:lineRule="auto"/>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Based on 29,553,807 outstanding shares of Common Stock on October 9, 2007, together with shares representing the 49,738 Winnebago Stock Units held by directors under the Company’s Directors’ Deferred Compensation Plan as of October 9, 2007 and 729,687 shares that directors and executive officers as a group have the right to acquire within 60 days of October 9, 2007 through the exercise of stock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4" w:lineRule="exact"/>
        <w:rPr>
          <w:sz w:val="20"/>
          <w:szCs w:val="20"/>
          <w:color w:val="auto"/>
        </w:rPr>
      </w:pPr>
    </w:p>
    <w:p>
      <w:pPr>
        <w:ind w:left="540" w:right="140" w:hanging="478"/>
        <w:spacing w:after="0" w:line="253" w:lineRule="auto"/>
        <w:tabs>
          <w:tab w:leader="none" w:pos="5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the following shares in which the respective directors and executive officers, individually and as a group, have the right to acquire within 60 days of October 9, 2007 through the exercise of stock options.</w:t>
      </w:r>
    </w:p>
    <w:tbl>
      <w:tblPr>
        <w:tblLayout w:type="fixed"/>
        <w:tblInd w:w="580" w:type="dxa"/>
        <w:tblCellMar>
          <w:top w:w="0" w:type="dxa"/>
          <w:left w:w="0" w:type="dxa"/>
          <w:bottom w:w="0" w:type="dxa"/>
          <w:right w:w="0" w:type="dxa"/>
        </w:tblCellMar>
      </w:tblPr>
      <w:tr>
        <w:trPr>
          <w:trHeight w:val="156"/>
        </w:trPr>
        <w:tc>
          <w:tcPr>
            <w:tcW w:w="8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Director/Executive Officer</w:t>
            </w:r>
          </w:p>
        </w:tc>
        <w:tc>
          <w:tcPr>
            <w:tcW w:w="1340" w:type="dxa"/>
            <w:vAlign w:val="bottom"/>
          </w:tcPr>
          <w:p>
            <w:pPr>
              <w:jc w:val="right"/>
              <w:ind w:right="248"/>
              <w:spacing w:after="0" w:line="156" w:lineRule="exact"/>
              <w:rPr>
                <w:sz w:val="20"/>
                <w:szCs w:val="20"/>
                <w:color w:val="auto"/>
              </w:rPr>
            </w:pPr>
            <w:r>
              <w:rPr>
                <w:rFonts w:ascii="Arial" w:cs="Arial" w:eastAsia="Arial" w:hAnsi="Arial"/>
                <w:sz w:val="14"/>
                <w:szCs w:val="14"/>
                <w:b w:val="1"/>
                <w:bCs w:val="1"/>
                <w:color w:val="auto"/>
              </w:rPr>
              <w:t>Exercisable</w:t>
            </w:r>
          </w:p>
        </w:tc>
        <w:tc>
          <w:tcPr>
            <w:tcW w:w="0" w:type="dxa"/>
            <w:vAlign w:val="bottom"/>
          </w:tcPr>
          <w:p>
            <w:pPr>
              <w:spacing w:after="0"/>
              <w:rPr>
                <w:sz w:val="1"/>
                <w:szCs w:val="1"/>
                <w:color w:val="auto"/>
              </w:rPr>
            </w:pPr>
          </w:p>
        </w:tc>
      </w:tr>
      <w:tr>
        <w:trPr>
          <w:trHeight w:val="186"/>
        </w:trPr>
        <w:tc>
          <w:tcPr>
            <w:tcW w:w="8940" w:type="dxa"/>
            <w:vAlign w:val="bottom"/>
            <w:gridSpan w:val="3"/>
            <w:vMerge w:val="continue"/>
          </w:tcPr>
          <w:p>
            <w:pPr>
              <w:spacing w:after="0"/>
              <w:rPr>
                <w:sz w:val="16"/>
                <w:szCs w:val="16"/>
                <w:color w:val="auto"/>
              </w:rPr>
            </w:pPr>
          </w:p>
        </w:tc>
        <w:tc>
          <w:tcPr>
            <w:tcW w:w="1340" w:type="dxa"/>
            <w:vAlign w:val="bottom"/>
          </w:tcPr>
          <w:p>
            <w:pPr>
              <w:jc w:val="right"/>
              <w:ind w:right="168"/>
              <w:spacing w:after="0"/>
              <w:rPr>
                <w:sz w:val="20"/>
                <w:szCs w:val="20"/>
                <w:color w:val="auto"/>
              </w:rPr>
            </w:pPr>
            <w:r>
              <w:rPr>
                <w:rFonts w:ascii="Arial" w:cs="Arial" w:eastAsia="Arial" w:hAnsi="Arial"/>
                <w:sz w:val="14"/>
                <w:szCs w:val="14"/>
                <w:b w:val="1"/>
                <w:bCs w:val="1"/>
                <w:color w:val="auto"/>
              </w:rPr>
              <w:t>Stock Options</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880" w:type="dxa"/>
            <w:vAlign w:val="bottom"/>
            <w:tcBorders>
              <w:bottom w:val="single" w:sz="8" w:color="auto"/>
            </w:tcBorders>
          </w:tcPr>
          <w:p>
            <w:pPr>
              <w:spacing w:after="0"/>
              <w:rPr>
                <w:sz w:val="8"/>
                <w:szCs w:val="8"/>
                <w:color w:val="auto"/>
              </w:rPr>
            </w:pPr>
          </w:p>
        </w:tc>
        <w:tc>
          <w:tcPr>
            <w:tcW w:w="7040" w:type="dxa"/>
            <w:vAlign w:val="bottom"/>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80" w:type="dxa"/>
            <w:vAlign w:val="bottom"/>
          </w:tcPr>
          <w:p>
            <w:pPr>
              <w:spacing w:after="0"/>
              <w:rPr>
                <w:sz w:val="8"/>
                <w:szCs w:val="8"/>
                <w:color w:val="auto"/>
              </w:rPr>
            </w:pPr>
          </w:p>
        </w:tc>
        <w:tc>
          <w:tcPr>
            <w:tcW w:w="70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920" w:type="dxa"/>
            <w:vAlign w:val="bottom"/>
            <w:gridSpan w:val="2"/>
            <w:shd w:val="clear" w:color="auto" w:fill="D6F3E8"/>
          </w:tcPr>
          <w:p>
            <w:pPr>
              <w:spacing w:after="0" w:line="149" w:lineRule="exact"/>
              <w:rPr>
                <w:sz w:val="20"/>
                <w:szCs w:val="20"/>
                <w:color w:val="auto"/>
              </w:rPr>
            </w:pPr>
            <w:r>
              <w:rPr>
                <w:rFonts w:ascii="Arial" w:cs="Arial" w:eastAsia="Arial" w:hAnsi="Arial"/>
                <w:sz w:val="14"/>
                <w:szCs w:val="14"/>
                <w:color w:val="auto"/>
              </w:rPr>
              <w:t>Aal</w:t>
            </w:r>
          </w:p>
        </w:tc>
        <w:tc>
          <w:tcPr>
            <w:tcW w:w="1340" w:type="dxa"/>
            <w:vAlign w:val="bottom"/>
            <w:shd w:val="clear" w:color="auto" w:fill="D6F3E8"/>
          </w:tcPr>
          <w:p>
            <w:pPr>
              <w:jc w:val="right"/>
              <w:ind w:right="448"/>
              <w:spacing w:after="0" w:line="149" w:lineRule="exact"/>
              <w:rPr>
                <w:sz w:val="20"/>
                <w:szCs w:val="20"/>
                <w:color w:val="auto"/>
              </w:rPr>
            </w:pPr>
            <w:r>
              <w:rPr>
                <w:rFonts w:ascii="Arial" w:cs="Arial" w:eastAsia="Arial" w:hAnsi="Arial"/>
                <w:sz w:val="14"/>
                <w:szCs w:val="14"/>
                <w:color w:val="auto"/>
              </w:rPr>
              <w:t>28,000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20" w:type="dxa"/>
            <w:vAlign w:val="bottom"/>
            <w:gridSpan w:val="2"/>
          </w:tcPr>
          <w:p>
            <w:pPr>
              <w:spacing w:after="0" w:line="149" w:lineRule="exact"/>
              <w:rPr>
                <w:sz w:val="20"/>
                <w:szCs w:val="20"/>
                <w:color w:val="auto"/>
              </w:rPr>
            </w:pPr>
            <w:r>
              <w:rPr>
                <w:rFonts w:ascii="Arial" w:cs="Arial" w:eastAsia="Arial" w:hAnsi="Arial"/>
                <w:sz w:val="14"/>
                <w:szCs w:val="14"/>
                <w:color w:val="auto"/>
              </w:rPr>
              <w:t>Barker</w:t>
            </w:r>
          </w:p>
        </w:tc>
        <w:tc>
          <w:tcPr>
            <w:tcW w:w="1340" w:type="dxa"/>
            <w:vAlign w:val="bottom"/>
          </w:tcPr>
          <w:p>
            <w:pPr>
              <w:jc w:val="right"/>
              <w:ind w:right="448"/>
              <w:spacing w:after="0" w:line="149" w:lineRule="exact"/>
              <w:rPr>
                <w:sz w:val="20"/>
                <w:szCs w:val="20"/>
                <w:color w:val="auto"/>
              </w:rPr>
            </w:pPr>
            <w:r>
              <w:rPr>
                <w:rFonts w:ascii="Arial" w:cs="Arial" w:eastAsia="Arial" w:hAnsi="Arial"/>
                <w:sz w:val="14"/>
                <w:szCs w:val="14"/>
                <w:color w:val="auto"/>
              </w:rPr>
              <w:t>54,777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20" w:type="dxa"/>
            <w:vAlign w:val="bottom"/>
            <w:gridSpan w:val="2"/>
            <w:shd w:val="clear" w:color="auto" w:fill="D6F3E8"/>
          </w:tcPr>
          <w:p>
            <w:pPr>
              <w:spacing w:after="0" w:line="149" w:lineRule="exact"/>
              <w:rPr>
                <w:sz w:val="20"/>
                <w:szCs w:val="20"/>
                <w:color w:val="auto"/>
              </w:rPr>
            </w:pPr>
            <w:r>
              <w:rPr>
                <w:rFonts w:ascii="Arial" w:cs="Arial" w:eastAsia="Arial" w:hAnsi="Arial"/>
                <w:sz w:val="14"/>
                <w:szCs w:val="14"/>
                <w:color w:val="auto"/>
              </w:rPr>
              <w:t>Beebe</w:t>
            </w:r>
          </w:p>
        </w:tc>
        <w:tc>
          <w:tcPr>
            <w:tcW w:w="1340" w:type="dxa"/>
            <w:vAlign w:val="bottom"/>
            <w:shd w:val="clear" w:color="auto" w:fill="D6F3E8"/>
          </w:tcPr>
          <w:p>
            <w:pPr>
              <w:jc w:val="right"/>
              <w:ind w:right="448"/>
              <w:spacing w:after="0" w:line="149" w:lineRule="exact"/>
              <w:rPr>
                <w:sz w:val="20"/>
                <w:szCs w:val="20"/>
                <w:color w:val="auto"/>
              </w:rPr>
            </w:pPr>
            <w:r>
              <w:rPr>
                <w:rFonts w:ascii="Arial" w:cs="Arial" w:eastAsia="Arial" w:hAnsi="Arial"/>
                <w:sz w:val="14"/>
                <w:szCs w:val="14"/>
                <w:color w:val="auto"/>
              </w:rPr>
              <w:t>35,833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20" w:type="dxa"/>
            <w:vAlign w:val="bottom"/>
            <w:gridSpan w:val="2"/>
          </w:tcPr>
          <w:p>
            <w:pPr>
              <w:spacing w:after="0" w:line="149" w:lineRule="exact"/>
              <w:rPr>
                <w:sz w:val="20"/>
                <w:szCs w:val="20"/>
                <w:color w:val="auto"/>
              </w:rPr>
            </w:pPr>
            <w:r>
              <w:rPr>
                <w:rFonts w:ascii="Arial" w:cs="Arial" w:eastAsia="Arial" w:hAnsi="Arial"/>
                <w:sz w:val="14"/>
                <w:szCs w:val="14"/>
                <w:color w:val="auto"/>
              </w:rPr>
              <w:t>Currie</w:t>
            </w:r>
          </w:p>
        </w:tc>
        <w:tc>
          <w:tcPr>
            <w:tcW w:w="1340" w:type="dxa"/>
            <w:vAlign w:val="bottom"/>
          </w:tcPr>
          <w:p>
            <w:pPr>
              <w:jc w:val="right"/>
              <w:ind w:right="448"/>
              <w:spacing w:after="0" w:line="149" w:lineRule="exact"/>
              <w:rPr>
                <w:sz w:val="20"/>
                <w:szCs w:val="20"/>
                <w:color w:val="auto"/>
              </w:rPr>
            </w:pPr>
            <w:r>
              <w:rPr>
                <w:rFonts w:ascii="Arial" w:cs="Arial" w:eastAsia="Arial" w:hAnsi="Arial"/>
                <w:sz w:val="14"/>
                <w:szCs w:val="14"/>
                <w:color w:val="auto"/>
              </w:rPr>
              <w:t>32,000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20" w:type="dxa"/>
            <w:vAlign w:val="bottom"/>
            <w:gridSpan w:val="2"/>
            <w:shd w:val="clear" w:color="auto" w:fill="D6F3E8"/>
          </w:tcPr>
          <w:p>
            <w:pPr>
              <w:spacing w:after="0" w:line="149" w:lineRule="exact"/>
              <w:rPr>
                <w:sz w:val="20"/>
                <w:szCs w:val="20"/>
                <w:color w:val="auto"/>
              </w:rPr>
            </w:pPr>
            <w:r>
              <w:rPr>
                <w:rFonts w:ascii="Arial" w:cs="Arial" w:eastAsia="Arial" w:hAnsi="Arial"/>
                <w:sz w:val="14"/>
                <w:szCs w:val="14"/>
                <w:color w:val="auto"/>
              </w:rPr>
              <w:t>England</w:t>
            </w:r>
          </w:p>
        </w:tc>
        <w:tc>
          <w:tcPr>
            <w:tcW w:w="1340" w:type="dxa"/>
            <w:vAlign w:val="bottom"/>
            <w:shd w:val="clear" w:color="auto" w:fill="D6F3E8"/>
          </w:tcPr>
          <w:p>
            <w:pPr>
              <w:jc w:val="right"/>
              <w:ind w:right="448"/>
              <w:spacing w:after="0" w:line="149" w:lineRule="exact"/>
              <w:rPr>
                <w:sz w:val="20"/>
                <w:szCs w:val="20"/>
                <w:color w:val="auto"/>
              </w:rPr>
            </w:pPr>
            <w:r>
              <w:rPr>
                <w:rFonts w:ascii="Arial" w:cs="Arial" w:eastAsia="Arial" w:hAnsi="Arial"/>
                <w:sz w:val="14"/>
                <w:szCs w:val="14"/>
                <w:color w:val="auto"/>
              </w:rPr>
              <w:t>40,000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20" w:type="dxa"/>
            <w:vAlign w:val="bottom"/>
            <w:gridSpan w:val="2"/>
          </w:tcPr>
          <w:p>
            <w:pPr>
              <w:spacing w:after="0" w:line="149" w:lineRule="exact"/>
              <w:rPr>
                <w:sz w:val="20"/>
                <w:szCs w:val="20"/>
                <w:color w:val="auto"/>
              </w:rPr>
            </w:pPr>
            <w:r>
              <w:rPr>
                <w:rFonts w:ascii="Arial" w:cs="Arial" w:eastAsia="Arial" w:hAnsi="Arial"/>
                <w:sz w:val="14"/>
                <w:szCs w:val="14"/>
                <w:color w:val="auto"/>
              </w:rPr>
              <w:t>Erickson</w:t>
            </w:r>
          </w:p>
        </w:tc>
        <w:tc>
          <w:tcPr>
            <w:tcW w:w="1340" w:type="dxa"/>
            <w:vAlign w:val="bottom"/>
          </w:tcPr>
          <w:p>
            <w:pPr>
              <w:jc w:val="right"/>
              <w:ind w:right="448"/>
              <w:spacing w:after="0" w:line="149" w:lineRule="exact"/>
              <w:rPr>
                <w:sz w:val="20"/>
                <w:szCs w:val="20"/>
                <w:color w:val="auto"/>
              </w:rPr>
            </w:pPr>
            <w:r>
              <w:rPr>
                <w:rFonts w:ascii="Arial" w:cs="Arial" w:eastAsia="Arial" w:hAnsi="Arial"/>
                <w:sz w:val="14"/>
                <w:szCs w:val="14"/>
                <w:color w:val="auto"/>
              </w:rPr>
              <w:t>14,000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20" w:type="dxa"/>
            <w:vAlign w:val="bottom"/>
            <w:gridSpan w:val="2"/>
            <w:shd w:val="clear" w:color="auto" w:fill="D6F3E8"/>
          </w:tcPr>
          <w:p>
            <w:pPr>
              <w:spacing w:after="0" w:line="149" w:lineRule="exact"/>
              <w:rPr>
                <w:sz w:val="20"/>
                <w:szCs w:val="20"/>
                <w:color w:val="auto"/>
              </w:rPr>
            </w:pPr>
            <w:r>
              <w:rPr>
                <w:rFonts w:ascii="Arial" w:cs="Arial" w:eastAsia="Arial" w:hAnsi="Arial"/>
                <w:sz w:val="14"/>
                <w:szCs w:val="14"/>
                <w:color w:val="auto"/>
              </w:rPr>
              <w:t>Hanson</w:t>
            </w:r>
          </w:p>
        </w:tc>
        <w:tc>
          <w:tcPr>
            <w:tcW w:w="1340" w:type="dxa"/>
            <w:vAlign w:val="bottom"/>
            <w:shd w:val="clear" w:color="auto" w:fill="D6F3E8"/>
          </w:tcPr>
          <w:p>
            <w:pPr>
              <w:jc w:val="right"/>
              <w:ind w:right="448"/>
              <w:spacing w:after="0" w:line="149" w:lineRule="exact"/>
              <w:rPr>
                <w:sz w:val="20"/>
                <w:szCs w:val="20"/>
                <w:color w:val="auto"/>
              </w:rPr>
            </w:pPr>
            <w:r>
              <w:rPr>
                <w:rFonts w:ascii="Arial" w:cs="Arial" w:eastAsia="Arial" w:hAnsi="Arial"/>
                <w:sz w:val="14"/>
                <w:szCs w:val="14"/>
                <w:color w:val="auto"/>
              </w:rPr>
              <w:t>32,000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20" w:type="dxa"/>
            <w:vAlign w:val="bottom"/>
            <w:gridSpan w:val="2"/>
          </w:tcPr>
          <w:p>
            <w:pPr>
              <w:spacing w:after="0" w:line="149" w:lineRule="exact"/>
              <w:rPr>
                <w:sz w:val="20"/>
                <w:szCs w:val="20"/>
                <w:color w:val="auto"/>
              </w:rPr>
            </w:pPr>
            <w:r>
              <w:rPr>
                <w:rFonts w:ascii="Arial" w:cs="Arial" w:eastAsia="Arial" w:hAnsi="Arial"/>
                <w:sz w:val="14"/>
                <w:szCs w:val="14"/>
                <w:color w:val="auto"/>
              </w:rPr>
              <w:t>Herlitz</w:t>
            </w:r>
          </w:p>
        </w:tc>
        <w:tc>
          <w:tcPr>
            <w:tcW w:w="1340" w:type="dxa"/>
            <w:vAlign w:val="bottom"/>
          </w:tcPr>
          <w:p>
            <w:pPr>
              <w:jc w:val="right"/>
              <w:ind w:right="448"/>
              <w:spacing w:after="0" w:line="149" w:lineRule="exact"/>
              <w:rPr>
                <w:sz w:val="20"/>
                <w:szCs w:val="20"/>
                <w:color w:val="auto"/>
              </w:rPr>
            </w:pPr>
            <w:r>
              <w:rPr>
                <w:rFonts w:ascii="Arial" w:cs="Arial" w:eastAsia="Arial" w:hAnsi="Arial"/>
                <w:sz w:val="14"/>
                <w:szCs w:val="14"/>
                <w:color w:val="auto"/>
              </w:rPr>
              <w:t>14,000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20" w:type="dxa"/>
            <w:vAlign w:val="bottom"/>
            <w:gridSpan w:val="2"/>
            <w:shd w:val="clear" w:color="auto" w:fill="D6F3E8"/>
          </w:tcPr>
          <w:p>
            <w:pPr>
              <w:spacing w:after="0" w:line="149" w:lineRule="exact"/>
              <w:rPr>
                <w:sz w:val="20"/>
                <w:szCs w:val="20"/>
                <w:color w:val="auto"/>
              </w:rPr>
            </w:pPr>
            <w:r>
              <w:rPr>
                <w:rFonts w:ascii="Arial" w:cs="Arial" w:eastAsia="Arial" w:hAnsi="Arial"/>
                <w:sz w:val="14"/>
                <w:szCs w:val="14"/>
                <w:color w:val="auto"/>
              </w:rPr>
              <w:t>Hertzke</w:t>
            </w:r>
          </w:p>
        </w:tc>
        <w:tc>
          <w:tcPr>
            <w:tcW w:w="1340" w:type="dxa"/>
            <w:vAlign w:val="bottom"/>
            <w:shd w:val="clear" w:color="auto" w:fill="D6F3E8"/>
          </w:tcPr>
          <w:p>
            <w:pPr>
              <w:jc w:val="right"/>
              <w:ind w:right="448"/>
              <w:spacing w:after="0" w:line="149" w:lineRule="exact"/>
              <w:rPr>
                <w:sz w:val="20"/>
                <w:szCs w:val="20"/>
                <w:color w:val="auto"/>
              </w:rPr>
            </w:pPr>
            <w:r>
              <w:rPr>
                <w:rFonts w:ascii="Arial" w:cs="Arial" w:eastAsia="Arial" w:hAnsi="Arial"/>
                <w:sz w:val="14"/>
                <w:szCs w:val="14"/>
                <w:color w:val="auto"/>
              </w:rPr>
              <w:t>264,831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20" w:type="dxa"/>
            <w:vAlign w:val="bottom"/>
            <w:gridSpan w:val="2"/>
          </w:tcPr>
          <w:p>
            <w:pPr>
              <w:spacing w:after="0" w:line="149" w:lineRule="exact"/>
              <w:rPr>
                <w:sz w:val="20"/>
                <w:szCs w:val="20"/>
                <w:color w:val="auto"/>
              </w:rPr>
            </w:pPr>
            <w:r>
              <w:rPr>
                <w:rFonts w:ascii="Arial" w:cs="Arial" w:eastAsia="Arial" w:hAnsi="Arial"/>
                <w:sz w:val="14"/>
                <w:szCs w:val="14"/>
                <w:color w:val="auto"/>
              </w:rPr>
              <w:t>Kitch</w:t>
            </w:r>
          </w:p>
        </w:tc>
        <w:tc>
          <w:tcPr>
            <w:tcW w:w="1340" w:type="dxa"/>
            <w:vAlign w:val="bottom"/>
          </w:tcPr>
          <w:p>
            <w:pPr>
              <w:jc w:val="right"/>
              <w:ind w:right="448"/>
              <w:spacing w:after="0" w:line="149" w:lineRule="exact"/>
              <w:rPr>
                <w:sz w:val="20"/>
                <w:szCs w:val="20"/>
                <w:color w:val="auto"/>
              </w:rPr>
            </w:pPr>
            <w:r>
              <w:rPr>
                <w:rFonts w:ascii="Arial" w:cs="Arial" w:eastAsia="Arial" w:hAnsi="Arial"/>
                <w:sz w:val="14"/>
                <w:szCs w:val="14"/>
                <w:color w:val="auto"/>
              </w:rPr>
              <w:t>32,000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20" w:type="dxa"/>
            <w:vAlign w:val="bottom"/>
            <w:gridSpan w:val="2"/>
            <w:shd w:val="clear" w:color="auto" w:fill="D6F3E8"/>
          </w:tcPr>
          <w:p>
            <w:pPr>
              <w:spacing w:after="0" w:line="149" w:lineRule="exact"/>
              <w:rPr>
                <w:sz w:val="20"/>
                <w:szCs w:val="20"/>
                <w:color w:val="auto"/>
              </w:rPr>
            </w:pPr>
            <w:r>
              <w:rPr>
                <w:rFonts w:ascii="Arial" w:cs="Arial" w:eastAsia="Arial" w:hAnsi="Arial"/>
                <w:sz w:val="14"/>
                <w:szCs w:val="14"/>
                <w:color w:val="auto"/>
              </w:rPr>
              <w:t>Nielsen</w:t>
            </w:r>
          </w:p>
        </w:tc>
        <w:tc>
          <w:tcPr>
            <w:tcW w:w="1340" w:type="dxa"/>
            <w:vAlign w:val="bottom"/>
            <w:shd w:val="clear" w:color="auto" w:fill="D6F3E8"/>
          </w:tcPr>
          <w:p>
            <w:pPr>
              <w:jc w:val="right"/>
              <w:ind w:right="448"/>
              <w:spacing w:after="0" w:line="149" w:lineRule="exact"/>
              <w:rPr>
                <w:sz w:val="20"/>
                <w:szCs w:val="20"/>
                <w:color w:val="auto"/>
              </w:rPr>
            </w:pPr>
            <w:r>
              <w:rPr>
                <w:rFonts w:ascii="Arial" w:cs="Arial" w:eastAsia="Arial" w:hAnsi="Arial"/>
                <w:sz w:val="14"/>
                <w:szCs w:val="14"/>
                <w:color w:val="auto"/>
              </w:rPr>
              <w:t>8,333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20" w:type="dxa"/>
            <w:vAlign w:val="bottom"/>
            <w:gridSpan w:val="2"/>
          </w:tcPr>
          <w:p>
            <w:pPr>
              <w:spacing w:after="0" w:line="149" w:lineRule="exact"/>
              <w:rPr>
                <w:sz w:val="20"/>
                <w:szCs w:val="20"/>
                <w:color w:val="auto"/>
              </w:rPr>
            </w:pPr>
            <w:r>
              <w:rPr>
                <w:rFonts w:ascii="Arial" w:cs="Arial" w:eastAsia="Arial" w:hAnsi="Arial"/>
                <w:sz w:val="14"/>
                <w:szCs w:val="14"/>
                <w:color w:val="auto"/>
              </w:rPr>
              <w:t>O’Leary</w:t>
            </w:r>
          </w:p>
        </w:tc>
        <w:tc>
          <w:tcPr>
            <w:tcW w:w="1340" w:type="dxa"/>
            <w:vAlign w:val="bottom"/>
          </w:tcPr>
          <w:p>
            <w:pPr>
              <w:jc w:val="right"/>
              <w:ind w:right="448"/>
              <w:spacing w:after="0" w:line="149" w:lineRule="exact"/>
              <w:rPr>
                <w:sz w:val="20"/>
                <w:szCs w:val="20"/>
                <w:color w:val="auto"/>
              </w:rPr>
            </w:pPr>
            <w:r>
              <w:rPr>
                <w:rFonts w:ascii="Arial" w:cs="Arial" w:eastAsia="Arial" w:hAnsi="Arial"/>
                <w:sz w:val="14"/>
                <w:szCs w:val="14"/>
                <w:color w:val="auto"/>
              </w:rPr>
              <w:t>35,833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20" w:type="dxa"/>
            <w:vAlign w:val="bottom"/>
            <w:gridSpan w:val="2"/>
            <w:shd w:val="clear" w:color="auto" w:fill="D6F3E8"/>
          </w:tcPr>
          <w:p>
            <w:pPr>
              <w:spacing w:after="0" w:line="149" w:lineRule="exact"/>
              <w:rPr>
                <w:sz w:val="20"/>
                <w:szCs w:val="20"/>
                <w:color w:val="auto"/>
              </w:rPr>
            </w:pPr>
            <w:r>
              <w:rPr>
                <w:rFonts w:ascii="Arial" w:cs="Arial" w:eastAsia="Arial" w:hAnsi="Arial"/>
                <w:sz w:val="14"/>
                <w:szCs w:val="14"/>
                <w:color w:val="auto"/>
              </w:rPr>
              <w:t>Olson</w:t>
            </w:r>
          </w:p>
        </w:tc>
        <w:tc>
          <w:tcPr>
            <w:tcW w:w="1340" w:type="dxa"/>
            <w:vAlign w:val="bottom"/>
            <w:shd w:val="clear" w:color="auto" w:fill="D6F3E8"/>
          </w:tcPr>
          <w:p>
            <w:pPr>
              <w:jc w:val="right"/>
              <w:ind w:right="448"/>
              <w:spacing w:after="0" w:line="149" w:lineRule="exact"/>
              <w:rPr>
                <w:sz w:val="20"/>
                <w:szCs w:val="20"/>
                <w:color w:val="auto"/>
              </w:rPr>
            </w:pPr>
            <w:r>
              <w:rPr>
                <w:rFonts w:ascii="Arial" w:cs="Arial" w:eastAsia="Arial" w:hAnsi="Arial"/>
                <w:sz w:val="14"/>
                <w:szCs w:val="14"/>
                <w:color w:val="auto"/>
              </w:rPr>
              <w:t>44,579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920" w:type="dxa"/>
            <w:vAlign w:val="bottom"/>
            <w:gridSpan w:val="2"/>
          </w:tcPr>
          <w:p>
            <w:pPr>
              <w:spacing w:after="0"/>
              <w:rPr>
                <w:sz w:val="20"/>
                <w:szCs w:val="20"/>
                <w:color w:val="auto"/>
              </w:rPr>
            </w:pPr>
            <w:r>
              <w:rPr>
                <w:rFonts w:ascii="Arial" w:cs="Arial" w:eastAsia="Arial" w:hAnsi="Arial"/>
                <w:sz w:val="14"/>
                <w:szCs w:val="14"/>
                <w:color w:val="auto"/>
              </w:rPr>
              <w:t>Total Directors and Executive Officers</w:t>
            </w:r>
          </w:p>
        </w:tc>
        <w:tc>
          <w:tcPr>
            <w:tcW w:w="1340" w:type="dxa"/>
            <w:vAlign w:val="bottom"/>
          </w:tcPr>
          <w:p>
            <w:pPr>
              <w:jc w:val="right"/>
              <w:ind w:right="448"/>
              <w:spacing w:after="0"/>
              <w:rPr>
                <w:sz w:val="20"/>
                <w:szCs w:val="20"/>
                <w:color w:val="auto"/>
              </w:rPr>
            </w:pPr>
            <w:r>
              <w:rPr>
                <w:rFonts w:ascii="Arial" w:cs="Arial" w:eastAsia="Arial" w:hAnsi="Arial"/>
                <w:sz w:val="14"/>
                <w:szCs w:val="14"/>
                <w:color w:val="auto"/>
              </w:rPr>
              <w:t>729,687</w:t>
            </w:r>
          </w:p>
        </w:tc>
        <w:tc>
          <w:tcPr>
            <w:tcW w:w="0" w:type="dxa"/>
            <w:vAlign w:val="bottom"/>
          </w:tcPr>
          <w:p>
            <w:pPr>
              <w:spacing w:after="0"/>
              <w:rPr>
                <w:sz w:val="1"/>
                <w:szCs w:val="1"/>
                <w:color w:val="auto"/>
              </w:rPr>
            </w:pPr>
          </w:p>
        </w:tc>
      </w:tr>
    </w:tbl>
    <w:p>
      <w:pPr>
        <w:spacing w:after="0" w:line="245" w:lineRule="exact"/>
        <w:rPr>
          <w:sz w:val="20"/>
          <w:szCs w:val="20"/>
          <w:color w:val="auto"/>
        </w:rPr>
      </w:pPr>
    </w:p>
    <w:p>
      <w:pPr>
        <w:ind w:left="540" w:right="40" w:hanging="478"/>
        <w:spacing w:after="0" w:line="234" w:lineRule="auto"/>
        <w:tabs>
          <w:tab w:leader="none" w:pos="5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Includes 5,049, 11,974, 3,762, 3,788 and 25,165 Winnebago Stock Units held by Messrs. Aal, England, Erickson, Herlitz and Kitch, respectively, under the Company’s Directors’ Deferred Compensation Plan as of October 9, 2007. Pursuant to an election made by each such director on December 6, 2005, the Winnebago Stock Units are accrued under the Company’s Deferred Compensation Plan and are to be settled 100% in Common Stock upon the earliest of the following events: reporting person’s termination of service as a director, death or disability or a “change in the effective control of the Company” as defined in said Plan.</w:t>
      </w:r>
    </w:p>
    <w:p>
      <w:pPr>
        <w:spacing w:after="0" w:line="74" w:lineRule="exact"/>
        <w:rPr>
          <w:rFonts w:ascii="Arial" w:cs="Arial" w:eastAsia="Arial" w:hAnsi="Arial"/>
          <w:sz w:val="14"/>
          <w:szCs w:val="14"/>
          <w:color w:val="auto"/>
        </w:rPr>
      </w:pPr>
    </w:p>
    <w:p>
      <w:pPr>
        <w:ind w:left="540" w:hanging="478"/>
        <w:spacing w:after="0"/>
        <w:tabs>
          <w:tab w:leader="none" w:pos="5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Less than one percent.</w:t>
      </w:r>
    </w:p>
    <w:p>
      <w:pPr>
        <w:spacing w:after="0" w:line="95" w:lineRule="exact"/>
        <w:rPr>
          <w:rFonts w:ascii="Arial" w:cs="Arial" w:eastAsia="Arial" w:hAnsi="Arial"/>
          <w:sz w:val="14"/>
          <w:szCs w:val="14"/>
          <w:color w:val="auto"/>
        </w:rPr>
      </w:pPr>
    </w:p>
    <w:p>
      <w:pPr>
        <w:ind w:left="540" w:right="60" w:hanging="478"/>
        <w:spacing w:after="0" w:line="227" w:lineRule="auto"/>
        <w:tabs>
          <w:tab w:leader="none" w:pos="5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Does not include the number of shares owned on October 9, 2007 by Hanson Capital Partners, L.L.C. (“HCP”), a Delaware limited liability company whose members are the Luise V. Hanson Qualified Terminable Interest Property Marital Deduction Trust (the “QTIP Trust”), which has a 34.8% membership interest in HCP, and the Luise V. Hanson Revocable Trust, dated September 22, 1984 (the “Revocable Trust”), which has a 64.6% membership interest in HCP. Additionally, John V. Hanson, Mary Joan Boman (the sister of John V. Hanson) and Paul D. Hanson (the brother of John V. Hanson) each have, in their individual capacity, a .2% membership interest in HCP. John V. Hanson (a director of the Company), Mary Joan Boman and Paul D. Hanson (each an “Individual Trustee” and collectively, the “Individual Trustees”) and Bessemer Trust Company, N.A. (the “Corporate Trustee”) act as co-trustees under the QTIP Trust and the Revocable Trust. By virtue of the Revocable Trust’s 64.6% membership interest in HCP, a majority of the Individual Trustees together with the Corporate Trustee have sole voting power with respect to the 1,210,512 shares of Common Stock of which HCP is the beneficial owner. A majority of the Individual Trustees together with the Corporate Trustee have sole dispositive power with respect to the 1,210,512 shares of Common Stock of which HCP is the beneficial owner, except that disposition of all or substantially all of those shares requires the unanimous approval of all members of HCP.</w:t>
      </w:r>
    </w:p>
    <w:p>
      <w:pPr>
        <w:sectPr>
          <w:pgSz w:w="11900" w:h="16838" w:orient="portrait"/>
          <w:cols w:equalWidth="0" w:num="1">
            <w:col w:w="11400"/>
          </w:cols>
          <w:pgMar w:left="240" w:top="122" w:right="259" w:bottom="912" w:gutter="0" w:footer="0" w:header="0"/>
        </w:sectPr>
      </w:pPr>
    </w:p>
    <w:bookmarkStart w:id="5" w:name="page6"/>
    <w:bookmarkEnd w:id="5"/>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ITEM 1</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ELECTION OF DIRECTORS</w:t>
      </w:r>
    </w:p>
    <w:p>
      <w:pPr>
        <w:spacing w:after="0" w:line="195" w:lineRule="exact"/>
        <w:rPr>
          <w:sz w:val="20"/>
          <w:szCs w:val="20"/>
          <w:color w:val="auto"/>
        </w:rPr>
      </w:pPr>
    </w:p>
    <w:p>
      <w:pPr>
        <w:ind w:right="40" w:firstLine="360"/>
        <w:spacing w:after="0" w:line="279" w:lineRule="auto"/>
        <w:rPr>
          <w:sz w:val="20"/>
          <w:szCs w:val="20"/>
          <w:color w:val="auto"/>
        </w:rPr>
      </w:pPr>
      <w:r>
        <w:rPr>
          <w:rFonts w:ascii="Arial" w:cs="Arial" w:eastAsia="Arial" w:hAnsi="Arial"/>
          <w:sz w:val="17"/>
          <w:szCs w:val="17"/>
          <w:color w:val="auto"/>
        </w:rPr>
        <w:t>Our Board of Directors is divided into three classes with staggered terms, each consisting of approximately one-third of the total number of the members of the Board of Directors. Directors are elected for a term of three years. At the Annual Meeting, the term of office of the Class II directors will expire, and three persons will be elected to serve in that class until our fiscal year 2010 Annual Meeting or until their respective successors are elected. The terms of office of the Class III and Class I directors will expire at our fiscal year 2008 and 2009 Annual Meetings, respectively.</w:t>
      </w:r>
    </w:p>
    <w:p>
      <w:pPr>
        <w:spacing w:after="0" w:line="131"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 xml:space="preserve">Discretionary authority is solicited to vote for the election of a substitute for any of said nominees who, for any reason currently unknown, cannot be a candidate for election. </w:t>
      </w:r>
      <w:r>
        <w:rPr>
          <w:rFonts w:ascii="Arial" w:cs="Arial" w:eastAsia="Arial" w:hAnsi="Arial"/>
          <w:sz w:val="18"/>
          <w:szCs w:val="18"/>
          <w:b w:val="1"/>
          <w:bCs w:val="1"/>
          <w:color w:val="auto"/>
        </w:rPr>
        <w:t>The shares represented by proxy will be voted for the election as directors of the nominees for Class II directors named below if</w:t>
      </w:r>
      <w:r>
        <w:rPr>
          <w:rFonts w:ascii="Arial" w:cs="Arial" w:eastAsia="Arial" w:hAnsi="Arial"/>
          <w:sz w:val="18"/>
          <w:szCs w:val="18"/>
          <w:color w:val="auto"/>
        </w:rPr>
        <w:t xml:space="preserve"> </w:t>
      </w:r>
      <w:r>
        <w:rPr>
          <w:rFonts w:ascii="Arial" w:cs="Arial" w:eastAsia="Arial" w:hAnsi="Arial"/>
          <w:sz w:val="18"/>
          <w:szCs w:val="18"/>
          <w:b w:val="1"/>
          <w:bCs w:val="1"/>
          <w:color w:val="auto"/>
        </w:rPr>
        <w:t>no direction is made otherwise. All nominees are currently directors of the Company and were elected by the shareholders at our Annual Meeting held in January 2005.</w:t>
      </w:r>
    </w:p>
    <w:p>
      <w:pPr>
        <w:spacing w:after="0" w:line="139"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720" w:type="dxa"/>
            <w:vAlign w:val="bottom"/>
          </w:tcPr>
          <w:p>
            <w:pPr>
              <w:spacing w:after="0"/>
              <w:rPr>
                <w:sz w:val="14"/>
                <w:szCs w:val="14"/>
                <w:color w:val="auto"/>
              </w:rPr>
            </w:pPr>
          </w:p>
        </w:tc>
        <w:tc>
          <w:tcPr>
            <w:tcW w:w="5560" w:type="dxa"/>
            <w:vAlign w:val="bottom"/>
            <w:vMerge w:val="restart"/>
          </w:tcPr>
          <w:p>
            <w:pPr>
              <w:jc w:val="center"/>
              <w:ind w:left="68"/>
              <w:spacing w:after="0"/>
              <w:rPr>
                <w:sz w:val="20"/>
                <w:szCs w:val="20"/>
                <w:color w:val="auto"/>
              </w:rPr>
            </w:pPr>
            <w:r>
              <w:rPr>
                <w:rFonts w:ascii="Arial" w:cs="Arial" w:eastAsia="Arial" w:hAnsi="Arial"/>
                <w:sz w:val="14"/>
                <w:szCs w:val="14"/>
                <w:b w:val="1"/>
                <w:bCs w:val="1"/>
                <w:color w:val="auto"/>
                <w:w w:val="94"/>
              </w:rPr>
              <w:t>Principal Occupation and Other</w:t>
            </w:r>
          </w:p>
        </w:tc>
        <w:tc>
          <w:tcPr>
            <w:tcW w:w="2320" w:type="dxa"/>
            <w:vAlign w:val="bottom"/>
          </w:tcPr>
          <w:p>
            <w:pPr>
              <w:jc w:val="center"/>
              <w:ind w:left="1628"/>
              <w:spacing w:after="0"/>
              <w:rPr>
                <w:sz w:val="20"/>
                <w:szCs w:val="20"/>
                <w:color w:val="auto"/>
              </w:rPr>
            </w:pPr>
            <w:r>
              <w:rPr>
                <w:rFonts w:ascii="Arial" w:cs="Arial" w:eastAsia="Arial" w:hAnsi="Arial"/>
                <w:sz w:val="14"/>
                <w:szCs w:val="14"/>
                <w:b w:val="1"/>
                <w:bCs w:val="1"/>
                <w:color w:val="auto"/>
                <w:w w:val="95"/>
              </w:rPr>
              <w:t>Year First</w:t>
            </w:r>
          </w:p>
        </w:tc>
        <w:tc>
          <w:tcPr>
            <w:tcW w:w="0" w:type="dxa"/>
            <w:vAlign w:val="bottom"/>
          </w:tcPr>
          <w:p>
            <w:pPr>
              <w:spacing w:after="0"/>
              <w:rPr>
                <w:sz w:val="1"/>
                <w:szCs w:val="1"/>
                <w:color w:val="auto"/>
              </w:rPr>
            </w:pPr>
          </w:p>
        </w:tc>
      </w:tr>
      <w:tr>
        <w:trPr>
          <w:trHeight w:val="149"/>
        </w:trPr>
        <w:tc>
          <w:tcPr>
            <w:tcW w:w="2720" w:type="dxa"/>
            <w:vAlign w:val="bottom"/>
            <w:vMerge w:val="restart"/>
          </w:tcPr>
          <w:p>
            <w:pPr>
              <w:spacing w:after="0"/>
              <w:rPr>
                <w:sz w:val="20"/>
                <w:szCs w:val="20"/>
                <w:color w:val="auto"/>
              </w:rPr>
            </w:pPr>
            <w:r>
              <w:rPr>
                <w:rFonts w:ascii="Arial" w:cs="Arial" w:eastAsia="Arial" w:hAnsi="Arial"/>
                <w:sz w:val="14"/>
                <w:szCs w:val="14"/>
                <w:b w:val="1"/>
                <w:bCs w:val="1"/>
                <w:color w:val="auto"/>
              </w:rPr>
              <w:t>Name (Age)</w:t>
            </w:r>
            <w:r>
              <w:rPr>
                <w:rFonts w:ascii="Arial" w:cs="Arial" w:eastAsia="Arial" w:hAnsi="Arial"/>
                <w:sz w:val="23"/>
                <w:szCs w:val="23"/>
                <w:b w:val="1"/>
                <w:bCs w:val="1"/>
                <w:color w:val="auto"/>
                <w:vertAlign w:val="superscript"/>
              </w:rPr>
              <w:t>(1)</w:t>
            </w:r>
          </w:p>
        </w:tc>
        <w:tc>
          <w:tcPr>
            <w:tcW w:w="5560" w:type="dxa"/>
            <w:vAlign w:val="bottom"/>
            <w:vMerge w:val="continue"/>
          </w:tcPr>
          <w:p>
            <w:pPr>
              <w:spacing w:after="0"/>
              <w:rPr>
                <w:sz w:val="12"/>
                <w:szCs w:val="12"/>
                <w:color w:val="auto"/>
              </w:rPr>
            </w:pPr>
          </w:p>
        </w:tc>
        <w:tc>
          <w:tcPr>
            <w:tcW w:w="2320" w:type="dxa"/>
            <w:vAlign w:val="bottom"/>
          </w:tcPr>
          <w:p>
            <w:pPr>
              <w:jc w:val="center"/>
              <w:ind w:left="1628"/>
              <w:spacing w:after="0" w:line="149" w:lineRule="exact"/>
              <w:rPr>
                <w:sz w:val="20"/>
                <w:szCs w:val="20"/>
                <w:color w:val="auto"/>
              </w:rPr>
            </w:pPr>
            <w:r>
              <w:rPr>
                <w:rFonts w:ascii="Arial" w:cs="Arial" w:eastAsia="Arial" w:hAnsi="Arial"/>
                <w:sz w:val="14"/>
                <w:szCs w:val="14"/>
                <w:b w:val="1"/>
                <w:bCs w:val="1"/>
                <w:color w:val="auto"/>
                <w:w w:val="88"/>
              </w:rPr>
              <w:t>Became a</w:t>
            </w:r>
          </w:p>
        </w:tc>
        <w:tc>
          <w:tcPr>
            <w:tcW w:w="0" w:type="dxa"/>
            <w:vAlign w:val="bottom"/>
          </w:tcPr>
          <w:p>
            <w:pPr>
              <w:spacing w:after="0"/>
              <w:rPr>
                <w:sz w:val="1"/>
                <w:szCs w:val="1"/>
                <w:color w:val="auto"/>
              </w:rPr>
            </w:pPr>
          </w:p>
        </w:tc>
      </w:tr>
      <w:tr>
        <w:trPr>
          <w:trHeight w:val="287"/>
        </w:trPr>
        <w:tc>
          <w:tcPr>
            <w:tcW w:w="2720" w:type="dxa"/>
            <w:vAlign w:val="bottom"/>
            <w:vMerge w:val="continue"/>
          </w:tcPr>
          <w:p>
            <w:pPr>
              <w:spacing w:after="0"/>
              <w:rPr>
                <w:sz w:val="24"/>
                <w:szCs w:val="24"/>
                <w:color w:val="auto"/>
              </w:rPr>
            </w:pPr>
          </w:p>
        </w:tc>
        <w:tc>
          <w:tcPr>
            <w:tcW w:w="5560" w:type="dxa"/>
            <w:vAlign w:val="bottom"/>
          </w:tcPr>
          <w:p>
            <w:pPr>
              <w:jc w:val="center"/>
              <w:ind w:left="88"/>
              <w:spacing w:after="0"/>
              <w:rPr>
                <w:sz w:val="20"/>
                <w:szCs w:val="20"/>
                <w:color w:val="auto"/>
              </w:rPr>
            </w:pPr>
            <w:r>
              <w:rPr>
                <w:rFonts w:ascii="Arial" w:cs="Arial" w:eastAsia="Arial" w:hAnsi="Arial"/>
                <w:sz w:val="14"/>
                <w:szCs w:val="14"/>
                <w:b w:val="1"/>
                <w:bCs w:val="1"/>
                <w:color w:val="auto"/>
                <w:w w:val="93"/>
              </w:rPr>
              <w:t>Directorships Held</w:t>
            </w:r>
          </w:p>
        </w:tc>
        <w:tc>
          <w:tcPr>
            <w:tcW w:w="2320" w:type="dxa"/>
            <w:vAlign w:val="bottom"/>
          </w:tcPr>
          <w:p>
            <w:pPr>
              <w:jc w:val="center"/>
              <w:ind w:left="1648"/>
              <w:spacing w:after="0"/>
              <w:rPr>
                <w:sz w:val="20"/>
                <w:szCs w:val="20"/>
                <w:color w:val="auto"/>
              </w:rPr>
            </w:pPr>
            <w:r>
              <w:rPr>
                <w:rFonts w:ascii="Arial" w:cs="Arial" w:eastAsia="Arial" w:hAnsi="Arial"/>
                <w:sz w:val="14"/>
                <w:szCs w:val="14"/>
                <w:b w:val="1"/>
                <w:bCs w:val="1"/>
                <w:color w:val="auto"/>
                <w:w w:val="96"/>
              </w:rPr>
              <w:t>Director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0" w:gutter="0" w:footer="0" w:header="0"/>
        </w:sectPr>
      </w:pP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II — Nominees for Directors to be Elected to Serve Until the Fiscal Year 2010 Annual Meeting</w:t>
      </w:r>
    </w:p>
    <w:p>
      <w:pPr>
        <w:spacing w:after="0" w:line="27" w:lineRule="exact"/>
        <w:rPr>
          <w:sz w:val="20"/>
          <w:szCs w:val="20"/>
          <w:color w:val="auto"/>
        </w:rPr>
      </w:pPr>
    </w:p>
    <w:p>
      <w:pPr>
        <w:spacing w:after="0"/>
        <w:tabs>
          <w:tab w:leader="none" w:pos="2400" w:val="left"/>
        </w:tabs>
        <w:rPr>
          <w:sz w:val="20"/>
          <w:szCs w:val="20"/>
          <w:color w:val="auto"/>
        </w:rPr>
      </w:pPr>
      <w:r>
        <w:rPr>
          <w:rFonts w:ascii="Arial" w:cs="Arial" w:eastAsia="Arial" w:hAnsi="Arial"/>
          <w:sz w:val="18"/>
          <w:szCs w:val="18"/>
          <w:color w:val="auto"/>
        </w:rPr>
        <w:t>Jerry N. Currie (62)</w:t>
      </w:r>
      <w:r>
        <w:rPr>
          <w:sz w:val="20"/>
          <w:szCs w:val="20"/>
          <w:color w:val="auto"/>
        </w:rPr>
        <w:tab/>
      </w:r>
      <w:r>
        <w:rPr>
          <w:rFonts w:ascii="Arial" w:cs="Arial" w:eastAsia="Arial" w:hAnsi="Arial"/>
          <w:sz w:val="16"/>
          <w:szCs w:val="16"/>
          <w:color w:val="auto"/>
        </w:rPr>
        <w:t>President &amp; Chief Executive Officer of both CURRIES Company, manufacturer of steel doors and</w:t>
      </w:r>
    </w:p>
    <w:p>
      <w:pPr>
        <w:spacing w:after="0" w:line="9" w:lineRule="exact"/>
        <w:rPr>
          <w:sz w:val="20"/>
          <w:szCs w:val="20"/>
          <w:color w:val="auto"/>
        </w:rPr>
      </w:pPr>
    </w:p>
    <w:p>
      <w:pPr>
        <w:ind w:left="2420" w:right="240"/>
        <w:spacing w:after="0" w:line="261" w:lineRule="auto"/>
        <w:rPr>
          <w:sz w:val="20"/>
          <w:szCs w:val="20"/>
          <w:color w:val="auto"/>
        </w:rPr>
      </w:pPr>
      <w:r>
        <w:rPr>
          <w:rFonts w:ascii="Arial" w:cs="Arial" w:eastAsia="Arial" w:hAnsi="Arial"/>
          <w:sz w:val="18"/>
          <w:szCs w:val="18"/>
          <w:color w:val="auto"/>
        </w:rPr>
        <w:t>frames for nonresidential construction, and GRAHAM Manufacturing, manufacturer of wood doors for nonresidential construction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617220" cy="9436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7220" cy="943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420" w:right="60" w:hanging="2416"/>
        <w:spacing w:after="0" w:line="308" w:lineRule="auto"/>
        <w:tabs>
          <w:tab w:leader="none" w:pos="2400" w:val="left"/>
        </w:tabs>
        <w:rPr>
          <w:sz w:val="20"/>
          <w:szCs w:val="20"/>
          <w:color w:val="auto"/>
        </w:rPr>
      </w:pPr>
      <w:r>
        <w:rPr>
          <w:rFonts w:ascii="Arial" w:cs="Arial" w:eastAsia="Arial" w:hAnsi="Arial"/>
          <w:sz w:val="18"/>
          <w:szCs w:val="18"/>
          <w:color w:val="auto"/>
        </w:rPr>
        <w:t>Lawrence A. Erickson (58)</w:t>
      </w:r>
      <w:r>
        <w:rPr>
          <w:sz w:val="20"/>
          <w:szCs w:val="20"/>
          <w:color w:val="auto"/>
        </w:rPr>
        <w:tab/>
      </w:r>
      <w:r>
        <w:rPr>
          <w:rFonts w:ascii="Arial" w:cs="Arial" w:eastAsia="Arial" w:hAnsi="Arial"/>
          <w:sz w:val="17"/>
          <w:szCs w:val="17"/>
          <w:color w:val="auto"/>
        </w:rPr>
        <w:t>Retired; former Senior Vice President &amp; Chief Financial Officer of Rockwell Collins, Inc., provider of communication and aviation electronic solutions for commercial and military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617220" cy="9436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17220" cy="943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tabs>
          <w:tab w:leader="none" w:pos="2400" w:val="left"/>
        </w:tabs>
        <w:rPr>
          <w:sz w:val="20"/>
          <w:szCs w:val="20"/>
          <w:color w:val="auto"/>
        </w:rPr>
      </w:pPr>
      <w:r>
        <w:rPr>
          <w:rFonts w:ascii="Arial" w:cs="Arial" w:eastAsia="Arial" w:hAnsi="Arial"/>
          <w:sz w:val="18"/>
          <w:szCs w:val="18"/>
          <w:color w:val="auto"/>
        </w:rPr>
        <w:t>John E. Herlitz (64)</w:t>
      </w:r>
      <w:r>
        <w:rPr>
          <w:sz w:val="20"/>
          <w:szCs w:val="20"/>
          <w:color w:val="auto"/>
        </w:rPr>
        <w:tab/>
      </w:r>
      <w:r>
        <w:rPr>
          <w:rFonts w:ascii="Arial" w:cs="Arial" w:eastAsia="Arial" w:hAnsi="Arial"/>
          <w:sz w:val="16"/>
          <w:szCs w:val="16"/>
          <w:color w:val="auto"/>
        </w:rPr>
        <w:t>Retired; former Senior Vice President - Design of DaimlerChrysler AG, automobile manufacturer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617220" cy="9436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17220" cy="9436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auto"/>
        </w:rPr>
        <w:t>1996</w:t>
      </w:r>
      <w:r>
        <w:rPr>
          <w:rFonts w:ascii="Arial" w:cs="Arial" w:eastAsia="Arial" w:hAnsi="Arial"/>
          <w:sz w:val="24"/>
          <w:szCs w:val="24"/>
          <w:color w:val="auto"/>
          <w:vertAlign w:val="superscript"/>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5"/>
          <w:szCs w:val="15"/>
          <w:color w:val="auto"/>
        </w:rPr>
        <w:t>2005</w:t>
      </w:r>
      <w:r>
        <w:rPr>
          <w:rFonts w:ascii="Arial" w:cs="Arial" w:eastAsia="Arial" w:hAnsi="Arial"/>
          <w:sz w:val="24"/>
          <w:szCs w:val="24"/>
          <w:color w:val="auto"/>
          <w:vertAlign w:val="superscript"/>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5"/>
          <w:szCs w:val="15"/>
          <w:color w:val="auto"/>
        </w:rPr>
        <w:t>2005</w:t>
      </w:r>
      <w:r>
        <w:rPr>
          <w:rFonts w:ascii="Arial" w:cs="Arial" w:eastAsia="Arial" w:hAnsi="Arial"/>
          <w:sz w:val="24"/>
          <w:szCs w:val="24"/>
          <w:color w:val="auto"/>
          <w:vertAlign w:val="superscript"/>
        </w:rPr>
        <w:t>(2)</w:t>
      </w:r>
    </w:p>
    <w:p>
      <w:pPr>
        <w:spacing w:after="0" w:line="200" w:lineRule="exact"/>
        <w:rPr>
          <w:sz w:val="20"/>
          <w:szCs w:val="20"/>
          <w:color w:val="auto"/>
        </w:rPr>
      </w:pPr>
    </w:p>
    <w:p>
      <w:pPr>
        <w:sectPr>
          <w:pgSz w:w="11900" w:h="16838" w:orient="portrait"/>
          <w:cols w:equalWidth="0" w:num="2">
            <w:col w:w="9860" w:space="720"/>
            <w:col w:w="840"/>
          </w:cols>
          <w:pgMar w:left="240" w:top="1440" w:right="2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Principal Occupation and Other</w:t>
            </w:r>
          </w:p>
        </w:tc>
        <w:tc>
          <w:tcPr>
            <w:tcW w:w="4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5"/>
              </w:rPr>
              <w:t>Year First</w:t>
            </w:r>
          </w:p>
        </w:tc>
        <w:tc>
          <w:tcPr>
            <w:tcW w:w="0" w:type="dxa"/>
            <w:vAlign w:val="bottom"/>
          </w:tcPr>
          <w:p>
            <w:pPr>
              <w:spacing w:after="0"/>
              <w:rPr>
                <w:sz w:val="1"/>
                <w:szCs w:val="1"/>
                <w:color w:val="auto"/>
              </w:rPr>
            </w:pPr>
          </w:p>
        </w:tc>
      </w:tr>
      <w:tr>
        <w:trPr>
          <w:trHeight w:val="149"/>
        </w:trPr>
        <w:tc>
          <w:tcPr>
            <w:tcW w:w="170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Name (Age)</w:t>
            </w:r>
            <w:r>
              <w:rPr>
                <w:rFonts w:ascii="Arial" w:cs="Arial" w:eastAsia="Arial" w:hAnsi="Arial"/>
                <w:sz w:val="23"/>
                <w:szCs w:val="23"/>
                <w:b w:val="1"/>
                <w:bCs w:val="1"/>
                <w:color w:val="auto"/>
                <w:vertAlign w:val="superscript"/>
              </w:rPr>
              <w:t>(1)</w:t>
            </w:r>
          </w:p>
        </w:tc>
        <w:tc>
          <w:tcPr>
            <w:tcW w:w="460" w:type="dxa"/>
            <w:vAlign w:val="bottom"/>
          </w:tcPr>
          <w:p>
            <w:pPr>
              <w:spacing w:after="0"/>
              <w:rPr>
                <w:sz w:val="12"/>
                <w:szCs w:val="12"/>
                <w:color w:val="auto"/>
              </w:rPr>
            </w:pPr>
          </w:p>
        </w:tc>
        <w:tc>
          <w:tcPr>
            <w:tcW w:w="768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Became a</w:t>
            </w:r>
          </w:p>
        </w:tc>
        <w:tc>
          <w:tcPr>
            <w:tcW w:w="0" w:type="dxa"/>
            <w:vAlign w:val="bottom"/>
          </w:tcPr>
          <w:p>
            <w:pPr>
              <w:spacing w:after="0"/>
              <w:rPr>
                <w:sz w:val="1"/>
                <w:szCs w:val="1"/>
                <w:color w:val="auto"/>
              </w:rPr>
            </w:pPr>
          </w:p>
        </w:tc>
      </w:tr>
      <w:tr>
        <w:trPr>
          <w:trHeight w:val="279"/>
        </w:trPr>
        <w:tc>
          <w:tcPr>
            <w:tcW w:w="1700" w:type="dxa"/>
            <w:vAlign w:val="bottom"/>
            <w:tcBorders>
              <w:bottom w:val="single" w:sz="8" w:color="auto"/>
            </w:tcBorders>
            <w:vMerge w:val="continue"/>
          </w:tcPr>
          <w:p>
            <w:pPr>
              <w:spacing w:after="0"/>
              <w:rPr>
                <w:sz w:val="24"/>
                <w:szCs w:val="24"/>
                <w:color w:val="auto"/>
              </w:rPr>
            </w:pPr>
          </w:p>
        </w:tc>
        <w:tc>
          <w:tcPr>
            <w:tcW w:w="460" w:type="dxa"/>
            <w:vAlign w:val="bottom"/>
          </w:tcPr>
          <w:p>
            <w:pPr>
              <w:spacing w:after="0"/>
              <w:rPr>
                <w:sz w:val="24"/>
                <w:szCs w:val="24"/>
                <w:color w:val="auto"/>
              </w:rPr>
            </w:pPr>
          </w:p>
        </w:tc>
        <w:tc>
          <w:tcPr>
            <w:tcW w:w="7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Directorships Held</w:t>
            </w:r>
          </w:p>
        </w:tc>
        <w:tc>
          <w:tcPr>
            <w:tcW w:w="440" w:type="dxa"/>
            <w:vAlign w:val="bottom"/>
          </w:tcPr>
          <w:p>
            <w:pPr>
              <w:spacing w:after="0"/>
              <w:rPr>
                <w:sz w:val="24"/>
                <w:szCs w:val="2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Director</w:t>
            </w:r>
          </w:p>
        </w:tc>
        <w:tc>
          <w:tcPr>
            <w:tcW w:w="0" w:type="dxa"/>
            <w:vAlign w:val="bottom"/>
          </w:tcPr>
          <w:p>
            <w:pPr>
              <w:spacing w:after="0"/>
              <w:rPr>
                <w:sz w:val="1"/>
                <w:szCs w:val="1"/>
                <w:color w:val="auto"/>
              </w:rPr>
            </w:pPr>
          </w:p>
        </w:tc>
      </w:tr>
      <w:tr>
        <w:trPr>
          <w:trHeight w:val="303"/>
        </w:trPr>
        <w:tc>
          <w:tcPr>
            <w:tcW w:w="9840" w:type="dxa"/>
            <w:vAlign w:val="bottom"/>
            <w:gridSpan w:val="3"/>
          </w:tcPr>
          <w:p>
            <w:pPr>
              <w:spacing w:after="0"/>
              <w:rPr>
                <w:sz w:val="20"/>
                <w:szCs w:val="20"/>
                <w:color w:val="auto"/>
              </w:rPr>
            </w:pPr>
            <w:r>
              <w:rPr>
                <w:rFonts w:ascii="Arial" w:cs="Arial" w:eastAsia="Arial" w:hAnsi="Arial"/>
                <w:sz w:val="18"/>
                <w:szCs w:val="18"/>
                <w:b w:val="1"/>
                <w:bCs w:val="1"/>
                <w:color w:val="auto"/>
              </w:rPr>
              <w:t>Class III — Directors Whose Terms Expire at the Fiscal Year 2008 Annual Meeting</w:t>
            </w: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1700" w:type="dxa"/>
            <w:vAlign w:val="bottom"/>
          </w:tcPr>
          <w:p>
            <w:pPr>
              <w:spacing w:after="0"/>
              <w:rPr>
                <w:sz w:val="20"/>
                <w:szCs w:val="20"/>
                <w:color w:val="auto"/>
              </w:rPr>
            </w:pPr>
            <w:r>
              <w:rPr>
                <w:rFonts w:ascii="Arial" w:cs="Arial" w:eastAsia="Arial" w:hAnsi="Arial"/>
                <w:sz w:val="18"/>
                <w:szCs w:val="18"/>
                <w:color w:val="auto"/>
              </w:rPr>
              <w:t>John V. Hanson (65)</w:t>
            </w:r>
          </w:p>
        </w:tc>
        <w:tc>
          <w:tcPr>
            <w:tcW w:w="460" w:type="dxa"/>
            <w:vAlign w:val="bottom"/>
          </w:tcPr>
          <w:p>
            <w:pPr>
              <w:spacing w:after="0"/>
              <w:rPr>
                <w:sz w:val="24"/>
                <w:szCs w:val="24"/>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Retired; former Deputy Chairman of the Board of Directors of Winnebago Industries, Inc.</w:t>
            </w:r>
          </w:p>
        </w:tc>
        <w:tc>
          <w:tcPr>
            <w:tcW w:w="1580" w:type="dxa"/>
            <w:vAlign w:val="bottom"/>
            <w:gridSpan w:val="2"/>
          </w:tcPr>
          <w:p>
            <w:pPr>
              <w:jc w:val="center"/>
              <w:ind w:left="350"/>
              <w:spacing w:after="0"/>
              <w:rPr>
                <w:sz w:val="20"/>
                <w:szCs w:val="20"/>
                <w:color w:val="auto"/>
              </w:rPr>
            </w:pPr>
            <w:r>
              <w:rPr>
                <w:rFonts w:ascii="Arial" w:cs="Arial" w:eastAsia="Arial" w:hAnsi="Arial"/>
                <w:sz w:val="18"/>
                <w:szCs w:val="18"/>
                <w:color w:val="auto"/>
                <w:w w:val="83"/>
              </w:rPr>
              <w:t>1996</w:t>
            </w:r>
            <w:r>
              <w:rPr>
                <w:rFonts w:ascii="Arial" w:cs="Arial" w:eastAsia="Arial" w:hAnsi="Arial"/>
                <w:sz w:val="30"/>
                <w:szCs w:val="30"/>
                <w:color w:val="auto"/>
                <w:w w:val="83"/>
                <w:vertAlign w:val="superscript"/>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617220" cy="9436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17220" cy="943610"/>
                    </a:xfrm>
                    <a:prstGeom prst="rect">
                      <a:avLst/>
                    </a:prstGeom>
                    <a:noFill/>
                  </pic:spPr>
                </pic:pic>
              </a:graphicData>
            </a:graphic>
          </wp:anchor>
        </w:drawing>
      </w:r>
    </w:p>
    <w:p>
      <w:pPr>
        <w:sectPr>
          <w:pgSz w:w="11900" w:h="16838" w:orient="portrait"/>
          <w:cols w:equalWidth="0" w:num="1">
            <w:col w:w="11420"/>
          </w:cols>
          <w:pgMar w:left="240" w:top="1440" w:right="2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Bruce D. Hertzke (56)</w:t>
            </w:r>
          </w:p>
        </w:tc>
        <w:tc>
          <w:tcPr>
            <w:tcW w:w="8320" w:type="dxa"/>
            <w:vAlign w:val="bottom"/>
          </w:tcPr>
          <w:p>
            <w:pPr>
              <w:ind w:left="280"/>
              <w:spacing w:after="0"/>
              <w:rPr>
                <w:sz w:val="20"/>
                <w:szCs w:val="20"/>
                <w:color w:val="auto"/>
              </w:rPr>
            </w:pPr>
            <w:r>
              <w:rPr>
                <w:rFonts w:ascii="Arial" w:cs="Arial" w:eastAsia="Arial" w:hAnsi="Arial"/>
                <w:sz w:val="18"/>
                <w:szCs w:val="18"/>
                <w:color w:val="auto"/>
                <w:w w:val="97"/>
              </w:rPr>
              <w:t>Chairman of the Board and Chief Executive Officer, Winnebago Industries, Inc. Mr. Hertzke is a director</w:t>
            </w:r>
          </w:p>
        </w:tc>
        <w:tc>
          <w:tcPr>
            <w:tcW w:w="840" w:type="dxa"/>
            <w:vAlign w:val="bottom"/>
          </w:tcPr>
          <w:p>
            <w:pPr>
              <w:jc w:val="right"/>
              <w:spacing w:after="0"/>
              <w:rPr>
                <w:sz w:val="20"/>
                <w:szCs w:val="20"/>
                <w:color w:val="auto"/>
              </w:rPr>
            </w:pPr>
            <w:r>
              <w:rPr>
                <w:rFonts w:ascii="Arial" w:cs="Arial" w:eastAsia="Arial" w:hAnsi="Arial"/>
                <w:sz w:val="18"/>
                <w:szCs w:val="18"/>
                <w:color w:val="auto"/>
              </w:rPr>
              <w:t>1997</w:t>
            </w:r>
          </w:p>
        </w:tc>
      </w:tr>
      <w:tr>
        <w:trPr>
          <w:trHeight w:val="230"/>
        </w:trPr>
        <w:tc>
          <w:tcPr>
            <w:tcW w:w="1880" w:type="dxa"/>
            <w:vAlign w:val="bottom"/>
          </w:tcPr>
          <w:p>
            <w:pPr>
              <w:spacing w:after="0"/>
              <w:rPr>
                <w:sz w:val="20"/>
                <w:szCs w:val="20"/>
                <w:color w:val="auto"/>
              </w:rPr>
            </w:pPr>
          </w:p>
        </w:tc>
        <w:tc>
          <w:tcPr>
            <w:tcW w:w="8320" w:type="dxa"/>
            <w:vAlign w:val="bottom"/>
          </w:tcPr>
          <w:p>
            <w:pPr>
              <w:ind w:left="280"/>
              <w:spacing w:after="0"/>
              <w:rPr>
                <w:sz w:val="20"/>
                <w:szCs w:val="20"/>
                <w:color w:val="auto"/>
              </w:rPr>
            </w:pPr>
            <w:r>
              <w:rPr>
                <w:rFonts w:ascii="Arial" w:cs="Arial" w:eastAsia="Arial" w:hAnsi="Arial"/>
                <w:sz w:val="18"/>
                <w:szCs w:val="18"/>
                <w:color w:val="auto"/>
              </w:rPr>
              <w:t>of Gehl Company</w:t>
            </w:r>
          </w:p>
        </w:tc>
        <w:tc>
          <w:tcPr>
            <w:tcW w:w="840" w:type="dxa"/>
            <w:vAlign w:val="bottom"/>
          </w:tcPr>
          <w:p>
            <w:pPr>
              <w:spacing w:after="0"/>
              <w:rPr>
                <w:sz w:val="20"/>
                <w:szCs w:val="20"/>
                <w:color w:val="auto"/>
              </w:rPr>
            </w:pPr>
          </w:p>
        </w:tc>
      </w:tr>
    </w:tbl>
    <w:p>
      <w:pPr>
        <w:sectPr>
          <w:pgSz w:w="11900" w:h="16838" w:orient="portrait"/>
          <w:cols w:equalWidth="0" w:num="1">
            <w:col w:w="11420"/>
          </w:cols>
          <w:pgMar w:left="240" w:top="1440" w:right="239" w:bottom="0" w:gutter="0" w:footer="0" w:header="0"/>
          <w:type w:val="continuous"/>
        </w:sectPr>
      </w:pPr>
    </w:p>
    <w:bookmarkStart w:id="6" w:name="page7"/>
    <w:bookmarkEnd w:id="6"/>
    <w:p>
      <w:pPr>
        <w:spacing w:after="0" w:line="1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17220" cy="9436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617220" cy="94361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Gerald C. Kitch (69)</w:t>
            </w:r>
          </w:p>
        </w:tc>
        <w:tc>
          <w:tcPr>
            <w:tcW w:w="8360" w:type="dxa"/>
            <w:vAlign w:val="bottom"/>
          </w:tcPr>
          <w:p>
            <w:pPr>
              <w:ind w:left="340"/>
              <w:spacing w:after="0"/>
              <w:rPr>
                <w:sz w:val="20"/>
                <w:szCs w:val="20"/>
                <w:color w:val="auto"/>
              </w:rPr>
            </w:pPr>
            <w:r>
              <w:rPr>
                <w:rFonts w:ascii="Arial" w:cs="Arial" w:eastAsia="Arial" w:hAnsi="Arial"/>
                <w:sz w:val="18"/>
                <w:szCs w:val="18"/>
                <w:color w:val="auto"/>
                <w:w w:val="97"/>
              </w:rPr>
              <w:t>Retired; former Executive Vice President, Pentair, Inc., diversified manufacturer of tools, equipment and</w:t>
            </w:r>
          </w:p>
        </w:tc>
        <w:tc>
          <w:tcPr>
            <w:tcW w:w="860" w:type="dxa"/>
            <w:vAlign w:val="bottom"/>
          </w:tcPr>
          <w:p>
            <w:pPr>
              <w:jc w:val="right"/>
              <w:spacing w:after="0"/>
              <w:rPr>
                <w:sz w:val="20"/>
                <w:szCs w:val="20"/>
                <w:color w:val="auto"/>
              </w:rPr>
            </w:pPr>
            <w:r>
              <w:rPr>
                <w:rFonts w:ascii="Arial" w:cs="Arial" w:eastAsia="Arial" w:hAnsi="Arial"/>
                <w:sz w:val="18"/>
                <w:szCs w:val="18"/>
                <w:color w:val="auto"/>
              </w:rPr>
              <w:t>1996</w:t>
            </w:r>
          </w:p>
        </w:tc>
      </w:tr>
      <w:tr>
        <w:trPr>
          <w:trHeight w:val="230"/>
        </w:trPr>
        <w:tc>
          <w:tcPr>
            <w:tcW w:w="1820" w:type="dxa"/>
            <w:vAlign w:val="bottom"/>
          </w:tcPr>
          <w:p>
            <w:pPr>
              <w:spacing w:after="0"/>
              <w:rPr>
                <w:sz w:val="20"/>
                <w:szCs w:val="20"/>
                <w:color w:val="auto"/>
              </w:rPr>
            </w:pPr>
          </w:p>
        </w:tc>
        <w:tc>
          <w:tcPr>
            <w:tcW w:w="8360" w:type="dxa"/>
            <w:vAlign w:val="bottom"/>
          </w:tcPr>
          <w:p>
            <w:pPr>
              <w:ind w:left="340"/>
              <w:spacing w:after="0"/>
              <w:rPr>
                <w:sz w:val="20"/>
                <w:szCs w:val="20"/>
                <w:color w:val="auto"/>
              </w:rPr>
            </w:pPr>
            <w:r>
              <w:rPr>
                <w:rFonts w:ascii="Arial" w:cs="Arial" w:eastAsia="Arial" w:hAnsi="Arial"/>
                <w:sz w:val="18"/>
                <w:szCs w:val="18"/>
                <w:color w:val="auto"/>
              </w:rPr>
              <w:t>ammunition</w:t>
            </w:r>
          </w:p>
        </w:tc>
        <w:tc>
          <w:tcPr>
            <w:tcW w:w="8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617220" cy="9436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7220" cy="943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I — Directors Whose Terms Expire at the Fiscal Year 2009 Annual Meeting</w:t>
      </w:r>
    </w:p>
    <w:p>
      <w:pPr>
        <w:spacing w:after="0" w:line="27" w:lineRule="exact"/>
        <w:rPr>
          <w:sz w:val="20"/>
          <w:szCs w:val="20"/>
          <w:color w:val="auto"/>
        </w:rPr>
      </w:pPr>
    </w:p>
    <w:p>
      <w:pPr>
        <w:jc w:val="both"/>
        <w:ind w:left="2160" w:right="320" w:hanging="2146"/>
        <w:spacing w:after="0" w:line="250" w:lineRule="auto"/>
        <w:tabs>
          <w:tab w:leader="none" w:pos="2140" w:val="left"/>
        </w:tabs>
        <w:rPr>
          <w:sz w:val="20"/>
          <w:szCs w:val="20"/>
          <w:color w:val="auto"/>
        </w:rPr>
      </w:pPr>
      <w:r>
        <w:rPr>
          <w:rFonts w:ascii="Arial" w:cs="Arial" w:eastAsia="Arial" w:hAnsi="Arial"/>
          <w:sz w:val="18"/>
          <w:szCs w:val="18"/>
          <w:color w:val="auto"/>
        </w:rPr>
        <w:t>Irvin E. Aal (68)</w:t>
      </w:r>
      <w:r>
        <w:rPr>
          <w:sz w:val="20"/>
          <w:szCs w:val="20"/>
          <w:color w:val="auto"/>
        </w:rPr>
        <w:tab/>
      </w:r>
      <w:r>
        <w:rPr>
          <w:rFonts w:ascii="Arial" w:cs="Arial" w:eastAsia="Arial" w:hAnsi="Arial"/>
          <w:sz w:val="18"/>
          <w:szCs w:val="18"/>
          <w:color w:val="auto"/>
        </w:rPr>
        <w:t>Retired; former General Manager of Case Tyler Business Unit of CNH Global and predecessor 2004 corporation, manufacturer of banded application business equipment; previously President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617220" cy="9436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7220" cy="943610"/>
                    </a:xfrm>
                    <a:prstGeom prst="rect">
                      <a:avLst/>
                    </a:prstGeom>
                    <a:noFill/>
                  </pic:spPr>
                </pic:pic>
              </a:graphicData>
            </a:graphic>
          </wp:anchor>
        </w:drawing>
      </w:r>
    </w:p>
    <w:p>
      <w:pPr>
        <w:ind w:left="2160" w:right="1680"/>
        <w:spacing w:after="0" w:line="261" w:lineRule="auto"/>
        <w:rPr>
          <w:sz w:val="20"/>
          <w:szCs w:val="20"/>
          <w:color w:val="auto"/>
        </w:rPr>
      </w:pPr>
      <w:r>
        <w:rPr>
          <w:rFonts w:ascii="Arial" w:cs="Arial" w:eastAsia="Arial" w:hAnsi="Arial"/>
          <w:sz w:val="18"/>
          <w:szCs w:val="18"/>
          <w:color w:val="auto"/>
        </w:rPr>
        <w:t>Executive Officer of Tyler Industries, privately owned specialized agricultural equipment manufacturing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Joseph W. England</w:t>
            </w:r>
          </w:p>
        </w:tc>
        <w:tc>
          <w:tcPr>
            <w:tcW w:w="8380" w:type="dxa"/>
            <w:vAlign w:val="bottom"/>
          </w:tcPr>
          <w:p>
            <w:pPr>
              <w:ind w:left="380"/>
              <w:spacing w:after="0"/>
              <w:rPr>
                <w:sz w:val="20"/>
                <w:szCs w:val="20"/>
                <w:color w:val="auto"/>
              </w:rPr>
            </w:pPr>
            <w:r>
              <w:rPr>
                <w:rFonts w:ascii="Arial" w:cs="Arial" w:eastAsia="Arial" w:hAnsi="Arial"/>
                <w:sz w:val="18"/>
                <w:szCs w:val="18"/>
                <w:color w:val="auto"/>
                <w:w w:val="98"/>
              </w:rPr>
              <w:t>Retired; former Senior Vice President — Accounting — Control of Deere &amp; Company (a mobile power</w:t>
            </w:r>
          </w:p>
        </w:tc>
        <w:tc>
          <w:tcPr>
            <w:tcW w:w="880" w:type="dxa"/>
            <w:vAlign w:val="bottom"/>
          </w:tcPr>
          <w:p>
            <w:pPr>
              <w:jc w:val="right"/>
              <w:spacing w:after="0"/>
              <w:rPr>
                <w:sz w:val="20"/>
                <w:szCs w:val="20"/>
                <w:color w:val="auto"/>
              </w:rPr>
            </w:pPr>
            <w:r>
              <w:rPr>
                <w:rFonts w:ascii="Arial" w:cs="Arial" w:eastAsia="Arial" w:hAnsi="Arial"/>
                <w:sz w:val="18"/>
                <w:szCs w:val="18"/>
                <w:color w:val="auto"/>
              </w:rPr>
              <w:t>2001</w:t>
            </w:r>
          </w:p>
        </w:tc>
      </w:tr>
      <w:tr>
        <w:trPr>
          <w:trHeight w:val="230"/>
        </w:trPr>
        <w:tc>
          <w:tcPr>
            <w:tcW w:w="1780" w:type="dxa"/>
            <w:vAlign w:val="bottom"/>
          </w:tcPr>
          <w:p>
            <w:pPr>
              <w:spacing w:after="0"/>
              <w:rPr>
                <w:sz w:val="20"/>
                <w:szCs w:val="20"/>
                <w:color w:val="auto"/>
              </w:rPr>
            </w:pPr>
            <w:r>
              <w:rPr>
                <w:rFonts w:ascii="Arial" w:cs="Arial" w:eastAsia="Arial" w:hAnsi="Arial"/>
                <w:sz w:val="18"/>
                <w:szCs w:val="18"/>
                <w:color w:val="auto"/>
              </w:rPr>
              <w:t>(67)</w:t>
            </w:r>
          </w:p>
        </w:tc>
        <w:tc>
          <w:tcPr>
            <w:tcW w:w="8380" w:type="dxa"/>
            <w:vAlign w:val="bottom"/>
          </w:tcPr>
          <w:p>
            <w:pPr>
              <w:ind w:left="380"/>
              <w:spacing w:after="0"/>
              <w:rPr>
                <w:sz w:val="20"/>
                <w:szCs w:val="20"/>
                <w:color w:val="auto"/>
              </w:rPr>
            </w:pPr>
            <w:r>
              <w:rPr>
                <w:rFonts w:ascii="Arial" w:cs="Arial" w:eastAsia="Arial" w:hAnsi="Arial"/>
                <w:sz w:val="18"/>
                <w:szCs w:val="18"/>
                <w:color w:val="auto"/>
              </w:rPr>
              <w:t>equipment manufacturer) Mr. England is a director of First Midwest Bancorp, Inc.</w:t>
            </w:r>
          </w:p>
        </w:tc>
        <w:tc>
          <w:tcPr>
            <w:tcW w:w="8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1166495</wp:posOffset>
            </wp:positionV>
            <wp:extent cx="146621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662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617220" cy="9436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17220" cy="943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40" w:hanging="478"/>
        <w:spacing w:after="0"/>
        <w:tabs>
          <w:tab w:leader="none" w:pos="5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Reference is made to “Voting Securities and Principal Holders Thereof” herein.</w:t>
      </w:r>
    </w:p>
    <w:p>
      <w:pPr>
        <w:spacing w:after="0" w:line="95" w:lineRule="exact"/>
        <w:rPr>
          <w:rFonts w:ascii="Arial" w:cs="Arial" w:eastAsia="Arial" w:hAnsi="Arial"/>
          <w:sz w:val="14"/>
          <w:szCs w:val="14"/>
          <w:color w:val="auto"/>
        </w:rPr>
      </w:pPr>
    </w:p>
    <w:p>
      <w:pPr>
        <w:ind w:left="540" w:hanging="478"/>
        <w:spacing w:after="0"/>
        <w:tabs>
          <w:tab w:leader="none" w:pos="5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Nominating and Governance Committee recommended, and the Board approved, the nomination of such person.</w:t>
      </w:r>
    </w:p>
    <w:p>
      <w:pPr>
        <w:spacing w:after="0" w:line="95" w:lineRule="exact"/>
        <w:rPr>
          <w:rFonts w:ascii="Arial" w:cs="Arial" w:eastAsia="Arial" w:hAnsi="Arial"/>
          <w:sz w:val="14"/>
          <w:szCs w:val="14"/>
          <w:color w:val="auto"/>
        </w:rPr>
      </w:pPr>
    </w:p>
    <w:p>
      <w:pPr>
        <w:ind w:left="540" w:hanging="478"/>
        <w:spacing w:after="0"/>
        <w:tabs>
          <w:tab w:leader="none" w:pos="5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Also served as a director from 1967 to 1979 and from 1985 to 1989.</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5" w:lineRule="exact"/>
        <w:rPr>
          <w:sz w:val="20"/>
          <w:szCs w:val="20"/>
          <w:color w:val="auto"/>
        </w:rPr>
      </w:pPr>
    </w:p>
    <w:p>
      <w:pPr>
        <w:ind w:right="100" w:firstLine="360"/>
        <w:spacing w:after="0" w:line="277" w:lineRule="auto"/>
        <w:rPr>
          <w:sz w:val="20"/>
          <w:szCs w:val="20"/>
          <w:color w:val="auto"/>
        </w:rPr>
      </w:pPr>
      <w:r>
        <w:rPr>
          <w:rFonts w:ascii="Arial" w:cs="Arial" w:eastAsia="Arial" w:hAnsi="Arial"/>
          <w:sz w:val="18"/>
          <w:szCs w:val="18"/>
          <w:color w:val="auto"/>
        </w:rPr>
        <w:t>All of the foregoing have been employed in their principal occupation or other responsible positions with the same organization for at least the last five years or are currently retired after having served in responsible positions with the organization indicated.</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BOARD OF DIRECTORS, COMMITTEES OF THE BOARD AND CORPORATE GOVERNANCE</w:t>
      </w:r>
    </w:p>
    <w:p>
      <w:pPr>
        <w:spacing w:after="0" w:line="219" w:lineRule="exact"/>
        <w:rPr>
          <w:sz w:val="20"/>
          <w:szCs w:val="20"/>
          <w:color w:val="auto"/>
        </w:rPr>
      </w:pPr>
    </w:p>
    <w:p>
      <w:pPr>
        <w:ind w:right="840" w:firstLine="360"/>
        <w:spacing w:after="0" w:line="312" w:lineRule="auto"/>
        <w:rPr>
          <w:sz w:val="20"/>
          <w:szCs w:val="20"/>
          <w:color w:val="auto"/>
        </w:rPr>
      </w:pPr>
      <w:r>
        <w:rPr>
          <w:rFonts w:ascii="Arial" w:cs="Arial" w:eastAsia="Arial" w:hAnsi="Arial"/>
          <w:sz w:val="16"/>
          <w:szCs w:val="16"/>
          <w:color w:val="auto"/>
        </w:rPr>
        <w:t>The Board has established standing Audit, Human Resources and Nominating and Governance Committees to assist it in the discharge of its responsibilities. Each of such committees is governed by a written charter, each of which is available for review on the Company’s website at http://www.winnebagoind.com/company/investor/governance.php. The principal responsibilities of each of these committees are described below.</w:t>
      </w:r>
    </w:p>
    <w:p>
      <w:pPr>
        <w:spacing w:after="0" w:line="116" w:lineRule="exact"/>
        <w:rPr>
          <w:sz w:val="20"/>
          <w:szCs w:val="20"/>
          <w:color w:val="auto"/>
        </w:rPr>
      </w:pPr>
    </w:p>
    <w:p>
      <w:pPr>
        <w:ind w:right="40" w:firstLine="360"/>
        <w:spacing w:after="0" w:line="269" w:lineRule="auto"/>
        <w:rPr>
          <w:sz w:val="20"/>
          <w:szCs w:val="20"/>
          <w:color w:val="auto"/>
        </w:rPr>
      </w:pPr>
      <w:r>
        <w:rPr>
          <w:rFonts w:ascii="Arial" w:cs="Arial" w:eastAsia="Arial" w:hAnsi="Arial"/>
          <w:sz w:val="17"/>
          <w:szCs w:val="17"/>
          <w:b w:val="1"/>
          <w:bCs w:val="1"/>
          <w:color w:val="auto"/>
        </w:rPr>
        <w:t xml:space="preserve">Audit Committee. </w:t>
      </w:r>
      <w:r>
        <w:rPr>
          <w:rFonts w:ascii="Arial" w:cs="Arial" w:eastAsia="Arial" w:hAnsi="Arial"/>
          <w:sz w:val="17"/>
          <w:szCs w:val="17"/>
          <w:color w:val="auto"/>
        </w:rPr>
        <w:t>The current members of the Audit Committee are Messrs. England, Aal and Currie, all of whom are independent directors under</w:t>
      </w:r>
      <w:r>
        <w:rPr>
          <w:rFonts w:ascii="Arial" w:cs="Arial" w:eastAsia="Arial" w:hAnsi="Arial"/>
          <w:sz w:val="17"/>
          <w:szCs w:val="17"/>
          <w:b w:val="1"/>
          <w:bCs w:val="1"/>
          <w:color w:val="auto"/>
        </w:rPr>
        <w:t xml:space="preserve"> </w:t>
      </w:r>
      <w:r>
        <w:rPr>
          <w:rFonts w:ascii="Arial" w:cs="Arial" w:eastAsia="Arial" w:hAnsi="Arial"/>
          <w:sz w:val="17"/>
          <w:szCs w:val="17"/>
          <w:color w:val="auto"/>
        </w:rPr>
        <w:t>criteria established by the SEC for audit committee members, the listing standards of the NYSE and our Nominations of Directors Policy. Based on the attributes, education and experience requirements set forth in Section 407 of the Sarbanes-Oxley Act of 2002 and associated regulations, the Board of Directors has determined that Joseph W. England qualifies as an “Audit Committee Financial Expert.” Each year, the committee appoints independent registered public accountants to examine the books of the Company. It reviews with representatives of the independent registered public accountants the auditing arrangements and scope of the independent registered public accountants’ examination of the books, results of those audits, any non-audit services, their fees for all such services and any problems identified by and recommendations of the independent registered public accountants regarding internal controls. The Audit Committee is also prepared to meet privately at any time at the request of the independent registered public accountants or members of management to review any special situation arising on any of the above subjects. The Audit Committee also performs other duties as set forth in its written charter. The Audit Committee regularly reviews its written charter and recommends to the Board such changes as it deems necessary. Reference is also made to the “Report of the Audit Committee” herein. In fiscal 2007, as required by its charter, the Audit Committee conducted an annual self-evaluation of its performance. The committee met eight (8) times in fiscal 2007.</w:t>
      </w:r>
    </w:p>
    <w:p>
      <w:pPr>
        <w:spacing w:after="0" w:line="139" w:lineRule="exact"/>
        <w:rPr>
          <w:sz w:val="20"/>
          <w:szCs w:val="20"/>
          <w:color w:val="auto"/>
        </w:rPr>
      </w:pPr>
    </w:p>
    <w:p>
      <w:pPr>
        <w:ind w:firstLine="360"/>
        <w:spacing w:after="0" w:line="291" w:lineRule="auto"/>
        <w:rPr>
          <w:sz w:val="20"/>
          <w:szCs w:val="20"/>
          <w:color w:val="auto"/>
        </w:rPr>
      </w:pPr>
      <w:r>
        <w:rPr>
          <w:rFonts w:ascii="Arial" w:cs="Arial" w:eastAsia="Arial" w:hAnsi="Arial"/>
          <w:sz w:val="16"/>
          <w:szCs w:val="16"/>
          <w:b w:val="1"/>
          <w:bCs w:val="1"/>
          <w:color w:val="auto"/>
        </w:rPr>
        <w:t xml:space="preserve">Human Resources Committee. </w:t>
      </w:r>
      <w:r>
        <w:rPr>
          <w:rFonts w:ascii="Arial" w:cs="Arial" w:eastAsia="Arial" w:hAnsi="Arial"/>
          <w:sz w:val="16"/>
          <w:szCs w:val="16"/>
          <w:color w:val="auto"/>
        </w:rPr>
        <w:t>The current members of the Human Resources Committee are Messrs. Kitch, Aal, Currie and Herlitz, all of whom are</w:t>
      </w:r>
      <w:r>
        <w:rPr>
          <w:rFonts w:ascii="Arial" w:cs="Arial" w:eastAsia="Arial" w:hAnsi="Arial"/>
          <w:sz w:val="16"/>
          <w:szCs w:val="16"/>
          <w:b w:val="1"/>
          <w:bCs w:val="1"/>
          <w:color w:val="auto"/>
        </w:rPr>
        <w:t xml:space="preserve"> </w:t>
      </w:r>
      <w:r>
        <w:rPr>
          <w:rFonts w:ascii="Arial" w:cs="Arial" w:eastAsia="Arial" w:hAnsi="Arial"/>
          <w:sz w:val="16"/>
          <w:szCs w:val="16"/>
          <w:color w:val="auto"/>
        </w:rPr>
        <w:t>independent directors within the meaning of the NYSE listing requirements and our Nominations of Directors Policy. The Human Resources Committee’s Charter establishes the scope of the committee’s duties to include: (1) reviewing and approving corporate goals and objectives relevant to compensation of Chief Executive Officer of the Company, evaluating performance and compensation of the Chief Executive Officer in light of such goals and objectives and establishing compensation levels for the Company’s other executive officers; (2) overseeing the evaluation of executive officers (other than the Chief Executive Officer) of the Company and approving the general compensation program and salary structure of such executive officers; (3) administering and approving awards under the Company’s incentive compensation and equity-based plan; (4) reviewing and approving any executive employment agreements, severance agreements, change in control agreements and determining policy with respect to Section 162(m) of the Internal Revenue Code of 1986 (the</w:t>
      </w:r>
    </w:p>
    <w:p>
      <w:pPr>
        <w:sectPr>
          <w:pgSz w:w="11900" w:h="16838" w:orient="portrait"/>
          <w:cols w:equalWidth="0" w:num="1">
            <w:col w:w="11360"/>
          </w:cols>
          <w:pgMar w:left="240" w:top="1440" w:right="299" w:bottom="0" w:gutter="0" w:footer="0" w:header="0"/>
        </w:sectPr>
      </w:pPr>
    </w:p>
    <w:bookmarkStart w:id="7" w:name="page8"/>
    <w:bookmarkEnd w:id="7"/>
    <w:p>
      <w:pPr>
        <w:spacing w:after="0" w:line="302" w:lineRule="auto"/>
        <w:rPr>
          <w:sz w:val="20"/>
          <w:szCs w:val="20"/>
          <w:color w:val="auto"/>
        </w:rPr>
      </w:pPr>
      <w:r>
        <w:rPr>
          <w:rFonts w:ascii="Arial" w:cs="Arial" w:eastAsia="Arial" w:hAnsi="Arial"/>
          <w:sz w:val="16"/>
          <w:szCs w:val="16"/>
          <w:color w:val="auto"/>
        </w:rPr>
        <w:t>“IRC”); (5) reviewing list of peer group of companies to which the Company compares itself for compensation purposes; (6) reviewing and discussing with management the Compensation Discussion and Analysis section of the Company’s Form 10-K and proxy statement; (7) preparing an annual report on executive compensation for the Company’s Form 10-K and proxy statement; and (8) acting on important policy matters affecting Company personnel. In fiscal 2007, as required by its charter, the committee conducted an annual self-evaluation of its performance. The committee met four (4) times in fiscal 2007.</w:t>
      </w:r>
    </w:p>
    <w:p>
      <w:pPr>
        <w:spacing w:after="0" w:line="114" w:lineRule="exact"/>
        <w:rPr>
          <w:sz w:val="20"/>
          <w:szCs w:val="20"/>
          <w:color w:val="auto"/>
        </w:rPr>
      </w:pPr>
    </w:p>
    <w:p>
      <w:pPr>
        <w:ind w:right="160" w:firstLine="360"/>
        <w:spacing w:after="0" w:line="259" w:lineRule="auto"/>
        <w:rPr>
          <w:sz w:val="20"/>
          <w:szCs w:val="20"/>
          <w:color w:val="auto"/>
        </w:rPr>
      </w:pPr>
      <w:r>
        <w:rPr>
          <w:rFonts w:ascii="Arial" w:cs="Arial" w:eastAsia="Arial" w:hAnsi="Arial"/>
          <w:sz w:val="18"/>
          <w:szCs w:val="18"/>
          <w:i w:val="1"/>
          <w:iCs w:val="1"/>
          <w:color w:val="auto"/>
        </w:rPr>
        <w:t xml:space="preserve">Role of Executive Officers — </w:t>
      </w:r>
      <w:r>
        <w:rPr>
          <w:rFonts w:ascii="Arial" w:cs="Arial" w:eastAsia="Arial" w:hAnsi="Arial"/>
          <w:sz w:val="18"/>
          <w:szCs w:val="18"/>
          <w:color w:val="auto"/>
        </w:rPr>
        <w:t>In fiscal 2007, the committee delegated authority to designated members of management to approve employment</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packages for certain employees, not including the Named Executive Officers, under certain circumstances. The Chief Executive Officer, with input from the President, recommends to the committee base salary, target short-term incentive levels, actual short-term incentive payouts and long-term incentive grants for the other Named 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Officers. The committee considers, discusses, modifies as appropriate, and takes action on such proposals. See “Executive Compensation – Role of Executive Officers in Compensation Decisions” below.</w:t>
      </w:r>
    </w:p>
    <w:p>
      <w:pPr>
        <w:spacing w:after="0" w:line="130" w:lineRule="exact"/>
        <w:rPr>
          <w:sz w:val="20"/>
          <w:szCs w:val="20"/>
          <w:color w:val="auto"/>
        </w:rPr>
      </w:pPr>
    </w:p>
    <w:p>
      <w:pPr>
        <w:ind w:right="40" w:firstLine="360"/>
        <w:spacing w:after="0" w:line="264" w:lineRule="auto"/>
        <w:rPr>
          <w:sz w:val="20"/>
          <w:szCs w:val="20"/>
          <w:color w:val="auto"/>
        </w:rPr>
      </w:pPr>
      <w:r>
        <w:rPr>
          <w:rFonts w:ascii="Arial" w:cs="Arial" w:eastAsia="Arial" w:hAnsi="Arial"/>
          <w:sz w:val="18"/>
          <w:szCs w:val="18"/>
          <w:i w:val="1"/>
          <w:iCs w:val="1"/>
          <w:color w:val="auto"/>
        </w:rPr>
        <w:t xml:space="preserve">Role of Compensation Consultants — </w:t>
      </w:r>
      <w:r>
        <w:rPr>
          <w:rFonts w:ascii="Arial" w:cs="Arial" w:eastAsia="Arial" w:hAnsi="Arial"/>
          <w:sz w:val="18"/>
          <w:szCs w:val="18"/>
          <w:color w:val="auto"/>
        </w:rPr>
        <w:t>In fiscal 2007, the committee directly retained Towers Perrin as its outside compensation consultant. During fiscal</w:t>
      </w:r>
      <w:r>
        <w:rPr>
          <w:rFonts w:ascii="Arial" w:cs="Arial" w:eastAsia="Arial" w:hAnsi="Arial"/>
          <w:sz w:val="18"/>
          <w:szCs w:val="18"/>
          <w:i w:val="1"/>
          <w:iCs w:val="1"/>
          <w:color w:val="auto"/>
        </w:rPr>
        <w:t xml:space="preserve"> </w:t>
      </w:r>
      <w:r>
        <w:rPr>
          <w:rFonts w:ascii="Arial" w:cs="Arial" w:eastAsia="Arial" w:hAnsi="Arial"/>
          <w:sz w:val="18"/>
          <w:szCs w:val="18"/>
          <w:color w:val="auto"/>
        </w:rPr>
        <w:t>2007, Towers Perrin assisted the committee with a comprehensive analysis of market data and its implications for pay at the Company, as well as various other executive compensation issues. See “Executive Compensation – Competitive Benchmarking” below.</w:t>
      </w:r>
    </w:p>
    <w:p>
      <w:pPr>
        <w:spacing w:after="0" w:line="150"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b w:val="1"/>
          <w:bCs w:val="1"/>
          <w:color w:val="auto"/>
        </w:rPr>
        <w:t xml:space="preserve">Nominating and Governance Committee. </w:t>
      </w:r>
      <w:r>
        <w:rPr>
          <w:rFonts w:ascii="Arial" w:cs="Arial" w:eastAsia="Arial" w:hAnsi="Arial"/>
          <w:sz w:val="18"/>
          <w:szCs w:val="18"/>
          <w:color w:val="auto"/>
        </w:rPr>
        <w:t>The current members of the Nominating and Governance Committee are Messrs. Hanson, England and</w:t>
      </w:r>
      <w:r>
        <w:rPr>
          <w:rFonts w:ascii="Arial" w:cs="Arial" w:eastAsia="Arial" w:hAnsi="Arial"/>
          <w:sz w:val="18"/>
          <w:szCs w:val="18"/>
          <w:b w:val="1"/>
          <w:bCs w:val="1"/>
          <w:color w:val="auto"/>
        </w:rPr>
        <w:t xml:space="preserve"> </w:t>
      </w:r>
      <w:r>
        <w:rPr>
          <w:rFonts w:ascii="Arial" w:cs="Arial" w:eastAsia="Arial" w:hAnsi="Arial"/>
          <w:sz w:val="18"/>
          <w:szCs w:val="18"/>
          <w:color w:val="auto"/>
        </w:rPr>
        <w:t>Kitch, all of whom are independent directors within the meaning of NYSE listing requirements and our Nominations of Directors Policy. This committee recommended to the Board the director-nominees proposed in this Proxy Statement for election by the shareholders. It reviews the qualifications of, and recommends to the Board, candidates to fill Board vacancies as they may occur during the year. The Nominating and Governance Committee will consider suggestions from all sources, including shareholders, regarding possible candidates for director in accordance with our Nominations of Directors Policy as discussed below. See also “Fiscal Year 2008 Shareholder Proposals” for a summary of the procedures that shareholders must follow. In fiscal 2007, as required by its charter, the Nominating and Governance Committee conducted an annual self-evaluation of its performance. The committee met two (2) times in fiscal 2007.</w:t>
      </w:r>
    </w:p>
    <w:p>
      <w:pPr>
        <w:spacing w:after="0" w:line="149" w:lineRule="exact"/>
        <w:rPr>
          <w:sz w:val="20"/>
          <w:szCs w:val="20"/>
          <w:color w:val="auto"/>
        </w:rPr>
      </w:pPr>
    </w:p>
    <w:p>
      <w:pPr>
        <w:ind w:firstLine="360"/>
        <w:spacing w:after="0" w:line="291" w:lineRule="auto"/>
        <w:rPr>
          <w:sz w:val="20"/>
          <w:szCs w:val="20"/>
          <w:color w:val="auto"/>
        </w:rPr>
      </w:pPr>
      <w:r>
        <w:rPr>
          <w:rFonts w:ascii="Arial" w:cs="Arial" w:eastAsia="Arial" w:hAnsi="Arial"/>
          <w:sz w:val="16"/>
          <w:szCs w:val="16"/>
          <w:color w:val="auto"/>
        </w:rPr>
        <w:t>The Board of Directors of the Company held six (6) meetings during fiscal 2007. Actions taken by any committee of the Board are reported to the Board of Directors, usually at its next meeting. During fiscal 2007, all of the directors attended more than 75 percent of the aggregate of Board of Directors’ meetings and meetings of committees of the Board on which they served. The Corporate Governance Policy of the Company, discussed below, encourages, but does not require, Board members to attend the Annual Meeting. At the last annual meeting, all of the then-incumbent directors and director nominees were in attendance. Additionally, in fiscal 2007, in accordance with the Company’s Corporate Governance Policy described below, the Board of Directors conducted an annual self-evaluation to determine whether it and its committees are functioning effectively. The Nominating and Governance Committee received comments from all directors and reported to the Board with an assessment of the Board’s performance.</w:t>
      </w:r>
    </w:p>
    <w:p>
      <w:pPr>
        <w:spacing w:after="0" w:line="127"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i w:val="1"/>
          <w:iCs w:val="1"/>
          <w:color w:val="auto"/>
        </w:rPr>
        <w:t xml:space="preserve">Executive Sessions of Non-employee Directors — </w:t>
      </w:r>
      <w:r>
        <w:rPr>
          <w:rFonts w:ascii="Arial" w:cs="Arial" w:eastAsia="Arial" w:hAnsi="Arial"/>
          <w:sz w:val="18"/>
          <w:szCs w:val="18"/>
          <w:color w:val="auto"/>
        </w:rPr>
        <w:t>The directors who are not employees of the Company or a subsidiary (the “Non-employee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meet privately in executive sessions to consider such matters as they deem appropriate, without management being present, as a routinely scheduled agenda item for every Board meeting. An executive session including only independent directors, as defined by the NYSE listing standards, is held at least once a year. During fiscal 2007, except for Mr. Erickson, all other Non-employee Directors were independent. Director Gerald C. Kitch was chosen as Lead Director to preside at such executive sessions.</w:t>
      </w:r>
    </w:p>
    <w:p>
      <w:pPr>
        <w:spacing w:after="0" w:line="161" w:lineRule="exact"/>
        <w:rPr>
          <w:sz w:val="20"/>
          <w:szCs w:val="20"/>
          <w:color w:val="auto"/>
        </w:rPr>
      </w:pPr>
    </w:p>
    <w:p>
      <w:pPr>
        <w:ind w:right="320" w:firstLine="360"/>
        <w:spacing w:after="0" w:line="264" w:lineRule="auto"/>
        <w:rPr>
          <w:sz w:val="20"/>
          <w:szCs w:val="20"/>
          <w:color w:val="auto"/>
        </w:rPr>
      </w:pPr>
      <w:r>
        <w:rPr>
          <w:rFonts w:ascii="Arial" w:cs="Arial" w:eastAsia="Arial" w:hAnsi="Arial"/>
          <w:sz w:val="18"/>
          <w:szCs w:val="18"/>
          <w:color w:val="auto"/>
        </w:rPr>
        <w:t>The Board has adopted and annually reviews the Corporate Governance Policy which incorporates the corporate governance principles by which the Company operates. A copy of the Company’s Corporate Governance Policy is available on the Company’s website at http://www.winnebagoind.com/company/investor/governance.php.</w:t>
      </w:r>
    </w:p>
    <w:p>
      <w:pPr>
        <w:spacing w:after="0" w:line="137" w:lineRule="exact"/>
        <w:rPr>
          <w:sz w:val="20"/>
          <w:szCs w:val="20"/>
          <w:color w:val="auto"/>
        </w:rPr>
      </w:pPr>
    </w:p>
    <w:p>
      <w:pPr>
        <w:ind w:firstLine="360"/>
        <w:spacing w:after="0" w:line="292" w:lineRule="auto"/>
        <w:rPr>
          <w:sz w:val="20"/>
          <w:szCs w:val="20"/>
          <w:color w:val="auto"/>
        </w:rPr>
      </w:pPr>
      <w:r>
        <w:rPr>
          <w:rFonts w:ascii="Arial" w:cs="Arial" w:eastAsia="Arial" w:hAnsi="Arial"/>
          <w:sz w:val="16"/>
          <w:szCs w:val="16"/>
          <w:b w:val="1"/>
          <w:bCs w:val="1"/>
          <w:color w:val="auto"/>
        </w:rPr>
        <w:t xml:space="preserve">Nominations of Directors Policy. </w:t>
      </w:r>
      <w:r>
        <w:rPr>
          <w:rFonts w:ascii="Arial" w:cs="Arial" w:eastAsia="Arial" w:hAnsi="Arial"/>
          <w:sz w:val="16"/>
          <w:szCs w:val="16"/>
          <w:color w:val="auto"/>
        </w:rPr>
        <w:t>The Nominating and Governance Committee will consider director nominations from shareholders in accordance</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Nominations of Directors Policy, a copy of which is attached hereto as Appendix A. Briefly, the Nominating and Governance Committee will consider as a candidate any director of the Company who has indicated to the Nominating and Governance Committee that he or she is willing to stand for re-election, and who has not reached the age of 70 years prior to the date of re-election to the Board, as well as any other person who is recommended by any shareholder of the Company who provides the required information and certifications within the specified time requirements, as set forth in Section 1 of the Nominations of Directors Policy. The Nominating and Governance Committee may also undertake its own search process for candidates and may retain the services of professional search firms or other third parties to assist in identifying and evaluating potential nominees.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81"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8" w:lineRule="exact"/>
        <w:rPr>
          <w:sz w:val="20"/>
          <w:szCs w:val="20"/>
          <w:color w:val="auto"/>
        </w:rPr>
      </w:pPr>
    </w:p>
    <w:p>
      <w:pPr>
        <w:ind w:right="120" w:firstLine="360"/>
        <w:spacing w:after="0" w:line="271" w:lineRule="auto"/>
        <w:rPr>
          <w:sz w:val="20"/>
          <w:szCs w:val="20"/>
          <w:color w:val="auto"/>
        </w:rPr>
      </w:pPr>
      <w:r>
        <w:rPr>
          <w:rFonts w:ascii="Arial" w:cs="Arial" w:eastAsia="Arial" w:hAnsi="Arial"/>
          <w:sz w:val="17"/>
          <w:szCs w:val="17"/>
          <w:color w:val="auto"/>
        </w:rPr>
        <w:t>In considering a potential nominee for the Board, shareholders should note that in recommending candidates, the Nominating and Governance Committee endeavors to find individuals of high integrity who have a solid record of accomplishment in their chosen fields and who display the qualifications, skills and independence to effectively represent the best interests of all shareholders. Candidates are selected for their ability to exercise good judgment, and to provide practical insights and diverse perspectives. Although the Nominating and Governance Committee may seek candidates that have different qualities and experiences at different times in order to maximize the aggregate experience, qualities and strengths of the Board members, nominees for each election or appointment of directors will be evaluated using a substantially similar process and under no circumstances will the Nominating and Governance Committee evaluate nominees recommended by a shareholder of the Company pursuant to a process substantially different than that used for other nominees for the same election or appointment of directors.</w:t>
      </w:r>
    </w:p>
    <w:p>
      <w:pPr>
        <w:sectPr>
          <w:pgSz w:w="11900" w:h="16838" w:orient="portrait"/>
          <w:cols w:equalWidth="0" w:num="1">
            <w:col w:w="11380"/>
          </w:cols>
          <w:pgMar w:left="240" w:top="125" w:right="279" w:bottom="107" w:gutter="0" w:footer="0" w:header="0"/>
        </w:sectPr>
      </w:pPr>
    </w:p>
    <w:bookmarkStart w:id="8" w:name="page9"/>
    <w:bookmarkEnd w:id="8"/>
    <w:p>
      <w:pPr>
        <w:spacing w:after="0" w:line="123" w:lineRule="exact"/>
        <w:rPr>
          <w:sz w:val="20"/>
          <w:szCs w:val="20"/>
          <w:color w:val="auto"/>
        </w:rPr>
      </w:pPr>
    </w:p>
    <w:p>
      <w:pPr>
        <w:ind w:right="1020" w:firstLine="360"/>
        <w:spacing w:after="0" w:line="277" w:lineRule="auto"/>
        <w:rPr>
          <w:sz w:val="20"/>
          <w:szCs w:val="20"/>
          <w:color w:val="auto"/>
        </w:rPr>
      </w:pPr>
      <w:r>
        <w:rPr>
          <w:rFonts w:ascii="Arial" w:cs="Arial" w:eastAsia="Arial" w:hAnsi="Arial"/>
          <w:sz w:val="18"/>
          <w:szCs w:val="18"/>
          <w:color w:val="auto"/>
        </w:rPr>
        <w:t>The Nominating and Governance Committee considers the following qualifications at a minimum to be required of any Board members in recommending to the Board potential new Board members, or the continued service of existing members:</w:t>
      </w:r>
    </w:p>
    <w:p>
      <w:pPr>
        <w:spacing w:after="0" w:line="184" w:lineRule="exact"/>
        <w:rPr>
          <w:sz w:val="20"/>
          <w:szCs w:val="20"/>
          <w:color w:val="auto"/>
        </w:rPr>
      </w:pPr>
    </w:p>
    <w:p>
      <w:pPr>
        <w:ind w:left="1020" w:hanging="472"/>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highest professional and personal ethics;</w:t>
      </w:r>
    </w:p>
    <w:p>
      <w:pPr>
        <w:spacing w:after="0" w:line="90" w:lineRule="exact"/>
        <w:rPr>
          <w:rFonts w:ascii="Arial" w:cs="Arial" w:eastAsia="Arial" w:hAnsi="Arial"/>
          <w:sz w:val="18"/>
          <w:szCs w:val="18"/>
          <w:color w:val="auto"/>
        </w:rPr>
      </w:pPr>
    </w:p>
    <w:p>
      <w:pPr>
        <w:ind w:left="1020" w:hanging="472"/>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broad experience in business, government, education or technology;</w:t>
      </w:r>
    </w:p>
    <w:p>
      <w:pPr>
        <w:spacing w:after="0" w:line="90" w:lineRule="exact"/>
        <w:rPr>
          <w:rFonts w:ascii="Arial" w:cs="Arial" w:eastAsia="Arial" w:hAnsi="Arial"/>
          <w:sz w:val="18"/>
          <w:szCs w:val="18"/>
          <w:color w:val="auto"/>
        </w:rPr>
      </w:pPr>
    </w:p>
    <w:p>
      <w:pPr>
        <w:ind w:left="1020" w:hanging="472"/>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ability to provide insights and practical wisdom based on their experience and expertise;</w:t>
      </w:r>
    </w:p>
    <w:p>
      <w:pPr>
        <w:spacing w:after="0" w:line="90" w:lineRule="exact"/>
        <w:rPr>
          <w:rFonts w:ascii="Arial" w:cs="Arial" w:eastAsia="Arial" w:hAnsi="Arial"/>
          <w:sz w:val="18"/>
          <w:szCs w:val="18"/>
          <w:color w:val="auto"/>
        </w:rPr>
      </w:pPr>
    </w:p>
    <w:p>
      <w:pPr>
        <w:ind w:left="1020" w:hanging="472"/>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commitment to enhancing shareholder value;</w:t>
      </w:r>
    </w:p>
    <w:p>
      <w:pPr>
        <w:spacing w:after="0" w:line="90" w:lineRule="exact"/>
        <w:rPr>
          <w:rFonts w:ascii="Arial" w:cs="Arial" w:eastAsia="Arial" w:hAnsi="Arial"/>
          <w:sz w:val="18"/>
          <w:szCs w:val="18"/>
          <w:color w:val="auto"/>
        </w:rPr>
      </w:pPr>
    </w:p>
    <w:p>
      <w:pPr>
        <w:ind w:left="1020" w:hanging="472"/>
        <w:spacing w:after="0"/>
        <w:tabs>
          <w:tab w:leader="none" w:pos="10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sufficient time to effectively carry out their duties; their service on other boards of public companies should be limited to a reasonable number;</w:t>
      </w:r>
    </w:p>
    <w:p>
      <w:pPr>
        <w:spacing w:after="0" w:line="113" w:lineRule="exact"/>
        <w:rPr>
          <w:rFonts w:ascii="Arial" w:cs="Arial" w:eastAsia="Arial" w:hAnsi="Arial"/>
          <w:sz w:val="16"/>
          <w:szCs w:val="16"/>
          <w:color w:val="auto"/>
        </w:rPr>
      </w:pPr>
    </w:p>
    <w:p>
      <w:pPr>
        <w:ind w:left="1020" w:right="520" w:hanging="472"/>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ability to develop a good working relationship with other Board members and contribute to the Board’s working relationship with senior management of the Company; and</w:t>
      </w:r>
    </w:p>
    <w:p>
      <w:pPr>
        <w:spacing w:after="0" w:line="35" w:lineRule="exact"/>
        <w:rPr>
          <w:rFonts w:ascii="Arial" w:cs="Arial" w:eastAsia="Arial" w:hAnsi="Arial"/>
          <w:sz w:val="18"/>
          <w:szCs w:val="18"/>
          <w:color w:val="auto"/>
        </w:rPr>
      </w:pPr>
    </w:p>
    <w:p>
      <w:pPr>
        <w:ind w:left="1020" w:right="200" w:hanging="472"/>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independence; a majority of the Board shall consist of independent directors, as defined by the Company’s Policy Regarding Nominations of Directors. See “—Corporate Governance – Director Independence” below.</w:t>
      </w:r>
    </w:p>
    <w:p>
      <w:pPr>
        <w:spacing w:after="0" w:line="197" w:lineRule="exact"/>
        <w:rPr>
          <w:sz w:val="20"/>
          <w:szCs w:val="20"/>
          <w:color w:val="auto"/>
        </w:rPr>
      </w:pPr>
    </w:p>
    <w:p>
      <w:pPr>
        <w:ind w:firstLine="360"/>
        <w:spacing w:after="0" w:line="302" w:lineRule="auto"/>
        <w:rPr>
          <w:sz w:val="20"/>
          <w:szCs w:val="20"/>
          <w:color w:val="auto"/>
        </w:rPr>
      </w:pPr>
      <w:r>
        <w:rPr>
          <w:rFonts w:ascii="Arial" w:cs="Arial" w:eastAsia="Arial" w:hAnsi="Arial"/>
          <w:sz w:val="16"/>
          <w:szCs w:val="16"/>
          <w:color w:val="auto"/>
        </w:rPr>
        <w:t>The Nominating and Governance Committee continues to evaluate the Company’s and the Board’s governance practices at least annually. Other than the foregoing, there are no stated minimum criteria for director nominees, although the Nominating and Governance Committee may also consider such other factors as it may deem are in the best interests of the Company and its shareholders. The Nominating and Governance Committee does, however, believe it appropriate for at least one member of the Board to meet the criteria for an “Audit Committee Financial Expert” as defined by SEC rules.</w:t>
      </w:r>
    </w:p>
    <w:p>
      <w:pPr>
        <w:spacing w:after="0" w:line="110" w:lineRule="exact"/>
        <w:rPr>
          <w:sz w:val="20"/>
          <w:szCs w:val="20"/>
          <w:color w:val="auto"/>
        </w:rPr>
      </w:pPr>
    </w:p>
    <w:p>
      <w:pPr>
        <w:ind w:firstLine="360"/>
        <w:spacing w:after="0" w:line="277" w:lineRule="auto"/>
        <w:rPr>
          <w:sz w:val="20"/>
          <w:szCs w:val="20"/>
          <w:color w:val="auto"/>
        </w:rPr>
      </w:pPr>
      <w:r>
        <w:rPr>
          <w:rFonts w:ascii="Arial" w:cs="Arial" w:eastAsia="Arial" w:hAnsi="Arial"/>
          <w:sz w:val="17"/>
          <w:szCs w:val="17"/>
          <w:b w:val="1"/>
          <w:bCs w:val="1"/>
          <w:color w:val="auto"/>
        </w:rPr>
        <w:t xml:space="preserve">Policy and Procedures With Respect to Related Person Transactions. </w:t>
      </w:r>
      <w:r>
        <w:rPr>
          <w:rFonts w:ascii="Arial" w:cs="Arial" w:eastAsia="Arial" w:hAnsi="Arial"/>
          <w:sz w:val="17"/>
          <w:szCs w:val="17"/>
          <w:color w:val="auto"/>
        </w:rPr>
        <w:t>In June 2007, the Board of Directors adopted the Winnebago Industries, Inc.</w:t>
      </w:r>
      <w:r>
        <w:rPr>
          <w:rFonts w:ascii="Arial" w:cs="Arial" w:eastAsia="Arial" w:hAnsi="Arial"/>
          <w:sz w:val="17"/>
          <w:szCs w:val="17"/>
          <w:b w:val="1"/>
          <w:bCs w:val="1"/>
          <w:color w:val="auto"/>
        </w:rPr>
        <w:t xml:space="preserve"> </w:t>
      </w:r>
      <w:r>
        <w:rPr>
          <w:rFonts w:ascii="Arial" w:cs="Arial" w:eastAsia="Arial" w:hAnsi="Arial"/>
          <w:sz w:val="17"/>
          <w:szCs w:val="17"/>
          <w:color w:val="auto"/>
        </w:rPr>
        <w:t>Related Person Transaction Policy and Procedures. This written policy provides that the Nominating and Governance Committee will review and approve Related Person Transactions (as defined below); provided that the Human Resources Committee will review and approve the compensation of each Company employee who is an immediate family member of a Company director or executive officer and whose compensation exceeds $120,000. The Chair of the Nominating and Governance Committee has delegated authority to act between committee meetings.</w:t>
      </w:r>
    </w:p>
    <w:p>
      <w:pPr>
        <w:spacing w:after="0" w:line="132" w:lineRule="exact"/>
        <w:rPr>
          <w:sz w:val="20"/>
          <w:szCs w:val="20"/>
          <w:color w:val="auto"/>
        </w:rPr>
      </w:pPr>
    </w:p>
    <w:p>
      <w:pPr>
        <w:ind w:right="20" w:firstLine="360"/>
        <w:spacing w:after="0" w:line="293" w:lineRule="auto"/>
        <w:rPr>
          <w:sz w:val="20"/>
          <w:szCs w:val="20"/>
          <w:color w:val="auto"/>
        </w:rPr>
      </w:pPr>
      <w:r>
        <w:rPr>
          <w:rFonts w:ascii="Arial" w:cs="Arial" w:eastAsia="Arial" w:hAnsi="Arial"/>
          <w:sz w:val="16"/>
          <w:szCs w:val="16"/>
          <w:color w:val="auto"/>
        </w:rPr>
        <w:t>The policy defines a “Related Person Transaction” as a transaction, arrangement or relationship (or any series of similar transactions, arrangements or relationships) in which the Company (including any of its subsidiaries) was, is or will be a participant and the amount involved exceeds $120,000 and in which any Related Person had, has or will have a direct or indirect material interest, other than (1) competitively bid or regulated public utility services transactions, (2) transactions involving trustee type services, (3) transactions in which the Related Person’s interest arises solely from ownership of Company equity securities and all equity security holders received the same benefit on a pro rata basis, (4) an employment relationship or transaction involving an executive officer and any related compensation solely resulting from that employment relationship or transaction if (i) the compensation arising from the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relationship or transaction is or will be reported pursuant to the SEC’s executive and director compensation proxy statement disclosure rules; or (ii) the executive officer is not an immediate family member of another executive officer or director and such compensation would have been reported under the SEC’s executive and director compensation proxy statement disclosure rules as compensation earned for services to the Company if the executive officer was a “named executive officer,” as that term is defined in the SEC’s executive and director compensation proxy statement disclosure rules, and such compensation has been or will be approved, or recommended to our Board of Directors for approval, by the Human Resources Committee of our Board of Directors; or (5) if the compensation of or transaction with a director is or will be reported pursuant to the SEC’s executive and director compensation proxy statement disclosure rules.</w:t>
      </w:r>
    </w:p>
    <w:p>
      <w:pPr>
        <w:spacing w:after="0" w:line="14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“Related Person” is defined as (1) each director, director nominee and executive officer of the Company, (2) 5 percent or greater beneficial owners,</w:t>
      </w:r>
    </w:p>
    <w:p>
      <w:pPr>
        <w:spacing w:after="0" w:line="46" w:lineRule="exact"/>
        <w:rPr>
          <w:sz w:val="20"/>
          <w:szCs w:val="20"/>
          <w:color w:val="auto"/>
        </w:rPr>
      </w:pPr>
    </w:p>
    <w:p>
      <w:pPr>
        <w:ind w:right="420" w:firstLine="8"/>
        <w:spacing w:after="0" w:line="290" w:lineRule="auto"/>
        <w:tabs>
          <w:tab w:leader="none" w:pos="255" w:val="left"/>
        </w:tabs>
        <w:numPr>
          <w:ilvl w:val="0"/>
          <w:numId w:val="17"/>
        </w:numPr>
        <w:rPr>
          <w:rFonts w:ascii="Arial" w:cs="Arial" w:eastAsia="Arial" w:hAnsi="Arial"/>
          <w:sz w:val="17"/>
          <w:szCs w:val="17"/>
          <w:color w:val="auto"/>
        </w:rPr>
      </w:pPr>
      <w:r>
        <w:rPr>
          <w:rFonts w:ascii="Arial" w:cs="Arial" w:eastAsia="Arial" w:hAnsi="Arial"/>
          <w:sz w:val="17"/>
          <w:szCs w:val="17"/>
          <w:color w:val="auto"/>
        </w:rPr>
        <w:t>immediate family members of the foregoing persons and (4) any entity in which any of the foregoing persons is a general partner or principal or in a similar position or in which such person and all other related persons to such person has a 10 percent or greater beneficial interest.</w:t>
      </w:r>
    </w:p>
    <w:p>
      <w:pPr>
        <w:spacing w:after="0" w:line="135" w:lineRule="exact"/>
        <w:rPr>
          <w:sz w:val="20"/>
          <w:szCs w:val="20"/>
          <w:color w:val="auto"/>
        </w:rPr>
      </w:pPr>
    </w:p>
    <w:p>
      <w:pPr>
        <w:ind w:right="160" w:firstLine="360"/>
        <w:spacing w:after="0" w:line="286" w:lineRule="auto"/>
        <w:rPr>
          <w:sz w:val="20"/>
          <w:szCs w:val="20"/>
          <w:color w:val="auto"/>
        </w:rPr>
      </w:pPr>
      <w:r>
        <w:rPr>
          <w:rFonts w:ascii="Arial" w:cs="Arial" w:eastAsia="Arial" w:hAnsi="Arial"/>
          <w:sz w:val="17"/>
          <w:szCs w:val="17"/>
          <w:color w:val="auto"/>
        </w:rPr>
        <w:t>The Nominating and Governance Committee will assess whether a proposed transaction is a Related Person Transaction for purposes of the policy. Under the policy, the Chairman of the Nominating and Governance Committee has the authority to pre-approve or ratify (as applicable) any Related Person Transaction with a Related Person in which the aggregate amount involved is expected to be less than $500,000.</w:t>
      </w:r>
    </w:p>
    <w:p>
      <w:pPr>
        <w:spacing w:after="0" w:line="125" w:lineRule="exact"/>
        <w:rPr>
          <w:sz w:val="20"/>
          <w:szCs w:val="20"/>
          <w:color w:val="auto"/>
        </w:rPr>
      </w:pPr>
    </w:p>
    <w:p>
      <w:pPr>
        <w:jc w:val="both"/>
        <w:ind w:right="380" w:firstLine="360"/>
        <w:spacing w:after="0" w:line="264" w:lineRule="auto"/>
        <w:rPr>
          <w:sz w:val="20"/>
          <w:szCs w:val="20"/>
          <w:color w:val="auto"/>
        </w:rPr>
      </w:pPr>
      <w:r>
        <w:rPr>
          <w:rFonts w:ascii="Arial" w:cs="Arial" w:eastAsia="Arial" w:hAnsi="Arial"/>
          <w:sz w:val="18"/>
          <w:szCs w:val="18"/>
          <w:color w:val="auto"/>
        </w:rPr>
        <w:t>The policy recognizes that certain Related Person Transactions are in the best interests of the Company and its shareholders. Each of the following Related Person Transactions are deemed to be pre-approved by the Nominating and Governance Committee pursuant to the policy, even if the aggregate amount involved will exceed $120,000:</w:t>
      </w:r>
    </w:p>
    <w:p>
      <w:pPr>
        <w:spacing w:after="0" w:line="195" w:lineRule="exact"/>
        <w:rPr>
          <w:sz w:val="20"/>
          <w:szCs w:val="20"/>
          <w:color w:val="auto"/>
        </w:rPr>
      </w:pPr>
    </w:p>
    <w:p>
      <w:pPr>
        <w:ind w:left="1020" w:right="320" w:hanging="472"/>
        <w:spacing w:after="0" w:line="286" w:lineRule="auto"/>
        <w:tabs>
          <w:tab w:leader="none" w:pos="1020" w:val="left"/>
        </w:tabs>
        <w:numPr>
          <w:ilvl w:val="0"/>
          <w:numId w:val="18"/>
        </w:numPr>
        <w:rPr>
          <w:rFonts w:ascii="Arial" w:cs="Arial" w:eastAsia="Arial" w:hAnsi="Arial"/>
          <w:sz w:val="17"/>
          <w:szCs w:val="17"/>
          <w:color w:val="auto"/>
        </w:rPr>
      </w:pPr>
      <w:r>
        <w:rPr>
          <w:rFonts w:ascii="Arial" w:cs="Arial" w:eastAsia="Arial" w:hAnsi="Arial"/>
          <w:sz w:val="17"/>
          <w:szCs w:val="17"/>
          <w:i w:val="1"/>
          <w:iCs w:val="1"/>
          <w:color w:val="auto"/>
        </w:rPr>
        <w:t xml:space="preserve">Certain transactions with other companies. </w:t>
      </w:r>
      <w:r>
        <w:rPr>
          <w:rFonts w:ascii="Arial" w:cs="Arial" w:eastAsia="Arial" w:hAnsi="Arial"/>
          <w:sz w:val="17"/>
          <w:szCs w:val="17"/>
          <w:color w:val="auto"/>
        </w:rPr>
        <w:t>Any transaction with another company at which a Related Person’s only relationship is as an</w:t>
      </w:r>
      <w:r>
        <w:rPr>
          <w:rFonts w:ascii="Arial" w:cs="Arial" w:eastAsia="Arial" w:hAnsi="Arial"/>
          <w:sz w:val="17"/>
          <w:szCs w:val="17"/>
          <w:i w:val="1"/>
          <w:iCs w:val="1"/>
          <w:color w:val="auto"/>
        </w:rPr>
        <w:t xml:space="preserve"> </w:t>
      </w:r>
      <w:r>
        <w:rPr>
          <w:rFonts w:ascii="Arial" w:cs="Arial" w:eastAsia="Arial" w:hAnsi="Arial"/>
          <w:sz w:val="17"/>
          <w:szCs w:val="17"/>
          <w:color w:val="auto"/>
        </w:rPr>
        <w:t>employee (other than an executive officer), director or beneficial owner of less than 10% of that company’s shares, if the aggregate amount involved does not exceed the greater of $1,000,000, or two percent of that company’s total annual revenues;</w:t>
      </w:r>
    </w:p>
    <w:p>
      <w:pPr>
        <w:spacing w:after="0" w:line="30" w:lineRule="exact"/>
        <w:rPr>
          <w:rFonts w:ascii="Arial" w:cs="Arial" w:eastAsia="Arial" w:hAnsi="Arial"/>
          <w:sz w:val="17"/>
          <w:szCs w:val="17"/>
          <w:color w:val="auto"/>
        </w:rPr>
      </w:pPr>
    </w:p>
    <w:p>
      <w:pPr>
        <w:ind w:left="1020" w:right="20" w:hanging="472"/>
        <w:spacing w:after="0" w:line="264"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Certain Company charitable contributions. </w:t>
      </w:r>
      <w:r>
        <w:rPr>
          <w:rFonts w:ascii="Arial" w:cs="Arial" w:eastAsia="Arial" w:hAnsi="Arial"/>
          <w:sz w:val="18"/>
          <w:szCs w:val="18"/>
          <w:color w:val="auto"/>
        </w:rPr>
        <w:t>Any charitable contribution, grant or endowment by the Company or the Winnebago Industries</w:t>
      </w:r>
      <w:r>
        <w:rPr>
          <w:rFonts w:ascii="Arial" w:cs="Arial" w:eastAsia="Arial" w:hAnsi="Arial"/>
          <w:sz w:val="18"/>
          <w:szCs w:val="18"/>
          <w:i w:val="1"/>
          <w:iCs w:val="1"/>
          <w:color w:val="auto"/>
        </w:rPr>
        <w:t xml:space="preserve"> </w:t>
      </w:r>
      <w:r>
        <w:rPr>
          <w:rFonts w:ascii="Arial" w:cs="Arial" w:eastAsia="Arial" w:hAnsi="Arial"/>
          <w:sz w:val="18"/>
          <w:szCs w:val="18"/>
          <w:color w:val="auto"/>
        </w:rPr>
        <w:t>Foundation to a charitable organization, foundation or university at which a Related Person’s only relationship is as an employee (other than an officer), if the aggregate amount involved does not exceed $100,000.</w:t>
      </w:r>
    </w:p>
    <w:p>
      <w:pPr>
        <w:spacing w:after="0" w:line="208" w:lineRule="exact"/>
        <w:rPr>
          <w:sz w:val="20"/>
          <w:szCs w:val="20"/>
          <w:color w:val="auto"/>
        </w:rPr>
      </w:pPr>
    </w:p>
    <w:p>
      <w:pPr>
        <w:ind w:right="40" w:firstLine="360"/>
        <w:spacing w:after="0" w:line="293" w:lineRule="auto"/>
        <w:rPr>
          <w:sz w:val="20"/>
          <w:szCs w:val="20"/>
          <w:color w:val="auto"/>
        </w:rPr>
      </w:pPr>
      <w:r>
        <w:rPr>
          <w:rFonts w:ascii="Arial" w:cs="Arial" w:eastAsia="Arial" w:hAnsi="Arial"/>
          <w:sz w:val="16"/>
          <w:szCs w:val="16"/>
          <w:color w:val="auto"/>
        </w:rPr>
        <w:t>The approval procedures in the policy identify the factors the Nominating and Governance Committee will consider in evaluating whether to approve or ratify Related Person Transactions or material amendments to pre-approved Related Person Transactions. The Nominating and Governance Committee will consider all of the relevant facts and circumstances available to the Nominating and Governance Committee, including (if applicable) but not limited to: whether the Related Person Transaction is on terms no less favorable than terms generally available to an unaffiliated third-party under the same or similar circumstances, the extent of the Related Person’s (as defined in this Policy) interest in the transaction, whether the proposed Related Person Transaction is in compliance with or would require disclosure under applicable SEC rules and regulations, NYSE listing requirements and the Company’s policies.</w:t>
      </w:r>
    </w:p>
    <w:p>
      <w:pPr>
        <w:spacing w:after="0" w:line="124" w:lineRule="exact"/>
        <w:rPr>
          <w:sz w:val="20"/>
          <w:szCs w:val="20"/>
          <w:color w:val="auto"/>
        </w:rPr>
      </w:pPr>
    </w:p>
    <w:p>
      <w:pPr>
        <w:ind w:right="180" w:firstLine="360"/>
        <w:spacing w:after="0" w:line="342" w:lineRule="auto"/>
        <w:rPr>
          <w:sz w:val="20"/>
          <w:szCs w:val="20"/>
          <w:color w:val="auto"/>
        </w:rPr>
      </w:pPr>
      <w:r>
        <w:rPr>
          <w:rFonts w:ascii="Arial" w:cs="Arial" w:eastAsia="Arial" w:hAnsi="Arial"/>
          <w:sz w:val="16"/>
          <w:szCs w:val="16"/>
          <w:color w:val="auto"/>
        </w:rPr>
        <w:t>The policy provides for the annual pre-approval by the Nominating and Corporate Governance Committee of certain Related Person Transactions that are identified in the policy, as the policy may be supplemented and amended. For fiscal 2007, the Nominating and Corporate Governance Committee</w:t>
      </w:r>
    </w:p>
    <w:p>
      <w:pPr>
        <w:sectPr>
          <w:pgSz w:w="11900" w:h="16962" w:orient="portrait"/>
          <w:cols w:equalWidth="0" w:num="1">
            <w:col w:w="11360"/>
          </w:cols>
          <w:pgMar w:left="240" w:top="125" w:right="299" w:bottom="0" w:gutter="0" w:footer="0" w:header="0"/>
        </w:sectPr>
      </w:pPr>
    </w:p>
    <w:bookmarkStart w:id="9" w:name="page10"/>
    <w:bookmarkEnd w:id="9"/>
    <w:p>
      <w:pPr>
        <w:spacing w:after="0" w:line="12"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approved, in accordance with the policy, the Company’s banking relations on customary terms with Manufacturers Bank &amp; Trust Company (the “Bank”), Forest City, Iowa. The Bank is a wholly owned subsidiary of MBT Corp. John V. Hanson owns approximately 33-1/3 percent of MBT Corp.’s outstanding stock. Mr. Hanson is also Chairman of the Board of the Bank and MBT Corp.</w:t>
      </w:r>
    </w:p>
    <w:p>
      <w:pPr>
        <w:spacing w:after="0" w:line="137" w:lineRule="exact"/>
        <w:rPr>
          <w:sz w:val="20"/>
          <w:szCs w:val="20"/>
          <w:color w:val="auto"/>
        </w:rPr>
      </w:pPr>
    </w:p>
    <w:p>
      <w:pPr>
        <w:ind w:right="320" w:firstLine="360"/>
        <w:spacing w:after="0" w:line="282" w:lineRule="auto"/>
        <w:rPr>
          <w:sz w:val="20"/>
          <w:szCs w:val="20"/>
          <w:color w:val="auto"/>
        </w:rPr>
      </w:pPr>
      <w:r>
        <w:rPr>
          <w:rFonts w:ascii="Arial" w:cs="Arial" w:eastAsia="Arial" w:hAnsi="Arial"/>
          <w:sz w:val="18"/>
          <w:szCs w:val="18"/>
          <w:b w:val="1"/>
          <w:bCs w:val="1"/>
          <w:color w:val="auto"/>
        </w:rPr>
        <w:t xml:space="preserve">Corporate Governance Policies and Codes of Conduct. </w:t>
      </w:r>
      <w:r>
        <w:rPr>
          <w:rFonts w:ascii="Arial" w:cs="Arial" w:eastAsia="Arial" w:hAnsi="Arial"/>
          <w:sz w:val="18"/>
          <w:szCs w:val="18"/>
          <w:color w:val="auto"/>
        </w:rPr>
        <w:t>The Board of Directors has adopted a Corporate Governance Policy, a Policy Regarding</w:t>
      </w:r>
      <w:r>
        <w:rPr>
          <w:rFonts w:ascii="Arial" w:cs="Arial" w:eastAsia="Arial" w:hAnsi="Arial"/>
          <w:sz w:val="18"/>
          <w:szCs w:val="18"/>
          <w:b w:val="1"/>
          <w:bCs w:val="1"/>
          <w:color w:val="auto"/>
        </w:rPr>
        <w:t xml:space="preserve"> </w:t>
      </w:r>
      <w:r>
        <w:rPr>
          <w:rFonts w:ascii="Arial" w:cs="Arial" w:eastAsia="Arial" w:hAnsi="Arial"/>
          <w:sz w:val="18"/>
          <w:szCs w:val="18"/>
          <w:color w:val="auto"/>
        </w:rPr>
        <w:t>Nominations of Directors, a Shareholder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Interested Party Communications Policy and written charters for its Audit Committee, Human Resources Committee and Nominating and Governance Committee.</w:t>
      </w:r>
    </w:p>
    <w:p>
      <w:pPr>
        <w:spacing w:after="0" w:line="130" w:lineRule="exact"/>
        <w:rPr>
          <w:sz w:val="20"/>
          <w:szCs w:val="20"/>
          <w:color w:val="auto"/>
        </w:rPr>
      </w:pPr>
    </w:p>
    <w:p>
      <w:pPr>
        <w:ind w:firstLine="360"/>
        <w:spacing w:after="0" w:line="273" w:lineRule="auto"/>
        <w:rPr>
          <w:sz w:val="20"/>
          <w:szCs w:val="20"/>
          <w:color w:val="auto"/>
        </w:rPr>
      </w:pPr>
      <w:r>
        <w:rPr>
          <w:rFonts w:ascii="Arial" w:cs="Arial" w:eastAsia="Arial" w:hAnsi="Arial"/>
          <w:sz w:val="17"/>
          <w:szCs w:val="17"/>
          <w:color w:val="auto"/>
        </w:rPr>
        <w:t>The Board of Directors also has adopted the Company’s Code of Ethics applicable to all of the Company’s directors, officers and employees and the Code of Ethics for CEO and Senior Financial Officers (including the Company’s principal financial officer and the principal accounting officer or controller). These policies, charters, codes and other items relating to the governance of the Company are available on the Company’s website at http://www.winnebagoind.com/company/investor/governance.php. These documents are also available in print free of charge to any shareholder who requests them in writing from: Winnebago Industries, Inc., Attn: Vice President-General Counsel and Secretary, 605 West Crystal Lake Road, Forest City, Iowa 50436. Information contained on the Company’s website is not incorporated into this Proxy Statement or other securities filings.</w:t>
      </w:r>
    </w:p>
    <w:p>
      <w:pPr>
        <w:spacing w:after="0" w:line="147" w:lineRule="exact"/>
        <w:rPr>
          <w:sz w:val="20"/>
          <w:szCs w:val="20"/>
          <w:color w:val="auto"/>
        </w:rPr>
      </w:pPr>
    </w:p>
    <w:p>
      <w:pPr>
        <w:ind w:right="20" w:firstLine="360"/>
        <w:spacing w:after="0" w:line="272" w:lineRule="auto"/>
        <w:rPr>
          <w:sz w:val="20"/>
          <w:szCs w:val="20"/>
          <w:color w:val="auto"/>
        </w:rPr>
      </w:pPr>
      <w:r>
        <w:rPr>
          <w:rFonts w:ascii="Arial" w:cs="Arial" w:eastAsia="Arial" w:hAnsi="Arial"/>
          <w:sz w:val="17"/>
          <w:szCs w:val="17"/>
          <w:b w:val="1"/>
          <w:bCs w:val="1"/>
          <w:color w:val="auto"/>
        </w:rPr>
        <w:t xml:space="preserve">Director Independence. </w:t>
      </w:r>
      <w:r>
        <w:rPr>
          <w:rFonts w:ascii="Arial" w:cs="Arial" w:eastAsia="Arial" w:hAnsi="Arial"/>
          <w:sz w:val="17"/>
          <w:szCs w:val="17"/>
          <w:color w:val="auto"/>
        </w:rPr>
        <w:t>Under the Company’s Corporate Governance Policy and NYSE rules, the Board must have a majority of directors who meet</w:t>
      </w:r>
      <w:r>
        <w:rPr>
          <w:rFonts w:ascii="Arial" w:cs="Arial" w:eastAsia="Arial" w:hAnsi="Arial"/>
          <w:sz w:val="17"/>
          <w:szCs w:val="17"/>
          <w:b w:val="1"/>
          <w:bCs w:val="1"/>
          <w:color w:val="auto"/>
        </w:rPr>
        <w:t xml:space="preserve"> </w:t>
      </w:r>
      <w:r>
        <w:rPr>
          <w:rFonts w:ascii="Arial" w:cs="Arial" w:eastAsia="Arial" w:hAnsi="Arial"/>
          <w:sz w:val="17"/>
          <w:szCs w:val="17"/>
          <w:color w:val="auto"/>
        </w:rPr>
        <w:t>the standards for independence under the Company’s Policy Regarding Nominations of Directors and applicable NYSE rules, respectively. The Board must determine, based on all of the relevant facts and circumstances, whether each director satisfies the criteria for independence. The Board of Directors has determined, after careful review and upon consideration of the following, that Mr. Aal (Class I director), Mr. Currie (a Class II director and a nominee for re-election as a Class II director), Mr. England (Class I director), Mr. Hanson (Class III director), Mr. Herlitz (a Class II director and a nominee for re-election as a Class II director) and Mr. Kitch (Class III director), are independent as defined by the relevant provisions of applicable law, the NYSE listing standards and the Company’s Policy Regarding Nominations of Directors and that each independent director has no material relationship with the Company, determined in accordance with the standards disclosed below.</w:t>
      </w:r>
    </w:p>
    <w:p>
      <w:pPr>
        <w:spacing w:after="0" w:line="1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Under the Company’s Policy Regarding Nominations of Directors, an “independent director” is one who:</w:t>
      </w:r>
    </w:p>
    <w:p>
      <w:pPr>
        <w:spacing w:after="0" w:line="239" w:lineRule="exact"/>
        <w:rPr>
          <w:sz w:val="20"/>
          <w:szCs w:val="20"/>
          <w:color w:val="auto"/>
        </w:rPr>
      </w:pPr>
    </w:p>
    <w:p>
      <w:pPr>
        <w:ind w:left="1020" w:right="240" w:hanging="472"/>
        <w:spacing w:after="0" w:line="27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has no material relationship with the Company, either directly or as a partner, shareholder or officer of an organization that has a relationship with the Company;</w:t>
      </w:r>
    </w:p>
    <w:p>
      <w:pPr>
        <w:spacing w:after="0" w:line="35" w:lineRule="exact"/>
        <w:rPr>
          <w:rFonts w:ascii="Arial" w:cs="Arial" w:eastAsia="Arial" w:hAnsi="Arial"/>
          <w:sz w:val="18"/>
          <w:szCs w:val="18"/>
          <w:color w:val="auto"/>
        </w:rPr>
      </w:pPr>
    </w:p>
    <w:p>
      <w:pPr>
        <w:ind w:left="1020" w:hanging="472"/>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is not an employee of the Company and no member of his or her immediate family is an executive officer of the Company;</w:t>
      </w:r>
    </w:p>
    <w:p>
      <w:pPr>
        <w:spacing w:after="0" w:line="90" w:lineRule="exact"/>
        <w:rPr>
          <w:rFonts w:ascii="Arial" w:cs="Arial" w:eastAsia="Arial" w:hAnsi="Arial"/>
          <w:sz w:val="18"/>
          <w:szCs w:val="18"/>
          <w:color w:val="auto"/>
        </w:rPr>
      </w:pPr>
    </w:p>
    <w:p>
      <w:pPr>
        <w:ind w:left="1020" w:right="220" w:hanging="472"/>
        <w:spacing w:after="0" w:line="27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has not been employed by the Company and no member of his or her immediate family has been an executive officer of the Company during the past three years;</w:t>
      </w:r>
    </w:p>
    <w:p>
      <w:pPr>
        <w:spacing w:after="0" w:line="35" w:lineRule="exact"/>
        <w:rPr>
          <w:rFonts w:ascii="Arial" w:cs="Arial" w:eastAsia="Arial" w:hAnsi="Arial"/>
          <w:sz w:val="18"/>
          <w:szCs w:val="18"/>
          <w:color w:val="auto"/>
        </w:rPr>
      </w:pPr>
    </w:p>
    <w:p>
      <w:pPr>
        <w:ind w:left="1020" w:right="400" w:hanging="472"/>
        <w:spacing w:after="0" w:line="27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has not received and no member of his or her immediate family has received more than $100,000 per year in direct compensation from the Company in any capacity other than as a director during the past three years;</w:t>
      </w:r>
    </w:p>
    <w:p>
      <w:pPr>
        <w:spacing w:after="0" w:line="35" w:lineRule="exact"/>
        <w:rPr>
          <w:rFonts w:ascii="Arial" w:cs="Arial" w:eastAsia="Arial" w:hAnsi="Arial"/>
          <w:sz w:val="18"/>
          <w:szCs w:val="18"/>
          <w:color w:val="auto"/>
        </w:rPr>
      </w:pPr>
    </w:p>
    <w:p>
      <w:pPr>
        <w:ind w:left="1020" w:right="140" w:hanging="472"/>
        <w:spacing w:after="0" w:line="276" w:lineRule="auto"/>
        <w:tabs>
          <w:tab w:leader="none" w:pos="10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 is not and no member of his or her immediate family is a current partner of a firm that is the Company’s internal or external auditor; (ii) is not a current employee of the Company’s internal or external auditor; (iii) does not have an immediate family member who is a current employee of the Company’s internal or external auditor and who participates in that firm’s audit, assurance or tax compliance (but not tax planning) practice; and (iv) within the last three years was not and no member of his or her immediate family was (and no longer is), a partner or employee of the Company’s internal or external auditor and personally worked on the Company’s audit within that time;</w:t>
      </w:r>
    </w:p>
    <w:p>
      <w:pPr>
        <w:spacing w:after="0" w:line="37" w:lineRule="exact"/>
        <w:rPr>
          <w:rFonts w:ascii="Arial" w:cs="Arial" w:eastAsia="Arial" w:hAnsi="Arial"/>
          <w:sz w:val="17"/>
          <w:szCs w:val="17"/>
          <w:color w:val="auto"/>
        </w:rPr>
      </w:pPr>
    </w:p>
    <w:p>
      <w:pPr>
        <w:ind w:left="1020" w:right="560" w:hanging="472"/>
        <w:spacing w:after="0" w:line="286" w:lineRule="auto"/>
        <w:tabs>
          <w:tab w:leader="none" w:pos="10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is not and no member of his or her immediate family is currently, and for the past three years has not been, and no member of his or her immediate family has been, part of an interlocking directorate in which an executive officer of the Company serves on the compensation committee of another company that employs the director or an immediate family member of the director;</w:t>
      </w:r>
    </w:p>
    <w:p>
      <w:pPr>
        <w:spacing w:after="0" w:line="30" w:lineRule="exact"/>
        <w:rPr>
          <w:rFonts w:ascii="Arial" w:cs="Arial" w:eastAsia="Arial" w:hAnsi="Arial"/>
          <w:sz w:val="17"/>
          <w:szCs w:val="17"/>
          <w:color w:val="auto"/>
        </w:rPr>
      </w:pPr>
    </w:p>
    <w:p>
      <w:pPr>
        <w:jc w:val="both"/>
        <w:ind w:left="1020" w:right="440" w:hanging="472"/>
        <w:spacing w:after="0" w:line="342" w:lineRule="auto"/>
        <w:tabs>
          <w:tab w:leader="none" w:pos="10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is not an executive officer or an employee, and no member of his or her immediate family is an executive officer, of another company that makes payments to, or receives payments from, the Company for property or services in an amount which, in any single year, exceeds the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81"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greater of $1 million, or two percent of such other company’s consolidated revenues during any of the past three years;</w:t>
      </w:r>
    </w:p>
    <w:p>
      <w:pPr>
        <w:spacing w:after="0" w:line="90" w:lineRule="exact"/>
        <w:rPr>
          <w:sz w:val="20"/>
          <w:szCs w:val="20"/>
          <w:color w:val="auto"/>
        </w:rPr>
      </w:pPr>
    </w:p>
    <w:p>
      <w:pPr>
        <w:ind w:left="1020" w:hanging="472"/>
        <w:spacing w:after="0"/>
        <w:tabs>
          <w:tab w:leader="none" w:pos="10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is free of any relationships with the Company that may impair, or appear to impair his or her ability to make independent judgments; and</w:t>
      </w:r>
    </w:p>
    <w:p>
      <w:pPr>
        <w:spacing w:after="0" w:line="101" w:lineRule="exact"/>
        <w:rPr>
          <w:rFonts w:ascii="Arial" w:cs="Arial" w:eastAsia="Arial" w:hAnsi="Arial"/>
          <w:sz w:val="17"/>
          <w:szCs w:val="17"/>
          <w:color w:val="auto"/>
        </w:rPr>
      </w:pPr>
    </w:p>
    <w:p>
      <w:pPr>
        <w:jc w:val="both"/>
        <w:ind w:left="1020" w:right="200" w:hanging="472"/>
        <w:spacing w:after="0" w:line="264"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is not and no member of his or her immediate family is employed by or serves as a director, officer or trustee of a charitable organization that receives contributions from the Company or a Company charitable trust, in an amount which exceeds the greater of $1 million or two percent of such charitable organization’s total annual receipts.</w:t>
      </w:r>
    </w:p>
    <w:p>
      <w:pPr>
        <w:spacing w:after="0" w:line="19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This policy may be modified temporarily if, due to unforeseen circumstances, strict adherence would be detrimental to the Board’s performance.</w:t>
      </w:r>
    </w:p>
    <w:p>
      <w:pPr>
        <w:spacing w:after="0" w:line="19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purposes of determining a “material relationship,” the following standards are utilized:</w:t>
      </w:r>
    </w:p>
    <w:p>
      <w:pPr>
        <w:spacing w:after="0" w:line="252" w:lineRule="exact"/>
        <w:rPr>
          <w:sz w:val="20"/>
          <w:szCs w:val="20"/>
          <w:color w:val="auto"/>
        </w:rPr>
      </w:pPr>
    </w:p>
    <w:p>
      <w:pPr>
        <w:ind w:left="1020" w:right="40" w:hanging="472"/>
        <w:spacing w:after="0" w:line="264"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payments by the Company to a director’s primary business affiliation or the primary business affiliation of an immediate family member of a director for goods or services, or other contractual arrangements, must be made in the ordinary course of business and on substantially the same terms as those prevailing at the time for comparable transactions with non-affiliated persons; and</w:t>
      </w:r>
    </w:p>
    <w:p>
      <w:pPr>
        <w:sectPr>
          <w:pgSz w:w="11900" w:h="16850" w:orient="portrait"/>
          <w:cols w:equalWidth="0" w:num="1">
            <w:col w:w="11400"/>
          </w:cols>
          <w:pgMar w:left="240" w:top="125" w:right="259" w:bottom="0" w:gutter="0" w:footer="0" w:header="0"/>
        </w:sectPr>
      </w:pPr>
    </w:p>
    <w:bookmarkStart w:id="10" w:name="page11"/>
    <w:bookmarkEnd w:id="10"/>
    <w:p>
      <w:pPr>
        <w:spacing w:after="0" w:line="53" w:lineRule="exact"/>
        <w:rPr>
          <w:sz w:val="20"/>
          <w:szCs w:val="20"/>
          <w:color w:val="auto"/>
        </w:rPr>
      </w:pPr>
    </w:p>
    <w:p>
      <w:pPr>
        <w:ind w:left="1020" w:hanging="472"/>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aggregate amount of such payments must not exceed two percent of the Company’s consolidated gross revenues.</w:t>
      </w:r>
    </w:p>
    <w:p>
      <w:pPr>
        <w:spacing w:after="0" w:line="239" w:lineRule="exact"/>
        <w:rPr>
          <w:sz w:val="20"/>
          <w:szCs w:val="20"/>
          <w:color w:val="auto"/>
        </w:rPr>
      </w:pPr>
    </w:p>
    <w:p>
      <w:pPr>
        <w:ind w:right="60" w:firstLine="360"/>
        <w:spacing w:after="0" w:line="259" w:lineRule="auto"/>
        <w:rPr>
          <w:sz w:val="20"/>
          <w:szCs w:val="20"/>
          <w:color w:val="auto"/>
        </w:rPr>
      </w:pPr>
      <w:r>
        <w:rPr>
          <w:rFonts w:ascii="Arial" w:cs="Arial" w:eastAsia="Arial" w:hAnsi="Arial"/>
          <w:sz w:val="18"/>
          <w:szCs w:val="18"/>
          <w:color w:val="auto"/>
        </w:rPr>
        <w:t>For purposes of these independence standards, (i) immediate family members of a director include the director’s spouse, parents, children, siblings, mother- and father-in-law, sons- and daughters-in-law, and brothers- and sisters-in-law and anyone (other than domestic employees) who shares the director’s home and (ii) the term “primary business affiliation” means an entity of which the director is a principal/executive officer or in which the director holds at least a five percent equity interest.</w:t>
      </w:r>
    </w:p>
    <w:p>
      <w:pPr>
        <w:spacing w:after="0" w:line="146" w:lineRule="exact"/>
        <w:rPr>
          <w:sz w:val="20"/>
          <w:szCs w:val="20"/>
          <w:color w:val="auto"/>
        </w:rPr>
      </w:pPr>
    </w:p>
    <w:p>
      <w:pPr>
        <w:ind w:right="20" w:firstLine="360"/>
        <w:spacing w:after="0" w:line="288" w:lineRule="auto"/>
        <w:rPr>
          <w:sz w:val="20"/>
          <w:szCs w:val="20"/>
          <w:color w:val="auto"/>
        </w:rPr>
      </w:pPr>
      <w:r>
        <w:rPr>
          <w:rFonts w:ascii="Arial" w:cs="Arial" w:eastAsia="Arial" w:hAnsi="Arial"/>
          <w:sz w:val="16"/>
          <w:szCs w:val="16"/>
          <w:color w:val="auto"/>
        </w:rPr>
        <w:t>Mr. Erickson (a Class II director and a nominee for re-election as a Class II director) is not considered independent under the NYSE listing standards and the Company’s Nominations of Directors Policy solely because his son, Thad Erickson, is employed by the Company’s independent registered public accountants as an audit manager. Thad Erickson has not personally worked on any audits of the Company or any other work involving the Company.</w:t>
      </w:r>
    </w:p>
    <w:p>
      <w:pPr>
        <w:spacing w:after="0"/>
        <w:rPr>
          <w:sz w:val="20"/>
          <w:szCs w:val="20"/>
          <w:color w:val="auto"/>
        </w:rPr>
      </w:pPr>
      <w:r>
        <w:rPr>
          <w:rFonts w:ascii="Arial" w:cs="Arial" w:eastAsia="Arial" w:hAnsi="Arial"/>
          <w:sz w:val="17"/>
          <w:szCs w:val="17"/>
          <w:color w:val="auto"/>
        </w:rPr>
        <w:t>Mr. Hertzke (Class III director) is not considered independent because of his employment as Chairman and Chief Executive Officer of the Company.</w:t>
      </w:r>
    </w:p>
    <w:p>
      <w:pPr>
        <w:spacing w:after="0" w:line="191" w:lineRule="exact"/>
        <w:rPr>
          <w:sz w:val="20"/>
          <w:szCs w:val="20"/>
          <w:color w:val="auto"/>
        </w:rPr>
      </w:pPr>
    </w:p>
    <w:p>
      <w:pPr>
        <w:ind w:right="40" w:firstLine="360"/>
        <w:spacing w:after="0" w:line="287" w:lineRule="auto"/>
        <w:rPr>
          <w:sz w:val="20"/>
          <w:szCs w:val="20"/>
          <w:color w:val="auto"/>
        </w:rPr>
      </w:pPr>
      <w:r>
        <w:rPr>
          <w:rFonts w:ascii="Arial" w:cs="Arial" w:eastAsia="Arial" w:hAnsi="Arial"/>
          <w:sz w:val="16"/>
          <w:szCs w:val="16"/>
          <w:b w:val="1"/>
          <w:bCs w:val="1"/>
          <w:color w:val="auto"/>
        </w:rPr>
        <w:t xml:space="preserve">Shareholder and Other Interested Party Communications with Directors. </w:t>
      </w:r>
      <w:r>
        <w:rPr>
          <w:rFonts w:ascii="Arial" w:cs="Arial" w:eastAsia="Arial" w:hAnsi="Arial"/>
          <w:sz w:val="16"/>
          <w:szCs w:val="16"/>
          <w:color w:val="auto"/>
        </w:rPr>
        <w:t>The Nominating and Governance Committee has adopted a policy for</w:t>
      </w:r>
      <w:r>
        <w:rPr>
          <w:rFonts w:ascii="Arial" w:cs="Arial" w:eastAsia="Arial" w:hAnsi="Arial"/>
          <w:sz w:val="16"/>
          <w:szCs w:val="16"/>
          <w:b w:val="1"/>
          <w:bCs w:val="1"/>
          <w:color w:val="auto"/>
        </w:rPr>
        <w:t xml:space="preserve"> </w:t>
      </w:r>
      <w:r>
        <w:rPr>
          <w:rFonts w:ascii="Arial" w:cs="Arial" w:eastAsia="Arial" w:hAnsi="Arial"/>
          <w:sz w:val="16"/>
          <w:szCs w:val="16"/>
          <w:color w:val="auto"/>
        </w:rPr>
        <w:t>shareholders and other interested parties to send communications to the Board. Shareholders and other interested parties who desire to communicate with the Company’s directors or a particular director may write to: Winnebago Industries, Inc., Attn: Vice President-General Counsel and Secretary, 605 West Crystal Lake Road, Forest City, Iowa 50436; or send an e-mail to: rbeebe@winnebagoind.com. All communications must be accompanied by the following information (i) if the person submitting the communication is a shareholder, a statement of the number of shares of the Company’s Common Stock that the person holds; (ii) if the person submitting the communication is not a shareholder and is submitting the communication to the non-management directors as an interested party, the nature of the person’s interest in the Company; (iii) any special interest, meaning an interest not in the capacity of a shareholder of the Company, of the person in the subject matter of the communication; and (iv) the address, telephone number and e-mail address, if any, of the person submitting the communication. Communications received from shareholders and other interested parties to the Board of Directors will be reviewed by the Vice President-General Counsel and Secretary, or such other person designated by all non-management members of the Board, and if they are relevant to, and consistent with, the Company’s operations and policies that are approved by all non-management members of the Board, they will be forwarded to the Lead Director or applicable Board member or members as expeditiously as reasonably practicable.</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DIRECTOR COMPENSATION</w:t>
      </w:r>
    </w:p>
    <w:p>
      <w:pPr>
        <w:spacing w:after="0" w:line="219" w:lineRule="exact"/>
        <w:rPr>
          <w:sz w:val="20"/>
          <w:szCs w:val="20"/>
          <w:color w:val="auto"/>
        </w:rPr>
      </w:pPr>
    </w:p>
    <w:p>
      <w:pPr>
        <w:ind w:right="80" w:firstLine="360"/>
        <w:spacing w:after="0" w:line="273" w:lineRule="auto"/>
        <w:rPr>
          <w:sz w:val="20"/>
          <w:szCs w:val="20"/>
          <w:color w:val="auto"/>
        </w:rPr>
      </w:pPr>
      <w:r>
        <w:rPr>
          <w:rFonts w:ascii="Arial" w:cs="Arial" w:eastAsia="Arial" w:hAnsi="Arial"/>
          <w:sz w:val="17"/>
          <w:szCs w:val="17"/>
          <w:color w:val="auto"/>
        </w:rPr>
        <w:t>Employee directors receive no additional compensation for serving on the Board or its Committees. In fiscal 2007, Non-employee Directors received an annual retainer of $25,000 (paid in monthly installments), a $1,000 per day attendance fee for Board and Committee meetings, and a $500 fee for participation in Board meetings held telephonically. Additionally, the Audit Committee Chairman received an annual retainer of $5,000 (paid in monthly installments) and the Chairmen of other Board Committees received an annual retainer of $4,000 (paid in monthly installments). Commencing in fiscal 2007, each Non-employee Director received an annual restricted stock grant of 1,000 shares pursuant to the Winnebago Industries, Inc. 2004 Incentive Compensation Plan, as amended (“the 2004 Plan”). These restricted shares may not be sold until the director retires from the Board.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w:t>
      </w:r>
      <w:r>
        <w:rPr>
          <w:rFonts w:ascii="Arial" w:cs="Arial" w:eastAsia="Arial" w:hAnsi="Arial"/>
          <w:sz w:val="18"/>
          <w:szCs w:val="18"/>
          <w:color w:val="auto"/>
        </w:rPr>
        <w:t>IRECTOR</w:t>
      </w:r>
      <w:r>
        <w:rPr>
          <w:rFonts w:ascii="Arial" w:cs="Arial" w:eastAsia="Arial" w:hAnsi="Arial"/>
          <w:sz w:val="22"/>
          <w:szCs w:val="22"/>
          <w:color w:val="auto"/>
        </w:rPr>
        <w:t xml:space="preserve"> C</w:t>
      </w:r>
      <w:r>
        <w:rPr>
          <w:rFonts w:ascii="Arial" w:cs="Arial" w:eastAsia="Arial" w:hAnsi="Arial"/>
          <w:sz w:val="18"/>
          <w:szCs w:val="18"/>
          <w:color w:val="auto"/>
        </w:rPr>
        <w:t>OMPENSATION</w:t>
      </w:r>
      <w:r>
        <w:rPr>
          <w:rFonts w:ascii="Arial" w:cs="Arial" w:eastAsia="Arial" w:hAnsi="Arial"/>
          <w:sz w:val="22"/>
          <w:szCs w:val="22"/>
          <w:color w:val="auto"/>
        </w:rPr>
        <w:t xml:space="preserve"> T</w:t>
      </w:r>
      <w:r>
        <w:rPr>
          <w:rFonts w:ascii="Arial" w:cs="Arial" w:eastAsia="Arial" w:hAnsi="Arial"/>
          <w:sz w:val="18"/>
          <w:szCs w:val="18"/>
          <w:color w:val="auto"/>
        </w:rPr>
        <w:t>ABLE</w:t>
      </w:r>
    </w:p>
    <w:p>
      <w:pPr>
        <w:spacing w:after="0" w:line="21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sets forth the total compensation paid to each Non-employee Director for fiscal 2007, other than reimbursement for travel expenses.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4"/>
              </w:rPr>
              <w:t>Change in</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Pension</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Value</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and Non-</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1"/>
              </w:rPr>
              <w:t>Fees</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3"/>
              </w:rPr>
              <w:t>qualified</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6"/>
              </w:rPr>
              <w:t>Earned</w:t>
            </w:r>
          </w:p>
        </w:tc>
        <w:tc>
          <w:tcPr>
            <w:tcW w:w="180" w:type="dxa"/>
            <w:vAlign w:val="bottom"/>
          </w:tcPr>
          <w:p>
            <w:pPr>
              <w:spacing w:after="0"/>
              <w:rPr>
                <w:sz w:val="14"/>
                <w:szCs w:val="14"/>
                <w:color w:val="auto"/>
              </w:rPr>
            </w:pPr>
          </w:p>
        </w:tc>
        <w:tc>
          <w:tcPr>
            <w:tcW w:w="116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89"/>
              </w:rPr>
              <w:t>Stock</w:t>
            </w: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Option</w:t>
            </w:r>
          </w:p>
        </w:tc>
        <w:tc>
          <w:tcPr>
            <w:tcW w:w="3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7"/>
              </w:rPr>
              <w:t>Deferred</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rPr>
              <w:t>All Other</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jc w:val="center"/>
              <w:ind w:right="500"/>
              <w:spacing w:after="0" w:line="129" w:lineRule="exact"/>
              <w:rPr>
                <w:sz w:val="20"/>
                <w:szCs w:val="20"/>
                <w:color w:val="auto"/>
              </w:rPr>
            </w:pPr>
            <w:r>
              <w:rPr>
                <w:rFonts w:ascii="Arial" w:cs="Arial" w:eastAsia="Arial" w:hAnsi="Arial"/>
                <w:sz w:val="14"/>
                <w:szCs w:val="14"/>
                <w:b w:val="1"/>
                <w:bCs w:val="1"/>
                <w:color w:val="auto"/>
                <w:w w:val="96"/>
              </w:rPr>
              <w:t>or Paid</w:t>
            </w:r>
          </w:p>
        </w:tc>
        <w:tc>
          <w:tcPr>
            <w:tcW w:w="18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Compensation</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jc w:val="center"/>
              <w:ind w:right="500"/>
              <w:spacing w:after="0" w:line="157" w:lineRule="exact"/>
              <w:rPr>
                <w:sz w:val="20"/>
                <w:szCs w:val="20"/>
                <w:color w:val="auto"/>
              </w:rPr>
            </w:pPr>
            <w:r>
              <w:rPr>
                <w:rFonts w:ascii="Arial" w:cs="Arial" w:eastAsia="Arial" w:hAnsi="Arial"/>
                <w:sz w:val="14"/>
                <w:szCs w:val="14"/>
                <w:b w:val="1"/>
                <w:bCs w:val="1"/>
                <w:color w:val="auto"/>
                <w:w w:val="90"/>
              </w:rPr>
              <w:t>in Cash</w:t>
            </w:r>
          </w:p>
        </w:tc>
        <w:tc>
          <w:tcPr>
            <w:tcW w:w="180" w:type="dxa"/>
            <w:vAlign w:val="bottom"/>
          </w:tcPr>
          <w:p>
            <w:pPr>
              <w:spacing w:after="0"/>
              <w:rPr>
                <w:sz w:val="13"/>
                <w:szCs w:val="13"/>
                <w:color w:val="auto"/>
              </w:rPr>
            </w:pPr>
          </w:p>
        </w:tc>
        <w:tc>
          <w:tcPr>
            <w:tcW w:w="1160" w:type="dxa"/>
            <w:vAlign w:val="bottom"/>
            <w:gridSpan w:val="2"/>
          </w:tcPr>
          <w:p>
            <w:pPr>
              <w:jc w:val="center"/>
              <w:ind w:right="500"/>
              <w:spacing w:after="0" w:line="157" w:lineRule="exact"/>
              <w:rPr>
                <w:sz w:val="20"/>
                <w:szCs w:val="20"/>
                <w:color w:val="auto"/>
              </w:rPr>
            </w:pPr>
            <w:r>
              <w:rPr>
                <w:rFonts w:ascii="Arial" w:cs="Arial" w:eastAsia="Arial" w:hAnsi="Arial"/>
                <w:sz w:val="14"/>
                <w:szCs w:val="14"/>
                <w:b w:val="1"/>
                <w:bCs w:val="1"/>
                <w:color w:val="auto"/>
                <w:w w:val="90"/>
              </w:rPr>
              <w:t>Awards</w:t>
            </w:r>
          </w:p>
        </w:tc>
        <w:tc>
          <w:tcPr>
            <w:tcW w:w="10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0"/>
              </w:rPr>
              <w:t>Awards</w:t>
            </w:r>
          </w:p>
        </w:tc>
        <w:tc>
          <w:tcPr>
            <w:tcW w:w="320" w:type="dxa"/>
            <w:vAlign w:val="bottom"/>
          </w:tcPr>
          <w:p>
            <w:pPr>
              <w:spacing w:after="0"/>
              <w:rPr>
                <w:sz w:val="13"/>
                <w:szCs w:val="13"/>
                <w:color w:val="auto"/>
              </w:rPr>
            </w:pPr>
          </w:p>
        </w:tc>
        <w:tc>
          <w:tcPr>
            <w:tcW w:w="100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3"/>
              </w:rPr>
              <w:t>Earnings</w:t>
            </w:r>
          </w:p>
        </w:tc>
        <w:tc>
          <w:tcPr>
            <w:tcW w:w="340" w:type="dxa"/>
            <w:vAlign w:val="bottom"/>
          </w:tcPr>
          <w:p>
            <w:pPr>
              <w:spacing w:after="0"/>
              <w:rPr>
                <w:sz w:val="13"/>
                <w:szCs w:val="13"/>
                <w:color w:val="auto"/>
              </w:rPr>
            </w:pPr>
          </w:p>
        </w:tc>
        <w:tc>
          <w:tcPr>
            <w:tcW w:w="1340" w:type="dxa"/>
            <w:vAlign w:val="bottom"/>
            <w:gridSpan w:val="3"/>
          </w:tcPr>
          <w:p>
            <w:pPr>
              <w:jc w:val="center"/>
              <w:ind w:right="340"/>
              <w:spacing w:after="0" w:line="157" w:lineRule="exact"/>
              <w:rPr>
                <w:sz w:val="20"/>
                <w:szCs w:val="20"/>
                <w:color w:val="auto"/>
              </w:rPr>
            </w:pPr>
            <w:r>
              <w:rPr>
                <w:rFonts w:ascii="Arial" w:cs="Arial" w:eastAsia="Arial" w:hAnsi="Arial"/>
                <w:sz w:val="14"/>
                <w:szCs w:val="14"/>
                <w:b w:val="1"/>
                <w:bCs w:val="1"/>
                <w:color w:val="auto"/>
                <w:w w:val="90"/>
              </w:rPr>
              <w:t>Compensation</w:t>
            </w:r>
          </w:p>
        </w:tc>
        <w:tc>
          <w:tcPr>
            <w:tcW w:w="220" w:type="dxa"/>
            <w:vAlign w:val="bottom"/>
          </w:tcPr>
          <w:p>
            <w:pPr>
              <w:spacing w:after="0"/>
              <w:rPr>
                <w:sz w:val="13"/>
                <w:szCs w:val="13"/>
                <w:color w:val="auto"/>
              </w:rPr>
            </w:pPr>
          </w:p>
        </w:tc>
        <w:tc>
          <w:tcPr>
            <w:tcW w:w="1000" w:type="dxa"/>
            <w:vAlign w:val="bottom"/>
            <w:gridSpan w:val="2"/>
          </w:tcPr>
          <w:p>
            <w:pPr>
              <w:jc w:val="center"/>
              <w:ind w:right="440"/>
              <w:spacing w:after="0" w:line="157"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96"/>
        </w:trPr>
        <w:tc>
          <w:tcPr>
            <w:tcW w:w="2560" w:type="dxa"/>
            <w:vAlign w:val="bottom"/>
            <w:gridSpan w:val="3"/>
          </w:tcPr>
          <w:p>
            <w:pPr>
              <w:spacing w:after="0"/>
              <w:rPr>
                <w:sz w:val="20"/>
                <w:szCs w:val="20"/>
                <w:color w:val="auto"/>
              </w:rPr>
            </w:pPr>
            <w:r>
              <w:rPr>
                <w:rFonts w:ascii="Arial" w:cs="Arial" w:eastAsia="Arial" w:hAnsi="Arial"/>
                <w:sz w:val="14"/>
                <w:szCs w:val="14"/>
                <w:b w:val="1"/>
                <w:bCs w:val="1"/>
                <w:color w:val="auto"/>
              </w:rPr>
              <w:t>Director</w:t>
            </w: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center"/>
              <w:ind w:right="97"/>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center"/>
              <w:ind w:right="97"/>
              <w:spacing w:after="0" w:line="296" w:lineRule="exact"/>
              <w:rPr>
                <w:sz w:val="20"/>
                <w:szCs w:val="20"/>
                <w:color w:val="auto"/>
              </w:rPr>
            </w:pPr>
            <w:r>
              <w:rPr>
                <w:rFonts w:ascii="Arial" w:cs="Arial" w:eastAsia="Arial" w:hAnsi="Arial"/>
                <w:sz w:val="28"/>
                <w:szCs w:val="28"/>
                <w:b w:val="1"/>
                <w:bCs w:val="1"/>
                <w:color w:val="auto"/>
                <w:w w:val="79"/>
                <w:vertAlign w:val="subscript"/>
              </w:rPr>
              <w:t>($)</w:t>
            </w:r>
            <w:r>
              <w:rPr>
                <w:rFonts w:ascii="Arial" w:cs="Arial" w:eastAsia="Arial" w:hAnsi="Arial"/>
                <w:sz w:val="12"/>
                <w:szCs w:val="12"/>
                <w:b w:val="1"/>
                <w:bCs w:val="1"/>
                <w:color w:val="auto"/>
                <w:w w:val="79"/>
              </w:rPr>
              <w:t>(1)</w:t>
            </w:r>
          </w:p>
        </w:tc>
        <w:tc>
          <w:tcPr>
            <w:tcW w:w="320" w:type="dxa"/>
            <w:vAlign w:val="bottom"/>
          </w:tcPr>
          <w:p>
            <w:pPr>
              <w:spacing w:after="0"/>
              <w:rPr>
                <w:sz w:val="24"/>
                <w:szCs w:val="24"/>
                <w:color w:val="auto"/>
              </w:rPr>
            </w:pPr>
          </w:p>
        </w:tc>
        <w:tc>
          <w:tcPr>
            <w:tcW w:w="1020" w:type="dxa"/>
            <w:vAlign w:val="bottom"/>
          </w:tcPr>
          <w:p>
            <w:pPr>
              <w:jc w:val="center"/>
              <w:spacing w:after="0" w:line="296" w:lineRule="exact"/>
              <w:rPr>
                <w:sz w:val="20"/>
                <w:szCs w:val="20"/>
                <w:color w:val="auto"/>
              </w:rPr>
            </w:pPr>
            <w:r>
              <w:rPr>
                <w:rFonts w:ascii="Arial" w:cs="Arial" w:eastAsia="Arial" w:hAnsi="Arial"/>
                <w:sz w:val="28"/>
                <w:szCs w:val="28"/>
                <w:b w:val="1"/>
                <w:bCs w:val="1"/>
                <w:color w:val="auto"/>
                <w:w w:val="79"/>
                <w:vertAlign w:val="subscript"/>
              </w:rPr>
              <w:t>($)</w:t>
            </w:r>
            <w:r>
              <w:rPr>
                <w:rFonts w:ascii="Arial" w:cs="Arial" w:eastAsia="Arial" w:hAnsi="Arial"/>
                <w:sz w:val="12"/>
                <w:szCs w:val="12"/>
                <w:b w:val="1"/>
                <w:bCs w:val="1"/>
                <w:color w:val="auto"/>
                <w:w w:val="79"/>
              </w:rPr>
              <w:t>(2)</w:t>
            </w:r>
          </w:p>
        </w:tc>
        <w:tc>
          <w:tcPr>
            <w:tcW w:w="1320" w:type="dxa"/>
            <w:vAlign w:val="bottom"/>
            <w:gridSpan w:val="2"/>
          </w:tcPr>
          <w:p>
            <w:pPr>
              <w:jc w:val="center"/>
              <w:ind w:left="260"/>
              <w:spacing w:after="0" w:line="296" w:lineRule="exact"/>
              <w:rPr>
                <w:sz w:val="20"/>
                <w:szCs w:val="20"/>
                <w:color w:val="auto"/>
              </w:rPr>
            </w:pPr>
            <w:r>
              <w:rPr>
                <w:rFonts w:ascii="Arial" w:cs="Arial" w:eastAsia="Arial" w:hAnsi="Arial"/>
                <w:sz w:val="28"/>
                <w:szCs w:val="28"/>
                <w:b w:val="1"/>
                <w:bCs w:val="1"/>
                <w:color w:val="auto"/>
                <w:w w:val="85"/>
                <w:vertAlign w:val="subscript"/>
              </w:rPr>
              <w:t>($)</w:t>
            </w:r>
            <w:r>
              <w:rPr>
                <w:rFonts w:ascii="Arial" w:cs="Arial" w:eastAsia="Arial" w:hAnsi="Arial"/>
                <w:sz w:val="12"/>
                <w:szCs w:val="12"/>
                <w:b w:val="1"/>
                <w:bCs w:val="1"/>
                <w:color w:val="auto"/>
                <w:w w:val="85"/>
              </w:rPr>
              <w:t>(3)</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center"/>
              <w:ind w:right="55"/>
              <w:spacing w:after="0" w:line="296" w:lineRule="exact"/>
              <w:rPr>
                <w:sz w:val="20"/>
                <w:szCs w:val="20"/>
                <w:color w:val="auto"/>
              </w:rPr>
            </w:pPr>
            <w:r>
              <w:rPr>
                <w:rFonts w:ascii="Arial" w:cs="Arial" w:eastAsia="Arial" w:hAnsi="Arial"/>
                <w:sz w:val="28"/>
                <w:szCs w:val="28"/>
                <w:b w:val="1"/>
                <w:bCs w:val="1"/>
                <w:color w:val="auto"/>
                <w:w w:val="84"/>
                <w:vertAlign w:val="subscript"/>
              </w:rPr>
              <w:t>($)</w:t>
            </w:r>
            <w:r>
              <w:rPr>
                <w:rFonts w:ascii="Arial" w:cs="Arial" w:eastAsia="Arial" w:hAnsi="Arial"/>
                <w:sz w:val="12"/>
                <w:szCs w:val="12"/>
                <w:b w:val="1"/>
                <w:bCs w:val="1"/>
                <w:color w:val="auto"/>
                <w:w w:val="84"/>
              </w:rPr>
              <w:t>(4)(5)</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ind w:right="334"/>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1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Borders>
              <w:top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4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Irvin E. Aal</w:t>
            </w:r>
          </w:p>
        </w:tc>
        <w:tc>
          <w:tcPr>
            <w:tcW w:w="112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41,500</w:t>
            </w:r>
          </w:p>
        </w:tc>
        <w:tc>
          <w:tcPr>
            <w:tcW w:w="18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31,680</w:t>
            </w:r>
          </w:p>
        </w:tc>
        <w:tc>
          <w:tcPr>
            <w:tcW w:w="1020" w:type="dxa"/>
            <w:vAlign w:val="bottom"/>
            <w:shd w:val="clear" w:color="auto" w:fill="D6F3E8"/>
          </w:tcPr>
          <w:p>
            <w:pPr>
              <w:ind w:left="840"/>
              <w:spacing w:after="0"/>
              <w:rPr>
                <w:sz w:val="20"/>
                <w:szCs w:val="20"/>
                <w:color w:val="auto"/>
              </w:rPr>
            </w:pPr>
            <w:r>
              <w:rPr>
                <w:rFonts w:ascii="Arial" w:cs="Arial" w:eastAsia="Arial" w:hAnsi="Arial"/>
                <w:sz w:val="18"/>
                <w:szCs w:val="18"/>
                <w:color w:val="auto"/>
                <w:w w:val="88"/>
              </w:rPr>
              <w:t>—</w:t>
            </w:r>
          </w:p>
        </w:tc>
        <w:tc>
          <w:tcPr>
            <w:tcW w:w="320" w:type="dxa"/>
            <w:vAlign w:val="bottom"/>
            <w:shd w:val="clear" w:color="auto" w:fill="D6F3E8"/>
          </w:tcPr>
          <w:p>
            <w:pPr>
              <w:spacing w:after="0"/>
              <w:rPr>
                <w:sz w:val="18"/>
                <w:szCs w:val="18"/>
                <w:color w:val="auto"/>
              </w:rPr>
            </w:pPr>
          </w:p>
        </w:tc>
        <w:tc>
          <w:tcPr>
            <w:tcW w:w="1000" w:type="dxa"/>
            <w:vAlign w:val="bottom"/>
            <w:shd w:val="clear" w:color="auto" w:fill="D6F3E8"/>
          </w:tcPr>
          <w:p>
            <w:pPr>
              <w:ind w:left="820"/>
              <w:spacing w:after="0"/>
              <w:rPr>
                <w:sz w:val="20"/>
                <w:szCs w:val="20"/>
                <w:color w:val="auto"/>
              </w:rPr>
            </w:pPr>
            <w:r>
              <w:rPr>
                <w:rFonts w:ascii="Arial" w:cs="Arial" w:eastAsia="Arial" w:hAnsi="Arial"/>
                <w:sz w:val="18"/>
                <w:szCs w:val="18"/>
                <w:color w:val="auto"/>
                <w:w w:val="88"/>
              </w:rPr>
              <w:t>—</w:t>
            </w:r>
          </w:p>
        </w:tc>
        <w:tc>
          <w:tcPr>
            <w:tcW w:w="48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10,374</w:t>
            </w:r>
          </w:p>
        </w:tc>
        <w:tc>
          <w:tcPr>
            <w:tcW w:w="220" w:type="dxa"/>
            <w:vAlign w:val="bottom"/>
            <w:shd w:val="clear" w:color="auto" w:fill="D6F3E8"/>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83,554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2"/>
          </w:tcPr>
          <w:p>
            <w:pPr>
              <w:spacing w:after="0"/>
              <w:rPr>
                <w:sz w:val="20"/>
                <w:szCs w:val="20"/>
                <w:color w:val="auto"/>
              </w:rPr>
            </w:pPr>
            <w:r>
              <w:rPr>
                <w:rFonts w:ascii="Arial" w:cs="Arial" w:eastAsia="Arial" w:hAnsi="Arial"/>
                <w:sz w:val="18"/>
                <w:szCs w:val="18"/>
                <w:color w:val="auto"/>
              </w:rPr>
              <w:t>Jerry N. Currie</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39,000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31,680</w:t>
            </w:r>
          </w:p>
        </w:tc>
        <w:tc>
          <w:tcPr>
            <w:tcW w:w="1020" w:type="dxa"/>
            <w:vAlign w:val="bottom"/>
          </w:tcPr>
          <w:p>
            <w:pPr>
              <w:ind w:left="840"/>
              <w:spacing w:after="0"/>
              <w:rPr>
                <w:sz w:val="20"/>
                <w:szCs w:val="20"/>
                <w:color w:val="auto"/>
              </w:rPr>
            </w:pPr>
            <w:r>
              <w:rPr>
                <w:rFonts w:ascii="Arial" w:cs="Arial" w:eastAsia="Arial" w:hAnsi="Arial"/>
                <w:sz w:val="18"/>
                <w:szCs w:val="18"/>
                <w:color w:val="auto"/>
                <w:w w:val="88"/>
              </w:rPr>
              <w:t>—</w:t>
            </w:r>
          </w:p>
        </w:tc>
        <w:tc>
          <w:tcPr>
            <w:tcW w:w="320" w:type="dxa"/>
            <w:vAlign w:val="bottom"/>
          </w:tcPr>
          <w:p>
            <w:pPr>
              <w:spacing w:after="0"/>
              <w:rPr>
                <w:sz w:val="18"/>
                <w:szCs w:val="18"/>
                <w:color w:val="auto"/>
              </w:rPr>
            </w:pPr>
          </w:p>
        </w:tc>
        <w:tc>
          <w:tcPr>
            <w:tcW w:w="1000" w:type="dxa"/>
            <w:vAlign w:val="bottom"/>
          </w:tcPr>
          <w:p>
            <w:pPr>
              <w:ind w:left="820"/>
              <w:spacing w:after="0"/>
              <w:rPr>
                <w:sz w:val="20"/>
                <w:szCs w:val="20"/>
                <w:color w:val="auto"/>
              </w:rPr>
            </w:pPr>
            <w:r>
              <w:rPr>
                <w:rFonts w:ascii="Arial" w:cs="Arial" w:eastAsia="Arial" w:hAnsi="Arial"/>
                <w:sz w:val="18"/>
                <w:szCs w:val="18"/>
                <w:color w:val="auto"/>
                <w:w w:val="88"/>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70,680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Joseph W. England</w:t>
            </w:r>
          </w:p>
        </w:tc>
        <w:tc>
          <w:tcPr>
            <w:tcW w:w="112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40,002</w:t>
            </w:r>
          </w:p>
        </w:tc>
        <w:tc>
          <w:tcPr>
            <w:tcW w:w="18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31,680</w:t>
            </w:r>
          </w:p>
        </w:tc>
        <w:tc>
          <w:tcPr>
            <w:tcW w:w="1020" w:type="dxa"/>
            <w:vAlign w:val="bottom"/>
            <w:shd w:val="clear" w:color="auto" w:fill="D6F3E8"/>
          </w:tcPr>
          <w:p>
            <w:pPr>
              <w:ind w:left="840"/>
              <w:spacing w:after="0"/>
              <w:rPr>
                <w:sz w:val="20"/>
                <w:szCs w:val="20"/>
                <w:color w:val="auto"/>
              </w:rPr>
            </w:pPr>
            <w:r>
              <w:rPr>
                <w:rFonts w:ascii="Arial" w:cs="Arial" w:eastAsia="Arial" w:hAnsi="Arial"/>
                <w:sz w:val="18"/>
                <w:szCs w:val="18"/>
                <w:color w:val="auto"/>
                <w:w w:val="88"/>
              </w:rPr>
              <w:t>—</w:t>
            </w:r>
          </w:p>
        </w:tc>
        <w:tc>
          <w:tcPr>
            <w:tcW w:w="320" w:type="dxa"/>
            <w:vAlign w:val="bottom"/>
            <w:shd w:val="clear" w:color="auto" w:fill="D6F3E8"/>
          </w:tcPr>
          <w:p>
            <w:pPr>
              <w:spacing w:after="0"/>
              <w:rPr>
                <w:sz w:val="18"/>
                <w:szCs w:val="18"/>
                <w:color w:val="auto"/>
              </w:rPr>
            </w:pPr>
          </w:p>
        </w:tc>
        <w:tc>
          <w:tcPr>
            <w:tcW w:w="1000" w:type="dxa"/>
            <w:vAlign w:val="bottom"/>
            <w:shd w:val="clear" w:color="auto" w:fill="D6F3E8"/>
          </w:tcPr>
          <w:p>
            <w:pPr>
              <w:ind w:left="820"/>
              <w:spacing w:after="0"/>
              <w:rPr>
                <w:sz w:val="20"/>
                <w:szCs w:val="20"/>
                <w:color w:val="auto"/>
              </w:rPr>
            </w:pPr>
            <w:r>
              <w:rPr>
                <w:rFonts w:ascii="Arial" w:cs="Arial" w:eastAsia="Arial" w:hAnsi="Arial"/>
                <w:sz w:val="18"/>
                <w:szCs w:val="18"/>
                <w:color w:val="auto"/>
                <w:w w:val="88"/>
              </w:rPr>
              <w:t>—</w:t>
            </w:r>
          </w:p>
        </w:tc>
        <w:tc>
          <w:tcPr>
            <w:tcW w:w="48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10,000</w:t>
            </w:r>
          </w:p>
        </w:tc>
        <w:tc>
          <w:tcPr>
            <w:tcW w:w="220" w:type="dxa"/>
            <w:vAlign w:val="bottom"/>
            <w:shd w:val="clear" w:color="auto" w:fill="D6F3E8"/>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81,682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2"/>
          </w:tcPr>
          <w:p>
            <w:pPr>
              <w:spacing w:after="0"/>
              <w:rPr>
                <w:sz w:val="20"/>
                <w:szCs w:val="20"/>
                <w:color w:val="auto"/>
              </w:rPr>
            </w:pPr>
            <w:r>
              <w:rPr>
                <w:rFonts w:ascii="Arial" w:cs="Arial" w:eastAsia="Arial" w:hAnsi="Arial"/>
                <w:sz w:val="18"/>
                <w:szCs w:val="18"/>
                <w:color w:val="auto"/>
              </w:rPr>
              <w:t>Lawrence A. Erickson</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35,000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31,680</w:t>
            </w:r>
          </w:p>
        </w:tc>
        <w:tc>
          <w:tcPr>
            <w:tcW w:w="1020" w:type="dxa"/>
            <w:vAlign w:val="bottom"/>
          </w:tcPr>
          <w:p>
            <w:pPr>
              <w:ind w:left="840"/>
              <w:spacing w:after="0"/>
              <w:rPr>
                <w:sz w:val="20"/>
                <w:szCs w:val="20"/>
                <w:color w:val="auto"/>
              </w:rPr>
            </w:pPr>
            <w:r>
              <w:rPr>
                <w:rFonts w:ascii="Arial" w:cs="Arial" w:eastAsia="Arial" w:hAnsi="Arial"/>
                <w:sz w:val="18"/>
                <w:szCs w:val="18"/>
                <w:color w:val="auto"/>
                <w:w w:val="88"/>
              </w:rPr>
              <w:t>—</w:t>
            </w:r>
          </w:p>
        </w:tc>
        <w:tc>
          <w:tcPr>
            <w:tcW w:w="320" w:type="dxa"/>
            <w:vAlign w:val="bottom"/>
          </w:tcPr>
          <w:p>
            <w:pPr>
              <w:spacing w:after="0"/>
              <w:rPr>
                <w:sz w:val="18"/>
                <w:szCs w:val="18"/>
                <w:color w:val="auto"/>
              </w:rPr>
            </w:pPr>
          </w:p>
        </w:tc>
        <w:tc>
          <w:tcPr>
            <w:tcW w:w="1000" w:type="dxa"/>
            <w:vAlign w:val="bottom"/>
          </w:tcPr>
          <w:p>
            <w:pPr>
              <w:ind w:left="820"/>
              <w:spacing w:after="0"/>
              <w:rPr>
                <w:sz w:val="20"/>
                <w:szCs w:val="20"/>
                <w:color w:val="auto"/>
              </w:rPr>
            </w:pPr>
            <w:r>
              <w:rPr>
                <w:rFonts w:ascii="Arial" w:cs="Arial" w:eastAsia="Arial" w:hAnsi="Arial"/>
                <w:sz w:val="18"/>
                <w:szCs w:val="18"/>
                <w:color w:val="auto"/>
                <w:w w:val="88"/>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8,750</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75,430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John V. Hanson</w:t>
            </w:r>
          </w:p>
        </w:tc>
        <w:tc>
          <w:tcPr>
            <w:tcW w:w="112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38,833</w:t>
            </w:r>
          </w:p>
        </w:tc>
        <w:tc>
          <w:tcPr>
            <w:tcW w:w="18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31,680</w:t>
            </w:r>
          </w:p>
        </w:tc>
        <w:tc>
          <w:tcPr>
            <w:tcW w:w="1020" w:type="dxa"/>
            <w:vAlign w:val="bottom"/>
            <w:shd w:val="clear" w:color="auto" w:fill="D6F3E8"/>
          </w:tcPr>
          <w:p>
            <w:pPr>
              <w:ind w:left="840"/>
              <w:spacing w:after="0"/>
              <w:rPr>
                <w:sz w:val="20"/>
                <w:szCs w:val="20"/>
                <w:color w:val="auto"/>
              </w:rPr>
            </w:pPr>
            <w:r>
              <w:rPr>
                <w:rFonts w:ascii="Arial" w:cs="Arial" w:eastAsia="Arial" w:hAnsi="Arial"/>
                <w:sz w:val="18"/>
                <w:szCs w:val="18"/>
                <w:color w:val="auto"/>
                <w:w w:val="88"/>
              </w:rPr>
              <w:t>—</w:t>
            </w:r>
          </w:p>
        </w:tc>
        <w:tc>
          <w:tcPr>
            <w:tcW w:w="320" w:type="dxa"/>
            <w:vAlign w:val="bottom"/>
            <w:shd w:val="clear" w:color="auto" w:fill="D6F3E8"/>
          </w:tcPr>
          <w:p>
            <w:pPr>
              <w:spacing w:after="0"/>
              <w:rPr>
                <w:sz w:val="18"/>
                <w:szCs w:val="18"/>
                <w:color w:val="auto"/>
              </w:rPr>
            </w:pPr>
          </w:p>
        </w:tc>
        <w:tc>
          <w:tcPr>
            <w:tcW w:w="1000" w:type="dxa"/>
            <w:vAlign w:val="bottom"/>
            <w:shd w:val="clear" w:color="auto" w:fill="D6F3E8"/>
          </w:tcPr>
          <w:p>
            <w:pPr>
              <w:ind w:left="820"/>
              <w:spacing w:after="0"/>
              <w:rPr>
                <w:sz w:val="20"/>
                <w:szCs w:val="20"/>
                <w:color w:val="auto"/>
              </w:rPr>
            </w:pPr>
            <w:r>
              <w:rPr>
                <w:rFonts w:ascii="Arial" w:cs="Arial" w:eastAsia="Arial" w:hAnsi="Arial"/>
                <w:sz w:val="18"/>
                <w:szCs w:val="18"/>
                <w:color w:val="auto"/>
                <w:w w:val="88"/>
              </w:rPr>
              <w:t>—</w:t>
            </w:r>
          </w:p>
        </w:tc>
        <w:tc>
          <w:tcPr>
            <w:tcW w:w="34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20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D6F3E8"/>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70,513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2"/>
          </w:tcPr>
          <w:p>
            <w:pPr>
              <w:spacing w:after="0"/>
              <w:rPr>
                <w:sz w:val="20"/>
                <w:szCs w:val="20"/>
                <w:color w:val="auto"/>
              </w:rPr>
            </w:pPr>
            <w:r>
              <w:rPr>
                <w:rFonts w:ascii="Arial" w:cs="Arial" w:eastAsia="Arial" w:hAnsi="Arial"/>
                <w:sz w:val="18"/>
                <w:szCs w:val="18"/>
                <w:color w:val="auto"/>
              </w:rPr>
              <w:t>John E. Herlitz</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35,000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31,680</w:t>
            </w:r>
          </w:p>
        </w:tc>
        <w:tc>
          <w:tcPr>
            <w:tcW w:w="1020" w:type="dxa"/>
            <w:vAlign w:val="bottom"/>
          </w:tcPr>
          <w:p>
            <w:pPr>
              <w:ind w:left="840"/>
              <w:spacing w:after="0"/>
              <w:rPr>
                <w:sz w:val="20"/>
                <w:szCs w:val="20"/>
                <w:color w:val="auto"/>
              </w:rPr>
            </w:pPr>
            <w:r>
              <w:rPr>
                <w:rFonts w:ascii="Arial" w:cs="Arial" w:eastAsia="Arial" w:hAnsi="Arial"/>
                <w:sz w:val="18"/>
                <w:szCs w:val="18"/>
                <w:color w:val="auto"/>
                <w:w w:val="88"/>
              </w:rPr>
              <w:t>—</w:t>
            </w:r>
          </w:p>
        </w:tc>
        <w:tc>
          <w:tcPr>
            <w:tcW w:w="320" w:type="dxa"/>
            <w:vAlign w:val="bottom"/>
          </w:tcPr>
          <w:p>
            <w:pPr>
              <w:spacing w:after="0"/>
              <w:rPr>
                <w:sz w:val="18"/>
                <w:szCs w:val="18"/>
                <w:color w:val="auto"/>
              </w:rPr>
            </w:pPr>
          </w:p>
        </w:tc>
        <w:tc>
          <w:tcPr>
            <w:tcW w:w="1000" w:type="dxa"/>
            <w:vAlign w:val="bottom"/>
          </w:tcPr>
          <w:p>
            <w:pPr>
              <w:ind w:left="820"/>
              <w:spacing w:after="0"/>
              <w:rPr>
                <w:sz w:val="20"/>
                <w:szCs w:val="20"/>
                <w:color w:val="auto"/>
              </w:rPr>
            </w:pPr>
            <w:r>
              <w:rPr>
                <w:rFonts w:ascii="Arial" w:cs="Arial" w:eastAsia="Arial" w:hAnsi="Arial"/>
                <w:sz w:val="18"/>
                <w:szCs w:val="18"/>
                <w:color w:val="auto"/>
                <w:w w:val="88"/>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8,750</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75,430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Gerald C. Kitch</w:t>
            </w:r>
          </w:p>
        </w:tc>
        <w:tc>
          <w:tcPr>
            <w:tcW w:w="112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39,500</w:t>
            </w:r>
          </w:p>
        </w:tc>
        <w:tc>
          <w:tcPr>
            <w:tcW w:w="18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31,680</w:t>
            </w:r>
          </w:p>
        </w:tc>
        <w:tc>
          <w:tcPr>
            <w:tcW w:w="1020" w:type="dxa"/>
            <w:vAlign w:val="bottom"/>
            <w:shd w:val="clear" w:color="auto" w:fill="D6F3E8"/>
          </w:tcPr>
          <w:p>
            <w:pPr>
              <w:ind w:left="840"/>
              <w:spacing w:after="0"/>
              <w:rPr>
                <w:sz w:val="20"/>
                <w:szCs w:val="20"/>
                <w:color w:val="auto"/>
              </w:rPr>
            </w:pPr>
            <w:r>
              <w:rPr>
                <w:rFonts w:ascii="Arial" w:cs="Arial" w:eastAsia="Arial" w:hAnsi="Arial"/>
                <w:sz w:val="18"/>
                <w:szCs w:val="18"/>
                <w:color w:val="auto"/>
                <w:w w:val="88"/>
              </w:rPr>
              <w:t>—</w:t>
            </w:r>
          </w:p>
        </w:tc>
        <w:tc>
          <w:tcPr>
            <w:tcW w:w="320" w:type="dxa"/>
            <w:vAlign w:val="bottom"/>
            <w:shd w:val="clear" w:color="auto" w:fill="D6F3E8"/>
          </w:tcPr>
          <w:p>
            <w:pPr>
              <w:spacing w:after="0"/>
              <w:rPr>
                <w:sz w:val="18"/>
                <w:szCs w:val="18"/>
                <w:color w:val="auto"/>
              </w:rPr>
            </w:pPr>
          </w:p>
        </w:tc>
        <w:tc>
          <w:tcPr>
            <w:tcW w:w="1000" w:type="dxa"/>
            <w:vAlign w:val="bottom"/>
            <w:shd w:val="clear" w:color="auto" w:fill="D6F3E8"/>
          </w:tcPr>
          <w:p>
            <w:pPr>
              <w:ind w:left="820"/>
              <w:spacing w:after="0"/>
              <w:rPr>
                <w:sz w:val="20"/>
                <w:szCs w:val="20"/>
                <w:color w:val="auto"/>
              </w:rPr>
            </w:pPr>
            <w:r>
              <w:rPr>
                <w:rFonts w:ascii="Arial" w:cs="Arial" w:eastAsia="Arial" w:hAnsi="Arial"/>
                <w:sz w:val="18"/>
                <w:szCs w:val="18"/>
                <w:color w:val="auto"/>
                <w:w w:val="88"/>
              </w:rPr>
              <w:t>—</w:t>
            </w:r>
          </w:p>
        </w:tc>
        <w:tc>
          <w:tcPr>
            <w:tcW w:w="48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9,875</w:t>
            </w:r>
          </w:p>
        </w:tc>
        <w:tc>
          <w:tcPr>
            <w:tcW w:w="220" w:type="dxa"/>
            <w:vAlign w:val="bottom"/>
            <w:shd w:val="clear" w:color="auto" w:fill="D6F3E8"/>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81,055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46621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540" w:right="160" w:hanging="478"/>
        <w:spacing w:after="0" w:line="234" w:lineRule="auto"/>
        <w:tabs>
          <w:tab w:leader="none" w:pos="5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1,000 shares of the Company’s Common Stock were granted to directors Aal, Currie, England, Erickson, Hanson, Herlitz and Kitch pursuant to the 2004 Plan on January 10, 2007, at a price of $31.68 per share, the closing market price of the Company’s common stock as quoted on the NYSE. As of October 9 2007, the aggregate number of stock awards outstanding for each Non-employee Director was: Mr. Aal 1,000 shares; Mr. Currie 1,000 shares; Mr. England 1,000 shares; Mr. Erickson 1,000 shares; Mr. Hanson 1,000 shares; Mr. Herlitz 1,000; and Mr. Kitch 1,000 shares.</w:t>
      </w:r>
    </w:p>
    <w:p>
      <w:pPr>
        <w:spacing w:after="0" w:line="74" w:lineRule="exact"/>
        <w:rPr>
          <w:rFonts w:ascii="Arial" w:cs="Arial" w:eastAsia="Arial" w:hAnsi="Arial"/>
          <w:sz w:val="14"/>
          <w:szCs w:val="14"/>
          <w:color w:val="auto"/>
        </w:rPr>
      </w:pPr>
    </w:p>
    <w:p>
      <w:pPr>
        <w:ind w:left="540" w:right="360" w:hanging="478"/>
        <w:spacing w:after="0" w:line="253" w:lineRule="auto"/>
        <w:tabs>
          <w:tab w:leader="none" w:pos="5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No awards of options, stock appreciation rights and similar equity-based compensation instruments that have option-like features were made in fiscal 2007. As of October 9, 2007, the aggregate number of stock option awards and Winnebago Stock Units for each Non-employee Director was:</w:t>
      </w:r>
    </w:p>
    <w:tbl>
      <w:tblPr>
        <w:tblLayout w:type="fixed"/>
        <w:tblInd w:w="580" w:type="dxa"/>
        <w:tblCellMar>
          <w:top w:w="0" w:type="dxa"/>
          <w:left w:w="0" w:type="dxa"/>
          <w:bottom w:w="0" w:type="dxa"/>
          <w:right w:w="0" w:type="dxa"/>
        </w:tblCellMar>
      </w:tblPr>
      <w:tr>
        <w:trPr>
          <w:trHeight w:val="156"/>
        </w:trPr>
        <w:tc>
          <w:tcPr>
            <w:tcW w:w="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Director</w:t>
            </w:r>
          </w:p>
        </w:tc>
        <w:tc>
          <w:tcPr>
            <w:tcW w:w="6860" w:type="dxa"/>
            <w:vAlign w:val="bottom"/>
          </w:tcPr>
          <w:p>
            <w:pPr>
              <w:spacing w:after="0"/>
              <w:rPr>
                <w:sz w:val="13"/>
                <w:szCs w:val="13"/>
                <w:color w:val="auto"/>
              </w:rPr>
            </w:pPr>
          </w:p>
        </w:tc>
        <w:tc>
          <w:tcPr>
            <w:tcW w:w="680" w:type="dxa"/>
            <w:vAlign w:val="bottom"/>
          </w:tcPr>
          <w:p>
            <w:pPr>
              <w:jc w:val="right"/>
              <w:ind w:right="48"/>
              <w:spacing w:after="0" w:line="156" w:lineRule="exact"/>
              <w:rPr>
                <w:sz w:val="20"/>
                <w:szCs w:val="20"/>
                <w:color w:val="auto"/>
              </w:rPr>
            </w:pPr>
            <w:r>
              <w:rPr>
                <w:rFonts w:ascii="Arial" w:cs="Arial" w:eastAsia="Arial" w:hAnsi="Arial"/>
                <w:sz w:val="14"/>
                <w:szCs w:val="14"/>
                <w:b w:val="1"/>
                <w:bCs w:val="1"/>
                <w:color w:val="auto"/>
              </w:rPr>
              <w:t>Stock</w:t>
            </w:r>
          </w:p>
        </w:tc>
        <w:tc>
          <w:tcPr>
            <w:tcW w:w="1000" w:type="dxa"/>
            <w:vAlign w:val="bottom"/>
          </w:tcPr>
          <w:p>
            <w:pPr>
              <w:spacing w:after="0"/>
              <w:rPr>
                <w:sz w:val="13"/>
                <w:szCs w:val="13"/>
                <w:color w:val="auto"/>
              </w:rPr>
            </w:pPr>
          </w:p>
        </w:tc>
        <w:tc>
          <w:tcPr>
            <w:tcW w:w="920" w:type="dxa"/>
            <w:vAlign w:val="bottom"/>
            <w:gridSpan w:val="2"/>
          </w:tcPr>
          <w:p>
            <w:pPr>
              <w:ind w:left="120"/>
              <w:spacing w:after="0" w:line="156" w:lineRule="exact"/>
              <w:rPr>
                <w:sz w:val="20"/>
                <w:szCs w:val="20"/>
                <w:color w:val="auto"/>
              </w:rPr>
            </w:pPr>
            <w:r>
              <w:rPr>
                <w:rFonts w:ascii="Arial" w:cs="Arial" w:eastAsia="Arial" w:hAnsi="Arial"/>
                <w:sz w:val="14"/>
                <w:szCs w:val="14"/>
                <w:b w:val="1"/>
                <w:bCs w:val="1"/>
                <w:color w:val="auto"/>
              </w:rPr>
              <w:t>Winnebago</w:t>
            </w:r>
          </w:p>
        </w:tc>
        <w:tc>
          <w:tcPr>
            <w:tcW w:w="0" w:type="dxa"/>
            <w:vAlign w:val="bottom"/>
          </w:tcPr>
          <w:p>
            <w:pPr>
              <w:spacing w:after="0"/>
              <w:rPr>
                <w:sz w:val="1"/>
                <w:szCs w:val="1"/>
                <w:color w:val="auto"/>
              </w:rPr>
            </w:pPr>
          </w:p>
        </w:tc>
      </w:tr>
      <w:tr>
        <w:trPr>
          <w:trHeight w:val="186"/>
        </w:trPr>
        <w:tc>
          <w:tcPr>
            <w:tcW w:w="820" w:type="dxa"/>
            <w:vAlign w:val="bottom"/>
            <w:gridSpan w:val="2"/>
            <w:vMerge w:val="continue"/>
          </w:tcPr>
          <w:p>
            <w:pPr>
              <w:spacing w:after="0"/>
              <w:rPr>
                <w:sz w:val="16"/>
                <w:szCs w:val="16"/>
                <w:color w:val="auto"/>
              </w:rPr>
            </w:pPr>
          </w:p>
        </w:tc>
        <w:tc>
          <w:tcPr>
            <w:tcW w:w="68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Options</w:t>
            </w:r>
          </w:p>
        </w:tc>
        <w:tc>
          <w:tcPr>
            <w:tcW w:w="1000" w:type="dxa"/>
            <w:vAlign w:val="bottom"/>
          </w:tcPr>
          <w:p>
            <w:pPr>
              <w:spacing w:after="0"/>
              <w:rPr>
                <w:sz w:val="16"/>
                <w:szCs w:val="16"/>
                <w:color w:val="auto"/>
              </w:rPr>
            </w:pPr>
          </w:p>
        </w:tc>
        <w:tc>
          <w:tcPr>
            <w:tcW w:w="920" w:type="dxa"/>
            <w:vAlign w:val="bottom"/>
            <w:gridSpan w:val="2"/>
          </w:tcPr>
          <w:p>
            <w:pPr>
              <w:ind w:left="100"/>
              <w:spacing w:after="0"/>
              <w:rPr>
                <w:sz w:val="20"/>
                <w:szCs w:val="20"/>
                <w:color w:val="auto"/>
              </w:rPr>
            </w:pPr>
            <w:r>
              <w:rPr>
                <w:rFonts w:ascii="Arial" w:cs="Arial" w:eastAsia="Arial" w:hAnsi="Arial"/>
                <w:sz w:val="14"/>
                <w:szCs w:val="14"/>
                <w:b w:val="1"/>
                <w:bCs w:val="1"/>
                <w:color w:val="auto"/>
              </w:rPr>
              <w:t>Stock Units</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8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0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0" w:type="dxa"/>
            <w:vAlign w:val="bottom"/>
          </w:tcPr>
          <w:p>
            <w:pPr>
              <w:spacing w:after="0"/>
              <w:rPr>
                <w:sz w:val="8"/>
                <w:szCs w:val="8"/>
                <w:color w:val="auto"/>
              </w:rPr>
            </w:pPr>
          </w:p>
        </w:tc>
        <w:tc>
          <w:tcPr>
            <w:tcW w:w="68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00" w:type="dxa"/>
            <w:vAlign w:val="bottom"/>
            <w:shd w:val="clear" w:color="auto" w:fill="D6F3E8"/>
          </w:tcPr>
          <w:p>
            <w:pPr>
              <w:spacing w:after="0" w:line="149" w:lineRule="exact"/>
              <w:rPr>
                <w:sz w:val="20"/>
                <w:szCs w:val="20"/>
                <w:color w:val="auto"/>
              </w:rPr>
            </w:pPr>
            <w:r>
              <w:rPr>
                <w:rFonts w:ascii="Arial" w:cs="Arial" w:eastAsia="Arial" w:hAnsi="Arial"/>
                <w:sz w:val="14"/>
                <w:szCs w:val="14"/>
                <w:color w:val="auto"/>
              </w:rPr>
              <w:t>Aal</w:t>
            </w:r>
          </w:p>
        </w:tc>
        <w:tc>
          <w:tcPr>
            <w:tcW w:w="7540" w:type="dxa"/>
            <w:vAlign w:val="bottom"/>
            <w:gridSpan w:val="2"/>
            <w:shd w:val="clear" w:color="auto" w:fill="D6F3E8"/>
          </w:tcPr>
          <w:p>
            <w:pPr>
              <w:jc w:val="right"/>
              <w:spacing w:after="0" w:line="149" w:lineRule="exact"/>
              <w:rPr>
                <w:sz w:val="20"/>
                <w:szCs w:val="20"/>
                <w:color w:val="auto"/>
              </w:rPr>
            </w:pPr>
            <w:r>
              <w:rPr>
                <w:rFonts w:ascii="Arial" w:cs="Arial" w:eastAsia="Arial" w:hAnsi="Arial"/>
                <w:sz w:val="14"/>
                <w:szCs w:val="14"/>
                <w:color w:val="auto"/>
              </w:rPr>
              <w:t>28,000</w:t>
            </w:r>
          </w:p>
        </w:tc>
        <w:tc>
          <w:tcPr>
            <w:tcW w:w="1820" w:type="dxa"/>
            <w:vAlign w:val="bottom"/>
            <w:gridSpan w:val="2"/>
            <w:shd w:val="clear" w:color="auto" w:fill="D6F3E8"/>
          </w:tcPr>
          <w:p>
            <w:pPr>
              <w:jc w:val="right"/>
              <w:spacing w:after="0" w:line="149" w:lineRule="exact"/>
              <w:rPr>
                <w:sz w:val="20"/>
                <w:szCs w:val="20"/>
                <w:color w:val="auto"/>
              </w:rPr>
            </w:pPr>
            <w:r>
              <w:rPr>
                <w:rFonts w:ascii="Arial" w:cs="Arial" w:eastAsia="Arial" w:hAnsi="Arial"/>
                <w:sz w:val="14"/>
                <w:szCs w:val="14"/>
                <w:color w:val="auto"/>
              </w:rPr>
              <w:t>5,049</w:t>
            </w:r>
          </w:p>
        </w:tc>
        <w:tc>
          <w:tcPr>
            <w:tcW w:w="100" w:type="dxa"/>
            <w:vAlign w:val="bottom"/>
            <w:shd w:val="clear" w:color="auto" w:fill="D6F3E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 w:type="dxa"/>
            <w:vAlign w:val="bottom"/>
          </w:tcPr>
          <w:p>
            <w:pPr>
              <w:spacing w:after="0" w:line="149" w:lineRule="exact"/>
              <w:rPr>
                <w:sz w:val="20"/>
                <w:szCs w:val="20"/>
                <w:color w:val="auto"/>
              </w:rPr>
            </w:pPr>
            <w:r>
              <w:rPr>
                <w:rFonts w:ascii="Arial" w:cs="Arial" w:eastAsia="Arial" w:hAnsi="Arial"/>
                <w:sz w:val="14"/>
                <w:szCs w:val="14"/>
                <w:color w:val="auto"/>
              </w:rPr>
              <w:t>Currie</w:t>
            </w:r>
          </w:p>
        </w:tc>
        <w:tc>
          <w:tcPr>
            <w:tcW w:w="7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32,000</w:t>
            </w:r>
          </w:p>
        </w:tc>
        <w:tc>
          <w:tcPr>
            <w:tcW w:w="100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 w:type="dxa"/>
            <w:vAlign w:val="bottom"/>
            <w:shd w:val="clear" w:color="auto" w:fill="D6F3E8"/>
          </w:tcPr>
          <w:p>
            <w:pPr>
              <w:spacing w:after="0" w:line="149" w:lineRule="exact"/>
              <w:rPr>
                <w:sz w:val="20"/>
                <w:szCs w:val="20"/>
                <w:color w:val="auto"/>
              </w:rPr>
            </w:pPr>
            <w:r>
              <w:rPr>
                <w:rFonts w:ascii="Arial" w:cs="Arial" w:eastAsia="Arial" w:hAnsi="Arial"/>
                <w:sz w:val="14"/>
                <w:szCs w:val="14"/>
                <w:color w:val="auto"/>
              </w:rPr>
              <w:t>England</w:t>
            </w:r>
          </w:p>
        </w:tc>
        <w:tc>
          <w:tcPr>
            <w:tcW w:w="7540" w:type="dxa"/>
            <w:vAlign w:val="bottom"/>
            <w:gridSpan w:val="2"/>
            <w:shd w:val="clear" w:color="auto" w:fill="D6F3E8"/>
          </w:tcPr>
          <w:p>
            <w:pPr>
              <w:jc w:val="right"/>
              <w:spacing w:after="0" w:line="149" w:lineRule="exact"/>
              <w:rPr>
                <w:sz w:val="20"/>
                <w:szCs w:val="20"/>
                <w:color w:val="auto"/>
              </w:rPr>
            </w:pPr>
            <w:r>
              <w:rPr>
                <w:rFonts w:ascii="Arial" w:cs="Arial" w:eastAsia="Arial" w:hAnsi="Arial"/>
                <w:sz w:val="14"/>
                <w:szCs w:val="14"/>
                <w:color w:val="auto"/>
              </w:rPr>
              <w:t>40,000</w:t>
            </w:r>
          </w:p>
        </w:tc>
        <w:tc>
          <w:tcPr>
            <w:tcW w:w="1820" w:type="dxa"/>
            <w:vAlign w:val="bottom"/>
            <w:gridSpan w:val="2"/>
            <w:shd w:val="clear" w:color="auto" w:fill="D6F3E8"/>
          </w:tcPr>
          <w:p>
            <w:pPr>
              <w:jc w:val="right"/>
              <w:spacing w:after="0" w:line="149" w:lineRule="exact"/>
              <w:rPr>
                <w:sz w:val="20"/>
                <w:szCs w:val="20"/>
                <w:color w:val="auto"/>
              </w:rPr>
            </w:pPr>
            <w:r>
              <w:rPr>
                <w:rFonts w:ascii="Arial" w:cs="Arial" w:eastAsia="Arial" w:hAnsi="Arial"/>
                <w:sz w:val="14"/>
                <w:szCs w:val="14"/>
                <w:color w:val="auto"/>
              </w:rPr>
              <w:t>11,974</w:t>
            </w:r>
          </w:p>
        </w:tc>
        <w:tc>
          <w:tcPr>
            <w:tcW w:w="100" w:type="dxa"/>
            <w:vAlign w:val="bottom"/>
            <w:shd w:val="clear" w:color="auto" w:fill="D6F3E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 w:type="dxa"/>
            <w:vAlign w:val="bottom"/>
          </w:tcPr>
          <w:p>
            <w:pPr>
              <w:spacing w:after="0" w:line="149" w:lineRule="exact"/>
              <w:rPr>
                <w:sz w:val="20"/>
                <w:szCs w:val="20"/>
                <w:color w:val="auto"/>
              </w:rPr>
            </w:pPr>
            <w:r>
              <w:rPr>
                <w:rFonts w:ascii="Arial" w:cs="Arial" w:eastAsia="Arial" w:hAnsi="Arial"/>
                <w:sz w:val="14"/>
                <w:szCs w:val="14"/>
                <w:color w:val="auto"/>
              </w:rPr>
              <w:t>Erickson</w:t>
            </w:r>
          </w:p>
        </w:tc>
        <w:tc>
          <w:tcPr>
            <w:tcW w:w="7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14,000</w:t>
            </w:r>
          </w:p>
        </w:tc>
        <w:tc>
          <w:tcPr>
            <w:tcW w:w="1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3,762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 w:type="dxa"/>
            <w:vAlign w:val="bottom"/>
            <w:shd w:val="clear" w:color="auto" w:fill="D6F3E8"/>
          </w:tcPr>
          <w:p>
            <w:pPr>
              <w:spacing w:after="0" w:line="149" w:lineRule="exact"/>
              <w:rPr>
                <w:sz w:val="20"/>
                <w:szCs w:val="20"/>
                <w:color w:val="auto"/>
              </w:rPr>
            </w:pPr>
            <w:r>
              <w:rPr>
                <w:rFonts w:ascii="Arial" w:cs="Arial" w:eastAsia="Arial" w:hAnsi="Arial"/>
                <w:sz w:val="14"/>
                <w:szCs w:val="14"/>
                <w:color w:val="auto"/>
              </w:rPr>
              <w:t>Hanson</w:t>
            </w:r>
          </w:p>
        </w:tc>
        <w:tc>
          <w:tcPr>
            <w:tcW w:w="7540" w:type="dxa"/>
            <w:vAlign w:val="bottom"/>
            <w:gridSpan w:val="2"/>
            <w:shd w:val="clear" w:color="auto" w:fill="D6F3E8"/>
          </w:tcPr>
          <w:p>
            <w:pPr>
              <w:jc w:val="right"/>
              <w:spacing w:after="0" w:line="149" w:lineRule="exact"/>
              <w:rPr>
                <w:sz w:val="20"/>
                <w:szCs w:val="20"/>
                <w:color w:val="auto"/>
              </w:rPr>
            </w:pPr>
            <w:r>
              <w:rPr>
                <w:rFonts w:ascii="Arial" w:cs="Arial" w:eastAsia="Arial" w:hAnsi="Arial"/>
                <w:sz w:val="14"/>
                <w:szCs w:val="14"/>
                <w:color w:val="auto"/>
              </w:rPr>
              <w:t>32,000</w:t>
            </w:r>
          </w:p>
        </w:tc>
        <w:tc>
          <w:tcPr>
            <w:tcW w:w="1000" w:type="dxa"/>
            <w:vAlign w:val="bottom"/>
            <w:shd w:val="clear" w:color="auto" w:fill="D6F3E8"/>
          </w:tcPr>
          <w:p>
            <w:pPr>
              <w:spacing w:after="0"/>
              <w:rPr>
                <w:sz w:val="12"/>
                <w:szCs w:val="12"/>
                <w:color w:val="auto"/>
              </w:rPr>
            </w:pPr>
          </w:p>
        </w:tc>
        <w:tc>
          <w:tcPr>
            <w:tcW w:w="920" w:type="dxa"/>
            <w:vAlign w:val="bottom"/>
            <w:gridSpan w:val="2"/>
            <w:shd w:val="clear" w:color="auto" w:fill="D6F3E8"/>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 w:type="dxa"/>
            <w:vAlign w:val="bottom"/>
          </w:tcPr>
          <w:p>
            <w:pPr>
              <w:spacing w:after="0" w:line="149" w:lineRule="exact"/>
              <w:rPr>
                <w:sz w:val="20"/>
                <w:szCs w:val="20"/>
                <w:color w:val="auto"/>
              </w:rPr>
            </w:pPr>
            <w:r>
              <w:rPr>
                <w:rFonts w:ascii="Arial" w:cs="Arial" w:eastAsia="Arial" w:hAnsi="Arial"/>
                <w:sz w:val="14"/>
                <w:szCs w:val="14"/>
                <w:color w:val="auto"/>
              </w:rPr>
              <w:t>Herlitz</w:t>
            </w:r>
          </w:p>
        </w:tc>
        <w:tc>
          <w:tcPr>
            <w:tcW w:w="7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14,000</w:t>
            </w:r>
          </w:p>
        </w:tc>
        <w:tc>
          <w:tcPr>
            <w:tcW w:w="1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3,788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 w:type="dxa"/>
            <w:vAlign w:val="bottom"/>
            <w:shd w:val="clear" w:color="auto" w:fill="D6F3E8"/>
          </w:tcPr>
          <w:p>
            <w:pPr>
              <w:spacing w:after="0" w:line="149" w:lineRule="exact"/>
              <w:rPr>
                <w:sz w:val="20"/>
                <w:szCs w:val="20"/>
                <w:color w:val="auto"/>
              </w:rPr>
            </w:pPr>
            <w:r>
              <w:rPr>
                <w:rFonts w:ascii="Arial" w:cs="Arial" w:eastAsia="Arial" w:hAnsi="Arial"/>
                <w:sz w:val="14"/>
                <w:szCs w:val="14"/>
                <w:color w:val="auto"/>
              </w:rPr>
              <w:t>Kitch</w:t>
            </w:r>
          </w:p>
        </w:tc>
        <w:tc>
          <w:tcPr>
            <w:tcW w:w="7540" w:type="dxa"/>
            <w:vAlign w:val="bottom"/>
            <w:gridSpan w:val="2"/>
            <w:shd w:val="clear" w:color="auto" w:fill="D6F3E8"/>
          </w:tcPr>
          <w:p>
            <w:pPr>
              <w:jc w:val="right"/>
              <w:spacing w:after="0" w:line="149" w:lineRule="exact"/>
              <w:rPr>
                <w:sz w:val="20"/>
                <w:szCs w:val="20"/>
                <w:color w:val="auto"/>
              </w:rPr>
            </w:pPr>
            <w:r>
              <w:rPr>
                <w:rFonts w:ascii="Arial" w:cs="Arial" w:eastAsia="Arial" w:hAnsi="Arial"/>
                <w:sz w:val="14"/>
                <w:szCs w:val="14"/>
                <w:color w:val="auto"/>
              </w:rPr>
              <w:t>32,000</w:t>
            </w:r>
          </w:p>
        </w:tc>
        <w:tc>
          <w:tcPr>
            <w:tcW w:w="1820" w:type="dxa"/>
            <w:vAlign w:val="bottom"/>
            <w:gridSpan w:val="2"/>
            <w:shd w:val="clear" w:color="auto" w:fill="D6F3E8"/>
          </w:tcPr>
          <w:p>
            <w:pPr>
              <w:jc w:val="right"/>
              <w:spacing w:after="0" w:line="149" w:lineRule="exact"/>
              <w:rPr>
                <w:sz w:val="20"/>
                <w:szCs w:val="20"/>
                <w:color w:val="auto"/>
              </w:rPr>
            </w:pPr>
            <w:r>
              <w:rPr>
                <w:rFonts w:ascii="Arial" w:cs="Arial" w:eastAsia="Arial" w:hAnsi="Arial"/>
                <w:sz w:val="14"/>
                <w:szCs w:val="14"/>
                <w:color w:val="auto"/>
              </w:rPr>
              <w:t>25,165</w:t>
            </w:r>
          </w:p>
        </w:tc>
        <w:tc>
          <w:tcPr>
            <w:tcW w:w="100" w:type="dxa"/>
            <w:vAlign w:val="bottom"/>
            <w:shd w:val="clear" w:color="auto" w:fill="D6F3E8"/>
          </w:tcPr>
          <w:p>
            <w:pPr>
              <w:spacing w:after="0"/>
              <w:rPr>
                <w:sz w:val="12"/>
                <w:szCs w:val="12"/>
                <w:color w:val="auto"/>
              </w:rPr>
            </w:pPr>
          </w:p>
        </w:tc>
        <w:tc>
          <w:tcPr>
            <w:tcW w:w="0" w:type="dxa"/>
            <w:vAlign w:val="bottom"/>
          </w:tcPr>
          <w:p>
            <w:pPr>
              <w:spacing w:after="0"/>
              <w:rPr>
                <w:sz w:val="1"/>
                <w:szCs w:val="1"/>
                <w:color w:val="auto"/>
              </w:rPr>
            </w:pPr>
          </w:p>
        </w:tc>
      </w:tr>
    </w:tbl>
    <w:p>
      <w:pPr>
        <w:spacing w:after="0" w:line="278" w:lineRule="exact"/>
        <w:rPr>
          <w:sz w:val="20"/>
          <w:szCs w:val="20"/>
          <w:color w:val="auto"/>
        </w:rPr>
      </w:pPr>
    </w:p>
    <w:p>
      <w:pPr>
        <w:ind w:left="540" w:hanging="478"/>
        <w:spacing w:after="0"/>
        <w:tabs>
          <w:tab w:leader="none" w:pos="5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Company does not pay interest in excess of 120% of the applicable federal rate in effect during fiscal 2007 under the Directors’ Deferred Compensation Plan.</w:t>
      </w:r>
    </w:p>
    <w:p>
      <w:pPr>
        <w:sectPr>
          <w:pgSz w:w="11900" w:h="16891" w:orient="portrait"/>
          <w:cols w:equalWidth="0" w:num="1">
            <w:col w:w="11420"/>
          </w:cols>
          <w:pgMar w:left="240" w:top="125" w:right="239" w:bottom="0" w:gutter="0" w:footer="0" w:header="0"/>
        </w:sectPr>
      </w:pPr>
    </w:p>
    <w:bookmarkStart w:id="11" w:name="page12"/>
    <w:bookmarkEnd w:id="11"/>
    <w:p>
      <w:pPr>
        <w:ind w:left="540" w:right="260" w:hanging="478"/>
        <w:spacing w:after="0" w:line="264" w:lineRule="auto"/>
        <w:tabs>
          <w:tab w:leader="none" w:pos="540" w:val="left"/>
        </w:tabs>
        <w:numPr>
          <w:ilvl w:val="0"/>
          <w:numId w:val="25"/>
        </w:numPr>
        <w:rPr>
          <w:rFonts w:ascii="Arial" w:cs="Arial" w:eastAsia="Arial" w:hAnsi="Arial"/>
          <w:sz w:val="13"/>
          <w:szCs w:val="13"/>
          <w:color w:val="auto"/>
        </w:rPr>
      </w:pPr>
      <w:r>
        <w:rPr>
          <w:rFonts w:ascii="Arial" w:cs="Arial" w:eastAsia="Arial" w:hAnsi="Arial"/>
          <w:sz w:val="13"/>
          <w:szCs w:val="13"/>
          <w:color w:val="auto"/>
        </w:rPr>
        <w:t>This figure includes a matching contribution from the Company equal to 25% of the cash retainer and fees that are deferred in Winnebago Stock Units at the election of directors Aal, England, Erickson, Herlitz and Kitch and are accrued under the Directors’ Deferred Compensation Plan. The Winnebago Stock Units are to be settled 100% in Company common stock upon the earliest of the following events: director’s termination of service, death or disability or a “change in the effective control of the Company” as defined in said plan.</w:t>
      </w:r>
    </w:p>
    <w:p>
      <w:pPr>
        <w:spacing w:after="0" w:line="60" w:lineRule="exact"/>
        <w:rPr>
          <w:rFonts w:ascii="Arial" w:cs="Arial" w:eastAsia="Arial" w:hAnsi="Arial"/>
          <w:sz w:val="13"/>
          <w:szCs w:val="13"/>
          <w:color w:val="auto"/>
        </w:rPr>
      </w:pPr>
    </w:p>
    <w:p>
      <w:pPr>
        <w:ind w:left="540" w:hanging="478"/>
        <w:spacing w:after="0"/>
        <w:tabs>
          <w:tab w:leader="none" w:pos="5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None of the directors received perquisites and other personal benefits in an aggregate amount of $10,000 or more.</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81"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8" w:lineRule="exact"/>
        <w:rPr>
          <w:sz w:val="20"/>
          <w:szCs w:val="20"/>
          <w:color w:val="auto"/>
        </w:rPr>
      </w:pPr>
    </w:p>
    <w:p>
      <w:pPr>
        <w:ind w:right="20" w:firstLine="360"/>
        <w:spacing w:after="0" w:line="286" w:lineRule="auto"/>
        <w:rPr>
          <w:sz w:val="20"/>
          <w:szCs w:val="20"/>
          <w:color w:val="auto"/>
        </w:rPr>
      </w:pPr>
      <w:r>
        <w:rPr>
          <w:rFonts w:ascii="Arial" w:cs="Arial" w:eastAsia="Arial" w:hAnsi="Arial"/>
          <w:sz w:val="16"/>
          <w:szCs w:val="16"/>
          <w:color w:val="auto"/>
        </w:rPr>
        <w:t>Effective April 1, 1997, the Board of Directors adopted the Winnebago Industries, Inc. Directors’ Deferred Compensation Plan (as amended, the “Directors’ Deferred Compensation Plan”). The purpose of the Directors’ Deferred Compensation Plan is to enable Non-employee Directors (the “Participants”) to receive their fees and retainers as members of the Board of Directors and Committees of the Board (the “Deferred Compensation”) in a form other than as direct payments. A Participant may elect to apply either 50 or 100 percent of his or her Deferred Compensation to either, but not both, of the following forms: “Money Credits” or “Winnebago Stock Units.” Money Credits are units credited in the form of dollars in accordance with the Participant’s election to such Participant’s account established by the Company. The Money Credits accrue interest from the credit date. The interest rate to be applied to the Participant’s Money Credits is the 30-year Treasury bond yield as of the first business day of the plan year. The Board of Directors may from time to time prescribe additional methods for the accrual of interest on Money Credits with respect to Deferred Compensation. Winnebago Stock Units are units credited in the form of Common Stock of the Company in accordance with the Participant’s election to such Participant’s account established by the Company. The Common Stock utilized for purposes of the Directors’ Deferred Compensation Plan will be treasury shares of the Company and like all Common Stock, generally, will accrue dividends paid by the Company. Winnebago Stock Units will be recorded in such Participant’s account on the basis of the mean between the high and the low prices of the Common Stock of the Company on the date upon which the account is to be credited, as officially reported by the NYSE. Any Participant investing Deferred Compensation in Winnebago Stock Units will receive a matching contribution in the form of Winnebago Common Stock from the Company equal to 25 percent of the Deferred Compensation so invested.</w:t>
      </w:r>
    </w:p>
    <w:p>
      <w:pPr>
        <w:spacing w:after="0" w:line="42" w:lineRule="exact"/>
        <w:rPr>
          <w:sz w:val="20"/>
          <w:szCs w:val="20"/>
          <w:color w:val="auto"/>
        </w:rPr>
      </w:pPr>
    </w:p>
    <w:p>
      <w:pPr>
        <w:ind w:right="160" w:firstLine="360"/>
        <w:spacing w:after="0" w:line="288" w:lineRule="auto"/>
        <w:rPr>
          <w:sz w:val="20"/>
          <w:szCs w:val="20"/>
          <w:color w:val="auto"/>
        </w:rPr>
      </w:pPr>
      <w:r>
        <w:rPr>
          <w:rFonts w:ascii="Arial" w:cs="Arial" w:eastAsia="Arial" w:hAnsi="Arial"/>
          <w:sz w:val="16"/>
          <w:szCs w:val="16"/>
          <w:color w:val="auto"/>
        </w:rPr>
        <w:t>The matching contribution to a Participant’s Winnebago Stock Unit account will vest on a graduated basis at the rate of 33</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26"/>
          <w:szCs w:val="26"/>
          <w:color w:val="auto"/>
          <w:vertAlign w:val="subscript"/>
        </w:rPr>
        <w:t>3</w:t>
      </w:r>
      <w:r>
        <w:rPr>
          <w:rFonts w:ascii="Arial" w:cs="Arial" w:eastAsia="Arial" w:hAnsi="Arial"/>
          <w:sz w:val="16"/>
          <w:szCs w:val="16"/>
          <w:color w:val="auto"/>
        </w:rPr>
        <w:t xml:space="preserve"> percent for each complete 12-month period of service as a director following the effective date of the Directors’ Deferred Compensation Plan. Any matching Winnebago Stock Units thereafter recorded in the Participant’s account after the Participant’s completion of 36 months of service after the effective date of the Directors’ Deferred Compensation Plan will be fully vested and nonforfeitable. Notwithstanding the above, the Participant’s Winnebago Stock Unit account will become fully</w:t>
      </w:r>
    </w:p>
    <w:p>
      <w:pPr>
        <w:ind w:right="180"/>
        <w:spacing w:after="0" w:line="264" w:lineRule="auto"/>
        <w:rPr>
          <w:sz w:val="20"/>
          <w:szCs w:val="20"/>
          <w:color w:val="auto"/>
        </w:rPr>
      </w:pPr>
      <w:r>
        <w:rPr>
          <w:rFonts w:ascii="Arial" w:cs="Arial" w:eastAsia="Arial" w:hAnsi="Arial"/>
          <w:sz w:val="16"/>
          <w:szCs w:val="16"/>
          <w:color w:val="auto"/>
        </w:rPr>
        <w:t>vested upon his or her attainment of age 69</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26"/>
          <w:szCs w:val="26"/>
          <w:color w:val="auto"/>
          <w:vertAlign w:val="subscript"/>
        </w:rPr>
        <w:t>2</w:t>
      </w:r>
      <w:r>
        <w:rPr>
          <w:rFonts w:ascii="Arial" w:cs="Arial" w:eastAsia="Arial" w:hAnsi="Arial"/>
          <w:sz w:val="16"/>
          <w:szCs w:val="16"/>
          <w:color w:val="auto"/>
        </w:rPr>
        <w:t xml:space="preserve"> while serving as a director. Under the Directors’ Deferred Compensation Plan, participants are restricted from selling the Common Stock underlying the Winnebago Stock Units until the date the participant retires from the Board of Directors. In the event that a Participant terminates his or her service as a director, any unvested Winnebago Stock Units will be forfeited by the director. The Winnebago Stock Units credited to Participant’s accounts are included in the Common Stock ownership table under the caption “Voting Securities and Principal Holders Thereof.”</w:t>
      </w:r>
    </w:p>
    <w:p>
      <w:pPr>
        <w:spacing w:after="0" w:line="144"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In the event of any change in the outstanding shares of Common Stock of the Company by reason of any stock dividend or split, recapitalization, merger, consolidation, spin-off, reorganization, combination or exchange of shares or other similar corporate change, if the Directors’ Deferred Compensation Plan administrator determines, in its sole discretion, that such change equitably requires an adjustment in the number of Winnebago Stock Units then held in a Participant’s Winnebago Stock Unit account, such adjustments will be made by the Directors’ Deferred Compensation Plan administrator and will be conclusive and binding for all purposes of said plan.</w:t>
      </w:r>
    </w:p>
    <w:p>
      <w:pPr>
        <w:spacing w:after="0" w:line="161"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In the event of a “change in the control of the Company,” as defined in the Directors’ Deferred Compensation Plan, a Participant will receive a lump sum distribution of his or her account within 30 days following his or her termination of service as a director after such change in control. Notwithstanding the above, in no event will a Participant’s receipt of a distribution of Winnebago Stock Units from his or her accounts precede the six-month anniversary of his or her election to convert Deferred Compensation into Winnebago Stock Units.</w:t>
      </w:r>
    </w:p>
    <w:p>
      <w:pPr>
        <w:spacing w:after="0" w:line="14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Unless terminated earlier by the Board of Directors, the Directors’ Deferred Compensation Plan terminates on June 30, 2013.</w:t>
      </w:r>
    </w:p>
    <w:p>
      <w:pPr>
        <w:spacing w:after="0" w:line="185" w:lineRule="exact"/>
        <w:rPr>
          <w:sz w:val="20"/>
          <w:szCs w:val="20"/>
          <w:color w:val="auto"/>
        </w:rPr>
      </w:pPr>
    </w:p>
    <w:p>
      <w:pPr>
        <w:ind w:right="240" w:firstLine="360"/>
        <w:spacing w:after="0" w:line="342" w:lineRule="auto"/>
        <w:rPr>
          <w:sz w:val="20"/>
          <w:szCs w:val="20"/>
          <w:color w:val="auto"/>
        </w:rPr>
      </w:pPr>
      <w:r>
        <w:rPr>
          <w:rFonts w:ascii="Arial" w:cs="Arial" w:eastAsia="Arial" w:hAnsi="Arial"/>
          <w:sz w:val="16"/>
          <w:szCs w:val="16"/>
          <w:color w:val="auto"/>
        </w:rPr>
        <w:t>The 2004 Plan provides that Non-employee Directors may receive “Stock Awards,” “Performance Awards” or “Non-qualified Stock Options” each as defined under the 2004 Plan (collectively, “Director Awards”) and may not be granted incentive stock options. Terms, conditions and limitations applicable</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81"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to any Stock Awards or Performance Awards granted to a Non-employee Director pursuant to this plan shall be determined by the Board. On the grant date, the grant price of a Non-qualified Stock Option shall be not less than the fair market value of the Common Stock subject to such Option. The term of the Non-qualified Stock Option shall extend no more than 10 years after the grant date. Non-qualified Stock Options may not include provisions that “reload” the option upon exercise. Subject to the foregoing provisions, the terms, conditions and limitations applicable to any Non-qualified Stock Options awarded to directors pursuant to the 2004 Plan, including the grant price, the term of the Non-qualified Stock Options, the number of shares of Common Stock subject to the Non-qualified Stock Option and the date or dates upon which they become exercisable, shall be determined by the Human Resources Committee. No participant may be granted, during any fiscal year, Director Awards consisting of Stock Awards or Performance Awards covering or relating to more than 10,000 shares of Common Stock or Non-qualified Stock Options for more than 20,000 shares of Common Stock during any fiscal year.</w:t>
      </w:r>
    </w:p>
    <w:p>
      <w:pPr>
        <w:spacing w:after="0" w:line="126" w:lineRule="exact"/>
        <w:rPr>
          <w:sz w:val="20"/>
          <w:szCs w:val="20"/>
          <w:color w:val="auto"/>
        </w:rPr>
      </w:pPr>
    </w:p>
    <w:p>
      <w:pPr>
        <w:ind w:right="540" w:firstLine="360"/>
        <w:spacing w:after="0" w:line="342" w:lineRule="auto"/>
        <w:rPr>
          <w:sz w:val="20"/>
          <w:szCs w:val="20"/>
          <w:color w:val="auto"/>
        </w:rPr>
      </w:pPr>
      <w:r>
        <w:rPr>
          <w:rFonts w:ascii="Arial" w:cs="Arial" w:eastAsia="Arial" w:hAnsi="Arial"/>
          <w:sz w:val="16"/>
          <w:szCs w:val="16"/>
          <w:i w:val="1"/>
          <w:iCs w:val="1"/>
          <w:color w:val="auto"/>
        </w:rPr>
        <w:t xml:space="preserve">Director Stock Ownership Guidelines — </w:t>
      </w:r>
      <w:r>
        <w:rPr>
          <w:rFonts w:ascii="Arial" w:cs="Arial" w:eastAsia="Arial" w:hAnsi="Arial"/>
          <w:sz w:val="16"/>
          <w:szCs w:val="16"/>
          <w:color w:val="auto"/>
        </w:rPr>
        <w:t>The Corporate Governance Policy of the Company states that Non-employee Directors have guidelines</w:t>
      </w:r>
      <w:r>
        <w:rPr>
          <w:rFonts w:ascii="Arial" w:cs="Arial" w:eastAsia="Arial" w:hAnsi="Arial"/>
          <w:sz w:val="16"/>
          <w:szCs w:val="16"/>
          <w:i w:val="1"/>
          <w:iCs w:val="1"/>
          <w:color w:val="auto"/>
        </w:rPr>
        <w:t xml:space="preserve"> </w:t>
      </w:r>
      <w:r>
        <w:rPr>
          <w:rFonts w:ascii="Arial" w:cs="Arial" w:eastAsia="Arial" w:hAnsi="Arial"/>
          <w:sz w:val="16"/>
          <w:szCs w:val="16"/>
          <w:color w:val="auto"/>
        </w:rPr>
        <w:t>encouraging ownership of Common Stock, Stock Units or other equity equivalents equal in value to 250 percent of their annual director compensation.</w:t>
      </w:r>
    </w:p>
    <w:p>
      <w:pPr>
        <w:spacing w:after="0" w:line="111"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ITEM 2</w:t>
      </w:r>
    </w:p>
    <w:p>
      <w:pPr>
        <w:spacing w:after="0" w:line="233"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RATIFICATION OF THE APPOINTMENT OF INDEPENDENT REGISTERED PUBLIC</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ACCOUNTANTS FOR THE FISCAL YEAR ENDING AUGUST 30, 2008</w:t>
      </w:r>
    </w:p>
    <w:p>
      <w:pPr>
        <w:sectPr>
          <w:pgSz w:w="11900" w:h="16838" w:orient="portrait"/>
          <w:cols w:equalWidth="0" w:num="1">
            <w:col w:w="11420"/>
          </w:cols>
          <w:pgMar w:left="240" w:top="215" w:right="239" w:bottom="0" w:gutter="0" w:footer="0" w:header="0"/>
        </w:sectPr>
      </w:pPr>
    </w:p>
    <w:bookmarkStart w:id="12" w:name="page13"/>
    <w:bookmarkEnd w:id="12"/>
    <w:p>
      <w:pPr>
        <w:ind w:right="40" w:firstLine="360"/>
        <w:spacing w:after="0" w:line="276" w:lineRule="auto"/>
        <w:rPr>
          <w:sz w:val="20"/>
          <w:szCs w:val="20"/>
          <w:color w:val="auto"/>
        </w:rPr>
      </w:pPr>
      <w:r>
        <w:rPr>
          <w:rFonts w:ascii="Arial" w:cs="Arial" w:eastAsia="Arial" w:hAnsi="Arial"/>
          <w:sz w:val="17"/>
          <w:szCs w:val="17"/>
          <w:color w:val="auto"/>
        </w:rPr>
        <w:t>Deloitte &amp; Touche LLP (“Deloitte &amp; Touche”) was appointed by the Audit Committee as the Company’s independent registered public accountants for the fiscal year ending August 30, 2008. The Company is asking its shareholders to ratify the appointment of Deloitte &amp; Touche. Deloitte &amp; Touche has served as the Company’s independent registered public accountants for over 20 years. For a description of the fees for services rendered by Deloitte &amp; Touche in these fiscal years, and a description of the Company’s policy regarding the approval of independent registered public accountants provisions of audit and non-audit services, see “Independent Registered Public Accountants Fees and Services” below.</w:t>
      </w:r>
    </w:p>
    <w:p>
      <w:pPr>
        <w:spacing w:after="0" w:line="132" w:lineRule="exact"/>
        <w:rPr>
          <w:sz w:val="20"/>
          <w:szCs w:val="20"/>
          <w:color w:val="auto"/>
        </w:rPr>
      </w:pPr>
    </w:p>
    <w:p>
      <w:pPr>
        <w:ind w:right="240" w:firstLine="360"/>
        <w:spacing w:after="0" w:line="257" w:lineRule="auto"/>
        <w:rPr>
          <w:sz w:val="20"/>
          <w:szCs w:val="20"/>
          <w:color w:val="auto"/>
        </w:rPr>
      </w:pPr>
      <w:r>
        <w:rPr>
          <w:rFonts w:ascii="Arial" w:cs="Arial" w:eastAsia="Arial" w:hAnsi="Arial"/>
          <w:sz w:val="18"/>
          <w:szCs w:val="18"/>
          <w:color w:val="auto"/>
        </w:rPr>
        <w:t>Although ratification by the shareholders is not required by law, the Board of Directors has determined that it is desirable to request approval of this selection by the shareholders. In the event the shareholders fail to ratify the appointment, the Audit Committee will consider this factor when making any determination regarding Deloitte &amp; Touche. Even if the selection is ratified, the Audit Committee in its discretion may direct the appointment of a different independent registered public accounting firm at any time during the year if it determines that such a change would be in the best interests of the Company and its shareholders.</w:t>
      </w:r>
    </w:p>
    <w:p>
      <w:pPr>
        <w:spacing w:after="0" w:line="161" w:lineRule="exact"/>
        <w:rPr>
          <w:sz w:val="20"/>
          <w:szCs w:val="20"/>
          <w:color w:val="auto"/>
        </w:rPr>
      </w:pPr>
    </w:p>
    <w:p>
      <w:pPr>
        <w:ind w:right="120" w:firstLine="360"/>
        <w:spacing w:after="0" w:line="277" w:lineRule="auto"/>
        <w:rPr>
          <w:sz w:val="20"/>
          <w:szCs w:val="20"/>
          <w:color w:val="auto"/>
        </w:rPr>
      </w:pPr>
      <w:r>
        <w:rPr>
          <w:rFonts w:ascii="Arial" w:cs="Arial" w:eastAsia="Arial" w:hAnsi="Arial"/>
          <w:sz w:val="18"/>
          <w:szCs w:val="18"/>
          <w:color w:val="auto"/>
        </w:rPr>
        <w:t>Passage of the proposal requires the affirmative vote of a majority of the shares entitled to vote on the proposal and represented in person or by proxy at the Meeting at which a quorum is present.</w:t>
      </w:r>
    </w:p>
    <w:p>
      <w:pPr>
        <w:spacing w:after="0" w:line="157" w:lineRule="exact"/>
        <w:rPr>
          <w:sz w:val="20"/>
          <w:szCs w:val="20"/>
          <w:color w:val="auto"/>
        </w:rPr>
      </w:pPr>
    </w:p>
    <w:p>
      <w:pPr>
        <w:ind w:right="240" w:firstLine="360"/>
        <w:spacing w:after="0" w:line="249" w:lineRule="auto"/>
        <w:rPr>
          <w:sz w:val="20"/>
          <w:szCs w:val="20"/>
          <w:color w:val="auto"/>
        </w:rPr>
      </w:pPr>
      <w:r>
        <w:rPr>
          <w:rFonts w:ascii="Arial" w:cs="Arial" w:eastAsia="Arial" w:hAnsi="Arial"/>
          <w:sz w:val="22"/>
          <w:szCs w:val="22"/>
          <w:b w:val="1"/>
          <w:bCs w:val="1"/>
          <w:color w:val="auto"/>
        </w:rPr>
        <w:t>Y</w:t>
      </w:r>
      <w:r>
        <w:rPr>
          <w:rFonts w:ascii="Arial" w:cs="Arial" w:eastAsia="Arial" w:hAnsi="Arial"/>
          <w:sz w:val="18"/>
          <w:szCs w:val="18"/>
          <w:b w:val="1"/>
          <w:bCs w:val="1"/>
          <w:color w:val="auto"/>
        </w:rPr>
        <w:t>OUR</w:t>
      </w:r>
      <w:r>
        <w:rPr>
          <w:rFonts w:ascii="Arial" w:cs="Arial" w:eastAsia="Arial" w:hAnsi="Arial"/>
          <w:sz w:val="22"/>
          <w:szCs w:val="22"/>
          <w:b w:val="1"/>
          <w:bCs w:val="1"/>
          <w:color w:val="auto"/>
        </w:rPr>
        <w:t xml:space="preserve"> B</w:t>
      </w:r>
      <w:r>
        <w:rPr>
          <w:rFonts w:ascii="Arial" w:cs="Arial" w:eastAsia="Arial" w:hAnsi="Arial"/>
          <w:sz w:val="18"/>
          <w:szCs w:val="18"/>
          <w:b w:val="1"/>
          <w:bCs w:val="1"/>
          <w:color w:val="auto"/>
        </w:rPr>
        <w:t>OARD OF</w:t>
      </w:r>
      <w:r>
        <w:rPr>
          <w:rFonts w:ascii="Arial" w:cs="Arial" w:eastAsia="Arial" w:hAnsi="Arial"/>
          <w:sz w:val="22"/>
          <w:szCs w:val="22"/>
          <w:b w:val="1"/>
          <w:bCs w:val="1"/>
          <w:color w:val="auto"/>
        </w:rPr>
        <w:t xml:space="preserve"> D</w:t>
      </w:r>
      <w:r>
        <w:rPr>
          <w:rFonts w:ascii="Arial" w:cs="Arial" w:eastAsia="Arial" w:hAnsi="Arial"/>
          <w:sz w:val="18"/>
          <w:szCs w:val="18"/>
          <w:b w:val="1"/>
          <w:bCs w:val="1"/>
          <w:color w:val="auto"/>
        </w:rPr>
        <w:t>IRECTORS UNANIMOUSLY RECOMMENDS THAT YOU VOTE FOR THE RATIFICATION OF THE</w:t>
      </w:r>
      <w:r>
        <w:rPr>
          <w:rFonts w:ascii="Arial" w:cs="Arial" w:eastAsia="Arial" w:hAnsi="Arial"/>
          <w:sz w:val="22"/>
          <w:szCs w:val="22"/>
          <w:b w:val="1"/>
          <w:bCs w:val="1"/>
          <w:color w:val="auto"/>
        </w:rPr>
        <w:t xml:space="preserve"> </w:t>
      </w:r>
      <w:r>
        <w:rPr>
          <w:rFonts w:ascii="Arial" w:cs="Arial" w:eastAsia="Arial" w:hAnsi="Arial"/>
          <w:sz w:val="18"/>
          <w:szCs w:val="18"/>
          <w:b w:val="1"/>
          <w:bCs w:val="1"/>
          <w:color w:val="auto"/>
        </w:rPr>
        <w:t xml:space="preserve">APPOINTMENT OF </w:t>
      </w:r>
      <w:r>
        <w:rPr>
          <w:rFonts w:ascii="Arial" w:cs="Arial" w:eastAsia="Arial" w:hAnsi="Arial"/>
          <w:sz w:val="21"/>
          <w:szCs w:val="21"/>
          <w:b w:val="1"/>
          <w:bCs w:val="1"/>
          <w:color w:val="auto"/>
        </w:rPr>
        <w:t>D</w:t>
      </w:r>
      <w:r>
        <w:rPr>
          <w:rFonts w:ascii="Arial" w:cs="Arial" w:eastAsia="Arial" w:hAnsi="Arial"/>
          <w:sz w:val="18"/>
          <w:szCs w:val="18"/>
          <w:b w:val="1"/>
          <w:bCs w:val="1"/>
          <w:color w:val="auto"/>
        </w:rPr>
        <w:t xml:space="preserve">ELOITTE </w:t>
      </w:r>
      <w:r>
        <w:rPr>
          <w:rFonts w:ascii="Arial" w:cs="Arial" w:eastAsia="Arial" w:hAnsi="Arial"/>
          <w:sz w:val="21"/>
          <w:szCs w:val="21"/>
          <w:b w:val="1"/>
          <w:bCs w:val="1"/>
          <w:color w:val="auto"/>
        </w:rPr>
        <w:t>&amp; T</w:t>
      </w:r>
      <w:r>
        <w:rPr>
          <w:rFonts w:ascii="Arial" w:cs="Arial" w:eastAsia="Arial" w:hAnsi="Arial"/>
          <w:sz w:val="18"/>
          <w:szCs w:val="18"/>
          <w:b w:val="1"/>
          <w:bCs w:val="1"/>
          <w:color w:val="auto"/>
        </w:rPr>
        <w:t xml:space="preserve">OUCHE AS </w:t>
      </w:r>
      <w:r>
        <w:rPr>
          <w:rFonts w:ascii="Arial" w:cs="Arial" w:eastAsia="Arial" w:hAnsi="Arial"/>
          <w:sz w:val="21"/>
          <w:szCs w:val="21"/>
          <w:b w:val="1"/>
          <w:bCs w:val="1"/>
          <w:color w:val="auto"/>
        </w:rPr>
        <w:t>I</w:t>
      </w:r>
      <w:r>
        <w:rPr>
          <w:rFonts w:ascii="Arial" w:cs="Arial" w:eastAsia="Arial" w:hAnsi="Arial"/>
          <w:sz w:val="18"/>
          <w:szCs w:val="18"/>
          <w:b w:val="1"/>
          <w:bCs w:val="1"/>
          <w:color w:val="auto"/>
        </w:rPr>
        <w:t xml:space="preserve">NDEPENDENT </w:t>
      </w:r>
      <w:r>
        <w:rPr>
          <w:rFonts w:ascii="Arial" w:cs="Arial" w:eastAsia="Arial" w:hAnsi="Arial"/>
          <w:sz w:val="21"/>
          <w:szCs w:val="21"/>
          <w:b w:val="1"/>
          <w:bCs w:val="1"/>
          <w:color w:val="auto"/>
        </w:rPr>
        <w:t>R</w:t>
      </w:r>
      <w:r>
        <w:rPr>
          <w:rFonts w:ascii="Arial" w:cs="Arial" w:eastAsia="Arial" w:hAnsi="Arial"/>
          <w:sz w:val="18"/>
          <w:szCs w:val="18"/>
          <w:b w:val="1"/>
          <w:bCs w:val="1"/>
          <w:color w:val="auto"/>
        </w:rPr>
        <w:t xml:space="preserve">EGISTERED </w:t>
      </w:r>
      <w:r>
        <w:rPr>
          <w:rFonts w:ascii="Arial" w:cs="Arial" w:eastAsia="Arial" w:hAnsi="Arial"/>
          <w:sz w:val="21"/>
          <w:szCs w:val="21"/>
          <w:b w:val="1"/>
          <w:bCs w:val="1"/>
          <w:color w:val="auto"/>
        </w:rPr>
        <w:t>P</w:t>
      </w:r>
      <w:r>
        <w:rPr>
          <w:rFonts w:ascii="Arial" w:cs="Arial" w:eastAsia="Arial" w:hAnsi="Arial"/>
          <w:sz w:val="18"/>
          <w:szCs w:val="18"/>
          <w:b w:val="1"/>
          <w:bCs w:val="1"/>
          <w:color w:val="auto"/>
        </w:rPr>
        <w:t xml:space="preserve">UBLIC </w:t>
      </w:r>
      <w:r>
        <w:rPr>
          <w:rFonts w:ascii="Arial" w:cs="Arial" w:eastAsia="Arial" w:hAnsi="Arial"/>
          <w:sz w:val="21"/>
          <w:szCs w:val="21"/>
          <w:b w:val="1"/>
          <w:bCs w:val="1"/>
          <w:color w:val="auto"/>
        </w:rPr>
        <w:t>A</w:t>
      </w:r>
      <w:r>
        <w:rPr>
          <w:rFonts w:ascii="Arial" w:cs="Arial" w:eastAsia="Arial" w:hAnsi="Arial"/>
          <w:sz w:val="18"/>
          <w:szCs w:val="18"/>
          <w:b w:val="1"/>
          <w:bCs w:val="1"/>
          <w:color w:val="auto"/>
        </w:rPr>
        <w:t xml:space="preserve">CCOUNTANTS FOR THE </w:t>
      </w:r>
      <w:r>
        <w:rPr>
          <w:rFonts w:ascii="Arial" w:cs="Arial" w:eastAsia="Arial" w:hAnsi="Arial"/>
          <w:sz w:val="21"/>
          <w:szCs w:val="21"/>
          <w:b w:val="1"/>
          <w:bCs w:val="1"/>
          <w:color w:val="auto"/>
        </w:rPr>
        <w:t>C</w:t>
      </w:r>
      <w:r>
        <w:rPr>
          <w:rFonts w:ascii="Arial" w:cs="Arial" w:eastAsia="Arial" w:hAnsi="Arial"/>
          <w:sz w:val="18"/>
          <w:szCs w:val="18"/>
          <w:b w:val="1"/>
          <w:bCs w:val="1"/>
          <w:color w:val="auto"/>
        </w:rPr>
        <w:t xml:space="preserve">OMPANY FOR OUR FISCAL YEAR ENDING </w:t>
      </w:r>
      <w:r>
        <w:rPr>
          <w:rFonts w:ascii="Arial" w:cs="Arial" w:eastAsia="Arial" w:hAnsi="Arial"/>
          <w:sz w:val="21"/>
          <w:szCs w:val="21"/>
          <w:b w:val="1"/>
          <w:bCs w:val="1"/>
          <w:color w:val="auto"/>
        </w:rPr>
        <w:t>A</w:t>
      </w:r>
      <w:r>
        <w:rPr>
          <w:rFonts w:ascii="Arial" w:cs="Arial" w:eastAsia="Arial" w:hAnsi="Arial"/>
          <w:sz w:val="18"/>
          <w:szCs w:val="18"/>
          <w:b w:val="1"/>
          <w:bCs w:val="1"/>
          <w:color w:val="auto"/>
        </w:rPr>
        <w:t xml:space="preserve">UGUST </w:t>
      </w:r>
      <w:r>
        <w:rPr>
          <w:rFonts w:ascii="Arial" w:cs="Arial" w:eastAsia="Arial" w:hAnsi="Arial"/>
          <w:sz w:val="21"/>
          <w:szCs w:val="21"/>
          <w:b w:val="1"/>
          <w:bCs w:val="1"/>
          <w:color w:val="auto"/>
        </w:rPr>
        <w:t>30, 2008.</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OTHER MATTERS</w:t>
      </w:r>
    </w:p>
    <w:p>
      <w:pPr>
        <w:spacing w:after="0" w:line="219" w:lineRule="exact"/>
        <w:rPr>
          <w:sz w:val="20"/>
          <w:szCs w:val="20"/>
          <w:color w:val="auto"/>
        </w:rPr>
      </w:pPr>
    </w:p>
    <w:p>
      <w:pPr>
        <w:jc w:val="both"/>
        <w:ind w:right="40" w:firstLine="360"/>
        <w:spacing w:after="0" w:line="264" w:lineRule="auto"/>
        <w:rPr>
          <w:sz w:val="20"/>
          <w:szCs w:val="20"/>
          <w:color w:val="auto"/>
        </w:rPr>
      </w:pPr>
      <w:r>
        <w:rPr>
          <w:rFonts w:ascii="Arial" w:cs="Arial" w:eastAsia="Arial" w:hAnsi="Arial"/>
          <w:sz w:val="18"/>
          <w:szCs w:val="18"/>
          <w:color w:val="auto"/>
        </w:rPr>
        <w:t>The Board of Directors does not know of any matter, other than the election of directors and the ratification of the appointment of independent registered public accountants, which may be presented at the Meeting. However, if any other matters should properly come before the Meeting, it is the intention of the persons named in the proxy to vote thereon in accordance with their best judgment.</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EXECUTIVE COMPENSATION</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Compensation Discussion and Analysis</w:t>
      </w:r>
    </w:p>
    <w:p>
      <w:pPr>
        <w:spacing w:after="0" w:line="185" w:lineRule="exact"/>
        <w:rPr>
          <w:sz w:val="20"/>
          <w:szCs w:val="20"/>
          <w:color w:val="auto"/>
        </w:rPr>
      </w:pPr>
    </w:p>
    <w:p>
      <w:pPr>
        <w:ind w:right="680" w:firstLine="360"/>
        <w:spacing w:after="0" w:line="277" w:lineRule="auto"/>
        <w:rPr>
          <w:sz w:val="20"/>
          <w:szCs w:val="20"/>
          <w:color w:val="auto"/>
        </w:rPr>
      </w:pPr>
      <w:r>
        <w:rPr>
          <w:rFonts w:ascii="Arial" w:cs="Arial" w:eastAsia="Arial" w:hAnsi="Arial"/>
          <w:sz w:val="18"/>
          <w:szCs w:val="18"/>
          <w:color w:val="auto"/>
        </w:rPr>
        <w:t>The following provides information regarding the compensation and benefit programs in place for the named executive officers identified in the Summary Compensation Table set forth in this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81"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(collectively, the “Named Executive Officers”) for our 2007 fiscal year. It also includes information regarding the overall objectives of our compensation program and each element of compensation that we provide.</w:t>
      </w:r>
    </w:p>
    <w:p>
      <w:pPr>
        <w:spacing w:after="0" w:line="126" w:lineRule="exact"/>
        <w:rPr>
          <w:sz w:val="20"/>
          <w:szCs w:val="20"/>
          <w:color w:val="auto"/>
        </w:rPr>
      </w:pPr>
    </w:p>
    <w:p>
      <w:pPr>
        <w:ind w:right="140" w:firstLine="360"/>
        <w:spacing w:after="0" w:line="303" w:lineRule="auto"/>
        <w:rPr>
          <w:sz w:val="20"/>
          <w:szCs w:val="20"/>
          <w:color w:val="auto"/>
        </w:rPr>
      </w:pPr>
      <w:r>
        <w:rPr>
          <w:rFonts w:ascii="Arial" w:cs="Arial" w:eastAsia="Arial" w:hAnsi="Arial"/>
          <w:sz w:val="16"/>
          <w:szCs w:val="16"/>
          <w:b w:val="1"/>
          <w:bCs w:val="1"/>
          <w:color w:val="auto"/>
        </w:rPr>
        <w:t xml:space="preserve">The Human Resources Committee. </w:t>
      </w:r>
      <w:r>
        <w:rPr>
          <w:rFonts w:ascii="Arial" w:cs="Arial" w:eastAsia="Arial" w:hAnsi="Arial"/>
          <w:sz w:val="16"/>
          <w:szCs w:val="16"/>
          <w:color w:val="auto"/>
        </w:rPr>
        <w:t>The Human Resources Committee (“Committee”) of the Board of Directors is responsible for discharging the</w:t>
      </w:r>
      <w:r>
        <w:rPr>
          <w:rFonts w:ascii="Arial" w:cs="Arial" w:eastAsia="Arial" w:hAnsi="Arial"/>
          <w:sz w:val="16"/>
          <w:szCs w:val="16"/>
          <w:b w:val="1"/>
          <w:bCs w:val="1"/>
          <w:color w:val="auto"/>
        </w:rPr>
        <w:t xml:space="preserve"> </w:t>
      </w:r>
      <w:r>
        <w:rPr>
          <w:rFonts w:ascii="Arial" w:cs="Arial" w:eastAsia="Arial" w:hAnsi="Arial"/>
          <w:sz w:val="16"/>
          <w:szCs w:val="16"/>
          <w:color w:val="auto"/>
        </w:rPr>
        <w:t>Board’s responsibilities relating to the compensation of the Named Executive Officers, for approving and evaluating all compensation of Named Executive Officers, including salaries, bonuses, compensation plans and policies, and other incentive programs. The Committee acts pursuant to a charter that has been approved by our Board. None of the Named Executive Officers are members of the Committee. The four independent directors on the Committee are:</w:t>
      </w:r>
    </w:p>
    <w:p>
      <w:pPr>
        <w:spacing w:after="0" w:line="169" w:lineRule="exact"/>
        <w:rPr>
          <w:sz w:val="20"/>
          <w:szCs w:val="20"/>
          <w:color w:val="auto"/>
        </w:rPr>
      </w:pPr>
    </w:p>
    <w:p>
      <w:pPr>
        <w:ind w:left="1020" w:hanging="472"/>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Gerald C. Kitch, Chairman;</w:t>
      </w:r>
    </w:p>
    <w:p>
      <w:pPr>
        <w:spacing w:after="0" w:line="90" w:lineRule="exact"/>
        <w:rPr>
          <w:rFonts w:ascii="Arial" w:cs="Arial" w:eastAsia="Arial" w:hAnsi="Arial"/>
          <w:sz w:val="18"/>
          <w:szCs w:val="18"/>
          <w:color w:val="auto"/>
        </w:rPr>
      </w:pPr>
    </w:p>
    <w:p>
      <w:pPr>
        <w:ind w:left="1020" w:hanging="472"/>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Irvin E. Aal;</w:t>
      </w:r>
    </w:p>
    <w:p>
      <w:pPr>
        <w:spacing w:after="0" w:line="90" w:lineRule="exact"/>
        <w:rPr>
          <w:rFonts w:ascii="Arial" w:cs="Arial" w:eastAsia="Arial" w:hAnsi="Arial"/>
          <w:sz w:val="18"/>
          <w:szCs w:val="18"/>
          <w:color w:val="auto"/>
        </w:rPr>
      </w:pPr>
    </w:p>
    <w:p>
      <w:pPr>
        <w:ind w:left="1020" w:hanging="472"/>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Jerry N. Currie; and</w:t>
      </w:r>
    </w:p>
    <w:p>
      <w:pPr>
        <w:spacing w:after="0" w:line="90" w:lineRule="exact"/>
        <w:rPr>
          <w:rFonts w:ascii="Arial" w:cs="Arial" w:eastAsia="Arial" w:hAnsi="Arial"/>
          <w:sz w:val="18"/>
          <w:szCs w:val="18"/>
          <w:color w:val="auto"/>
        </w:rPr>
      </w:pPr>
    </w:p>
    <w:p>
      <w:pPr>
        <w:ind w:left="1020" w:hanging="472"/>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John E. Herlitz.</w:t>
      </w:r>
    </w:p>
    <w:p>
      <w:pPr>
        <w:spacing w:after="0" w:line="252" w:lineRule="exact"/>
        <w:rPr>
          <w:sz w:val="20"/>
          <w:szCs w:val="20"/>
          <w:color w:val="auto"/>
        </w:rPr>
      </w:pPr>
    </w:p>
    <w:p>
      <w:pPr>
        <w:ind w:right="120" w:firstLine="360"/>
        <w:spacing w:after="0" w:line="259" w:lineRule="auto"/>
        <w:rPr>
          <w:sz w:val="20"/>
          <w:szCs w:val="20"/>
          <w:color w:val="auto"/>
        </w:rPr>
      </w:pPr>
      <w:r>
        <w:rPr>
          <w:rFonts w:ascii="Arial" w:cs="Arial" w:eastAsia="Arial" w:hAnsi="Arial"/>
          <w:sz w:val="18"/>
          <w:szCs w:val="18"/>
          <w:color w:val="auto"/>
        </w:rPr>
        <w:t>Committee meetings are held regularly throughout the year, with typically four meetings held per fiscal year. The Committee meetings, in most instances, occur prior to regularly scheduled Board meetings, with telephonic meetings occurring as necessary. Other members of the Company’s Board of Directors are invited to attend the Committee meetings. In addition, others in regular attendance at the Committee meeting typically include the Chairman of the Board and Chief Executive Officer, the President and the Vice President – Administration.</w:t>
      </w:r>
    </w:p>
    <w:p>
      <w:pPr>
        <w:spacing w:after="0" w:line="142" w:lineRule="exact"/>
        <w:rPr>
          <w:sz w:val="20"/>
          <w:szCs w:val="20"/>
          <w:color w:val="auto"/>
        </w:rPr>
      </w:pPr>
    </w:p>
    <w:p>
      <w:pPr>
        <w:ind w:firstLine="360"/>
        <w:spacing w:after="0" w:line="273" w:lineRule="auto"/>
        <w:rPr>
          <w:sz w:val="20"/>
          <w:szCs w:val="20"/>
          <w:color w:val="auto"/>
        </w:rPr>
      </w:pPr>
      <w:r>
        <w:rPr>
          <w:rFonts w:ascii="Arial" w:cs="Arial" w:eastAsia="Arial" w:hAnsi="Arial"/>
          <w:sz w:val="17"/>
          <w:szCs w:val="17"/>
          <w:b w:val="1"/>
          <w:bCs w:val="1"/>
          <w:color w:val="auto"/>
        </w:rPr>
        <w:t xml:space="preserve">Compensation Philosophy. </w:t>
      </w:r>
      <w:r>
        <w:rPr>
          <w:rFonts w:ascii="Arial" w:cs="Arial" w:eastAsia="Arial" w:hAnsi="Arial"/>
          <w:sz w:val="17"/>
          <w:szCs w:val="17"/>
          <w:color w:val="auto"/>
        </w:rPr>
        <w:t>The Committee believes that the most effective compensation program is one that is designed to reward the achievement</w:t>
      </w:r>
      <w:r>
        <w:rPr>
          <w:rFonts w:ascii="Arial" w:cs="Arial" w:eastAsia="Arial" w:hAnsi="Arial"/>
          <w:sz w:val="17"/>
          <w:szCs w:val="17"/>
          <w:b w:val="1"/>
          <w:bCs w:val="1"/>
          <w:color w:val="auto"/>
        </w:rPr>
        <w:t xml:space="preserve"> </w:t>
      </w:r>
      <w:r>
        <w:rPr>
          <w:rFonts w:ascii="Arial" w:cs="Arial" w:eastAsia="Arial" w:hAnsi="Arial"/>
          <w:sz w:val="17"/>
          <w:szCs w:val="17"/>
          <w:color w:val="auto"/>
        </w:rPr>
        <w:t>of specific annual, long-term and strategic goals by the Company, and which aligns executives’ interests with those of the shareholders by rewarding performance above established goals, with the ultimate objective of improving shareholder value. The Committee evaluates both performance and compensation to ensure that the Company maintains its ability to attract and retain superior employees in key positions and that compensation provided to key employees remains competitive relative to the compensation paid to similarly situated executives of our peer companies. Accordingly, the Committee believes executive compensation packages provided by the Company to its executives, including the Named Executive Officers, should include both cash and stock-based compensation that reward performance as measured against established goals.</w:t>
      </w:r>
    </w:p>
    <w:p>
      <w:pPr>
        <w:spacing w:after="0" w:line="132" w:lineRule="exact"/>
        <w:rPr>
          <w:sz w:val="20"/>
          <w:szCs w:val="20"/>
          <w:color w:val="auto"/>
        </w:rPr>
      </w:pPr>
    </w:p>
    <w:p>
      <w:pPr>
        <w:jc w:val="both"/>
        <w:ind w:firstLine="360"/>
        <w:spacing w:after="0" w:line="266" w:lineRule="auto"/>
        <w:rPr>
          <w:sz w:val="20"/>
          <w:szCs w:val="20"/>
          <w:color w:val="auto"/>
        </w:rPr>
      </w:pPr>
      <w:r>
        <w:rPr>
          <w:rFonts w:ascii="Arial" w:cs="Arial" w:eastAsia="Arial" w:hAnsi="Arial"/>
          <w:sz w:val="18"/>
          <w:szCs w:val="18"/>
          <w:b w:val="1"/>
          <w:bCs w:val="1"/>
          <w:color w:val="auto"/>
        </w:rPr>
        <w:t xml:space="preserve">Compensation Objectives. </w:t>
      </w:r>
      <w:r>
        <w:rPr>
          <w:rFonts w:ascii="Arial" w:cs="Arial" w:eastAsia="Arial" w:hAnsi="Arial"/>
          <w:sz w:val="18"/>
          <w:szCs w:val="18"/>
          <w:color w:val="auto"/>
        </w:rPr>
        <w:t>The Committee has worked with management to design the current executive compensation programs, following the belief</w:t>
      </w:r>
      <w:r>
        <w:rPr>
          <w:rFonts w:ascii="Arial" w:cs="Arial" w:eastAsia="Arial" w:hAnsi="Arial"/>
          <w:sz w:val="18"/>
          <w:szCs w:val="18"/>
          <w:b w:val="1"/>
          <w:bCs w:val="1"/>
          <w:color w:val="auto"/>
        </w:rPr>
        <w:t xml:space="preserve"> </w:t>
      </w:r>
      <w:r>
        <w:rPr>
          <w:rFonts w:ascii="Arial" w:cs="Arial" w:eastAsia="Arial" w:hAnsi="Arial"/>
          <w:sz w:val="18"/>
          <w:szCs w:val="18"/>
          <w:color w:val="auto"/>
        </w:rPr>
        <w:t>that compensation should reflect the value created for the shareholders while furthering the Company’s strategic goals. In doing so, the Company instituted its compensation programs to achieve the following goals:</w:t>
      </w:r>
    </w:p>
    <w:p>
      <w:pPr>
        <w:spacing w:after="0" w:line="207" w:lineRule="exact"/>
        <w:rPr>
          <w:sz w:val="20"/>
          <w:szCs w:val="20"/>
          <w:color w:val="auto"/>
        </w:rPr>
      </w:pPr>
    </w:p>
    <w:p>
      <w:pPr>
        <w:ind w:left="1020" w:hanging="472"/>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align the interests of management with those of shareholders;</w:t>
      </w:r>
    </w:p>
    <w:p>
      <w:pPr>
        <w:spacing w:after="0" w:line="90" w:lineRule="exact"/>
        <w:rPr>
          <w:rFonts w:ascii="Arial" w:cs="Arial" w:eastAsia="Arial" w:hAnsi="Arial"/>
          <w:sz w:val="18"/>
          <w:szCs w:val="18"/>
          <w:color w:val="auto"/>
        </w:rPr>
      </w:pPr>
    </w:p>
    <w:p>
      <w:pPr>
        <w:ind w:left="1020" w:hanging="472"/>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provide fair and competitive compensation;</w:t>
      </w:r>
    </w:p>
    <w:p>
      <w:pPr>
        <w:spacing w:after="0" w:line="90" w:lineRule="exact"/>
        <w:rPr>
          <w:rFonts w:ascii="Arial" w:cs="Arial" w:eastAsia="Arial" w:hAnsi="Arial"/>
          <w:sz w:val="18"/>
          <w:szCs w:val="18"/>
          <w:color w:val="auto"/>
        </w:rPr>
      </w:pPr>
    </w:p>
    <w:p>
      <w:pPr>
        <w:ind w:left="1020" w:hanging="472"/>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integrate compensation with the Company’s business plans;</w:t>
      </w:r>
    </w:p>
    <w:p>
      <w:pPr>
        <w:spacing w:after="0" w:line="90" w:lineRule="exact"/>
        <w:rPr>
          <w:rFonts w:ascii="Arial" w:cs="Arial" w:eastAsia="Arial" w:hAnsi="Arial"/>
          <w:sz w:val="18"/>
          <w:szCs w:val="18"/>
          <w:color w:val="auto"/>
        </w:rPr>
      </w:pPr>
    </w:p>
    <w:p>
      <w:pPr>
        <w:ind w:left="1020" w:hanging="472"/>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reward both business and individual performance; and</w:t>
      </w:r>
    </w:p>
    <w:p>
      <w:pPr>
        <w:sectPr>
          <w:pgSz w:w="11900" w:h="16838" w:orient="portrait"/>
          <w:cols w:equalWidth="0" w:num="1">
            <w:col w:w="11420"/>
          </w:cols>
          <w:pgMar w:left="240" w:top="125" w:right="239" w:bottom="0" w:gutter="0" w:footer="0" w:header="0"/>
        </w:sectPr>
      </w:pPr>
    </w:p>
    <w:bookmarkStart w:id="13" w:name="page14"/>
    <w:bookmarkEnd w:id="13"/>
    <w:p>
      <w:pPr>
        <w:ind w:left="1020" w:hanging="472"/>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attract and retain key executives critical to the success of the Company.</w:t>
      </w:r>
    </w:p>
    <w:p>
      <w:pPr>
        <w:spacing w:after="0" w:line="2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These objectives emphasize pay for performance by providing an incentive opportunity for at or above average performance.</w:t>
      </w:r>
    </w:p>
    <w:p>
      <w:pPr>
        <w:spacing w:after="0" w:line="181" w:lineRule="exact"/>
        <w:rPr>
          <w:sz w:val="20"/>
          <w:szCs w:val="20"/>
          <w:color w:val="auto"/>
        </w:rPr>
      </w:pPr>
    </w:p>
    <w:p>
      <w:pPr>
        <w:ind w:right="160" w:firstLine="360"/>
        <w:spacing w:after="0" w:line="347" w:lineRule="auto"/>
        <w:rPr>
          <w:sz w:val="20"/>
          <w:szCs w:val="20"/>
          <w:color w:val="auto"/>
        </w:rPr>
      </w:pPr>
      <w:r>
        <w:rPr>
          <w:rFonts w:ascii="Arial" w:cs="Arial" w:eastAsia="Arial" w:hAnsi="Arial"/>
          <w:sz w:val="16"/>
          <w:szCs w:val="16"/>
          <w:b w:val="1"/>
          <w:bCs w:val="1"/>
          <w:color w:val="auto"/>
        </w:rPr>
        <w:t xml:space="preserve">Competitive Benchmarking. </w:t>
      </w:r>
      <w:r>
        <w:rPr>
          <w:rFonts w:ascii="Arial" w:cs="Arial" w:eastAsia="Arial" w:hAnsi="Arial"/>
          <w:sz w:val="16"/>
          <w:szCs w:val="16"/>
          <w:color w:val="auto"/>
        </w:rPr>
        <w:t>In making compensation decisions, the Committee, at times, compares certain elements of total compensation against</w:t>
      </w:r>
      <w:r>
        <w:rPr>
          <w:rFonts w:ascii="Arial" w:cs="Arial" w:eastAsia="Arial" w:hAnsi="Arial"/>
          <w:sz w:val="16"/>
          <w:szCs w:val="16"/>
          <w:b w:val="1"/>
          <w:bCs w:val="1"/>
          <w:color w:val="auto"/>
        </w:rPr>
        <w:t xml:space="preserve"> </w:t>
      </w:r>
      <w:r>
        <w:rPr>
          <w:rFonts w:ascii="Arial" w:cs="Arial" w:eastAsia="Arial" w:hAnsi="Arial"/>
          <w:sz w:val="16"/>
          <w:szCs w:val="16"/>
          <w:color w:val="auto"/>
        </w:rPr>
        <w:t>other comparable publicly traded and privately held companies in the same or related industry as the Company (collectively, the “Compensation Peers”).</w:t>
      </w:r>
    </w:p>
    <w:p>
      <w:pPr>
        <w:spacing w:after="0" w:line="93" w:lineRule="exact"/>
        <w:rPr>
          <w:sz w:val="20"/>
          <w:szCs w:val="20"/>
          <w:color w:val="auto"/>
        </w:rPr>
      </w:pPr>
    </w:p>
    <w:p>
      <w:pPr>
        <w:ind w:right="160" w:firstLine="360"/>
        <w:spacing w:after="0" w:line="277" w:lineRule="auto"/>
        <w:rPr>
          <w:sz w:val="20"/>
          <w:szCs w:val="20"/>
          <w:color w:val="auto"/>
        </w:rPr>
      </w:pPr>
      <w:r>
        <w:rPr>
          <w:rFonts w:ascii="Arial" w:cs="Arial" w:eastAsia="Arial" w:hAnsi="Arial"/>
          <w:sz w:val="18"/>
          <w:szCs w:val="18"/>
          <w:color w:val="auto"/>
        </w:rPr>
        <w:t>The Committee has the sole authority to retain or terminate any compensation consultant used in the evaluation of compensation packages and has the sole authority to approve the consultant’s fees.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5"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In fiscal 2007, the Committee engaged an outside compensation consultant, Towers Perrin (the “Consultant”), to analyze the total compensation paid to key Company executives, compared to companies of two comparative groups to which the Company may compete for talent. Prior to fiscal 2007, Company management engaged the Consultant, on a limited basis, to report to the Committee on various compensation matters.</w:t>
      </w:r>
    </w:p>
    <w:p>
      <w:pPr>
        <w:spacing w:after="0" w:line="139" w:lineRule="exact"/>
        <w:rPr>
          <w:sz w:val="20"/>
          <w:szCs w:val="20"/>
          <w:color w:val="auto"/>
        </w:rPr>
      </w:pPr>
    </w:p>
    <w:p>
      <w:pPr>
        <w:ind w:right="140" w:firstLine="360"/>
        <w:spacing w:after="0" w:line="279" w:lineRule="auto"/>
        <w:rPr>
          <w:sz w:val="20"/>
          <w:szCs w:val="20"/>
          <w:color w:val="auto"/>
        </w:rPr>
      </w:pPr>
      <w:r>
        <w:rPr>
          <w:rFonts w:ascii="Arial" w:cs="Arial" w:eastAsia="Arial" w:hAnsi="Arial"/>
          <w:sz w:val="17"/>
          <w:szCs w:val="17"/>
          <w:color w:val="auto"/>
        </w:rPr>
        <w:t>The Consultant maintains a proprietary executive compensation data base that contains information on the various compensation elements of over 500 publicly traded and privately held companies across several industries (the “General Consultant Data Base”). The Committee reviewed compensation information contained in the General Consultant Data Base and additionally requested the Consultant to prepare pay data from two comparator groups of companies that the Committee believes are more reflective of the market in which the Company competes for executive talent.</w:t>
      </w:r>
    </w:p>
    <w:p>
      <w:pPr>
        <w:spacing w:after="0" w:line="131"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First, after examining the list of companies in the General Consultant Data Base, the Committee and Consultant formulated a group of companies found in the General Consultant Data Base that consisted of compensation data from public and private companies generally considered to be in the same or related industry as the Company, to include the following (the “Consultant Industry Group”):</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American Transmission Co.</w:t>
            </w:r>
          </w:p>
        </w:tc>
        <w:tc>
          <w:tcPr>
            <w:tcW w:w="4120" w:type="dxa"/>
            <w:vAlign w:val="bottom"/>
          </w:tcPr>
          <w:p>
            <w:pPr>
              <w:ind w:left="820"/>
              <w:spacing w:after="0"/>
              <w:rPr>
                <w:sz w:val="20"/>
                <w:szCs w:val="20"/>
                <w:color w:val="auto"/>
              </w:rPr>
            </w:pPr>
            <w:r>
              <w:rPr>
                <w:rFonts w:ascii="Arial" w:cs="Arial" w:eastAsia="Arial" w:hAnsi="Arial"/>
                <w:sz w:val="18"/>
                <w:szCs w:val="18"/>
                <w:color w:val="auto"/>
              </w:rPr>
              <w:t>Freightliner, LLC</w:t>
            </w:r>
          </w:p>
        </w:tc>
        <w:tc>
          <w:tcPr>
            <w:tcW w:w="2720" w:type="dxa"/>
            <w:vAlign w:val="bottom"/>
          </w:tcPr>
          <w:p>
            <w:pPr>
              <w:ind w:left="700"/>
              <w:spacing w:after="0"/>
              <w:rPr>
                <w:sz w:val="20"/>
                <w:szCs w:val="20"/>
                <w:color w:val="auto"/>
              </w:rPr>
            </w:pPr>
            <w:r>
              <w:rPr>
                <w:rFonts w:ascii="Arial" w:cs="Arial" w:eastAsia="Arial" w:hAnsi="Arial"/>
                <w:sz w:val="18"/>
                <w:szCs w:val="18"/>
                <w:color w:val="auto"/>
              </w:rPr>
              <w:t>Milacron Inc.</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AMETEK, Inc.</w:t>
            </w:r>
          </w:p>
        </w:tc>
        <w:tc>
          <w:tcPr>
            <w:tcW w:w="4120" w:type="dxa"/>
            <w:vAlign w:val="bottom"/>
          </w:tcPr>
          <w:p>
            <w:pPr>
              <w:ind w:left="820"/>
              <w:spacing w:after="0"/>
              <w:rPr>
                <w:sz w:val="20"/>
                <w:szCs w:val="20"/>
                <w:color w:val="auto"/>
              </w:rPr>
            </w:pPr>
            <w:r>
              <w:rPr>
                <w:rFonts w:ascii="Arial" w:cs="Arial" w:eastAsia="Arial" w:hAnsi="Arial"/>
                <w:sz w:val="18"/>
                <w:szCs w:val="18"/>
                <w:color w:val="auto"/>
              </w:rPr>
              <w:t>Harley-Davidson, Inc.</w:t>
            </w:r>
          </w:p>
        </w:tc>
        <w:tc>
          <w:tcPr>
            <w:tcW w:w="2720" w:type="dxa"/>
            <w:vAlign w:val="bottom"/>
          </w:tcPr>
          <w:p>
            <w:pPr>
              <w:ind w:left="700"/>
              <w:spacing w:after="0"/>
              <w:rPr>
                <w:sz w:val="20"/>
                <w:szCs w:val="20"/>
                <w:color w:val="auto"/>
              </w:rPr>
            </w:pPr>
            <w:r>
              <w:rPr>
                <w:rFonts w:ascii="Arial" w:cs="Arial" w:eastAsia="Arial" w:hAnsi="Arial"/>
                <w:sz w:val="18"/>
                <w:szCs w:val="18"/>
                <w:color w:val="auto"/>
                <w:w w:val="94"/>
              </w:rPr>
              <w:t>Modine Manufacturing Co.</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Arctic Cat, Inc.</w:t>
            </w:r>
          </w:p>
        </w:tc>
        <w:tc>
          <w:tcPr>
            <w:tcW w:w="4120" w:type="dxa"/>
            <w:vAlign w:val="bottom"/>
          </w:tcPr>
          <w:p>
            <w:pPr>
              <w:ind w:left="820"/>
              <w:spacing w:after="0"/>
              <w:rPr>
                <w:sz w:val="20"/>
                <w:szCs w:val="20"/>
                <w:color w:val="auto"/>
              </w:rPr>
            </w:pPr>
            <w:r>
              <w:rPr>
                <w:rFonts w:ascii="Arial" w:cs="Arial" w:eastAsia="Arial" w:hAnsi="Arial"/>
                <w:sz w:val="18"/>
                <w:szCs w:val="18"/>
                <w:color w:val="auto"/>
              </w:rPr>
              <w:t>Harsco Corporation</w:t>
            </w:r>
          </w:p>
        </w:tc>
        <w:tc>
          <w:tcPr>
            <w:tcW w:w="2720" w:type="dxa"/>
            <w:vAlign w:val="bottom"/>
          </w:tcPr>
          <w:p>
            <w:pPr>
              <w:ind w:left="700"/>
              <w:spacing w:after="0"/>
              <w:rPr>
                <w:sz w:val="20"/>
                <w:szCs w:val="20"/>
                <w:color w:val="auto"/>
              </w:rPr>
            </w:pPr>
            <w:r>
              <w:rPr>
                <w:rFonts w:ascii="Arial" w:cs="Arial" w:eastAsia="Arial" w:hAnsi="Arial"/>
                <w:sz w:val="18"/>
                <w:szCs w:val="18"/>
                <w:color w:val="auto"/>
              </w:rPr>
              <w:t>Molex Incorporated</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ArvinMeritor, Inc.</w:t>
            </w:r>
          </w:p>
        </w:tc>
        <w:tc>
          <w:tcPr>
            <w:tcW w:w="4120" w:type="dxa"/>
            <w:vAlign w:val="bottom"/>
          </w:tcPr>
          <w:p>
            <w:pPr>
              <w:ind w:left="820"/>
              <w:spacing w:after="0"/>
              <w:rPr>
                <w:sz w:val="20"/>
                <w:szCs w:val="20"/>
                <w:color w:val="auto"/>
              </w:rPr>
            </w:pPr>
            <w:r>
              <w:rPr>
                <w:rFonts w:ascii="Arial" w:cs="Arial" w:eastAsia="Arial" w:hAnsi="Arial"/>
                <w:sz w:val="18"/>
                <w:szCs w:val="18"/>
                <w:color w:val="auto"/>
              </w:rPr>
              <w:t>Herman Miller, Inc.</w:t>
            </w:r>
          </w:p>
        </w:tc>
        <w:tc>
          <w:tcPr>
            <w:tcW w:w="2720" w:type="dxa"/>
            <w:vAlign w:val="bottom"/>
          </w:tcPr>
          <w:p>
            <w:pPr>
              <w:ind w:left="700"/>
              <w:spacing w:after="0"/>
              <w:rPr>
                <w:sz w:val="20"/>
                <w:szCs w:val="20"/>
                <w:color w:val="auto"/>
              </w:rPr>
            </w:pPr>
            <w:r>
              <w:rPr>
                <w:rFonts w:ascii="Arial" w:cs="Arial" w:eastAsia="Arial" w:hAnsi="Arial"/>
                <w:sz w:val="18"/>
                <w:szCs w:val="18"/>
                <w:color w:val="auto"/>
                <w:w w:val="90"/>
              </w:rPr>
              <w:t>Monaco Coach Corporation</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AutoZone, Inc.</w:t>
            </w:r>
          </w:p>
        </w:tc>
        <w:tc>
          <w:tcPr>
            <w:tcW w:w="4120" w:type="dxa"/>
            <w:vAlign w:val="bottom"/>
          </w:tcPr>
          <w:p>
            <w:pPr>
              <w:ind w:left="820"/>
              <w:spacing w:after="0"/>
              <w:rPr>
                <w:sz w:val="20"/>
                <w:szCs w:val="20"/>
                <w:color w:val="auto"/>
              </w:rPr>
            </w:pPr>
            <w:r>
              <w:rPr>
                <w:rFonts w:ascii="Arial" w:cs="Arial" w:eastAsia="Arial" w:hAnsi="Arial"/>
                <w:sz w:val="18"/>
                <w:szCs w:val="18"/>
                <w:color w:val="auto"/>
              </w:rPr>
              <w:t>HNI Corporation</w:t>
            </w:r>
          </w:p>
        </w:tc>
        <w:tc>
          <w:tcPr>
            <w:tcW w:w="2720" w:type="dxa"/>
            <w:vAlign w:val="bottom"/>
          </w:tcPr>
          <w:p>
            <w:pPr>
              <w:ind w:left="700"/>
              <w:spacing w:after="0"/>
              <w:rPr>
                <w:sz w:val="20"/>
                <w:szCs w:val="20"/>
                <w:color w:val="auto"/>
              </w:rPr>
            </w:pPr>
            <w:r>
              <w:rPr>
                <w:rFonts w:ascii="Arial" w:cs="Arial" w:eastAsia="Arial" w:hAnsi="Arial"/>
                <w:sz w:val="18"/>
                <w:szCs w:val="18"/>
                <w:color w:val="auto"/>
              </w:rPr>
              <w:t>Regal-Beloit Corporation</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Barnes Group, Inc.</w:t>
            </w:r>
          </w:p>
        </w:tc>
        <w:tc>
          <w:tcPr>
            <w:tcW w:w="4120" w:type="dxa"/>
            <w:vAlign w:val="bottom"/>
          </w:tcPr>
          <w:p>
            <w:pPr>
              <w:ind w:left="820"/>
              <w:spacing w:after="0"/>
              <w:rPr>
                <w:sz w:val="20"/>
                <w:szCs w:val="20"/>
                <w:color w:val="auto"/>
              </w:rPr>
            </w:pPr>
            <w:r>
              <w:rPr>
                <w:rFonts w:ascii="Arial" w:cs="Arial" w:eastAsia="Arial" w:hAnsi="Arial"/>
                <w:sz w:val="18"/>
                <w:szCs w:val="18"/>
                <w:color w:val="auto"/>
              </w:rPr>
              <w:t>IDEX Corporation</w:t>
            </w:r>
          </w:p>
        </w:tc>
        <w:tc>
          <w:tcPr>
            <w:tcW w:w="2720" w:type="dxa"/>
            <w:vAlign w:val="bottom"/>
          </w:tcPr>
          <w:p>
            <w:pPr>
              <w:ind w:left="700"/>
              <w:spacing w:after="0"/>
              <w:rPr>
                <w:sz w:val="20"/>
                <w:szCs w:val="20"/>
                <w:color w:val="auto"/>
              </w:rPr>
            </w:pPr>
            <w:r>
              <w:rPr>
                <w:rFonts w:ascii="Arial" w:cs="Arial" w:eastAsia="Arial" w:hAnsi="Arial"/>
                <w:sz w:val="18"/>
                <w:szCs w:val="18"/>
                <w:color w:val="auto"/>
              </w:rPr>
              <w:t>Robert Bosch GmbH</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Black &amp; Decker Corporation</w:t>
            </w:r>
          </w:p>
        </w:tc>
        <w:tc>
          <w:tcPr>
            <w:tcW w:w="4120" w:type="dxa"/>
            <w:vAlign w:val="bottom"/>
          </w:tcPr>
          <w:p>
            <w:pPr>
              <w:ind w:left="820"/>
              <w:spacing w:after="0"/>
              <w:rPr>
                <w:sz w:val="20"/>
                <w:szCs w:val="20"/>
                <w:color w:val="auto"/>
              </w:rPr>
            </w:pPr>
            <w:r>
              <w:rPr>
                <w:rFonts w:ascii="Arial" w:cs="Arial" w:eastAsia="Arial" w:hAnsi="Arial"/>
                <w:sz w:val="18"/>
                <w:szCs w:val="18"/>
                <w:color w:val="auto"/>
              </w:rPr>
              <w:t>International Truck &amp; Engine Corp.</w:t>
            </w:r>
          </w:p>
        </w:tc>
        <w:tc>
          <w:tcPr>
            <w:tcW w:w="2720" w:type="dxa"/>
            <w:vAlign w:val="bottom"/>
          </w:tcPr>
          <w:p>
            <w:pPr>
              <w:ind w:left="700"/>
              <w:spacing w:after="0"/>
              <w:rPr>
                <w:sz w:val="20"/>
                <w:szCs w:val="20"/>
                <w:color w:val="auto"/>
              </w:rPr>
            </w:pPr>
            <w:r>
              <w:rPr>
                <w:rFonts w:ascii="Arial" w:cs="Arial" w:eastAsia="Arial" w:hAnsi="Arial"/>
                <w:sz w:val="18"/>
                <w:szCs w:val="18"/>
                <w:color w:val="auto"/>
              </w:rPr>
              <w:t>Rockwell Collins, Inc.</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Brady Corporation</w:t>
            </w:r>
          </w:p>
        </w:tc>
        <w:tc>
          <w:tcPr>
            <w:tcW w:w="4120" w:type="dxa"/>
            <w:vAlign w:val="bottom"/>
          </w:tcPr>
          <w:p>
            <w:pPr>
              <w:ind w:left="820"/>
              <w:spacing w:after="0"/>
              <w:rPr>
                <w:sz w:val="20"/>
                <w:szCs w:val="20"/>
                <w:color w:val="auto"/>
              </w:rPr>
            </w:pPr>
            <w:r>
              <w:rPr>
                <w:rFonts w:ascii="Arial" w:cs="Arial" w:eastAsia="Arial" w:hAnsi="Arial"/>
                <w:sz w:val="18"/>
                <w:szCs w:val="18"/>
                <w:color w:val="auto"/>
              </w:rPr>
              <w:t>Jostens, Inc.</w:t>
            </w:r>
          </w:p>
        </w:tc>
        <w:tc>
          <w:tcPr>
            <w:tcW w:w="2720" w:type="dxa"/>
            <w:vAlign w:val="bottom"/>
          </w:tcPr>
          <w:p>
            <w:pPr>
              <w:ind w:left="700"/>
              <w:spacing w:after="0"/>
              <w:rPr>
                <w:sz w:val="20"/>
                <w:szCs w:val="20"/>
                <w:color w:val="auto"/>
              </w:rPr>
            </w:pPr>
            <w:r>
              <w:rPr>
                <w:rFonts w:ascii="Arial" w:cs="Arial" w:eastAsia="Arial" w:hAnsi="Arial"/>
                <w:sz w:val="18"/>
                <w:szCs w:val="18"/>
                <w:color w:val="auto"/>
              </w:rPr>
              <w:t>SENCORP Inc.</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Corn Products International, Inc.</w:t>
            </w:r>
          </w:p>
        </w:tc>
        <w:tc>
          <w:tcPr>
            <w:tcW w:w="4120" w:type="dxa"/>
            <w:vAlign w:val="bottom"/>
          </w:tcPr>
          <w:p>
            <w:pPr>
              <w:ind w:left="820"/>
              <w:spacing w:after="0"/>
              <w:rPr>
                <w:sz w:val="20"/>
                <w:szCs w:val="20"/>
                <w:color w:val="auto"/>
              </w:rPr>
            </w:pPr>
            <w:r>
              <w:rPr>
                <w:rFonts w:ascii="Arial" w:cs="Arial" w:eastAsia="Arial" w:hAnsi="Arial"/>
                <w:sz w:val="18"/>
                <w:szCs w:val="18"/>
                <w:color w:val="auto"/>
              </w:rPr>
              <w:t>Kennametal, Inc.</w:t>
            </w:r>
          </w:p>
        </w:tc>
        <w:tc>
          <w:tcPr>
            <w:tcW w:w="2720" w:type="dxa"/>
            <w:vAlign w:val="bottom"/>
          </w:tcPr>
          <w:p>
            <w:pPr>
              <w:ind w:left="700"/>
              <w:spacing w:after="0"/>
              <w:rPr>
                <w:sz w:val="20"/>
                <w:szCs w:val="20"/>
                <w:color w:val="auto"/>
              </w:rPr>
            </w:pPr>
            <w:r>
              <w:rPr>
                <w:rFonts w:ascii="Arial" w:cs="Arial" w:eastAsia="Arial" w:hAnsi="Arial"/>
                <w:sz w:val="18"/>
                <w:szCs w:val="18"/>
                <w:color w:val="auto"/>
              </w:rPr>
              <w:t>Steelcase Inc.</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Donaldson Company, Inc.</w:t>
            </w:r>
          </w:p>
        </w:tc>
        <w:tc>
          <w:tcPr>
            <w:tcW w:w="4120" w:type="dxa"/>
            <w:vAlign w:val="bottom"/>
          </w:tcPr>
          <w:p>
            <w:pPr>
              <w:ind w:left="820"/>
              <w:spacing w:after="0"/>
              <w:rPr>
                <w:sz w:val="20"/>
                <w:szCs w:val="20"/>
                <w:color w:val="auto"/>
              </w:rPr>
            </w:pPr>
            <w:r>
              <w:rPr>
                <w:rFonts w:ascii="Arial" w:cs="Arial" w:eastAsia="Arial" w:hAnsi="Arial"/>
                <w:sz w:val="18"/>
                <w:szCs w:val="18"/>
                <w:color w:val="auto"/>
              </w:rPr>
              <w:t>Kohler Co.</w:t>
            </w:r>
          </w:p>
        </w:tc>
        <w:tc>
          <w:tcPr>
            <w:tcW w:w="2720" w:type="dxa"/>
            <w:vAlign w:val="bottom"/>
          </w:tcPr>
          <w:p>
            <w:pPr>
              <w:ind w:left="700"/>
              <w:spacing w:after="0"/>
              <w:rPr>
                <w:sz w:val="20"/>
                <w:szCs w:val="20"/>
                <w:color w:val="auto"/>
              </w:rPr>
            </w:pPr>
            <w:r>
              <w:rPr>
                <w:rFonts w:ascii="Arial" w:cs="Arial" w:eastAsia="Arial" w:hAnsi="Arial"/>
                <w:sz w:val="18"/>
                <w:szCs w:val="18"/>
                <w:color w:val="auto"/>
              </w:rPr>
              <w:t>Terex Corporation</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Eaton Corporation</w:t>
            </w:r>
          </w:p>
        </w:tc>
        <w:tc>
          <w:tcPr>
            <w:tcW w:w="4120" w:type="dxa"/>
            <w:vAlign w:val="bottom"/>
          </w:tcPr>
          <w:p>
            <w:pPr>
              <w:ind w:left="820"/>
              <w:spacing w:after="0"/>
              <w:rPr>
                <w:sz w:val="20"/>
                <w:szCs w:val="20"/>
                <w:color w:val="auto"/>
              </w:rPr>
            </w:pPr>
            <w:r>
              <w:rPr>
                <w:rFonts w:ascii="Arial" w:cs="Arial" w:eastAsia="Arial" w:hAnsi="Arial"/>
                <w:sz w:val="18"/>
                <w:szCs w:val="18"/>
                <w:color w:val="auto"/>
              </w:rPr>
              <w:t>Makino, Inc.</w:t>
            </w:r>
          </w:p>
        </w:tc>
        <w:tc>
          <w:tcPr>
            <w:tcW w:w="2720" w:type="dxa"/>
            <w:vAlign w:val="bottom"/>
          </w:tcPr>
          <w:p>
            <w:pPr>
              <w:ind w:left="700"/>
              <w:spacing w:after="0"/>
              <w:rPr>
                <w:sz w:val="20"/>
                <w:szCs w:val="20"/>
                <w:color w:val="auto"/>
              </w:rPr>
            </w:pPr>
            <w:r>
              <w:rPr>
                <w:rFonts w:ascii="Arial" w:cs="Arial" w:eastAsia="Arial" w:hAnsi="Arial"/>
                <w:sz w:val="18"/>
                <w:szCs w:val="18"/>
                <w:color w:val="auto"/>
              </w:rPr>
              <w:t>The Timken Company</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Federal-Mogul Corporation</w:t>
            </w:r>
          </w:p>
        </w:tc>
        <w:tc>
          <w:tcPr>
            <w:tcW w:w="4120" w:type="dxa"/>
            <w:vAlign w:val="bottom"/>
          </w:tcPr>
          <w:p>
            <w:pPr>
              <w:ind w:left="820"/>
              <w:spacing w:after="0"/>
              <w:rPr>
                <w:sz w:val="20"/>
                <w:szCs w:val="20"/>
                <w:color w:val="auto"/>
              </w:rPr>
            </w:pPr>
            <w:r>
              <w:rPr>
                <w:rFonts w:ascii="Arial" w:cs="Arial" w:eastAsia="Arial" w:hAnsi="Arial"/>
                <w:sz w:val="18"/>
                <w:szCs w:val="18"/>
                <w:color w:val="auto"/>
              </w:rPr>
              <w:t>McDermott International, Inc.</w:t>
            </w:r>
          </w:p>
        </w:tc>
        <w:tc>
          <w:tcPr>
            <w:tcW w:w="2720" w:type="dxa"/>
            <w:vAlign w:val="bottom"/>
          </w:tcPr>
          <w:p>
            <w:pPr>
              <w:ind w:left="700"/>
              <w:spacing w:after="0"/>
              <w:rPr>
                <w:sz w:val="20"/>
                <w:szCs w:val="20"/>
                <w:color w:val="auto"/>
              </w:rPr>
            </w:pPr>
            <w:r>
              <w:rPr>
                <w:rFonts w:ascii="Arial" w:cs="Arial" w:eastAsia="Arial" w:hAnsi="Arial"/>
                <w:sz w:val="18"/>
                <w:szCs w:val="18"/>
                <w:color w:val="auto"/>
              </w:rPr>
              <w:t>The Toro Company</w:t>
            </w:r>
          </w:p>
        </w:tc>
      </w:t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Fleetwood Enterprises, Inc.</w:t>
            </w:r>
          </w:p>
        </w:tc>
        <w:tc>
          <w:tcPr>
            <w:tcW w:w="4120" w:type="dxa"/>
            <w:vAlign w:val="bottom"/>
          </w:tcPr>
          <w:p>
            <w:pPr>
              <w:ind w:left="820"/>
              <w:spacing w:after="0"/>
              <w:rPr>
                <w:sz w:val="20"/>
                <w:szCs w:val="20"/>
                <w:color w:val="auto"/>
              </w:rPr>
            </w:pPr>
            <w:r>
              <w:rPr>
                <w:rFonts w:ascii="Arial" w:cs="Arial" w:eastAsia="Arial" w:hAnsi="Arial"/>
                <w:sz w:val="18"/>
                <w:szCs w:val="18"/>
                <w:color w:val="auto"/>
              </w:rPr>
              <w:t>Metaldyne Corporation</w:t>
            </w:r>
          </w:p>
        </w:tc>
        <w:tc>
          <w:tcPr>
            <w:tcW w:w="2720" w:type="dxa"/>
            <w:vAlign w:val="bottom"/>
          </w:tcPr>
          <w:p>
            <w:pPr>
              <w:ind w:left="700"/>
              <w:spacing w:after="0"/>
              <w:rPr>
                <w:sz w:val="20"/>
                <w:szCs w:val="20"/>
                <w:color w:val="auto"/>
              </w:rPr>
            </w:pPr>
            <w:r>
              <w:rPr>
                <w:rFonts w:ascii="Arial" w:cs="Arial" w:eastAsia="Arial" w:hAnsi="Arial"/>
                <w:sz w:val="18"/>
                <w:szCs w:val="18"/>
                <w:color w:val="auto"/>
              </w:rPr>
              <w:t>Tower Automotive LLC</w:t>
            </w:r>
          </w:p>
        </w:tc>
      </w:tr>
    </w:tbl>
    <w:p>
      <w:pPr>
        <w:spacing w:after="0" w:line="175" w:lineRule="exact"/>
        <w:rPr>
          <w:sz w:val="20"/>
          <w:szCs w:val="20"/>
          <w:color w:val="auto"/>
        </w:rPr>
      </w:pPr>
    </w:p>
    <w:p>
      <w:pPr>
        <w:ind w:right="240" w:firstLine="360"/>
        <w:spacing w:after="0" w:line="264" w:lineRule="auto"/>
        <w:rPr>
          <w:sz w:val="20"/>
          <w:szCs w:val="20"/>
          <w:color w:val="auto"/>
        </w:rPr>
      </w:pPr>
      <w:r>
        <w:rPr>
          <w:rFonts w:ascii="Arial" w:cs="Arial" w:eastAsia="Arial" w:hAnsi="Arial"/>
          <w:sz w:val="18"/>
          <w:szCs w:val="18"/>
          <w:color w:val="auto"/>
        </w:rPr>
        <w:t>The Committee and the Consultant separately considered data from proxy statements filed with the SEC of the following public companies that were generally considered to be in the same or related industry as the Company, information for which may or may not have been made part of the General Consultant Data Base (the “Proxy Industry Group”):</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Actuant Corp.</w:t>
            </w:r>
          </w:p>
        </w:tc>
        <w:tc>
          <w:tcPr>
            <w:tcW w:w="3880" w:type="dxa"/>
            <w:vAlign w:val="bottom"/>
          </w:tcPr>
          <w:p>
            <w:pPr>
              <w:ind w:left="880"/>
              <w:spacing w:after="0"/>
              <w:rPr>
                <w:sz w:val="20"/>
                <w:szCs w:val="20"/>
                <w:color w:val="auto"/>
              </w:rPr>
            </w:pPr>
            <w:r>
              <w:rPr>
                <w:rFonts w:ascii="Arial" w:cs="Arial" w:eastAsia="Arial" w:hAnsi="Arial"/>
                <w:sz w:val="18"/>
                <w:szCs w:val="18"/>
                <w:color w:val="auto"/>
              </w:rPr>
              <w:t>Genteck Inc.</w:t>
            </w:r>
          </w:p>
        </w:tc>
        <w:tc>
          <w:tcPr>
            <w:tcW w:w="3500" w:type="dxa"/>
            <w:vAlign w:val="bottom"/>
          </w:tcPr>
          <w:p>
            <w:pPr>
              <w:ind w:left="1000"/>
              <w:spacing w:after="0"/>
              <w:rPr>
                <w:sz w:val="20"/>
                <w:szCs w:val="20"/>
                <w:color w:val="auto"/>
              </w:rPr>
            </w:pPr>
            <w:r>
              <w:rPr>
                <w:rFonts w:ascii="Arial" w:cs="Arial" w:eastAsia="Arial" w:hAnsi="Arial"/>
                <w:sz w:val="18"/>
                <w:szCs w:val="18"/>
                <w:color w:val="auto"/>
              </w:rPr>
              <w:t>Polaris Industries Inc.</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Aftermarket Technology Corp.</w:t>
            </w:r>
          </w:p>
        </w:tc>
        <w:tc>
          <w:tcPr>
            <w:tcW w:w="3880" w:type="dxa"/>
            <w:vAlign w:val="bottom"/>
          </w:tcPr>
          <w:p>
            <w:pPr>
              <w:ind w:left="880"/>
              <w:spacing w:after="0"/>
              <w:rPr>
                <w:sz w:val="20"/>
                <w:szCs w:val="20"/>
                <w:color w:val="auto"/>
              </w:rPr>
            </w:pPr>
            <w:r>
              <w:rPr>
                <w:rFonts w:ascii="Arial" w:cs="Arial" w:eastAsia="Arial" w:hAnsi="Arial"/>
                <w:sz w:val="18"/>
                <w:szCs w:val="18"/>
                <w:color w:val="auto"/>
              </w:rPr>
              <w:t>Graco Inc.</w:t>
            </w:r>
          </w:p>
        </w:tc>
        <w:tc>
          <w:tcPr>
            <w:tcW w:w="3500" w:type="dxa"/>
            <w:vAlign w:val="bottom"/>
          </w:tcPr>
          <w:p>
            <w:pPr>
              <w:ind w:left="1000"/>
              <w:spacing w:after="0"/>
              <w:rPr>
                <w:sz w:val="20"/>
                <w:szCs w:val="20"/>
                <w:color w:val="auto"/>
              </w:rPr>
            </w:pPr>
            <w:r>
              <w:rPr>
                <w:rFonts w:ascii="Arial" w:cs="Arial" w:eastAsia="Arial" w:hAnsi="Arial"/>
                <w:sz w:val="18"/>
                <w:szCs w:val="18"/>
                <w:color w:val="auto"/>
              </w:rPr>
              <w:t>Regal-Beloit Corporation</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Artic Cat, Inc.</w:t>
            </w:r>
          </w:p>
        </w:tc>
        <w:tc>
          <w:tcPr>
            <w:tcW w:w="3880" w:type="dxa"/>
            <w:vAlign w:val="bottom"/>
          </w:tcPr>
          <w:p>
            <w:pPr>
              <w:ind w:left="880"/>
              <w:spacing w:after="0"/>
              <w:rPr>
                <w:sz w:val="20"/>
                <w:szCs w:val="20"/>
                <w:color w:val="auto"/>
              </w:rPr>
            </w:pPr>
            <w:r>
              <w:rPr>
                <w:rFonts w:ascii="Arial" w:cs="Arial" w:eastAsia="Arial" w:hAnsi="Arial"/>
                <w:sz w:val="18"/>
                <w:szCs w:val="18"/>
                <w:color w:val="auto"/>
              </w:rPr>
              <w:t>Harsco Corp.</w:t>
            </w:r>
          </w:p>
        </w:tc>
        <w:tc>
          <w:tcPr>
            <w:tcW w:w="3500" w:type="dxa"/>
            <w:vAlign w:val="bottom"/>
          </w:tcPr>
          <w:p>
            <w:pPr>
              <w:ind w:left="1000"/>
              <w:spacing w:after="0"/>
              <w:rPr>
                <w:sz w:val="20"/>
                <w:szCs w:val="20"/>
                <w:color w:val="auto"/>
              </w:rPr>
            </w:pPr>
            <w:r>
              <w:rPr>
                <w:rFonts w:ascii="Arial" w:cs="Arial" w:eastAsia="Arial" w:hAnsi="Arial"/>
                <w:sz w:val="18"/>
                <w:szCs w:val="18"/>
                <w:color w:val="auto"/>
              </w:rPr>
              <w:t>Snap-On Inc.</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Borgwarner Inc.</w:t>
            </w:r>
          </w:p>
        </w:tc>
        <w:tc>
          <w:tcPr>
            <w:tcW w:w="3880" w:type="dxa"/>
            <w:vAlign w:val="bottom"/>
          </w:tcPr>
          <w:p>
            <w:pPr>
              <w:ind w:left="880"/>
              <w:spacing w:after="0"/>
              <w:rPr>
                <w:sz w:val="20"/>
                <w:szCs w:val="20"/>
                <w:color w:val="auto"/>
              </w:rPr>
            </w:pPr>
            <w:r>
              <w:rPr>
                <w:rFonts w:ascii="Arial" w:cs="Arial" w:eastAsia="Arial" w:hAnsi="Arial"/>
                <w:sz w:val="18"/>
                <w:szCs w:val="18"/>
                <w:color w:val="auto"/>
              </w:rPr>
              <w:t>Idex Corp.</w:t>
            </w:r>
          </w:p>
        </w:tc>
        <w:tc>
          <w:tcPr>
            <w:tcW w:w="3500" w:type="dxa"/>
            <w:vAlign w:val="bottom"/>
          </w:tcPr>
          <w:p>
            <w:pPr>
              <w:ind w:left="1000"/>
              <w:spacing w:after="0"/>
              <w:rPr>
                <w:sz w:val="20"/>
                <w:szCs w:val="20"/>
                <w:color w:val="auto"/>
              </w:rPr>
            </w:pPr>
            <w:r>
              <w:rPr>
                <w:rFonts w:ascii="Arial" w:cs="Arial" w:eastAsia="Arial" w:hAnsi="Arial"/>
                <w:sz w:val="18"/>
                <w:szCs w:val="18"/>
                <w:color w:val="auto"/>
              </w:rPr>
              <w:t>Standard Motor Products Inc.</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Briggs &amp; Stratton Corp.</w:t>
            </w:r>
          </w:p>
        </w:tc>
        <w:tc>
          <w:tcPr>
            <w:tcW w:w="3880" w:type="dxa"/>
            <w:vAlign w:val="bottom"/>
          </w:tcPr>
          <w:p>
            <w:pPr>
              <w:ind w:left="880"/>
              <w:spacing w:after="0"/>
              <w:rPr>
                <w:sz w:val="20"/>
                <w:szCs w:val="20"/>
                <w:color w:val="auto"/>
              </w:rPr>
            </w:pPr>
            <w:r>
              <w:rPr>
                <w:rFonts w:ascii="Arial" w:cs="Arial" w:eastAsia="Arial" w:hAnsi="Arial"/>
                <w:sz w:val="18"/>
                <w:szCs w:val="18"/>
                <w:color w:val="auto"/>
              </w:rPr>
              <w:t>Kennametal, Inc.</w:t>
            </w:r>
          </w:p>
        </w:tc>
        <w:tc>
          <w:tcPr>
            <w:tcW w:w="3500" w:type="dxa"/>
            <w:vAlign w:val="bottom"/>
          </w:tcPr>
          <w:p>
            <w:pPr>
              <w:ind w:left="1000"/>
              <w:spacing w:after="0"/>
              <w:rPr>
                <w:sz w:val="20"/>
                <w:szCs w:val="20"/>
                <w:color w:val="auto"/>
              </w:rPr>
            </w:pPr>
            <w:r>
              <w:rPr>
                <w:rFonts w:ascii="Arial" w:cs="Arial" w:eastAsia="Arial" w:hAnsi="Arial"/>
                <w:sz w:val="18"/>
                <w:szCs w:val="18"/>
                <w:color w:val="auto"/>
              </w:rPr>
              <w:t>Standex International Corp.</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Carlisle Companies Inc.</w:t>
            </w:r>
          </w:p>
        </w:tc>
        <w:tc>
          <w:tcPr>
            <w:tcW w:w="3880" w:type="dxa"/>
            <w:vAlign w:val="bottom"/>
          </w:tcPr>
          <w:p>
            <w:pPr>
              <w:ind w:left="880"/>
              <w:spacing w:after="0"/>
              <w:rPr>
                <w:sz w:val="20"/>
                <w:szCs w:val="20"/>
                <w:color w:val="auto"/>
              </w:rPr>
            </w:pPr>
            <w:r>
              <w:rPr>
                <w:rFonts w:ascii="Arial" w:cs="Arial" w:eastAsia="Arial" w:hAnsi="Arial"/>
                <w:sz w:val="18"/>
                <w:szCs w:val="18"/>
                <w:color w:val="auto"/>
              </w:rPr>
              <w:t>Milacron Inc.</w:t>
            </w:r>
          </w:p>
        </w:tc>
        <w:tc>
          <w:tcPr>
            <w:tcW w:w="3500" w:type="dxa"/>
            <w:vAlign w:val="bottom"/>
          </w:tcPr>
          <w:p>
            <w:pPr>
              <w:ind w:left="1000"/>
              <w:spacing w:after="0"/>
              <w:rPr>
                <w:sz w:val="20"/>
                <w:szCs w:val="20"/>
                <w:color w:val="auto"/>
              </w:rPr>
            </w:pPr>
            <w:r>
              <w:rPr>
                <w:rFonts w:ascii="Arial" w:cs="Arial" w:eastAsia="Arial" w:hAnsi="Arial"/>
                <w:sz w:val="18"/>
                <w:szCs w:val="18"/>
                <w:color w:val="auto"/>
                <w:w w:val="89"/>
              </w:rPr>
              <w:t>Stewart &amp; Stevenson Services Inc.</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Clarcor Inc.</w:t>
            </w:r>
          </w:p>
        </w:tc>
        <w:tc>
          <w:tcPr>
            <w:tcW w:w="3880" w:type="dxa"/>
            <w:vAlign w:val="bottom"/>
          </w:tcPr>
          <w:p>
            <w:pPr>
              <w:ind w:left="880"/>
              <w:spacing w:after="0"/>
              <w:rPr>
                <w:sz w:val="20"/>
                <w:szCs w:val="20"/>
                <w:color w:val="auto"/>
              </w:rPr>
            </w:pPr>
            <w:r>
              <w:rPr>
                <w:rFonts w:ascii="Arial" w:cs="Arial" w:eastAsia="Arial" w:hAnsi="Arial"/>
                <w:sz w:val="18"/>
                <w:szCs w:val="18"/>
                <w:color w:val="auto"/>
              </w:rPr>
              <w:t>Modine Manufacturing Co.</w:t>
            </w:r>
          </w:p>
        </w:tc>
        <w:tc>
          <w:tcPr>
            <w:tcW w:w="3500" w:type="dxa"/>
            <w:vAlign w:val="bottom"/>
          </w:tcPr>
          <w:p>
            <w:pPr>
              <w:ind w:left="1000"/>
              <w:spacing w:after="0"/>
              <w:rPr>
                <w:sz w:val="20"/>
                <w:szCs w:val="20"/>
                <w:color w:val="auto"/>
              </w:rPr>
            </w:pPr>
            <w:r>
              <w:rPr>
                <w:rFonts w:ascii="Arial" w:cs="Arial" w:eastAsia="Arial" w:hAnsi="Arial"/>
                <w:sz w:val="18"/>
                <w:szCs w:val="18"/>
                <w:color w:val="auto"/>
              </w:rPr>
              <w:t>Tennant Co.</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Coachmen Industries Inc.</w:t>
            </w:r>
          </w:p>
        </w:tc>
        <w:tc>
          <w:tcPr>
            <w:tcW w:w="3880" w:type="dxa"/>
            <w:vAlign w:val="bottom"/>
          </w:tcPr>
          <w:p>
            <w:pPr>
              <w:ind w:left="880"/>
              <w:spacing w:after="0"/>
              <w:rPr>
                <w:sz w:val="20"/>
                <w:szCs w:val="20"/>
                <w:color w:val="auto"/>
              </w:rPr>
            </w:pPr>
            <w:r>
              <w:rPr>
                <w:rFonts w:ascii="Arial" w:cs="Arial" w:eastAsia="Arial" w:hAnsi="Arial"/>
                <w:sz w:val="18"/>
                <w:szCs w:val="18"/>
                <w:color w:val="auto"/>
              </w:rPr>
              <w:t>Monaco Coach Corporation</w:t>
            </w:r>
          </w:p>
        </w:tc>
        <w:tc>
          <w:tcPr>
            <w:tcW w:w="3500" w:type="dxa"/>
            <w:vAlign w:val="bottom"/>
          </w:tcPr>
          <w:p>
            <w:pPr>
              <w:ind w:left="1000"/>
              <w:spacing w:after="0"/>
              <w:rPr>
                <w:sz w:val="20"/>
                <w:szCs w:val="20"/>
                <w:color w:val="auto"/>
              </w:rPr>
            </w:pPr>
            <w:r>
              <w:rPr>
                <w:rFonts w:ascii="Arial" w:cs="Arial" w:eastAsia="Arial" w:hAnsi="Arial"/>
                <w:sz w:val="18"/>
                <w:szCs w:val="18"/>
                <w:color w:val="auto"/>
              </w:rPr>
              <w:t>Thor Industries Inc.</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Crane Co.</w:t>
            </w:r>
          </w:p>
        </w:tc>
        <w:tc>
          <w:tcPr>
            <w:tcW w:w="3880" w:type="dxa"/>
            <w:vAlign w:val="bottom"/>
          </w:tcPr>
          <w:p>
            <w:pPr>
              <w:ind w:left="880"/>
              <w:spacing w:after="0"/>
              <w:rPr>
                <w:sz w:val="20"/>
                <w:szCs w:val="20"/>
                <w:color w:val="auto"/>
              </w:rPr>
            </w:pPr>
            <w:r>
              <w:rPr>
                <w:rFonts w:ascii="Arial" w:cs="Arial" w:eastAsia="Arial" w:hAnsi="Arial"/>
                <w:sz w:val="18"/>
                <w:szCs w:val="18"/>
                <w:color w:val="auto"/>
              </w:rPr>
              <w:t>National RV Holdings Inc.</w:t>
            </w:r>
          </w:p>
        </w:tc>
        <w:tc>
          <w:tcPr>
            <w:tcW w:w="3500" w:type="dxa"/>
            <w:vAlign w:val="bottom"/>
          </w:tcPr>
          <w:p>
            <w:pPr>
              <w:ind w:left="1000"/>
              <w:spacing w:after="0"/>
              <w:rPr>
                <w:sz w:val="20"/>
                <w:szCs w:val="20"/>
                <w:color w:val="auto"/>
              </w:rPr>
            </w:pPr>
            <w:r>
              <w:rPr>
                <w:rFonts w:ascii="Arial" w:cs="Arial" w:eastAsia="Arial" w:hAnsi="Arial"/>
                <w:sz w:val="18"/>
                <w:szCs w:val="18"/>
                <w:color w:val="auto"/>
              </w:rPr>
              <w:t>The Toro Company</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Donaldson Co. Inc.</w:t>
            </w:r>
          </w:p>
        </w:tc>
        <w:tc>
          <w:tcPr>
            <w:tcW w:w="3880" w:type="dxa"/>
            <w:vAlign w:val="bottom"/>
          </w:tcPr>
          <w:p>
            <w:pPr>
              <w:ind w:left="880"/>
              <w:spacing w:after="0"/>
              <w:rPr>
                <w:sz w:val="20"/>
                <w:szCs w:val="20"/>
                <w:color w:val="auto"/>
              </w:rPr>
            </w:pPr>
            <w:r>
              <w:rPr>
                <w:rFonts w:ascii="Arial" w:cs="Arial" w:eastAsia="Arial" w:hAnsi="Arial"/>
                <w:sz w:val="18"/>
                <w:szCs w:val="18"/>
                <w:color w:val="auto"/>
              </w:rPr>
              <w:t>Nordson Corp.</w:t>
            </w:r>
          </w:p>
        </w:tc>
        <w:tc>
          <w:tcPr>
            <w:tcW w:w="3500" w:type="dxa"/>
            <w:vAlign w:val="bottom"/>
          </w:tcPr>
          <w:p>
            <w:pPr>
              <w:ind w:left="1000"/>
              <w:spacing w:after="0"/>
              <w:rPr>
                <w:sz w:val="20"/>
                <w:szCs w:val="20"/>
                <w:color w:val="auto"/>
              </w:rPr>
            </w:pPr>
            <w:r>
              <w:rPr>
                <w:rFonts w:ascii="Arial" w:cs="Arial" w:eastAsia="Arial" w:hAnsi="Arial"/>
                <w:sz w:val="18"/>
                <w:szCs w:val="18"/>
                <w:color w:val="auto"/>
              </w:rPr>
              <w:t>Tower Automotive LLC</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Federal Signal Corp.</w:t>
            </w:r>
          </w:p>
        </w:tc>
        <w:tc>
          <w:tcPr>
            <w:tcW w:w="3880" w:type="dxa"/>
            <w:vAlign w:val="bottom"/>
          </w:tcPr>
          <w:p>
            <w:pPr>
              <w:ind w:left="880"/>
              <w:spacing w:after="0"/>
              <w:rPr>
                <w:sz w:val="20"/>
                <w:szCs w:val="20"/>
                <w:color w:val="auto"/>
              </w:rPr>
            </w:pPr>
            <w:r>
              <w:rPr>
                <w:rFonts w:ascii="Arial" w:cs="Arial" w:eastAsia="Arial" w:hAnsi="Arial"/>
                <w:sz w:val="18"/>
                <w:szCs w:val="18"/>
                <w:color w:val="auto"/>
              </w:rPr>
              <w:t>Oshkosh Truck Corp.</w:t>
            </w:r>
          </w:p>
        </w:tc>
        <w:tc>
          <w:tcPr>
            <w:tcW w:w="3500" w:type="dxa"/>
            <w:vAlign w:val="bottom"/>
          </w:tcPr>
          <w:p>
            <w:pPr>
              <w:ind w:left="1000"/>
              <w:spacing w:after="0"/>
              <w:rPr>
                <w:sz w:val="20"/>
                <w:szCs w:val="20"/>
                <w:color w:val="auto"/>
              </w:rPr>
            </w:pPr>
            <w:r>
              <w:rPr>
                <w:rFonts w:ascii="Arial" w:cs="Arial" w:eastAsia="Arial" w:hAnsi="Arial"/>
                <w:sz w:val="18"/>
                <w:szCs w:val="18"/>
                <w:color w:val="auto"/>
              </w:rPr>
              <w:t>Wabash National Corp.</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Fleetwood Enterprises Inc.</w:t>
            </w:r>
          </w:p>
        </w:tc>
        <w:tc>
          <w:tcPr>
            <w:tcW w:w="3880" w:type="dxa"/>
            <w:vAlign w:val="bottom"/>
          </w:tcPr>
          <w:p>
            <w:pPr>
              <w:ind w:left="880"/>
              <w:spacing w:after="0"/>
              <w:rPr>
                <w:sz w:val="20"/>
                <w:szCs w:val="20"/>
                <w:color w:val="auto"/>
              </w:rPr>
            </w:pPr>
            <w:r>
              <w:rPr>
                <w:rFonts w:ascii="Arial" w:cs="Arial" w:eastAsia="Arial" w:hAnsi="Arial"/>
                <w:sz w:val="18"/>
                <w:szCs w:val="18"/>
                <w:color w:val="auto"/>
              </w:rPr>
              <w:t>Pall Corp.</w:t>
            </w:r>
          </w:p>
        </w:tc>
        <w:tc>
          <w:tcPr>
            <w:tcW w:w="3500" w:type="dxa"/>
            <w:vAlign w:val="bottom"/>
          </w:tcPr>
          <w:p>
            <w:pPr>
              <w:ind w:left="1000"/>
              <w:spacing w:after="0"/>
              <w:rPr>
                <w:sz w:val="20"/>
                <w:szCs w:val="20"/>
                <w:color w:val="auto"/>
              </w:rPr>
            </w:pPr>
            <w:r>
              <w:rPr>
                <w:rFonts w:ascii="Arial" w:cs="Arial" w:eastAsia="Arial" w:hAnsi="Arial"/>
                <w:sz w:val="18"/>
                <w:szCs w:val="18"/>
                <w:color w:val="auto"/>
              </w:rPr>
              <w:t>Watts Water Technologies Inc.</w:t>
            </w:r>
          </w:p>
        </w:tc>
      </w:t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Flowserve Corp.</w:t>
            </w:r>
          </w:p>
        </w:tc>
        <w:tc>
          <w:tcPr>
            <w:tcW w:w="3880" w:type="dxa"/>
            <w:vAlign w:val="bottom"/>
          </w:tcPr>
          <w:p>
            <w:pPr>
              <w:ind w:left="880"/>
              <w:spacing w:after="0"/>
              <w:rPr>
                <w:sz w:val="20"/>
                <w:szCs w:val="20"/>
                <w:color w:val="auto"/>
              </w:rPr>
            </w:pPr>
            <w:r>
              <w:rPr>
                <w:rFonts w:ascii="Arial" w:cs="Arial" w:eastAsia="Arial" w:hAnsi="Arial"/>
                <w:sz w:val="18"/>
                <w:szCs w:val="18"/>
                <w:color w:val="auto"/>
              </w:rPr>
              <w:t>Pentair Inc.</w:t>
            </w:r>
          </w:p>
        </w:tc>
        <w:tc>
          <w:tcPr>
            <w:tcW w:w="3500" w:type="dxa"/>
            <w:vAlign w:val="bottom"/>
          </w:tcPr>
          <w:p>
            <w:pPr>
              <w:spacing w:after="0"/>
              <w:rPr>
                <w:sz w:val="20"/>
                <w:szCs w:val="20"/>
                <w:color w:val="auto"/>
              </w:rPr>
            </w:pPr>
          </w:p>
        </w:tc>
      </w:tr>
    </w:tbl>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Factors used in selecting companies in each of the Consultant Industry Group and the Proxy Industry Group, included:</w:t>
      </w:r>
    </w:p>
    <w:p>
      <w:pPr>
        <w:spacing w:after="0" w:line="252" w:lineRule="exact"/>
        <w:rPr>
          <w:sz w:val="20"/>
          <w:szCs w:val="20"/>
          <w:color w:val="auto"/>
        </w:rPr>
      </w:pPr>
    </w:p>
    <w:p>
      <w:pPr>
        <w:ind w:left="1020" w:hanging="472"/>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company’s focus on manufacturing;</w:t>
      </w:r>
    </w:p>
    <w:p>
      <w:pPr>
        <w:spacing w:after="0" w:line="90" w:lineRule="exact"/>
        <w:rPr>
          <w:rFonts w:ascii="Arial" w:cs="Arial" w:eastAsia="Arial" w:hAnsi="Arial"/>
          <w:sz w:val="18"/>
          <w:szCs w:val="18"/>
          <w:color w:val="auto"/>
        </w:rPr>
      </w:pPr>
    </w:p>
    <w:p>
      <w:pPr>
        <w:ind w:left="1020" w:hanging="472"/>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revenue size in comparison with the Company; and</w:t>
      </w:r>
    </w:p>
    <w:p>
      <w:pPr>
        <w:spacing w:after="0" w:line="90" w:lineRule="exact"/>
        <w:rPr>
          <w:rFonts w:ascii="Arial" w:cs="Arial" w:eastAsia="Arial" w:hAnsi="Arial"/>
          <w:sz w:val="18"/>
          <w:szCs w:val="18"/>
          <w:color w:val="auto"/>
        </w:rPr>
      </w:pPr>
    </w:p>
    <w:p>
      <w:pPr>
        <w:ind w:left="1020" w:hanging="472"/>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participation in automotive, transportation, recreational or lifestyle industries.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40"/>
          </w:cols>
          <w:pgMar w:left="240" w:top="125" w:right="319" w:bottom="109" w:gutter="0" w:footer="0" w:header="0"/>
        </w:sectPr>
      </w:pPr>
    </w:p>
    <w:p>
      <w:pPr>
        <w:spacing w:after="0" w:line="200" w:lineRule="exact"/>
        <w:rPr>
          <w:sz w:val="20"/>
          <w:szCs w:val="20"/>
          <w:color w:val="auto"/>
        </w:rPr>
      </w:pPr>
    </w:p>
    <w:p>
      <w:pPr>
        <w:spacing w:after="0" w:line="214" w:lineRule="exact"/>
        <w:rPr>
          <w:sz w:val="20"/>
          <w:szCs w:val="20"/>
          <w:color w:val="auto"/>
        </w:rPr>
      </w:pPr>
    </w:p>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ectPr>
          <w:pgSz w:w="11900" w:h="16838" w:orient="portrait"/>
          <w:cols w:equalWidth="0" w:num="1">
            <w:col w:w="11340"/>
          </w:cols>
          <w:pgMar w:left="240" w:top="125" w:right="319" w:bottom="109" w:gutter="0" w:footer="0" w:header="0"/>
          <w:type w:val="continuous"/>
        </w:sectPr>
      </w:pPr>
    </w:p>
    <w:bookmarkStart w:id="14" w:name="page15"/>
    <w:bookmarkEnd w:id="14"/>
    <w:p>
      <w:pPr>
        <w:ind w:right="100" w:firstLine="360"/>
        <w:spacing w:after="0" w:line="257" w:lineRule="auto"/>
        <w:rPr>
          <w:sz w:val="20"/>
          <w:szCs w:val="20"/>
          <w:color w:val="auto"/>
        </w:rPr>
      </w:pPr>
      <w:r>
        <w:rPr>
          <w:rFonts w:ascii="Arial" w:cs="Arial" w:eastAsia="Arial" w:hAnsi="Arial"/>
          <w:sz w:val="18"/>
          <w:szCs w:val="18"/>
          <w:color w:val="auto"/>
        </w:rPr>
        <w:t>The Committee and Consultant compared data from each of the Consultant Industry Group and Proxy Industry Group to data contained in the General Consultant Data Base and utilized, among other information, observations relating to data pertaining to specific job categories and industry trends. Market data in the General Consultant Data Base was adjusted according to these observations and regressed to data in each of the Consultant Industry Groups and the Proxy Industry Group and to the Company’s revenue size. The market analysis included data on fixed pay (base pay), and variable compensation (annual and long-term incentives).</w:t>
      </w:r>
    </w:p>
    <w:p>
      <w:pPr>
        <w:spacing w:after="0" w:line="144" w:lineRule="exact"/>
        <w:rPr>
          <w:sz w:val="20"/>
          <w:szCs w:val="20"/>
          <w:color w:val="auto"/>
        </w:rPr>
      </w:pPr>
    </w:p>
    <w:p>
      <w:pPr>
        <w:ind w:right="220" w:firstLine="360"/>
        <w:spacing w:after="0" w:line="274" w:lineRule="auto"/>
        <w:rPr>
          <w:sz w:val="20"/>
          <w:szCs w:val="20"/>
          <w:color w:val="auto"/>
        </w:rPr>
      </w:pPr>
      <w:r>
        <w:rPr>
          <w:rFonts w:ascii="Arial" w:cs="Arial" w:eastAsia="Arial" w:hAnsi="Arial"/>
          <w:sz w:val="17"/>
          <w:szCs w:val="17"/>
          <w:b w:val="1"/>
          <w:bCs w:val="1"/>
          <w:color w:val="auto"/>
        </w:rPr>
        <w:t xml:space="preserve">Role of Executive Officers in Compensation Decisions. </w:t>
      </w:r>
      <w:r>
        <w:rPr>
          <w:rFonts w:ascii="Arial" w:cs="Arial" w:eastAsia="Arial" w:hAnsi="Arial"/>
          <w:sz w:val="17"/>
          <w:szCs w:val="17"/>
          <w:color w:val="auto"/>
        </w:rPr>
        <w:t>The Committee makes all compensation decisions for Named Executive Officers and</w:t>
      </w:r>
      <w:r>
        <w:rPr>
          <w:rFonts w:ascii="Arial" w:cs="Arial" w:eastAsia="Arial" w:hAnsi="Arial"/>
          <w:sz w:val="17"/>
          <w:szCs w:val="17"/>
          <w:b w:val="1"/>
          <w:bCs w:val="1"/>
          <w:color w:val="auto"/>
        </w:rPr>
        <w:t xml:space="preserve"> </w:t>
      </w:r>
      <w:r>
        <w:rPr>
          <w:rFonts w:ascii="Arial" w:cs="Arial" w:eastAsia="Arial" w:hAnsi="Arial"/>
          <w:sz w:val="17"/>
          <w:szCs w:val="17"/>
          <w:color w:val="auto"/>
        </w:rPr>
        <w:t>approves recommendations regarding salaries, bonuses and compensation plans and policies, and other incentive plans of the Company. The Chairman and Chief Executive Officer, with input from the President, annually reviews the performance of each Named Executive Officer (other than the Chairman and Chief Executive Officer, whose performance is reviewed by the Committee). The conclusions reached and recommendations based on these reviews, including with respect to salary adjustments and annual award amounts, are presented to the Committee. The Committee can exercise its discretion in modifying any recommended adjustments or awards to Named Executive Officers.</w:t>
      </w:r>
    </w:p>
    <w:p>
      <w:pPr>
        <w:spacing w:after="0" w:line="151" w:lineRule="exact"/>
        <w:rPr>
          <w:sz w:val="20"/>
          <w:szCs w:val="20"/>
          <w:color w:val="auto"/>
        </w:rPr>
      </w:pPr>
    </w:p>
    <w:p>
      <w:pPr>
        <w:ind w:right="180" w:firstLine="360"/>
        <w:spacing w:after="0" w:line="308" w:lineRule="auto"/>
        <w:rPr>
          <w:sz w:val="20"/>
          <w:szCs w:val="20"/>
          <w:color w:val="auto"/>
        </w:rPr>
      </w:pPr>
      <w:r>
        <w:rPr>
          <w:rFonts w:ascii="Arial" w:cs="Arial" w:eastAsia="Arial" w:hAnsi="Arial"/>
          <w:sz w:val="17"/>
          <w:szCs w:val="17"/>
          <w:color w:val="auto"/>
        </w:rPr>
        <w:t>In addition, the Committee evaluates the performance of the Chairman and Chief Executive Officer at least annually with full Board participation. The Committee ultimately must approve all compensation decisions for all executives, including the Chairman and Chief Executive Officer.</w:t>
      </w:r>
    </w:p>
    <w:p>
      <w:pPr>
        <w:spacing w:after="0" w:line="102" w:lineRule="exact"/>
        <w:rPr>
          <w:sz w:val="20"/>
          <w:szCs w:val="20"/>
          <w:color w:val="auto"/>
        </w:rPr>
      </w:pPr>
    </w:p>
    <w:p>
      <w:pPr>
        <w:ind w:right="20" w:firstLine="360"/>
        <w:spacing w:after="0" w:line="261" w:lineRule="auto"/>
        <w:rPr>
          <w:sz w:val="20"/>
          <w:szCs w:val="20"/>
          <w:color w:val="auto"/>
        </w:rPr>
      </w:pPr>
      <w:r>
        <w:rPr>
          <w:rFonts w:ascii="Arial" w:cs="Arial" w:eastAsia="Arial" w:hAnsi="Arial"/>
          <w:sz w:val="18"/>
          <w:szCs w:val="18"/>
          <w:b w:val="1"/>
          <w:bCs w:val="1"/>
          <w:color w:val="auto"/>
        </w:rPr>
        <w:t xml:space="preserve">Compensation Process. </w:t>
      </w:r>
      <w:r>
        <w:rPr>
          <w:rFonts w:ascii="Arial" w:cs="Arial" w:eastAsia="Arial" w:hAnsi="Arial"/>
          <w:sz w:val="18"/>
          <w:szCs w:val="18"/>
          <w:color w:val="auto"/>
        </w:rPr>
        <w:t>The Committee reviews the benchmarking and performance evaluations presented by management in determining the</w:t>
      </w:r>
      <w:r>
        <w:rPr>
          <w:rFonts w:ascii="Arial" w:cs="Arial" w:eastAsia="Arial" w:hAnsi="Arial"/>
          <w:sz w:val="18"/>
          <w:szCs w:val="18"/>
          <w:b w:val="1"/>
          <w:bCs w:val="1"/>
          <w:color w:val="auto"/>
        </w:rPr>
        <w:t xml:space="preserve"> </w:t>
      </w:r>
      <w:r>
        <w:rPr>
          <w:rFonts w:ascii="Arial" w:cs="Arial" w:eastAsia="Arial" w:hAnsi="Arial"/>
          <w:sz w:val="18"/>
          <w:szCs w:val="18"/>
          <w:color w:val="auto"/>
        </w:rPr>
        <w:t>appropriate aggregate and individual compensation levels for the performance year. In conducting its review, the Committee considers quantitative performance results of the Company, the overall need of the organization to attract, retain and motivate the executive team, and the total cost of compensation programs.</w:t>
      </w:r>
    </w:p>
    <w:p>
      <w:pPr>
        <w:spacing w:after="0" w:line="144" w:lineRule="exact"/>
        <w:rPr>
          <w:sz w:val="20"/>
          <w:szCs w:val="20"/>
          <w:color w:val="auto"/>
        </w:rPr>
      </w:pPr>
    </w:p>
    <w:p>
      <w:pPr>
        <w:ind w:firstLine="360"/>
        <w:spacing w:after="0" w:line="297" w:lineRule="auto"/>
        <w:rPr>
          <w:sz w:val="20"/>
          <w:szCs w:val="20"/>
          <w:color w:val="auto"/>
        </w:rPr>
      </w:pPr>
      <w:r>
        <w:rPr>
          <w:rFonts w:ascii="Arial" w:cs="Arial" w:eastAsia="Arial" w:hAnsi="Arial"/>
          <w:sz w:val="16"/>
          <w:szCs w:val="16"/>
          <w:color w:val="auto"/>
        </w:rPr>
        <w:t>In addition to the above, the Committee, at least annually, reviews executive compensation and benefits of the Named Executive Officers through the use of tally sheets. Each tally sheet identifies anticipated dollar amounts for individual components of executive compensation, including base salary, annual incentive, long-term incentive, equity awards, deferred compensation, benefits, perquisites and potential change in control and severance payments. The information set forth in the tally sheets is reviewed by the Committee annually. Each year’s decisions for setting compensation targets for each annual and three-year incentive compensation measuring period are based on our business needs, goals and environment for that year.</w:t>
      </w:r>
    </w:p>
    <w:p>
      <w:pPr>
        <w:spacing w:after="0" w:line="131" w:lineRule="exact"/>
        <w:rPr>
          <w:sz w:val="20"/>
          <w:szCs w:val="20"/>
          <w:color w:val="auto"/>
        </w:rPr>
      </w:pPr>
    </w:p>
    <w:p>
      <w:pPr>
        <w:jc w:val="both"/>
        <w:ind w:right="260" w:firstLine="360"/>
        <w:spacing w:after="0" w:line="312" w:lineRule="auto"/>
        <w:rPr>
          <w:sz w:val="20"/>
          <w:szCs w:val="20"/>
          <w:color w:val="auto"/>
        </w:rPr>
      </w:pPr>
      <w:r>
        <w:rPr>
          <w:rFonts w:ascii="Arial" w:cs="Arial" w:eastAsia="Arial" w:hAnsi="Arial"/>
          <w:sz w:val="16"/>
          <w:szCs w:val="16"/>
          <w:i w:val="1"/>
          <w:iCs w:val="1"/>
          <w:color w:val="auto"/>
        </w:rPr>
        <w:t xml:space="preserve">Determining the Chief Executive Officer’s Compensation — </w:t>
      </w:r>
      <w:r>
        <w:rPr>
          <w:rFonts w:ascii="Arial" w:cs="Arial" w:eastAsia="Arial" w:hAnsi="Arial"/>
          <w:sz w:val="16"/>
          <w:szCs w:val="16"/>
          <w:color w:val="auto"/>
        </w:rPr>
        <w:t>The Committee makes a recommendation to the Board for the Chief Executive Officer’s</w:t>
      </w:r>
      <w:r>
        <w:rPr>
          <w:rFonts w:ascii="Arial" w:cs="Arial" w:eastAsia="Arial" w:hAnsi="Arial"/>
          <w:sz w:val="16"/>
          <w:szCs w:val="16"/>
          <w:i w:val="1"/>
          <w:iCs w:val="1"/>
          <w:color w:val="auto"/>
        </w:rPr>
        <w:t xml:space="preserve"> </w:t>
      </w:r>
      <w:r>
        <w:rPr>
          <w:rFonts w:ascii="Arial" w:cs="Arial" w:eastAsia="Arial" w:hAnsi="Arial"/>
          <w:sz w:val="16"/>
          <w:szCs w:val="16"/>
          <w:color w:val="auto"/>
        </w:rPr>
        <w:t>total compensation package. The Committee meets in executive session to formulate its recommendation for the Chief Executive Officer’s base pay, target annual and long-term incentive compensation and stock based compensation to the Board. These recommendations are based upon:</w:t>
      </w:r>
    </w:p>
    <w:p>
      <w:pPr>
        <w:spacing w:after="0" w:line="160" w:lineRule="exact"/>
        <w:rPr>
          <w:sz w:val="20"/>
          <w:szCs w:val="20"/>
          <w:color w:val="auto"/>
        </w:rPr>
      </w:pPr>
    </w:p>
    <w:p>
      <w:pPr>
        <w:ind w:left="1020" w:hanging="472"/>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evaluation of total compensation made to chief executive officers in the Company’s Compensation Peers;</w:t>
      </w:r>
    </w:p>
    <w:p>
      <w:pPr>
        <w:spacing w:after="0" w:line="90" w:lineRule="exact"/>
        <w:rPr>
          <w:rFonts w:ascii="Arial" w:cs="Arial" w:eastAsia="Arial" w:hAnsi="Arial"/>
          <w:sz w:val="18"/>
          <w:szCs w:val="18"/>
          <w:color w:val="auto"/>
        </w:rPr>
      </w:pPr>
    </w:p>
    <w:p>
      <w:pPr>
        <w:ind w:left="1020" w:hanging="472"/>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evaluation of the Chief Executive Officer’s performance for the fiscal year conducted by the Committee;</w:t>
      </w:r>
    </w:p>
    <w:p>
      <w:pPr>
        <w:spacing w:after="0" w:line="90" w:lineRule="exact"/>
        <w:rPr>
          <w:rFonts w:ascii="Arial" w:cs="Arial" w:eastAsia="Arial" w:hAnsi="Arial"/>
          <w:sz w:val="18"/>
          <w:szCs w:val="18"/>
          <w:color w:val="auto"/>
        </w:rPr>
      </w:pPr>
    </w:p>
    <w:p>
      <w:pPr>
        <w:ind w:left="1020" w:hanging="472"/>
        <w:spacing w:after="0"/>
        <w:tabs>
          <w:tab w:leader="none" w:pos="10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an evaluation of the proposed total compensation of the Chief Executive Officer in comparison to the other Named Executive Officers; and</w:t>
      </w:r>
    </w:p>
    <w:p>
      <w:pPr>
        <w:spacing w:after="0" w:line="101" w:lineRule="exact"/>
        <w:rPr>
          <w:rFonts w:ascii="Arial" w:cs="Arial" w:eastAsia="Arial" w:hAnsi="Arial"/>
          <w:sz w:val="17"/>
          <w:szCs w:val="17"/>
          <w:color w:val="auto"/>
        </w:rPr>
      </w:pPr>
    </w:p>
    <w:p>
      <w:pPr>
        <w:ind w:left="1020" w:right="120" w:hanging="472"/>
        <w:spacing w:after="0" w:line="277"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comparison of the differential of total compensation made to chief executive officers and executive officers in the Company’s Compensation Peers; and</w:t>
      </w:r>
    </w:p>
    <w:p>
      <w:pPr>
        <w:spacing w:after="0" w:line="35" w:lineRule="exact"/>
        <w:rPr>
          <w:rFonts w:ascii="Arial" w:cs="Arial" w:eastAsia="Arial" w:hAnsi="Arial"/>
          <w:sz w:val="18"/>
          <w:szCs w:val="18"/>
          <w:color w:val="auto"/>
        </w:rPr>
      </w:pPr>
    </w:p>
    <w:p>
      <w:pPr>
        <w:ind w:left="1020" w:hanging="472"/>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advice from the Consultant to the Committee.</w:t>
      </w:r>
    </w:p>
    <w:p>
      <w:pPr>
        <w:spacing w:after="0" w:line="239" w:lineRule="exact"/>
        <w:rPr>
          <w:sz w:val="20"/>
          <w:szCs w:val="20"/>
          <w:color w:val="auto"/>
        </w:rPr>
      </w:pPr>
    </w:p>
    <w:p>
      <w:pPr>
        <w:ind w:right="160" w:firstLine="360"/>
        <w:spacing w:after="0" w:line="264" w:lineRule="auto"/>
        <w:rPr>
          <w:sz w:val="20"/>
          <w:szCs w:val="20"/>
          <w:color w:val="auto"/>
        </w:rPr>
      </w:pPr>
      <w:r>
        <w:rPr>
          <w:rFonts w:ascii="Arial" w:cs="Arial" w:eastAsia="Arial" w:hAnsi="Arial"/>
          <w:sz w:val="18"/>
          <w:szCs w:val="18"/>
          <w:color w:val="auto"/>
        </w:rPr>
        <w:t>Members of the Committee conduct in-depth interviews with the Chief Executive Officer’s direct reports and other executives. The evaluation is based upon the Chief Executive Officer’s success in achieving his performance commitments, which include financial, strategic and company culture/leadership goals.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5"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i w:val="1"/>
          <w:iCs w:val="1"/>
          <w:color w:val="auto"/>
        </w:rPr>
        <w:t xml:space="preserve">Determining Compensation for Named Executive Officers (Other than the Chief Executive Officer) — </w:t>
      </w:r>
      <w:r>
        <w:rPr>
          <w:rFonts w:ascii="Arial" w:cs="Arial" w:eastAsia="Arial" w:hAnsi="Arial"/>
          <w:sz w:val="18"/>
          <w:szCs w:val="18"/>
          <w:color w:val="auto"/>
        </w:rPr>
        <w:t>The Committee approves the annual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salary, target annual and long-term incentive compensation, and stock-based compensation) for our Named Executive Officers (excluding Chief Executive Officer), based upon:</w:t>
      </w:r>
    </w:p>
    <w:p>
      <w:pPr>
        <w:spacing w:after="0" w:line="195" w:lineRule="exact"/>
        <w:rPr>
          <w:sz w:val="20"/>
          <w:szCs w:val="20"/>
          <w:color w:val="auto"/>
        </w:rPr>
      </w:pPr>
    </w:p>
    <w:p>
      <w:pPr>
        <w:ind w:left="1020" w:hanging="472"/>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executive’s scope of responsibilities;</w:t>
      </w:r>
    </w:p>
    <w:p>
      <w:pPr>
        <w:spacing w:after="0" w:line="90" w:lineRule="exact"/>
        <w:rPr>
          <w:rFonts w:ascii="Arial" w:cs="Arial" w:eastAsia="Arial" w:hAnsi="Arial"/>
          <w:sz w:val="18"/>
          <w:szCs w:val="18"/>
          <w:color w:val="auto"/>
        </w:rPr>
      </w:pPr>
    </w:p>
    <w:p>
      <w:pPr>
        <w:ind w:left="1020" w:hanging="472"/>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market competitive assessment of similar roles at Compensation Peers;</w:t>
      </w:r>
    </w:p>
    <w:p>
      <w:pPr>
        <w:spacing w:after="0" w:line="90" w:lineRule="exact"/>
        <w:rPr>
          <w:rFonts w:ascii="Arial" w:cs="Arial" w:eastAsia="Arial" w:hAnsi="Arial"/>
          <w:sz w:val="18"/>
          <w:szCs w:val="18"/>
          <w:color w:val="auto"/>
        </w:rPr>
      </w:pPr>
    </w:p>
    <w:p>
      <w:pPr>
        <w:ind w:left="1020" w:hanging="472"/>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internal comparisons to the compensation of other Named Executive Officers, including the Chief Executive Officer;</w:t>
      </w:r>
    </w:p>
    <w:p>
      <w:pPr>
        <w:spacing w:after="0" w:line="90" w:lineRule="exact"/>
        <w:rPr>
          <w:rFonts w:ascii="Arial" w:cs="Arial" w:eastAsia="Arial" w:hAnsi="Arial"/>
          <w:sz w:val="18"/>
          <w:szCs w:val="18"/>
          <w:color w:val="auto"/>
        </w:rPr>
      </w:pPr>
    </w:p>
    <w:p>
      <w:pPr>
        <w:ind w:left="1020" w:right="780" w:hanging="472"/>
        <w:spacing w:after="0" w:line="334" w:lineRule="auto"/>
        <w:tabs>
          <w:tab w:leader="none" w:pos="10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evaluations of performance for the fiscal year, as submitted by the Chief Executive Officer, and supported by performance evaluation documents, which include feedback from the executive’s peers, direct reports and other employees within the executive’s division;</w:t>
      </w:r>
    </w:p>
    <w:p>
      <w:pPr>
        <w:spacing w:after="0" w:line="1" w:lineRule="exact"/>
        <w:rPr>
          <w:rFonts w:ascii="Arial" w:cs="Arial" w:eastAsia="Arial" w:hAnsi="Arial"/>
          <w:sz w:val="16"/>
          <w:szCs w:val="16"/>
          <w:color w:val="auto"/>
        </w:rPr>
      </w:pPr>
    </w:p>
    <w:p>
      <w:pPr>
        <w:ind w:left="1020" w:right="660" w:hanging="472"/>
        <w:spacing w:after="0" w:line="277"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Chief Executive Officer’s recommendations for each Named Executive Officer’s base pay, incentive compensation and stock based compensation amounts; and</w:t>
      </w:r>
    </w:p>
    <w:p>
      <w:pPr>
        <w:spacing w:after="0" w:line="35" w:lineRule="exact"/>
        <w:rPr>
          <w:rFonts w:ascii="Arial" w:cs="Arial" w:eastAsia="Arial" w:hAnsi="Arial"/>
          <w:sz w:val="18"/>
          <w:szCs w:val="18"/>
          <w:color w:val="auto"/>
        </w:rPr>
      </w:pPr>
    </w:p>
    <w:p>
      <w:pPr>
        <w:ind w:left="1020" w:hanging="472"/>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advice from the Consultant to the Committee.</w:t>
      </w:r>
    </w:p>
    <w:p>
      <w:pPr>
        <w:spacing w:after="0" w:line="252" w:lineRule="exact"/>
        <w:rPr>
          <w:sz w:val="20"/>
          <w:szCs w:val="20"/>
          <w:color w:val="auto"/>
        </w:rPr>
      </w:pPr>
    </w:p>
    <w:p>
      <w:pPr>
        <w:ind w:right="100" w:firstLine="360"/>
        <w:spacing w:after="0" w:line="255" w:lineRule="auto"/>
        <w:rPr>
          <w:sz w:val="20"/>
          <w:szCs w:val="20"/>
          <w:color w:val="auto"/>
        </w:rPr>
      </w:pPr>
      <w:r>
        <w:rPr>
          <w:rFonts w:ascii="Arial" w:cs="Arial" w:eastAsia="Arial" w:hAnsi="Arial"/>
          <w:sz w:val="18"/>
          <w:szCs w:val="18"/>
          <w:color w:val="auto"/>
        </w:rPr>
        <w:t>In fiscal 2007 and for the foreseeable future, base salaries and incentive compensation awards will be reviewed each October, at the regularly scheduled meetings of the Committee and the full Board of Directors. Any changes made to the base salaries are generally effective in January of the following year. Historically, stock options and other stock grants were generally granted at the October meetings. By establishing the meeting schedule and agenda for these grants well in advance, the Company diminished any opportunity for manipulation of exercise prices on option grants, to the extent any recipients were in possession of material non-public information at the time of the meetings. No stock options were granted to Named Executive Officers by the Company in fiscal 2007.</w:t>
      </w:r>
    </w:p>
    <w:p>
      <w:pPr>
        <w:spacing w:after="0" w:line="149" w:lineRule="exact"/>
        <w:rPr>
          <w:sz w:val="20"/>
          <w:szCs w:val="20"/>
          <w:color w:val="auto"/>
        </w:rPr>
      </w:pPr>
    </w:p>
    <w:p>
      <w:pPr>
        <w:ind w:right="60" w:firstLine="360"/>
        <w:spacing w:after="0" w:line="289" w:lineRule="auto"/>
        <w:rPr>
          <w:sz w:val="20"/>
          <w:szCs w:val="20"/>
          <w:color w:val="auto"/>
        </w:rPr>
      </w:pPr>
      <w:r>
        <w:rPr>
          <w:rFonts w:ascii="Arial" w:cs="Arial" w:eastAsia="Arial" w:hAnsi="Arial"/>
          <w:sz w:val="17"/>
          <w:szCs w:val="17"/>
          <w:b w:val="1"/>
          <w:bCs w:val="1"/>
          <w:color w:val="auto"/>
        </w:rPr>
        <w:t xml:space="preserve">Accounting and Tax Effects. </w:t>
      </w:r>
      <w:r>
        <w:rPr>
          <w:rFonts w:ascii="Arial" w:cs="Arial" w:eastAsia="Arial" w:hAnsi="Arial"/>
          <w:sz w:val="17"/>
          <w:szCs w:val="17"/>
          <w:color w:val="auto"/>
        </w:rPr>
        <w:t>The Committee considers both the financial reporting and the taxation of compensation elements in its decision-making</w:t>
      </w:r>
      <w:r>
        <w:rPr>
          <w:rFonts w:ascii="Arial" w:cs="Arial" w:eastAsia="Arial" w:hAnsi="Arial"/>
          <w:sz w:val="17"/>
          <w:szCs w:val="17"/>
          <w:b w:val="1"/>
          <w:bCs w:val="1"/>
          <w:color w:val="auto"/>
        </w:rPr>
        <w:t xml:space="preserve"> </w:t>
      </w:r>
      <w:r>
        <w:rPr>
          <w:rFonts w:ascii="Arial" w:cs="Arial" w:eastAsia="Arial" w:hAnsi="Arial"/>
          <w:sz w:val="17"/>
          <w:szCs w:val="17"/>
          <w:color w:val="auto"/>
        </w:rPr>
        <w:t>process. The Committee seeks a balance between the best interests of the Company, fair treatment of the Named Executive Officers, minimizing taxation of the compensation offered to the Named Executive Officer, and maximizing immediate deductibility by the Company.</w:t>
      </w:r>
    </w:p>
    <w:p>
      <w:pPr>
        <w:sectPr>
          <w:pgSz w:w="11900" w:h="16838" w:orient="portrait"/>
          <w:cols w:equalWidth="0" w:num="1">
            <w:col w:w="11400"/>
          </w:cols>
          <w:pgMar w:left="240" w:top="125" w:right="259" w:bottom="0" w:gutter="0" w:footer="0" w:header="0"/>
        </w:sectPr>
      </w:pPr>
    </w:p>
    <w:bookmarkStart w:id="15" w:name="page16"/>
    <w:bookmarkEnd w:id="15"/>
    <w:p>
      <w:pPr>
        <w:jc w:val="both"/>
        <w:ind w:right="300" w:firstLine="360"/>
        <w:spacing w:after="0" w:line="286" w:lineRule="auto"/>
        <w:rPr>
          <w:sz w:val="20"/>
          <w:szCs w:val="20"/>
          <w:color w:val="auto"/>
        </w:rPr>
      </w:pPr>
      <w:r>
        <w:rPr>
          <w:rFonts w:ascii="Arial" w:cs="Arial" w:eastAsia="Arial" w:hAnsi="Arial"/>
          <w:sz w:val="17"/>
          <w:szCs w:val="17"/>
          <w:color w:val="auto"/>
        </w:rPr>
        <w:t>The Committee reviews the FASB Statement No. 123(R) expense of each stock-based compensation grant made and its impact on earnings per share reported by the Company. As a result, the Committee has limited grants of stock options and directed the use of more restricted stock grants and increased cash for the rest of management, in part because of the more direct valuation and expensing of those awards.</w:t>
      </w:r>
    </w:p>
    <w:p>
      <w:pPr>
        <w:spacing w:after="0" w:line="125" w:lineRule="exact"/>
        <w:rPr>
          <w:sz w:val="20"/>
          <w:szCs w:val="20"/>
          <w:color w:val="auto"/>
        </w:rPr>
      </w:pPr>
    </w:p>
    <w:p>
      <w:pPr>
        <w:ind w:firstLine="360"/>
        <w:spacing w:after="0" w:line="287" w:lineRule="auto"/>
        <w:rPr>
          <w:sz w:val="20"/>
          <w:szCs w:val="20"/>
          <w:color w:val="auto"/>
        </w:rPr>
      </w:pPr>
      <w:r>
        <w:rPr>
          <w:rFonts w:ascii="Arial" w:cs="Arial" w:eastAsia="Arial" w:hAnsi="Arial"/>
          <w:sz w:val="16"/>
          <w:szCs w:val="16"/>
          <w:color w:val="auto"/>
        </w:rPr>
        <w:t>From the tax perspective, Internal Revenue Code section 409A made the taxation of certain grants more costly to the executives with no offsetting benefit to the Company. In response, the Committee froze its Executive Share Option Program in 2004 and all grants not vested before 2005 were terminated as permitted under the transition rule in the proposed regulations under Internal Revenue Code section 409A. The Committee established the Executive Deferred Compensation Plan, discussed below, to deliver that same element of the executives’ competitive pay package on a more cost-effective basis for the Company because the benefit is now provided with less tax exposure to the executive under Internal Revenue Code section 409A. In addition, the Committee designed change in control agreements for executives, including the Named Executive Officers, to reduce amounts payable that otherwise would have been subject to an excise tax known as “excess golden parachute payments” as defined under Internal Revenue Code section 280G. The Committee also is aware that Internal Revenue Code section 162(m) limits deductions for compensation paid in excess of $1 million. In response, the Committee designs much of the total compensation package of the Named Executive Officers to qualify for the exemption of “performance-based” compensation from the deductibility limit. However, the Committee reserves the right that it may choose to design and use compensation elements that may not be deductible within the rules of Internal Revenue Code section 162(m), if those elements are in the best interests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ind w:left="360"/>
        <w:spacing w:after="0"/>
        <w:tabs>
          <w:tab w:leader="none" w:pos="3340" w:val="left"/>
        </w:tabs>
        <w:rPr>
          <w:sz w:val="20"/>
          <w:szCs w:val="20"/>
          <w:color w:val="auto"/>
        </w:rPr>
      </w:pPr>
      <w:r>
        <w:rPr>
          <w:rFonts w:ascii="Arial" w:cs="Arial" w:eastAsia="Arial" w:hAnsi="Arial"/>
          <w:sz w:val="18"/>
          <w:szCs w:val="18"/>
          <w:b w:val="1"/>
          <w:bCs w:val="1"/>
          <w:color w:val="auto"/>
        </w:rPr>
        <w:t>Compensation Design and Elements.</w:t>
      </w:r>
      <w:r>
        <w:rPr>
          <w:sz w:val="20"/>
          <w:szCs w:val="20"/>
          <w:color w:val="auto"/>
        </w:rPr>
        <w:tab/>
      </w:r>
      <w:r>
        <w:rPr>
          <w:rFonts w:ascii="Arial" w:cs="Arial" w:eastAsia="Arial" w:hAnsi="Arial"/>
          <w:sz w:val="16"/>
          <w:szCs w:val="16"/>
          <w:color w:val="auto"/>
        </w:rPr>
        <w:t>In fiscal 2007, the principal components of compensation for each Named Executive Officer were:</w:t>
      </w:r>
    </w:p>
    <w:p>
      <w:pPr>
        <w:spacing w:after="0" w:line="243" w:lineRule="exact"/>
        <w:rPr>
          <w:sz w:val="20"/>
          <w:szCs w:val="20"/>
          <w:color w:val="auto"/>
        </w:rPr>
      </w:pPr>
    </w:p>
    <w:p>
      <w:pPr>
        <w:ind w:left="1020" w:hanging="472"/>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90" w:lineRule="exact"/>
        <w:rPr>
          <w:rFonts w:ascii="Arial" w:cs="Arial" w:eastAsia="Arial" w:hAnsi="Arial"/>
          <w:sz w:val="18"/>
          <w:szCs w:val="18"/>
          <w:color w:val="auto"/>
        </w:rPr>
      </w:pPr>
    </w:p>
    <w:p>
      <w:pPr>
        <w:ind w:left="1020" w:hanging="472"/>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annual incentive awards; and</w:t>
      </w:r>
    </w:p>
    <w:p>
      <w:pPr>
        <w:spacing w:after="0" w:line="90" w:lineRule="exact"/>
        <w:rPr>
          <w:rFonts w:ascii="Arial" w:cs="Arial" w:eastAsia="Arial" w:hAnsi="Arial"/>
          <w:sz w:val="18"/>
          <w:szCs w:val="18"/>
          <w:color w:val="auto"/>
        </w:rPr>
      </w:pPr>
    </w:p>
    <w:p>
      <w:pPr>
        <w:ind w:left="1020" w:hanging="472"/>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long-term incentives.</w:t>
      </w:r>
    </w:p>
    <w:p>
      <w:pPr>
        <w:spacing w:after="0" w:line="252"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Additional elements of the total compensation for Named Executive Officers include executive benefits, perquisites and severance agreements, described below. Each component is designed to achieve a specific purpose and to contribute to a total package that is competitive, appropriately performance-based, and valued by our executives. In fiscal 2007, the Company made no material deviations from previously disclosed or projected payments or practices under these programs.</w:t>
      </w:r>
    </w:p>
    <w:p>
      <w:pPr>
        <w:spacing w:after="0" w:line="146" w:lineRule="exact"/>
        <w:rPr>
          <w:sz w:val="20"/>
          <w:szCs w:val="20"/>
          <w:color w:val="auto"/>
        </w:rPr>
      </w:pPr>
    </w:p>
    <w:p>
      <w:pPr>
        <w:ind w:right="80" w:firstLine="360"/>
        <w:spacing w:after="0" w:line="276" w:lineRule="auto"/>
        <w:rPr>
          <w:sz w:val="20"/>
          <w:szCs w:val="20"/>
          <w:color w:val="auto"/>
        </w:rPr>
      </w:pPr>
      <w:r>
        <w:rPr>
          <w:rFonts w:ascii="Arial" w:cs="Arial" w:eastAsia="Arial" w:hAnsi="Arial"/>
          <w:sz w:val="17"/>
          <w:szCs w:val="17"/>
          <w:color w:val="auto"/>
        </w:rPr>
        <w:t>The Committee has no pre-established policy or target for the allocation between either cash and non-cash or short-term and long-term incentive compensation. However, the Company believes that a smaller portion of total executive compensation should be attributed to base salary because it is a fixed component of total compensation. As a result, the Company has generally emphasized conservative base salary payments to Named Executive Officers, relative to its Compensation Peers. The Company alternatively provides the potential for a greater incentive compensation component of total executive compensation, which is based predominately on the performance factors described below.</w:t>
      </w:r>
    </w:p>
    <w:p>
      <w:pPr>
        <w:spacing w:after="0" w:line="132" w:lineRule="exact"/>
        <w:rPr>
          <w:sz w:val="20"/>
          <w:szCs w:val="20"/>
          <w:color w:val="auto"/>
        </w:rPr>
      </w:pPr>
    </w:p>
    <w:p>
      <w:pPr>
        <w:ind w:right="200" w:firstLine="360"/>
        <w:spacing w:after="0" w:line="277" w:lineRule="auto"/>
        <w:rPr>
          <w:sz w:val="20"/>
          <w:szCs w:val="20"/>
          <w:color w:val="auto"/>
        </w:rPr>
      </w:pPr>
      <w:r>
        <w:rPr>
          <w:rFonts w:ascii="Arial" w:cs="Arial" w:eastAsia="Arial" w:hAnsi="Arial"/>
          <w:sz w:val="18"/>
          <w:szCs w:val="18"/>
          <w:b w:val="1"/>
          <w:bCs w:val="1"/>
          <w:i w:val="1"/>
          <w:iCs w:val="1"/>
          <w:color w:val="auto"/>
        </w:rPr>
        <w:t xml:space="preserve">Base salary. </w:t>
      </w:r>
      <w:r>
        <w:rPr>
          <w:rFonts w:ascii="Arial" w:cs="Arial" w:eastAsia="Arial" w:hAnsi="Arial"/>
          <w:sz w:val="18"/>
          <w:szCs w:val="18"/>
          <w:color w:val="auto"/>
        </w:rPr>
        <w:t>The base salary program was designed to compensate Named Executive Officers for specific skills and competencies that the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requires to provide executive leadership.</w:t>
      </w:r>
    </w:p>
    <w:p>
      <w:pPr>
        <w:spacing w:after="0" w:line="143" w:lineRule="exact"/>
        <w:rPr>
          <w:sz w:val="20"/>
          <w:szCs w:val="20"/>
          <w:color w:val="auto"/>
        </w:rPr>
      </w:pPr>
    </w:p>
    <w:p>
      <w:pPr>
        <w:ind w:firstLine="360"/>
        <w:spacing w:after="0" w:line="286" w:lineRule="auto"/>
        <w:rPr>
          <w:sz w:val="20"/>
          <w:szCs w:val="20"/>
          <w:color w:val="auto"/>
        </w:rPr>
      </w:pPr>
      <w:r>
        <w:rPr>
          <w:rFonts w:ascii="Arial" w:cs="Arial" w:eastAsia="Arial" w:hAnsi="Arial"/>
          <w:sz w:val="17"/>
          <w:szCs w:val="17"/>
          <w:color w:val="auto"/>
        </w:rPr>
        <w:t>The Company provides Named Executive Officers and other employees with base salary to compensate them for services rendered during the fiscal year. Base salary ranges for Named Executive Officers are determined for each executive based on his or her position and responsibility. The base salaries of our executives are determined by considering such factors as the level of responsibility for the executive’s position:</w:t>
      </w:r>
    </w:p>
    <w:p>
      <w:pPr>
        <w:spacing w:after="0" w:line="179" w:lineRule="exact"/>
        <w:rPr>
          <w:sz w:val="20"/>
          <w:szCs w:val="20"/>
          <w:color w:val="auto"/>
        </w:rPr>
      </w:pPr>
    </w:p>
    <w:p>
      <w:pPr>
        <w:ind w:left="1020" w:hanging="472"/>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experience of the executive;</w:t>
      </w:r>
    </w:p>
    <w:p>
      <w:pPr>
        <w:spacing w:after="0" w:line="90" w:lineRule="exact"/>
        <w:rPr>
          <w:rFonts w:ascii="Arial" w:cs="Arial" w:eastAsia="Arial" w:hAnsi="Arial"/>
          <w:sz w:val="18"/>
          <w:szCs w:val="18"/>
          <w:color w:val="auto"/>
        </w:rPr>
      </w:pPr>
    </w:p>
    <w:p>
      <w:pPr>
        <w:ind w:left="1020" w:hanging="472"/>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time in position; and</w:t>
      </w:r>
    </w:p>
    <w:p>
      <w:pPr>
        <w:spacing w:after="0" w:line="90" w:lineRule="exact"/>
        <w:rPr>
          <w:rFonts w:ascii="Arial" w:cs="Arial" w:eastAsia="Arial" w:hAnsi="Arial"/>
          <w:sz w:val="18"/>
          <w:szCs w:val="18"/>
          <w:color w:val="auto"/>
        </w:rPr>
      </w:pPr>
    </w:p>
    <w:p>
      <w:pPr>
        <w:ind w:left="1020" w:hanging="472"/>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individual performance.</w:t>
      </w:r>
    </w:p>
    <w:p>
      <w:pPr>
        <w:spacing w:after="0" w:line="239"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color w:val="auto"/>
        </w:rPr>
        <w:t>In general, base salary determinations, if any, are considered annually as part of the Company’s performance review process as well as upon a promotion or other change in job responsibility. Base salary is used as the basis for calculating annual and long-term incentive awards and in calculating payments that may be paid upon a change in control, as described below.</w:t>
      </w:r>
    </w:p>
    <w:p>
      <w:pPr>
        <w:spacing w:after="0" w:line="154" w:lineRule="exact"/>
        <w:rPr>
          <w:sz w:val="20"/>
          <w:szCs w:val="20"/>
          <w:color w:val="auto"/>
        </w:rPr>
      </w:pPr>
    </w:p>
    <w:p>
      <w:pPr>
        <w:ind w:right="80" w:firstLine="360"/>
        <w:spacing w:after="0" w:line="312" w:lineRule="auto"/>
        <w:rPr>
          <w:sz w:val="20"/>
          <w:szCs w:val="20"/>
          <w:color w:val="auto"/>
        </w:rPr>
      </w:pPr>
      <w:r>
        <w:rPr>
          <w:rFonts w:ascii="Arial" w:cs="Arial" w:eastAsia="Arial" w:hAnsi="Arial"/>
          <w:sz w:val="16"/>
          <w:szCs w:val="16"/>
          <w:color w:val="auto"/>
        </w:rPr>
        <w:t>For fiscal 2007, Named Executive Officers generally received base salary increases of approximately 3.5 to 4.0%, consistent with increases provided to other salaried employees of the Company. The Company, from time to time, provides larger base salary increases to recently appointed Named Executive Officers, in an effort to align the executive’s base salary to other Named Executive Officers and to comparable executive officers of the Compensation Peers.</w:t>
      </w:r>
    </w:p>
    <w:p>
      <w:pPr>
        <w:spacing w:after="0" w:line="106"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Annual Incentive Plan.</w:t>
      </w:r>
    </w:p>
    <w:p>
      <w:pPr>
        <w:spacing w:after="0" w:line="185" w:lineRule="exact"/>
        <w:rPr>
          <w:sz w:val="20"/>
          <w:szCs w:val="20"/>
          <w:color w:val="auto"/>
        </w:rPr>
      </w:pPr>
    </w:p>
    <w:p>
      <w:pPr>
        <w:ind w:firstLine="360"/>
        <w:spacing w:after="0" w:line="279" w:lineRule="auto"/>
        <w:rPr>
          <w:sz w:val="20"/>
          <w:szCs w:val="20"/>
          <w:color w:val="auto"/>
        </w:rPr>
      </w:pPr>
      <w:r>
        <w:rPr>
          <w:rFonts w:ascii="Arial" w:cs="Arial" w:eastAsia="Arial" w:hAnsi="Arial"/>
          <w:sz w:val="17"/>
          <w:szCs w:val="17"/>
          <w:i w:val="1"/>
          <w:iCs w:val="1"/>
          <w:color w:val="auto"/>
        </w:rPr>
        <w:t xml:space="preserve">Officers Incentive Compensation Plan Fiscal Period 2007 — </w:t>
      </w:r>
      <w:r>
        <w:rPr>
          <w:rFonts w:ascii="Arial" w:cs="Arial" w:eastAsia="Arial" w:hAnsi="Arial"/>
          <w:sz w:val="17"/>
          <w:szCs w:val="17"/>
          <w:color w:val="auto"/>
        </w:rPr>
        <w:t>The Company’s Named Executive Officers are eligible for quarterly incentive awards</w:t>
      </w:r>
      <w:r>
        <w:rPr>
          <w:rFonts w:ascii="Arial" w:cs="Arial" w:eastAsia="Arial" w:hAnsi="Arial"/>
          <w:sz w:val="17"/>
          <w:szCs w:val="17"/>
          <w:i w:val="1"/>
          <w:iCs w:val="1"/>
          <w:color w:val="auto"/>
        </w:rPr>
        <w:t xml:space="preserve"> </w:t>
      </w:r>
      <w:r>
        <w:rPr>
          <w:rFonts w:ascii="Arial" w:cs="Arial" w:eastAsia="Arial" w:hAnsi="Arial"/>
          <w:sz w:val="17"/>
          <w:szCs w:val="17"/>
          <w:color w:val="auto"/>
        </w:rPr>
        <w:t>under our Officers Incentive Compensation Plan Fiscal Period 2007 (the “Officers Incentive Compensation Plan”). The Officers Incentive Compensation Plan is designed to promote the growth and profitability of the Company by providing its executives with an incentive to achieve identified short-term corporate profit objectives and to attract and retain such executives who will contribute to the achievement of growth and profitability of the Company.</w:t>
      </w:r>
    </w:p>
    <w:p>
      <w:pPr>
        <w:spacing w:after="0" w:line="144" w:lineRule="exact"/>
        <w:rPr>
          <w:sz w:val="20"/>
          <w:szCs w:val="20"/>
          <w:color w:val="auto"/>
        </w:rPr>
      </w:pPr>
    </w:p>
    <w:p>
      <w:pPr>
        <w:jc w:val="both"/>
        <w:ind w:right="20" w:firstLine="360"/>
        <w:spacing w:after="0" w:line="259" w:lineRule="auto"/>
        <w:rPr>
          <w:sz w:val="20"/>
          <w:szCs w:val="20"/>
          <w:color w:val="auto"/>
        </w:rPr>
      </w:pPr>
      <w:r>
        <w:rPr>
          <w:rFonts w:ascii="Arial" w:cs="Arial" w:eastAsia="Arial" w:hAnsi="Arial"/>
          <w:sz w:val="18"/>
          <w:szCs w:val="18"/>
          <w:color w:val="auto"/>
        </w:rPr>
        <w:t>Under the Officers Incentive Compensation Plan, incentive awards are based upon financial performance of the Company, as established by the Board of Directors. The Officers Incentive Compensation Plan is a program established by the Company to provide for quarterly cumulative measurements of financial performance, with a corresponding opportunity for quarterly incentive payments based upon financial results measured against performance objectives set by the Committee</w:t>
      </w:r>
    </w:p>
    <w:p>
      <w:pPr>
        <w:sectPr>
          <w:pgSz w:w="11900" w:h="16838" w:orient="portrait"/>
          <w:cols w:equalWidth="0" w:num="1">
            <w:col w:w="11400"/>
          </w:cols>
          <w:pgMar w:left="240" w:top="125"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00"/>
          </w:cols>
          <w:pgMar w:left="240" w:top="125" w:right="259" w:bottom="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7940"/>
                    </a:xfrm>
                    <a:prstGeom prst="rect">
                      <a:avLst/>
                    </a:prstGeom>
                    <a:noFill/>
                  </pic:spPr>
                </pic:pic>
              </a:graphicData>
            </a:graphic>
          </wp:anchor>
        </w:drawing>
      </w:r>
      <w:hyperlink w:anchor="page2">
        <w:r>
          <w:rPr>
            <w:rFonts w:ascii="Arial" w:cs="Arial" w:eastAsia="Arial" w:hAnsi="Arial"/>
            <w:sz w:val="18"/>
            <w:szCs w:val="18"/>
            <w:u w:val="single" w:color="auto"/>
            <w:color w:val="0000EE"/>
          </w:rPr>
          <w:t>Table of Contents</w:t>
        </w:r>
      </w:hyperlink>
    </w:p>
    <w:p>
      <w:pPr>
        <w:spacing w:after="0" w:line="198" w:lineRule="exact"/>
        <w:rPr>
          <w:sz w:val="20"/>
          <w:szCs w:val="20"/>
          <w:color w:val="auto"/>
        </w:rPr>
      </w:pPr>
    </w:p>
    <w:p>
      <w:pPr>
        <w:jc w:val="both"/>
        <w:ind w:right="360"/>
        <w:spacing w:after="0" w:line="286" w:lineRule="auto"/>
        <w:rPr>
          <w:sz w:val="20"/>
          <w:szCs w:val="20"/>
          <w:color w:val="auto"/>
        </w:rPr>
      </w:pPr>
      <w:r>
        <w:rPr>
          <w:rFonts w:ascii="Arial" w:cs="Arial" w:eastAsia="Arial" w:hAnsi="Arial"/>
          <w:sz w:val="17"/>
          <w:szCs w:val="17"/>
          <w:color w:val="auto"/>
        </w:rPr>
        <w:t>and approved by the Board of Directors. The amount of the participants’ incentive compensation for the quarter is calculated under the Officers Incentive Compensation Plan to be in direct proportion to the Company’s financial performance expressed as a percentage (Financial Factor) against compensation targets for each participant as determined by the Board of Directors prior to the commencement of the fiscal year.</w:t>
      </w:r>
    </w:p>
    <w:p>
      <w:pPr>
        <w:spacing w:after="0" w:line="125" w:lineRule="exact"/>
        <w:rPr>
          <w:sz w:val="20"/>
          <w:szCs w:val="20"/>
          <w:color w:val="auto"/>
        </w:rPr>
      </w:pPr>
    </w:p>
    <w:p>
      <w:pPr>
        <w:ind w:right="420" w:firstLine="360"/>
        <w:spacing w:after="0" w:line="264" w:lineRule="auto"/>
        <w:rPr>
          <w:sz w:val="20"/>
          <w:szCs w:val="20"/>
          <w:color w:val="auto"/>
        </w:rPr>
      </w:pPr>
      <w:r>
        <w:rPr>
          <w:rFonts w:ascii="Arial" w:cs="Arial" w:eastAsia="Arial" w:hAnsi="Arial"/>
          <w:sz w:val="18"/>
          <w:szCs w:val="18"/>
          <w:color w:val="auto"/>
        </w:rPr>
        <w:t>Diluted earnings per share (“EPS”) and return on invested capital (“ROIC”) were chosen by the Committee as the key financial performance measurements under the Officers Incentive Compensation Plan. The Board, upon the recommendation of the Committee, selected EPS as a key financial performance metric for the following reasons:</w:t>
      </w:r>
    </w:p>
    <w:p>
      <w:pPr>
        <w:spacing w:after="0" w:line="195" w:lineRule="exact"/>
        <w:rPr>
          <w:sz w:val="20"/>
          <w:szCs w:val="20"/>
          <w:color w:val="auto"/>
        </w:rPr>
      </w:pPr>
    </w:p>
    <w:p>
      <w:pPr>
        <w:ind w:left="1020" w:right="200" w:hanging="472"/>
        <w:spacing w:after="0" w:line="277"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EPS is an important indicator of Company profitability by measuring the Company’s earnings allocable to each outstanding share of common stock;</w:t>
      </w:r>
    </w:p>
    <w:p>
      <w:pPr>
        <w:spacing w:after="0" w:line="35" w:lineRule="exact"/>
        <w:rPr>
          <w:rFonts w:ascii="Arial" w:cs="Arial" w:eastAsia="Arial" w:hAnsi="Arial"/>
          <w:sz w:val="18"/>
          <w:szCs w:val="18"/>
          <w:color w:val="auto"/>
        </w:rPr>
      </w:pPr>
    </w:p>
    <w:p>
      <w:pPr>
        <w:ind w:left="1020" w:hanging="472"/>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EPS aligns the interests of the Named Executive Officer with shareholders;</w:t>
      </w:r>
    </w:p>
    <w:p>
      <w:pPr>
        <w:spacing w:after="0" w:line="90" w:lineRule="exact"/>
        <w:rPr>
          <w:rFonts w:ascii="Arial" w:cs="Arial" w:eastAsia="Arial" w:hAnsi="Arial"/>
          <w:sz w:val="18"/>
          <w:szCs w:val="18"/>
          <w:color w:val="auto"/>
        </w:rPr>
      </w:pPr>
    </w:p>
    <w:p>
      <w:pPr>
        <w:ind w:left="1020" w:hanging="472"/>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EPS factors in the effects of other items of compensation, such as stock options; and</w:t>
      </w:r>
    </w:p>
    <w:p>
      <w:pPr>
        <w:spacing w:after="0" w:line="90" w:lineRule="exact"/>
        <w:rPr>
          <w:rFonts w:ascii="Arial" w:cs="Arial" w:eastAsia="Arial" w:hAnsi="Arial"/>
          <w:sz w:val="18"/>
          <w:szCs w:val="18"/>
          <w:color w:val="auto"/>
        </w:rPr>
      </w:pPr>
    </w:p>
    <w:p>
      <w:pPr>
        <w:ind w:left="1020" w:hanging="472"/>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EPS serves as an important measure in determining corporate profitability for the shareholders.</w:t>
      </w:r>
    </w:p>
    <w:p>
      <w:pPr>
        <w:spacing w:after="0" w:line="252" w:lineRule="exact"/>
        <w:rPr>
          <w:sz w:val="20"/>
          <w:szCs w:val="20"/>
          <w:color w:val="auto"/>
        </w:rPr>
      </w:pPr>
    </w:p>
    <w:p>
      <w:pPr>
        <w:jc w:val="both"/>
        <w:ind w:right="160" w:firstLine="360"/>
        <w:spacing w:after="0" w:line="264" w:lineRule="auto"/>
        <w:rPr>
          <w:sz w:val="20"/>
          <w:szCs w:val="20"/>
          <w:color w:val="auto"/>
        </w:rPr>
      </w:pPr>
      <w:r>
        <w:rPr>
          <w:rFonts w:ascii="Arial" w:cs="Arial" w:eastAsia="Arial" w:hAnsi="Arial"/>
          <w:sz w:val="18"/>
          <w:szCs w:val="18"/>
          <w:color w:val="auto"/>
        </w:rPr>
        <w:t>The formula utilized by the Company for diluted EPS is net income divided by weighted average common diluted shares outstanding. For the purposes of the Officers Incentive Compensation Plan, EPS is calculated on a fiscal year-to-date cumulative basis at each quarter end and a final calculation at fiscal year end.</w:t>
      </w:r>
    </w:p>
    <w:p>
      <w:pPr>
        <w:spacing w:after="0" w:line="14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Additionally, the Board upon the recommendation of the Committee, selected ROIC as another one of its key financial metrics because:</w:t>
      </w:r>
    </w:p>
    <w:p>
      <w:pPr>
        <w:spacing w:after="0" w:line="239" w:lineRule="exact"/>
        <w:rPr>
          <w:sz w:val="20"/>
          <w:szCs w:val="20"/>
          <w:color w:val="auto"/>
        </w:rPr>
      </w:pPr>
    </w:p>
    <w:p>
      <w:pPr>
        <w:ind w:left="1020" w:hanging="472"/>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ROIC is a critical indicator of how effectively a company uses its capital invested in its operations; and</w:t>
      </w:r>
    </w:p>
    <w:p>
      <w:pPr>
        <w:spacing w:after="0" w:line="90" w:lineRule="exact"/>
        <w:rPr>
          <w:rFonts w:ascii="Arial" w:cs="Arial" w:eastAsia="Arial" w:hAnsi="Arial"/>
          <w:sz w:val="18"/>
          <w:szCs w:val="18"/>
          <w:color w:val="auto"/>
        </w:rPr>
      </w:pPr>
    </w:p>
    <w:p>
      <w:pPr>
        <w:ind w:left="1020" w:hanging="472"/>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ROIC is an important measurement for judging how much value the Company is creating.</w:t>
      </w:r>
    </w:p>
    <w:p>
      <w:pPr>
        <w:spacing w:after="0" w:line="252"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The formula utilized by the Company for ROIC is net income divided by the average of the fiscal 2006 and 2007 year-end total assets, less cash, short term investments and non-interest bearing current liabilities. For the purpose of the Officers Incentive Compensation Plan, the Company uses an estimated annual projection of net income for the first three (3) fiscal quarters based upon interim actual performance. At fiscal year end, the actual annual net income is used for a final ROIC calculation.</w:t>
      </w:r>
    </w:p>
    <w:p>
      <w:pPr>
        <w:spacing w:after="0" w:line="146" w:lineRule="exact"/>
        <w:rPr>
          <w:sz w:val="20"/>
          <w:szCs w:val="20"/>
          <w:color w:val="auto"/>
        </w:rPr>
      </w:pPr>
    </w:p>
    <w:p>
      <w:pPr>
        <w:ind w:right="20" w:firstLine="360"/>
        <w:spacing w:after="0" w:line="289" w:lineRule="auto"/>
        <w:rPr>
          <w:sz w:val="20"/>
          <w:szCs w:val="20"/>
          <w:color w:val="auto"/>
        </w:rPr>
      </w:pPr>
      <w:r>
        <w:rPr>
          <w:rFonts w:ascii="Arial" w:cs="Arial" w:eastAsia="Arial" w:hAnsi="Arial"/>
          <w:sz w:val="16"/>
          <w:szCs w:val="16"/>
          <w:color w:val="auto"/>
        </w:rPr>
        <w:t>The Officers Incentive Compensation Plan provides for a bonus (Target) of 60% of base salary (comprised of 2/3 cash and 1/3 stock (or all in cash at the participant’s election)) at 100% achievement of each of the financial objectives of ROIC and EPS for the Named Executive Officers, except the Chief Executive Officer. For the Chief Executive Officer, the Plan provides for a bonus (Target) of 105% of base salary (comprised of 2/3 cash and 1/3 stock (or all in cash at the participant’s election)) at 100% achievement of each of the financial objectives of ROIC and EPS. Fifty percent (50%) of the quarterly incentive calculation for all Named Executive Officers is paid at the end of each quarter and fifty percent (50%) is held back and carried forward into the next quarter on a cumulative basis. At the end of the fourth fiscal quarter (fiscal year end), a final year-end accounting is made prior to the payment of any remaining incentive holdback for the year. In addition, fifty percent (50%) of Named Executive Officers’ cash incentive earned for the year, as described above, is matched annually (in the form of restricted stock or cash, if elected by the Named Executive Officers). The annual supplementary cash payment and remaining incentive compensation holdback is paid as soon as practical after the fiscal year-end compensation accounting is completed.</w:t>
      </w:r>
    </w:p>
    <w:p>
      <w:pPr>
        <w:spacing w:after="0" w:line="126" w:lineRule="exact"/>
        <w:rPr>
          <w:sz w:val="20"/>
          <w:szCs w:val="20"/>
          <w:color w:val="auto"/>
        </w:rPr>
      </w:pPr>
    </w:p>
    <w:p>
      <w:pPr>
        <w:ind w:right="80" w:firstLine="360"/>
        <w:spacing w:after="0" w:line="276" w:lineRule="auto"/>
        <w:rPr>
          <w:sz w:val="20"/>
          <w:szCs w:val="20"/>
          <w:color w:val="auto"/>
        </w:rPr>
      </w:pPr>
      <w:r>
        <w:rPr>
          <w:rFonts w:ascii="Arial" w:cs="Arial" w:eastAsia="Arial" w:hAnsi="Arial"/>
          <w:sz w:val="17"/>
          <w:szCs w:val="17"/>
          <w:color w:val="auto"/>
        </w:rPr>
        <w:t>In calculating the financial targets for incentive eligibility under the Officers Incentive Compensation Plan, the financial performance in fiscal 2007 was weighted 75% to EPS and 25% to ROIC, with an aggregate maximum bonus of 200% of the Target. In fiscal 2007, the Company elected to place a more influential weighting on EPS due to its belief that ROIC is subject to greater volatility and that EPS is an appropriate measurement of overall Company profitability. The first portion of the Target is based solely on ROIC to a maximum of 50% which is achievable at an ROIC of 22%. Financial performance of less than 16.5% ROIC results in no bonus attributable to ROIC. The Committee believed that setting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maximum and minimum bonus levels based on ROIC as defined, would provide for fair and equitable reward opportunity for executives while returning appropriate shareholder value proportionately within those parameters. In fiscal 2006, the Company achieved ROIC of 24.9% and, in surveying a group of approximately 70 companies with the same Standard Industrial Classification Code, the Committee found an average ROIC of 16.5% at such companies as of the end of the last reported fiscal year. The other portion of the Target is based solely on EPS to a maximum of 150%. Attaining the previous fiscal year’s EPS of $1.37 will provide the executive 50% of the target bonus. To attain the maximum of 150%, EPS maximum was set at $2.16, which is approximately 10% above the best EPS in the Company’s history in fiscal 2004, adjusted as described below. Fiscal 2004 EPS utilized for purposes of this calculation was adjusted to reflect the effect on 2004 diluted earnings per share had compensation costs for stock option awards been determined in accordance with FAS 123(R). EPS actual results of less than 75% of the previous year result in no bonus attributable to EPS.</w:t>
      </w:r>
    </w:p>
    <w:p>
      <w:pPr>
        <w:spacing w:after="0" w:line="138" w:lineRule="exact"/>
        <w:rPr>
          <w:sz w:val="20"/>
          <w:szCs w:val="20"/>
          <w:color w:val="auto"/>
        </w:rPr>
      </w:pPr>
    </w:p>
    <w:p>
      <w:pPr>
        <w:ind w:right="100" w:firstLine="360"/>
        <w:spacing w:after="0" w:line="257" w:lineRule="auto"/>
        <w:rPr>
          <w:sz w:val="20"/>
          <w:szCs w:val="20"/>
          <w:color w:val="auto"/>
        </w:rPr>
      </w:pPr>
      <w:r>
        <w:rPr>
          <w:rFonts w:ascii="Arial" w:cs="Arial" w:eastAsia="Arial" w:hAnsi="Arial"/>
          <w:sz w:val="18"/>
          <w:szCs w:val="18"/>
          <w:color w:val="auto"/>
        </w:rPr>
        <w:t>As provided by the Officers Incentive Compensation Plan, the Committee has the discretion and authority to make any and all determinations necessary or advisable for administration of the Officers Incentive Compensation Plan. In addition, under the Officers Incentive Compensation Plan, the Committee reserves the right to modify the Financial Factors used in determining the incentive compensation by plus or minus 20% based upon strategic organizational priorities. Strategic performance is measured only at the end of the fiscal year and is determined by full Board evaluation pursuant to a number of strategic factors, including but not limited to:</w:t>
      </w:r>
    </w:p>
    <w:p>
      <w:pPr>
        <w:spacing w:after="0" w:line="161"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2340" w:type="dxa"/>
            <w:vAlign w:val="bottom"/>
          </w:tcPr>
          <w:p>
            <w:pPr>
              <w:ind w:left="40"/>
              <w:spacing w:after="0"/>
              <w:rPr>
                <w:sz w:val="20"/>
                <w:szCs w:val="20"/>
                <w:color w:val="auto"/>
              </w:rPr>
            </w:pPr>
            <w:r>
              <w:rPr>
                <w:rFonts w:ascii="Arial" w:cs="Arial" w:eastAsia="Arial" w:hAnsi="Arial"/>
                <w:sz w:val="18"/>
                <w:szCs w:val="18"/>
                <w:color w:val="auto"/>
              </w:rPr>
              <w:t>Revenue Growth</w:t>
            </w:r>
          </w:p>
        </w:tc>
        <w:tc>
          <w:tcPr>
            <w:tcW w:w="860" w:type="dxa"/>
            <w:vAlign w:val="bottom"/>
          </w:tcPr>
          <w:p>
            <w:pPr>
              <w:ind w:left="760"/>
              <w:spacing w:after="0"/>
              <w:rPr>
                <w:sz w:val="20"/>
                <w:szCs w:val="20"/>
                <w:color w:val="auto"/>
              </w:rPr>
            </w:pPr>
            <w:r>
              <w:rPr>
                <w:rFonts w:ascii="Arial" w:cs="Arial" w:eastAsia="Arial" w:hAnsi="Arial"/>
                <w:sz w:val="18"/>
                <w:szCs w:val="18"/>
                <w:color w:val="auto"/>
              </w:rPr>
              <w:t>•</w:t>
            </w:r>
          </w:p>
        </w:tc>
        <w:tc>
          <w:tcPr>
            <w:tcW w:w="1940" w:type="dxa"/>
            <w:vAlign w:val="bottom"/>
          </w:tcPr>
          <w:p>
            <w:pPr>
              <w:ind w:left="40"/>
              <w:spacing w:after="0"/>
              <w:rPr>
                <w:sz w:val="20"/>
                <w:szCs w:val="20"/>
                <w:color w:val="auto"/>
              </w:rPr>
            </w:pPr>
            <w:r>
              <w:rPr>
                <w:rFonts w:ascii="Arial" w:cs="Arial" w:eastAsia="Arial" w:hAnsi="Arial"/>
                <w:sz w:val="18"/>
                <w:szCs w:val="18"/>
                <w:color w:val="auto"/>
              </w:rPr>
              <w:t>Customer Satisfaction</w:t>
            </w:r>
          </w:p>
        </w:tc>
      </w:tr>
      <w:tr>
        <w:trPr>
          <w:trHeight w:val="216"/>
        </w:trPr>
        <w:tc>
          <w:tcPr>
            <w:tcW w:w="2440" w:type="dxa"/>
            <w:vAlign w:val="bottom"/>
            <w:gridSpan w:val="2"/>
          </w:tcPr>
          <w:p>
            <w:pPr>
              <w:spacing w:after="0"/>
              <w:rPr>
                <w:sz w:val="20"/>
                <w:szCs w:val="20"/>
                <w:color w:val="auto"/>
              </w:rPr>
            </w:pPr>
            <w:r>
              <w:rPr>
                <w:rFonts w:ascii="Arial" w:cs="Arial" w:eastAsia="Arial" w:hAnsi="Arial"/>
                <w:sz w:val="18"/>
                <w:szCs w:val="18"/>
                <w:color w:val="auto"/>
              </w:rPr>
              <w:t>• Market Share</w:t>
            </w:r>
          </w:p>
        </w:tc>
        <w:tc>
          <w:tcPr>
            <w:tcW w:w="2800" w:type="dxa"/>
            <w:vAlign w:val="bottom"/>
            <w:gridSpan w:val="2"/>
          </w:tcPr>
          <w:p>
            <w:pPr>
              <w:ind w:left="760"/>
              <w:spacing w:after="0"/>
              <w:rPr>
                <w:sz w:val="20"/>
                <w:szCs w:val="20"/>
                <w:color w:val="auto"/>
              </w:rPr>
            </w:pPr>
            <w:r>
              <w:rPr>
                <w:rFonts w:ascii="Arial" w:cs="Arial" w:eastAsia="Arial" w:hAnsi="Arial"/>
                <w:sz w:val="18"/>
                <w:szCs w:val="18"/>
                <w:color w:val="auto"/>
              </w:rPr>
              <w:t>• Inventory Management</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2340" w:type="dxa"/>
            <w:vAlign w:val="bottom"/>
          </w:tcPr>
          <w:p>
            <w:pPr>
              <w:ind w:left="40"/>
              <w:spacing w:after="0"/>
              <w:rPr>
                <w:sz w:val="20"/>
                <w:szCs w:val="20"/>
                <w:color w:val="auto"/>
              </w:rPr>
            </w:pPr>
            <w:r>
              <w:rPr>
                <w:rFonts w:ascii="Arial" w:cs="Arial" w:eastAsia="Arial" w:hAnsi="Arial"/>
                <w:sz w:val="18"/>
                <w:szCs w:val="18"/>
                <w:color w:val="auto"/>
              </w:rPr>
              <w:t>Product Quality</w:t>
            </w:r>
          </w:p>
        </w:tc>
        <w:tc>
          <w:tcPr>
            <w:tcW w:w="860" w:type="dxa"/>
            <w:vAlign w:val="bottom"/>
          </w:tcPr>
          <w:p>
            <w:pPr>
              <w:ind w:left="760"/>
              <w:spacing w:after="0"/>
              <w:rPr>
                <w:sz w:val="20"/>
                <w:szCs w:val="20"/>
                <w:color w:val="auto"/>
              </w:rPr>
            </w:pPr>
            <w:r>
              <w:rPr>
                <w:rFonts w:ascii="Arial" w:cs="Arial" w:eastAsia="Arial" w:hAnsi="Arial"/>
                <w:sz w:val="18"/>
                <w:szCs w:val="18"/>
                <w:color w:val="auto"/>
              </w:rPr>
              <w:t>•</w:t>
            </w:r>
          </w:p>
        </w:tc>
        <w:tc>
          <w:tcPr>
            <w:tcW w:w="1940" w:type="dxa"/>
            <w:vAlign w:val="bottom"/>
          </w:tcPr>
          <w:p>
            <w:pPr>
              <w:ind w:left="40"/>
              <w:spacing w:after="0"/>
              <w:rPr>
                <w:sz w:val="20"/>
                <w:szCs w:val="20"/>
                <w:color w:val="auto"/>
              </w:rPr>
            </w:pPr>
            <w:r>
              <w:rPr>
                <w:rFonts w:ascii="Arial" w:cs="Arial" w:eastAsia="Arial" w:hAnsi="Arial"/>
                <w:sz w:val="18"/>
                <w:szCs w:val="18"/>
                <w:color w:val="auto"/>
              </w:rPr>
              <w:t>Technical Innovation</w:t>
            </w:r>
          </w:p>
        </w:tc>
      </w:tr>
      <w:tr>
        <w:trPr>
          <w:trHeight w:val="230"/>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2340" w:type="dxa"/>
            <w:vAlign w:val="bottom"/>
          </w:tcPr>
          <w:p>
            <w:pPr>
              <w:ind w:left="40"/>
              <w:spacing w:after="0"/>
              <w:rPr>
                <w:sz w:val="20"/>
                <w:szCs w:val="20"/>
                <w:color w:val="auto"/>
              </w:rPr>
            </w:pPr>
            <w:r>
              <w:rPr>
                <w:rFonts w:ascii="Arial" w:cs="Arial" w:eastAsia="Arial" w:hAnsi="Arial"/>
                <w:sz w:val="18"/>
                <w:szCs w:val="18"/>
                <w:color w:val="auto"/>
              </w:rPr>
              <w:t>Product Introductions</w:t>
            </w:r>
          </w:p>
        </w:tc>
        <w:tc>
          <w:tcPr>
            <w:tcW w:w="860" w:type="dxa"/>
            <w:vAlign w:val="bottom"/>
          </w:tcPr>
          <w:p>
            <w:pPr>
              <w:ind w:left="760"/>
              <w:spacing w:after="0"/>
              <w:rPr>
                <w:sz w:val="20"/>
                <w:szCs w:val="20"/>
                <w:color w:val="auto"/>
              </w:rPr>
            </w:pPr>
            <w:r>
              <w:rPr>
                <w:rFonts w:ascii="Arial" w:cs="Arial" w:eastAsia="Arial" w:hAnsi="Arial"/>
                <w:sz w:val="18"/>
                <w:szCs w:val="18"/>
                <w:color w:val="auto"/>
              </w:rPr>
              <w:t>•</w:t>
            </w:r>
          </w:p>
        </w:tc>
        <w:tc>
          <w:tcPr>
            <w:tcW w:w="1940" w:type="dxa"/>
            <w:vAlign w:val="bottom"/>
          </w:tcPr>
          <w:p>
            <w:pPr>
              <w:ind w:left="40"/>
              <w:spacing w:after="0"/>
              <w:rPr>
                <w:sz w:val="20"/>
                <w:szCs w:val="20"/>
                <w:color w:val="auto"/>
              </w:rPr>
            </w:pPr>
            <w:r>
              <w:rPr>
                <w:rFonts w:ascii="Arial" w:cs="Arial" w:eastAsia="Arial" w:hAnsi="Arial"/>
                <w:sz w:val="18"/>
                <w:szCs w:val="18"/>
                <w:color w:val="auto"/>
                <w:w w:val="89"/>
              </w:rPr>
              <w:t>Ethical Business Practices</w:t>
            </w:r>
          </w:p>
        </w:tc>
      </w:tr>
    </w:tbl>
    <w:p>
      <w:pPr>
        <w:sectPr>
          <w:pgSz w:w="11900" w:h="16838" w:orient="portrait"/>
          <w:cols w:equalWidth="0" w:num="1">
            <w:col w:w="11420"/>
          </w:cols>
          <w:pgMar w:left="240" w:top="341" w:right="239" w:bottom="76" w:gutter="0" w:footer="0" w:header="0"/>
        </w:sectPr>
      </w:pPr>
    </w:p>
    <w:bookmarkStart w:id="17" w:name="page18"/>
    <w:bookmarkEnd w:id="17"/>
    <w:p>
      <w:pPr>
        <w:ind w:right="80" w:firstLine="360"/>
        <w:spacing w:after="0" w:line="255" w:lineRule="auto"/>
        <w:rPr>
          <w:sz w:val="20"/>
          <w:szCs w:val="20"/>
          <w:color w:val="auto"/>
        </w:rPr>
      </w:pPr>
      <w:r>
        <w:rPr>
          <w:rFonts w:ascii="Arial" w:cs="Arial" w:eastAsia="Arial" w:hAnsi="Arial"/>
          <w:sz w:val="18"/>
          <w:szCs w:val="18"/>
          <w:color w:val="auto"/>
        </w:rPr>
        <w:t>For the purposes of the Officers Incentive Compensation Plan for fiscal 2007, the Board in October 2007 elected to modify amounts payable pursuant to EPS and ROIC targets by a positive 17.29%. This percentage was derived through a rating process administered by each Board member with respect to certain categories of strategic factors. In October 2006, the Board members took under advisement industry performance, market share, product quality and planning (both strategic and succession) as strategic factors used in modifying the Financial Factors under the Officers Incentive Compensation Plan. The Board viewed these strategic factors as the most critical elements, in addition to the financial metrics used under the plan, to measure the success of the Company.</w:t>
      </w:r>
    </w:p>
    <w:p>
      <w:pPr>
        <w:spacing w:after="0" w:line="15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Table below reflects the amounts paid to Named Executive Officers under the Officers Incentive Compensation Plan: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restart"/>
          </w:tcPr>
          <w:p>
            <w:pPr>
              <w:jc w:val="right"/>
              <w:ind w:right="297"/>
              <w:spacing w:after="0"/>
              <w:rPr>
                <w:sz w:val="20"/>
                <w:szCs w:val="20"/>
                <w:color w:val="auto"/>
              </w:rPr>
            </w:pPr>
            <w:r>
              <w:rPr>
                <w:rFonts w:ascii="Arial" w:cs="Arial" w:eastAsia="Arial" w:hAnsi="Arial"/>
                <w:sz w:val="14"/>
                <w:szCs w:val="14"/>
                <w:b w:val="1"/>
                <w:bCs w:val="1"/>
                <w:color w:val="auto"/>
              </w:rPr>
              <w:t>2007</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restart"/>
          </w:tcPr>
          <w:p>
            <w:pPr>
              <w:jc w:val="right"/>
              <w:ind w:right="297"/>
              <w:spacing w:after="0"/>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restart"/>
          </w:tcPr>
          <w:p>
            <w:pPr>
              <w:jc w:val="center"/>
              <w:ind w:right="57"/>
              <w:spacing w:after="0"/>
              <w:rPr>
                <w:sz w:val="20"/>
                <w:szCs w:val="20"/>
                <w:color w:val="auto"/>
              </w:rPr>
            </w:pPr>
            <w:r>
              <w:rPr>
                <w:rFonts w:ascii="Arial" w:cs="Arial" w:eastAsia="Arial" w:hAnsi="Arial"/>
                <w:sz w:val="14"/>
                <w:szCs w:val="14"/>
                <w:b w:val="1"/>
                <w:bCs w:val="1"/>
                <w:color w:val="auto"/>
                <w:w w:val="96"/>
              </w:rPr>
              <w:t>2007</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Officers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3"/>
              </w:rPr>
              <w:t>Target</w:t>
            </w:r>
          </w:p>
        </w:tc>
        <w:tc>
          <w:tcPr>
            <w:tcW w:w="100" w:type="dxa"/>
            <w:vAlign w:val="bottom"/>
          </w:tcPr>
          <w:p>
            <w:pPr>
              <w:spacing w:after="0"/>
              <w:rPr>
                <w:sz w:val="12"/>
                <w:szCs w:val="12"/>
                <w:color w:val="auto"/>
              </w:rPr>
            </w:pPr>
          </w:p>
        </w:tc>
        <w:tc>
          <w:tcPr>
            <w:tcW w:w="130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rPr>
              <w:t>ROIC</w:t>
            </w:r>
          </w:p>
        </w:tc>
        <w:tc>
          <w:tcPr>
            <w:tcW w:w="100" w:type="dxa"/>
            <w:vAlign w:val="bottom"/>
          </w:tcPr>
          <w:p>
            <w:pPr>
              <w:spacing w:after="0"/>
              <w:rPr>
                <w:sz w:val="12"/>
                <w:szCs w:val="12"/>
                <w:color w:val="auto"/>
              </w:rPr>
            </w:pPr>
          </w:p>
        </w:tc>
        <w:tc>
          <w:tcPr>
            <w:tcW w:w="12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EPS</w:t>
            </w:r>
          </w:p>
        </w:tc>
        <w:tc>
          <w:tcPr>
            <w:tcW w:w="14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Strategic</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Company</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Incentive</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right"/>
              <w:ind w:right="257"/>
              <w:spacing w:after="0" w:line="159" w:lineRule="exact"/>
              <w:rPr>
                <w:sz w:val="20"/>
                <w:szCs w:val="20"/>
                <w:color w:val="auto"/>
              </w:rPr>
            </w:pPr>
            <w:r>
              <w:rPr>
                <w:rFonts w:ascii="Arial" w:cs="Arial" w:eastAsia="Arial" w:hAnsi="Arial"/>
                <w:sz w:val="14"/>
                <w:szCs w:val="14"/>
                <w:b w:val="1"/>
                <w:bCs w:val="1"/>
                <w:color w:val="auto"/>
              </w:rPr>
              <w:t>(25%</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right"/>
              <w:ind w:right="277"/>
              <w:spacing w:after="0" w:line="159" w:lineRule="exact"/>
              <w:rPr>
                <w:sz w:val="20"/>
                <w:szCs w:val="20"/>
                <w:color w:val="auto"/>
              </w:rPr>
            </w:pPr>
            <w:r>
              <w:rPr>
                <w:rFonts w:ascii="Arial" w:cs="Arial" w:eastAsia="Arial" w:hAnsi="Arial"/>
                <w:sz w:val="14"/>
                <w:szCs w:val="14"/>
                <w:b w:val="1"/>
                <w:bCs w:val="1"/>
                <w:color w:val="auto"/>
              </w:rPr>
              <w:t>(75%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center"/>
              <w:ind w:right="300"/>
              <w:spacing w:after="0" w:line="159" w:lineRule="exact"/>
              <w:rPr>
                <w:sz w:val="20"/>
                <w:szCs w:val="20"/>
                <w:color w:val="auto"/>
              </w:rPr>
            </w:pPr>
            <w:r>
              <w:rPr>
                <w:rFonts w:ascii="Arial" w:cs="Arial" w:eastAsia="Arial" w:hAnsi="Arial"/>
                <w:sz w:val="14"/>
                <w:szCs w:val="14"/>
                <w:b w:val="1"/>
                <w:bCs w:val="1"/>
                <w:color w:val="auto"/>
                <w:w w:val="99"/>
              </w:rPr>
              <w:t>Modifier</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3"/>
          </w:tcPr>
          <w:p>
            <w:pPr>
              <w:jc w:val="center"/>
              <w:ind w:right="120"/>
              <w:spacing w:after="0" w:line="159" w:lineRule="exact"/>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310"/>
        </w:trPr>
        <w:tc>
          <w:tcPr>
            <w:tcW w:w="24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000" w:type="dxa"/>
            <w:vAlign w:val="bottom"/>
          </w:tcPr>
          <w:p>
            <w:pPr>
              <w:spacing w:after="0"/>
              <w:rPr>
                <w:sz w:val="24"/>
                <w:szCs w:val="24"/>
                <w:color w:val="auto"/>
              </w:rPr>
            </w:pPr>
          </w:p>
        </w:tc>
        <w:tc>
          <w:tcPr>
            <w:tcW w:w="13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1"/>
              </w:rPr>
              <w:t>Opportunity</w:t>
            </w:r>
            <w:r>
              <w:rPr>
                <w:rFonts w:ascii="Arial" w:cs="Arial" w:eastAsia="Arial" w:hAnsi="Arial"/>
                <w:sz w:val="23"/>
                <w:szCs w:val="23"/>
                <w:b w:val="1"/>
                <w:bCs w:val="1"/>
                <w:color w:val="auto"/>
                <w:w w:val="91"/>
                <w:vertAlign w:val="superscript"/>
              </w:rPr>
              <w:t>(1)</w:t>
            </w:r>
          </w:p>
        </w:tc>
        <w:tc>
          <w:tcPr>
            <w:tcW w:w="100" w:type="dxa"/>
            <w:vAlign w:val="bottom"/>
          </w:tcPr>
          <w:p>
            <w:pPr>
              <w:spacing w:after="0"/>
              <w:rPr>
                <w:sz w:val="24"/>
                <w:szCs w:val="24"/>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9"/>
              </w:rPr>
              <w:t>Weighting)</w:t>
            </w:r>
            <w:r>
              <w:rPr>
                <w:rFonts w:ascii="Arial" w:cs="Arial" w:eastAsia="Arial" w:hAnsi="Arial"/>
                <w:sz w:val="23"/>
                <w:szCs w:val="23"/>
                <w:b w:val="1"/>
                <w:bCs w:val="1"/>
                <w:color w:val="auto"/>
                <w:w w:val="89"/>
                <w:vertAlign w:val="superscript"/>
              </w:rPr>
              <w:t>(2)</w:t>
            </w:r>
          </w:p>
        </w:tc>
        <w:tc>
          <w:tcPr>
            <w:tcW w:w="100" w:type="dxa"/>
            <w:vAlign w:val="bottom"/>
          </w:tcPr>
          <w:p>
            <w:pPr>
              <w:spacing w:after="0"/>
              <w:rPr>
                <w:sz w:val="24"/>
                <w:szCs w:val="24"/>
                <w:color w:val="auto"/>
              </w:rPr>
            </w:pPr>
          </w:p>
        </w:tc>
        <w:tc>
          <w:tcPr>
            <w:tcW w:w="12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Weighting)</w:t>
            </w:r>
            <w:r>
              <w:rPr>
                <w:rFonts w:ascii="Arial" w:cs="Arial" w:eastAsia="Arial" w:hAnsi="Arial"/>
                <w:sz w:val="23"/>
                <w:szCs w:val="23"/>
                <w:b w:val="1"/>
                <w:bCs w:val="1"/>
                <w:color w:val="auto"/>
                <w:w w:val="89"/>
                <w:vertAlign w:val="superscript"/>
              </w:rPr>
              <w:t>(3)</w:t>
            </w:r>
          </w:p>
        </w:tc>
        <w:tc>
          <w:tcPr>
            <w:tcW w:w="140" w:type="dxa"/>
            <w:vAlign w:val="bottom"/>
          </w:tcPr>
          <w:p>
            <w:pPr>
              <w:spacing w:after="0"/>
              <w:rPr>
                <w:sz w:val="24"/>
                <w:szCs w:val="2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Amount</w:t>
            </w:r>
            <w:r>
              <w:rPr>
                <w:rFonts w:ascii="Arial" w:cs="Arial" w:eastAsia="Arial" w:hAnsi="Arial"/>
                <w:sz w:val="23"/>
                <w:szCs w:val="23"/>
                <w:b w:val="1"/>
                <w:bCs w:val="1"/>
                <w:color w:val="auto"/>
                <w:w w:val="92"/>
                <w:vertAlign w:val="superscript"/>
              </w:rPr>
              <w:t>(4)</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Matching</w:t>
            </w:r>
            <w:r>
              <w:rPr>
                <w:rFonts w:ascii="Arial" w:cs="Arial" w:eastAsia="Arial" w:hAnsi="Arial"/>
                <w:sz w:val="23"/>
                <w:szCs w:val="23"/>
                <w:b w:val="1"/>
                <w:bCs w:val="1"/>
                <w:color w:val="auto"/>
                <w:w w:val="92"/>
                <w:vertAlign w:val="superscript"/>
              </w:rPr>
              <w:t>(5)</w:t>
            </w:r>
          </w:p>
        </w:tc>
        <w:tc>
          <w:tcPr>
            <w:tcW w:w="1280" w:type="dxa"/>
            <w:vAlign w:val="bottom"/>
            <w:gridSpan w:val="4"/>
          </w:tcPr>
          <w:p>
            <w:pPr>
              <w:ind w:left="160"/>
              <w:spacing w:after="0"/>
              <w:rPr>
                <w:sz w:val="20"/>
                <w:szCs w:val="20"/>
                <w:color w:val="auto"/>
              </w:rPr>
            </w:pPr>
            <w:r>
              <w:rPr>
                <w:rFonts w:ascii="Arial" w:cs="Arial" w:eastAsia="Arial" w:hAnsi="Arial"/>
                <w:sz w:val="14"/>
                <w:szCs w:val="14"/>
                <w:b w:val="1"/>
                <w:bCs w:val="1"/>
                <w:color w:val="auto"/>
                <w:w w:val="97"/>
              </w:rPr>
              <w:t>Plan Amounts</w:t>
            </w:r>
            <w:r>
              <w:rPr>
                <w:rFonts w:ascii="Arial" w:cs="Arial" w:eastAsia="Arial" w:hAnsi="Arial"/>
                <w:sz w:val="23"/>
                <w:szCs w:val="23"/>
                <w:b w:val="1"/>
                <w:bCs w:val="1"/>
                <w:color w:val="auto"/>
                <w:w w:val="97"/>
                <w:vertAlign w:val="superscript"/>
              </w:rPr>
              <w:t>(6)</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7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940" w:type="dxa"/>
            <w:vAlign w:val="bottom"/>
            <w:tcBorders>
              <w:top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940" w:type="dxa"/>
            <w:vAlign w:val="bottom"/>
            <w:tcBorders>
              <w:top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4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Bruce D. Hetzke</w:t>
            </w:r>
          </w:p>
        </w:tc>
        <w:tc>
          <w:tcPr>
            <w:tcW w:w="1200" w:type="dxa"/>
            <w:vAlign w:val="bottom"/>
            <w:gridSpan w:val="2"/>
            <w:shd w:val="clear" w:color="auto" w:fill="D6F3E8"/>
          </w:tcPr>
          <w:p>
            <w:pPr>
              <w:jc w:val="right"/>
              <w:ind w:right="48"/>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562,008</w:t>
            </w:r>
          </w:p>
        </w:tc>
        <w:tc>
          <w:tcPr>
            <w:tcW w:w="10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187,336</w:t>
            </w:r>
          </w:p>
        </w:tc>
        <w:tc>
          <w:tcPr>
            <w:tcW w:w="360" w:type="dxa"/>
            <w:vAlign w:val="bottom"/>
            <w:shd w:val="clear" w:color="auto" w:fill="D6F3E8"/>
          </w:tcPr>
          <w:p>
            <w:pPr>
              <w:spacing w:after="0"/>
              <w:rPr>
                <w:sz w:val="18"/>
                <w:szCs w:val="18"/>
                <w:color w:val="auto"/>
              </w:rPr>
            </w:pPr>
          </w:p>
        </w:tc>
        <w:tc>
          <w:tcPr>
            <w:tcW w:w="100" w:type="dxa"/>
            <w:vAlign w:val="bottom"/>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163,245</w:t>
            </w:r>
          </w:p>
        </w:tc>
        <w:tc>
          <w:tcPr>
            <w:tcW w:w="14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60,615</w:t>
            </w:r>
          </w:p>
        </w:tc>
        <w:tc>
          <w:tcPr>
            <w:tcW w:w="28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205,598</w:t>
            </w:r>
          </w:p>
        </w:tc>
        <w:tc>
          <w:tcPr>
            <w:tcW w:w="320" w:type="dxa"/>
            <w:vAlign w:val="bottom"/>
            <w:gridSpan w:val="2"/>
            <w:shd w:val="clear" w:color="auto" w:fill="D6F3E8"/>
          </w:tcPr>
          <w:p>
            <w:pPr>
              <w:ind w:lef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616,794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auto"/>
              </w:rPr>
              <w:t>Robert J. Olson</w:t>
            </w:r>
          </w:p>
        </w:tc>
        <w:tc>
          <w:tcPr>
            <w:tcW w:w="120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173,129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57,710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50,288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18,673</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63,335</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190,006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Raymond M. Beebe</w:t>
            </w:r>
          </w:p>
        </w:tc>
        <w:tc>
          <w:tcPr>
            <w:tcW w:w="1200" w:type="dxa"/>
            <w:vAlign w:val="bottom"/>
            <w:gridSpan w:val="2"/>
            <w:shd w:val="clear" w:color="auto" w:fill="D6F3E8"/>
          </w:tcPr>
          <w:p>
            <w:pPr>
              <w:jc w:val="right"/>
              <w:ind w:right="48"/>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148,878</w:t>
            </w:r>
          </w:p>
        </w:tc>
        <w:tc>
          <w:tcPr>
            <w:tcW w:w="10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D6F3E8"/>
          </w:tcPr>
          <w:p>
            <w:pPr>
              <w:jc w:val="right"/>
              <w:ind w:right="360"/>
              <w:spacing w:after="0"/>
              <w:rPr>
                <w:sz w:val="20"/>
                <w:szCs w:val="20"/>
                <w:color w:val="auto"/>
              </w:rPr>
            </w:pPr>
            <w:r>
              <w:rPr>
                <w:rFonts w:ascii="Arial" w:cs="Arial" w:eastAsia="Arial" w:hAnsi="Arial"/>
                <w:sz w:val="18"/>
                <w:szCs w:val="18"/>
                <w:color w:val="auto"/>
              </w:rPr>
              <w:t>49,626</w:t>
            </w:r>
          </w:p>
        </w:tc>
        <w:tc>
          <w:tcPr>
            <w:tcW w:w="100" w:type="dxa"/>
            <w:vAlign w:val="bottom"/>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43,244</w:t>
            </w:r>
          </w:p>
        </w:tc>
        <w:tc>
          <w:tcPr>
            <w:tcW w:w="14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16,058</w:t>
            </w:r>
          </w:p>
        </w:tc>
        <w:tc>
          <w:tcPr>
            <w:tcW w:w="28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54,464</w:t>
            </w:r>
          </w:p>
        </w:tc>
        <w:tc>
          <w:tcPr>
            <w:tcW w:w="320" w:type="dxa"/>
            <w:vAlign w:val="bottom"/>
            <w:gridSpan w:val="2"/>
            <w:shd w:val="clear" w:color="auto" w:fill="D6F3E8"/>
          </w:tcPr>
          <w:p>
            <w:pPr>
              <w:ind w:lef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163,392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auto"/>
              </w:rPr>
              <w:t>Sarah N. Nielsen</w:t>
            </w:r>
          </w:p>
        </w:tc>
        <w:tc>
          <w:tcPr>
            <w:tcW w:w="120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133,546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44,516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38,791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14,404</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48,855</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146,566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William J. O’Leary</w:t>
            </w:r>
          </w:p>
        </w:tc>
        <w:tc>
          <w:tcPr>
            <w:tcW w:w="1200" w:type="dxa"/>
            <w:vAlign w:val="bottom"/>
            <w:gridSpan w:val="2"/>
            <w:shd w:val="clear" w:color="auto" w:fill="D6F3E8"/>
          </w:tcPr>
          <w:p>
            <w:pPr>
              <w:jc w:val="right"/>
              <w:ind w:right="48"/>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141,987</w:t>
            </w:r>
          </w:p>
        </w:tc>
        <w:tc>
          <w:tcPr>
            <w:tcW w:w="10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D6F3E8"/>
          </w:tcPr>
          <w:p>
            <w:pPr>
              <w:jc w:val="right"/>
              <w:ind w:right="360"/>
              <w:spacing w:after="0"/>
              <w:rPr>
                <w:sz w:val="20"/>
                <w:szCs w:val="20"/>
                <w:color w:val="auto"/>
              </w:rPr>
            </w:pPr>
            <w:r>
              <w:rPr>
                <w:rFonts w:ascii="Arial" w:cs="Arial" w:eastAsia="Arial" w:hAnsi="Arial"/>
                <w:sz w:val="18"/>
                <w:szCs w:val="18"/>
                <w:color w:val="auto"/>
              </w:rPr>
              <w:t>47,329</w:t>
            </w:r>
          </w:p>
        </w:tc>
        <w:tc>
          <w:tcPr>
            <w:tcW w:w="100" w:type="dxa"/>
            <w:vAlign w:val="bottom"/>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41,243</w:t>
            </w:r>
          </w:p>
        </w:tc>
        <w:tc>
          <w:tcPr>
            <w:tcW w:w="14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15,314</w:t>
            </w:r>
          </w:p>
        </w:tc>
        <w:tc>
          <w:tcPr>
            <w:tcW w:w="28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51,943</w:t>
            </w:r>
          </w:p>
        </w:tc>
        <w:tc>
          <w:tcPr>
            <w:tcW w:w="320" w:type="dxa"/>
            <w:vAlign w:val="bottom"/>
            <w:gridSpan w:val="2"/>
            <w:shd w:val="clear" w:color="auto" w:fill="D6F3E8"/>
          </w:tcPr>
          <w:p>
            <w:pPr>
              <w:ind w:lef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155,829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auto"/>
              </w:rPr>
              <w:t>Edwin F. Barker</w:t>
            </w:r>
          </w:p>
        </w:tc>
        <w:tc>
          <w:tcPr>
            <w:tcW w:w="120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110,226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26,043</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__</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__</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__</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26,043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146621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540" w:right="360" w:hanging="478"/>
        <w:spacing w:after="0" w:line="253" w:lineRule="auto"/>
        <w:tabs>
          <w:tab w:leader="none" w:pos="5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Officers Incentive Compensation Plan provides for a bonus (Target) of 105% of base salary for the Chief Executive Officer and 60% of base salary for all other Named Executive Officers, as reported in column (c) of the Summary Compensation Table in the “Compensation Tables and Narrative Disclosure” section below.</w:t>
      </w:r>
    </w:p>
    <w:p>
      <w:pPr>
        <w:spacing w:after="0" w:line="65" w:lineRule="exact"/>
        <w:rPr>
          <w:rFonts w:ascii="Arial" w:cs="Arial" w:eastAsia="Arial" w:hAnsi="Arial"/>
          <w:sz w:val="14"/>
          <w:szCs w:val="14"/>
          <w:color w:val="auto"/>
        </w:rPr>
      </w:pPr>
    </w:p>
    <w:p>
      <w:pPr>
        <w:ind w:left="540" w:hanging="478"/>
        <w:spacing w:after="0"/>
        <w:tabs>
          <w:tab w:leader="none" w:pos="5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An aggregate maximum of 50% of the bonus (Target) achieved under the Officers Incentive Compensation Plan with a fiscal 2007 ROIC performance of 26.2%.</w:t>
      </w:r>
    </w:p>
    <w:p>
      <w:pPr>
        <w:spacing w:after="0" w:line="95" w:lineRule="exact"/>
        <w:rPr>
          <w:rFonts w:ascii="Arial" w:cs="Arial" w:eastAsia="Arial" w:hAnsi="Arial"/>
          <w:sz w:val="14"/>
          <w:szCs w:val="14"/>
          <w:color w:val="auto"/>
        </w:rPr>
      </w:pPr>
    </w:p>
    <w:p>
      <w:pPr>
        <w:ind w:left="540" w:hanging="478"/>
        <w:spacing w:after="0"/>
        <w:tabs>
          <w:tab w:leader="none" w:pos="5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An award of 43.5% of the bonus (Target) achieved under the Officers Incentive Compensation Plan with a fiscal 2007 EPS performance of $1.32.</w:t>
      </w:r>
    </w:p>
    <w:p>
      <w:pPr>
        <w:spacing w:after="0" w:line="95" w:lineRule="exact"/>
        <w:rPr>
          <w:rFonts w:ascii="Arial" w:cs="Arial" w:eastAsia="Arial" w:hAnsi="Arial"/>
          <w:sz w:val="14"/>
          <w:szCs w:val="14"/>
          <w:color w:val="auto"/>
        </w:rPr>
      </w:pPr>
    </w:p>
    <w:p>
      <w:pPr>
        <w:ind w:left="540" w:hanging="478"/>
        <w:spacing w:after="0"/>
        <w:tabs>
          <w:tab w:leader="none" w:pos="5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Company strategic modifier award established at a positive 17.29% of fiscal 2007 ROIC and EPS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4" w:lineRule="exact"/>
        <w:rPr>
          <w:sz w:val="20"/>
          <w:szCs w:val="20"/>
          <w:color w:val="auto"/>
        </w:rPr>
      </w:pPr>
    </w:p>
    <w:p>
      <w:pPr>
        <w:ind w:left="540" w:hanging="478"/>
        <w:spacing w:after="0"/>
        <w:tabs>
          <w:tab w:leader="none" w:pos="5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Company matching of 50% of Named Executive Officer’s cash incentive award payment under the Officers Incentive Compensation Plan.</w:t>
      </w:r>
    </w:p>
    <w:p>
      <w:pPr>
        <w:spacing w:after="0" w:line="95" w:lineRule="exact"/>
        <w:rPr>
          <w:rFonts w:ascii="Arial" w:cs="Arial" w:eastAsia="Arial" w:hAnsi="Arial"/>
          <w:sz w:val="14"/>
          <w:szCs w:val="14"/>
          <w:color w:val="auto"/>
        </w:rPr>
      </w:pPr>
    </w:p>
    <w:p>
      <w:pPr>
        <w:ind w:left="540" w:hanging="478"/>
        <w:spacing w:after="0"/>
        <w:tabs>
          <w:tab w:leader="none" w:pos="5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These amounts are reported in column (g) of the Summary Compensation Table in the “Compensation Tables and Narrative Disclosure” section below.</w:t>
      </w:r>
    </w:p>
    <w:p>
      <w:pPr>
        <w:spacing w:after="0" w:line="200" w:lineRule="exact"/>
        <w:rPr>
          <w:sz w:val="20"/>
          <w:szCs w:val="20"/>
          <w:color w:val="auto"/>
        </w:rPr>
      </w:pPr>
    </w:p>
    <w:p>
      <w:pPr>
        <w:spacing w:after="0" w:line="265"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color w:val="auto"/>
        </w:rPr>
        <w:t>Named Executive Officers may be entitled to earlier vesting of awards under the Officers Incentive Compensation Plan in the event of a “Change of Control” (as defined in the Officers Incentive Compensation Plan), disability, termination of employment or death. See “Potential Payments upon Termination or Change of Control - Annual Incentive Plan Payments” below.</w:t>
      </w:r>
    </w:p>
    <w:p>
      <w:pPr>
        <w:spacing w:after="0" w:line="154" w:lineRule="exact"/>
        <w:rPr>
          <w:sz w:val="20"/>
          <w:szCs w:val="20"/>
          <w:color w:val="auto"/>
        </w:rPr>
      </w:pPr>
    </w:p>
    <w:p>
      <w:pPr>
        <w:ind w:right="60" w:firstLine="360"/>
        <w:spacing w:after="0" w:line="273" w:lineRule="auto"/>
        <w:rPr>
          <w:sz w:val="20"/>
          <w:szCs w:val="20"/>
          <w:color w:val="auto"/>
        </w:rPr>
      </w:pPr>
      <w:r>
        <w:rPr>
          <w:rFonts w:ascii="Arial" w:cs="Arial" w:eastAsia="Arial" w:hAnsi="Arial"/>
          <w:sz w:val="17"/>
          <w:szCs w:val="17"/>
          <w:i w:val="1"/>
          <w:iCs w:val="1"/>
          <w:color w:val="auto"/>
        </w:rPr>
        <w:t xml:space="preserve">Officers Incentive Compensation Plan Fiscal Period 2008 — </w:t>
      </w:r>
      <w:r>
        <w:rPr>
          <w:rFonts w:ascii="Arial" w:cs="Arial" w:eastAsia="Arial" w:hAnsi="Arial"/>
          <w:sz w:val="17"/>
          <w:szCs w:val="17"/>
          <w:color w:val="auto"/>
        </w:rPr>
        <w:t>In June 2007, the Board of Directors established and in October 2007, the Board of</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approved, the financial performance measurements and the threshold, target and maximum performance levels for which incentive awards will be paid pursuant to the Officers Incentive Compensation Plan Fiscal Period 2008 (the “2008 Plan”) for fiscal 2008. Similar to the Officers Incentive Compensation Plan designed by the Board of Directors for fiscal 2007, the 2008 Plan was established to provide Named Executive Officers with quarterly incentive compensation awards based upon EPS and ROIC objectives (weighted at 75% EPS and 25% ROIC). For fiscal 2008, the Board of Directors elected to adjust the compensation targets under the 2008 Plan for each of the Named Executive Officers as follows:</w:t>
      </w:r>
    </w:p>
    <w:p>
      <w:pPr>
        <w:spacing w:after="0" w:line="192" w:lineRule="exact"/>
        <w:rPr>
          <w:sz w:val="20"/>
          <w:szCs w:val="20"/>
          <w:color w:val="auto"/>
        </w:rPr>
      </w:pPr>
    </w:p>
    <w:p>
      <w:pPr>
        <w:ind w:left="1020" w:right="340" w:hanging="472"/>
        <w:spacing w:after="0" w:line="277"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Fiscal 2008 EPS target established as fiscal 2007 EPS performance ($1.32) plus a 5% growth factor (fiscal 2007 EPS target was set at fiscal 2006 EPS performance);</w:t>
      </w:r>
    </w:p>
    <w:p>
      <w:pPr>
        <w:spacing w:after="0" w:line="35" w:lineRule="exact"/>
        <w:rPr>
          <w:rFonts w:ascii="Arial" w:cs="Arial" w:eastAsia="Arial" w:hAnsi="Arial"/>
          <w:sz w:val="18"/>
          <w:szCs w:val="18"/>
          <w:color w:val="auto"/>
        </w:rPr>
      </w:pPr>
    </w:p>
    <w:p>
      <w:pPr>
        <w:ind w:left="1020" w:hanging="472"/>
        <w:spacing w:after="0"/>
        <w:tabs>
          <w:tab w:leader="none" w:pos="10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EPS actual results of less than 80% of the 2008 EPS target results in no bonus attributable to EPS (fiscal 2007 minimum set at 75%);</w:t>
      </w:r>
    </w:p>
    <w:p>
      <w:pPr>
        <w:spacing w:after="0" w:line="101" w:lineRule="exact"/>
        <w:rPr>
          <w:rFonts w:ascii="Arial" w:cs="Arial" w:eastAsia="Arial" w:hAnsi="Arial"/>
          <w:sz w:val="17"/>
          <w:szCs w:val="17"/>
          <w:color w:val="auto"/>
        </w:rPr>
      </w:pPr>
    </w:p>
    <w:p>
      <w:pPr>
        <w:ind w:left="1020" w:hanging="472"/>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Minimum fiscal 2008 ROIC established at 16% (fiscal 2007 ROIC minimum set at 16.5%); and</w:t>
      </w:r>
    </w:p>
    <w:p>
      <w:pPr>
        <w:spacing w:after="0" w:line="90" w:lineRule="exact"/>
        <w:rPr>
          <w:rFonts w:ascii="Arial" w:cs="Arial" w:eastAsia="Arial" w:hAnsi="Arial"/>
          <w:sz w:val="18"/>
          <w:szCs w:val="18"/>
          <w:color w:val="auto"/>
        </w:rPr>
      </w:pPr>
    </w:p>
    <w:p>
      <w:pPr>
        <w:ind w:left="1020" w:hanging="472"/>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Maximum fiscal 2008 ROIC established at 24.5% (fiscal 2007 ROIC maximum set at 22%).</w:t>
      </w:r>
    </w:p>
    <w:p>
      <w:pPr>
        <w:spacing w:after="0" w:line="239" w:lineRule="exact"/>
        <w:rPr>
          <w:sz w:val="20"/>
          <w:szCs w:val="20"/>
          <w:color w:val="auto"/>
        </w:rPr>
      </w:pPr>
    </w:p>
    <w:p>
      <w:pPr>
        <w:ind w:right="180" w:firstLine="360"/>
        <w:spacing w:after="0" w:line="342" w:lineRule="auto"/>
        <w:rPr>
          <w:sz w:val="20"/>
          <w:szCs w:val="20"/>
          <w:color w:val="auto"/>
        </w:rPr>
      </w:pPr>
      <w:r>
        <w:rPr>
          <w:rFonts w:ascii="Arial" w:cs="Arial" w:eastAsia="Arial" w:hAnsi="Arial"/>
          <w:sz w:val="16"/>
          <w:szCs w:val="16"/>
          <w:color w:val="auto"/>
        </w:rPr>
        <w:t>Under the 2008 Plan, the Committee has the discretion and authority to modify the above financial factors for the 2008 Plan in determining fiscal 2008 annual incentive compensation by plus or minus 20% based upon strategic organizational priorities similar to the Officers Incentive Compensation Plan.</w:t>
      </w:r>
    </w:p>
    <w:p>
      <w:pPr>
        <w:spacing w:after="0" w:line="97" w:lineRule="exact"/>
        <w:rPr>
          <w:sz w:val="20"/>
          <w:szCs w:val="20"/>
          <w:color w:val="auto"/>
        </w:rPr>
      </w:pPr>
    </w:p>
    <w:p>
      <w:pPr>
        <w:ind w:right="140" w:firstLine="360"/>
        <w:spacing w:after="0" w:line="259" w:lineRule="auto"/>
        <w:rPr>
          <w:sz w:val="20"/>
          <w:szCs w:val="20"/>
          <w:color w:val="auto"/>
        </w:rPr>
      </w:pPr>
      <w:r>
        <w:rPr>
          <w:rFonts w:ascii="Arial" w:cs="Arial" w:eastAsia="Arial" w:hAnsi="Arial"/>
          <w:sz w:val="18"/>
          <w:szCs w:val="18"/>
          <w:b w:val="1"/>
          <w:bCs w:val="1"/>
          <w:i w:val="1"/>
          <w:iCs w:val="1"/>
          <w:color w:val="auto"/>
        </w:rPr>
        <w:t xml:space="preserve">Long-Term Incentives. </w:t>
      </w:r>
      <w:r>
        <w:rPr>
          <w:rFonts w:ascii="Arial" w:cs="Arial" w:eastAsia="Arial" w:hAnsi="Arial"/>
          <w:sz w:val="18"/>
          <w:szCs w:val="18"/>
          <w:color w:val="auto"/>
        </w:rPr>
        <w:t>The Company recognizes long-term incentive opportunity as an important element of the total executive compensation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program for Named Executive Officers. Long-term incentives are intended to retain and motivate executives and to encourage a strong link between management objectives and shareholder long-term interests. Company long-term incentives include the Officers Long-Term Incentive Plan described below, together with long-term incentives provided through grants of stock options and restricted stock grants.</w:t>
      </w:r>
    </w:p>
    <w:p>
      <w:pPr>
        <w:spacing w:after="0" w:line="146" w:lineRule="exact"/>
        <w:rPr>
          <w:sz w:val="20"/>
          <w:szCs w:val="20"/>
          <w:color w:val="auto"/>
        </w:rPr>
      </w:pPr>
    </w:p>
    <w:p>
      <w:pPr>
        <w:ind w:right="80" w:firstLine="360"/>
        <w:spacing w:after="0" w:line="279" w:lineRule="auto"/>
        <w:rPr>
          <w:sz w:val="20"/>
          <w:szCs w:val="20"/>
          <w:color w:val="auto"/>
        </w:rPr>
      </w:pPr>
      <w:r>
        <w:rPr>
          <w:rFonts w:ascii="Arial" w:cs="Arial" w:eastAsia="Arial" w:hAnsi="Arial"/>
          <w:sz w:val="17"/>
          <w:szCs w:val="17"/>
          <w:i w:val="1"/>
          <w:iCs w:val="1"/>
          <w:color w:val="auto"/>
        </w:rPr>
        <w:t xml:space="preserve">Officers Long-Term Incentive Plan — </w:t>
      </w:r>
      <w:r>
        <w:rPr>
          <w:rFonts w:ascii="Arial" w:cs="Arial" w:eastAsia="Arial" w:hAnsi="Arial"/>
          <w:sz w:val="17"/>
          <w:szCs w:val="17"/>
          <w:color w:val="auto"/>
        </w:rPr>
        <w:t>The Company’s Named Executive Officers are eligible for annual incentive awards under the Company’s Officers</w:t>
      </w:r>
      <w:r>
        <w:rPr>
          <w:rFonts w:ascii="Arial" w:cs="Arial" w:eastAsia="Arial" w:hAnsi="Arial"/>
          <w:sz w:val="17"/>
          <w:szCs w:val="17"/>
          <w:i w:val="1"/>
          <w:iCs w:val="1"/>
          <w:color w:val="auto"/>
        </w:rPr>
        <w:t xml:space="preserve"> </w:t>
      </w:r>
      <w:r>
        <w:rPr>
          <w:rFonts w:ascii="Arial" w:cs="Arial" w:eastAsia="Arial" w:hAnsi="Arial"/>
          <w:sz w:val="17"/>
          <w:szCs w:val="17"/>
          <w:color w:val="auto"/>
        </w:rPr>
        <w:t>Long-Term Incentive Plan (the “Long-Term Incentive Plan”). Each year, the Committee establishes a three-year performance plan to promote the long-term growth and profitability of the Company and to attract and retain executives by providing the officers an opportunity for an incentive award consisting of stock grants made in restricted shares of the Company’s common stock (or at the election of a participating officer, in cash).</w:t>
      </w:r>
    </w:p>
    <w:p>
      <w:pPr>
        <w:spacing w:after="0" w:line="131" w:lineRule="exact"/>
        <w:rPr>
          <w:sz w:val="20"/>
          <w:szCs w:val="20"/>
          <w:color w:val="auto"/>
        </w:rPr>
      </w:pPr>
    </w:p>
    <w:p>
      <w:pPr>
        <w:ind w:right="160" w:firstLine="360"/>
        <w:spacing w:after="0" w:line="297" w:lineRule="auto"/>
        <w:rPr>
          <w:sz w:val="20"/>
          <w:szCs w:val="20"/>
          <w:color w:val="auto"/>
        </w:rPr>
      </w:pPr>
      <w:r>
        <w:rPr>
          <w:rFonts w:ascii="Arial" w:cs="Arial" w:eastAsia="Arial" w:hAnsi="Arial"/>
          <w:sz w:val="16"/>
          <w:szCs w:val="16"/>
          <w:color w:val="auto"/>
        </w:rPr>
        <w:t>The rewards for achieving results under these overlapping Long-Term Incentive Plans vary by each three-year period and by Named Executive Officer. In general, the awards are based upon the Company’s financial performance as measured against the three-year management plan established by the Committee and approved by the Board of Directors. The financial performance measurements for each Long-Term Incentive Plan are primarily based upon the achievement of certain EPS thresholds as determined in each three-year plan. In addition, the Company established certain return on equity (“ROE”) targets for the 2005-2007 Plan (as defined below), certain minimum and ROE targets for the 2006-2008 Plan (as defined below) and certain minimum and</w:t>
      </w:r>
    </w:p>
    <w:p>
      <w:pPr>
        <w:sectPr>
          <w:pgSz w:w="11900" w:h="16838" w:orient="portrait"/>
          <w:cols w:equalWidth="0" w:num="1">
            <w:col w:w="11420"/>
          </w:cols>
          <w:pgMar w:left="240" w:top="125" w:right="239" w:bottom="0" w:gutter="0" w:footer="0" w:header="0"/>
        </w:sectPr>
      </w:pPr>
    </w:p>
    <w:bookmarkStart w:id="18" w:name="page19"/>
    <w:bookmarkEnd w:id="18"/>
    <w:p>
      <w:pPr>
        <w:ind w:right="40"/>
        <w:spacing w:after="0" w:line="308" w:lineRule="auto"/>
        <w:rPr>
          <w:sz w:val="20"/>
          <w:szCs w:val="20"/>
          <w:color w:val="auto"/>
        </w:rPr>
      </w:pPr>
      <w:r>
        <w:rPr>
          <w:rFonts w:ascii="Arial" w:cs="Arial" w:eastAsia="Arial" w:hAnsi="Arial"/>
          <w:sz w:val="17"/>
          <w:szCs w:val="17"/>
          <w:color w:val="auto"/>
        </w:rPr>
        <w:t>ROIC targets for the 2007-2009 Plan (as defined below). Stockholders’ equity at the start of the Company’s fiscal year of the applicable plan period is used as the basis figure for the calculation of ROE. The Company calculates EPS in the same manner as described above in “Annual Incentive Plan.”</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81"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8"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Under the Long Term Incentive Plan, the amount of a Named Executive Officer’s incentive compensation for the three-year period is calculated to be in direct linear proportion to the Company’s measured financial performance expressed as a percentage against compensation targets for each participant, as determined by the Board of Directors. Named Executive Officers may be entitled to earlier vesting of awards under the Long Term Incentive Plan in the event of a “Change of Control” (as defined in the Long-Term Incentive Plan), disability, termination of employment or death. See “Potential Payments upon Termination or Change of Control - Long-Term Incentive Plan Payments” below.</w:t>
      </w:r>
    </w:p>
    <w:p>
      <w:pPr>
        <w:spacing w:after="0" w:line="148"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i w:val="1"/>
          <w:iCs w:val="1"/>
          <w:color w:val="auto"/>
        </w:rPr>
        <w:t xml:space="preserve">Long-Term Incentive Plan Fiscal 2005-2007. </w:t>
      </w:r>
      <w:r>
        <w:rPr>
          <w:rFonts w:ascii="Arial" w:cs="Arial" w:eastAsia="Arial" w:hAnsi="Arial"/>
          <w:sz w:val="18"/>
          <w:szCs w:val="18"/>
          <w:color w:val="auto"/>
        </w:rPr>
        <w:t>In October 2004, the Committee established a three-year plan with management objectives based on EPS</w:t>
      </w:r>
      <w:r>
        <w:rPr>
          <w:rFonts w:ascii="Arial" w:cs="Arial" w:eastAsia="Arial" w:hAnsi="Arial"/>
          <w:sz w:val="18"/>
          <w:szCs w:val="18"/>
          <w:i w:val="1"/>
          <w:iCs w:val="1"/>
          <w:color w:val="auto"/>
        </w:rPr>
        <w:t xml:space="preserve"> </w:t>
      </w:r>
      <w:r>
        <w:rPr>
          <w:rFonts w:ascii="Arial" w:cs="Arial" w:eastAsia="Arial" w:hAnsi="Arial"/>
          <w:sz w:val="18"/>
          <w:szCs w:val="18"/>
          <w:color w:val="auto"/>
        </w:rPr>
        <w:t>and ROE, with a performance period from fiscal 2005 through fiscal 2007 (the “2005-2007 Plan”). The Committee selected EPS and ROE for this plan period due to its belief that these financial metrics serve as important indicators of Company profitability and help support long-term goals and values for the Company and its shareholders.</w:t>
      </w:r>
    </w:p>
    <w:p>
      <w:pPr>
        <w:spacing w:after="0" w:line="146" w:lineRule="exact"/>
        <w:rPr>
          <w:sz w:val="20"/>
          <w:szCs w:val="20"/>
          <w:color w:val="auto"/>
        </w:rPr>
      </w:pPr>
    </w:p>
    <w:p>
      <w:pPr>
        <w:ind w:firstLine="360"/>
        <w:spacing w:after="0" w:line="290" w:lineRule="auto"/>
        <w:rPr>
          <w:sz w:val="20"/>
          <w:szCs w:val="20"/>
          <w:color w:val="auto"/>
        </w:rPr>
      </w:pPr>
      <w:r>
        <w:rPr>
          <w:rFonts w:ascii="Arial" w:cs="Arial" w:eastAsia="Arial" w:hAnsi="Arial"/>
          <w:sz w:val="16"/>
          <w:szCs w:val="16"/>
          <w:color w:val="auto"/>
        </w:rPr>
        <w:t>The 2005-2007 Plan provided for a bonus (Target) of 25% of the annualized base salary of each Named Executive Officer, awarded in restricted stock (or in cash at the participant’s election) at 100% achievement of each of the financial objectives of EPS and ROE. The annualized base salary figure utilized for measurement in the 2005-2007 Plan was the salary in place for each participant as of January 2005. Incentive award percentages under the 2005-2007 Plan were established in accordance with a performance matrix consisting of three-year cumulative EPS and average annual ROE targets established by the Committee. The resultant incentive award (at 100% of the three-year fiscal financial targets) is adjusted up or down as determined by the actual financial performance of EPS and ROE, expressed as a percentage (Financial Factor) at the end of the three-year fiscal period. Financial performance of less than either 80% of the EPS or 77.6% of the ROE financial targets results in no incentive award under the 2005-2007 Plan. The maximum aggregate incentive award of 150% of Target could have been earned if both financial measurement components of EPS and ROE under the 2005-2007 Plan were maximized.</w:t>
      </w:r>
    </w:p>
    <w:p>
      <w:pPr>
        <w:spacing w:after="0" w:line="139" w:lineRule="exact"/>
        <w:rPr>
          <w:sz w:val="20"/>
          <w:szCs w:val="20"/>
          <w:color w:val="auto"/>
        </w:rPr>
      </w:pPr>
    </w:p>
    <w:p>
      <w:pPr>
        <w:ind w:right="100" w:firstLine="360"/>
        <w:spacing w:after="0" w:line="264" w:lineRule="auto"/>
        <w:rPr>
          <w:sz w:val="20"/>
          <w:szCs w:val="20"/>
          <w:color w:val="auto"/>
        </w:rPr>
      </w:pPr>
      <w:r>
        <w:rPr>
          <w:rFonts w:ascii="Arial" w:cs="Arial" w:eastAsia="Arial" w:hAnsi="Arial"/>
          <w:sz w:val="18"/>
          <w:szCs w:val="18"/>
          <w:color w:val="auto"/>
        </w:rPr>
        <w:t>The Committee established minimum to maximum financial targets for the 2005-2007 Plan performance matrix, ranging from $5.17 to $7.75 for EPS and 28.4% to 44.7% for ROE. The actual three-year cumulative EPS and average annual ROE achieved for the 2005-2007 Plan period was $4.67 and 25.0%, respectively, which resulted in no payout in fiscal 2007 under the 2005-2007 Plan.</w:t>
      </w:r>
    </w:p>
    <w:p>
      <w:pPr>
        <w:spacing w:after="0" w:line="141" w:lineRule="exact"/>
        <w:rPr>
          <w:sz w:val="20"/>
          <w:szCs w:val="20"/>
          <w:color w:val="auto"/>
        </w:rPr>
      </w:pPr>
    </w:p>
    <w:p>
      <w:pPr>
        <w:jc w:val="both"/>
        <w:ind w:right="20" w:firstLine="360"/>
        <w:spacing w:after="0" w:line="288" w:lineRule="auto"/>
        <w:rPr>
          <w:sz w:val="20"/>
          <w:szCs w:val="20"/>
          <w:color w:val="auto"/>
        </w:rPr>
      </w:pPr>
      <w:r>
        <w:rPr>
          <w:rFonts w:ascii="Arial" w:cs="Arial" w:eastAsia="Arial" w:hAnsi="Arial"/>
          <w:sz w:val="16"/>
          <w:szCs w:val="16"/>
          <w:i w:val="1"/>
          <w:iCs w:val="1"/>
          <w:color w:val="auto"/>
        </w:rPr>
        <w:t xml:space="preserve">Long-Term Incentive Plan Fiscal 2006-2008. </w:t>
      </w:r>
      <w:r>
        <w:rPr>
          <w:rFonts w:ascii="Arial" w:cs="Arial" w:eastAsia="Arial" w:hAnsi="Arial"/>
          <w:sz w:val="16"/>
          <w:szCs w:val="16"/>
          <w:color w:val="auto"/>
        </w:rPr>
        <w:t>In October 2005, the Committee established a three-year plan with management objectives based on EPS</w:t>
      </w:r>
      <w:r>
        <w:rPr>
          <w:rFonts w:ascii="Arial" w:cs="Arial" w:eastAsia="Arial" w:hAnsi="Arial"/>
          <w:sz w:val="16"/>
          <w:szCs w:val="16"/>
          <w:i w:val="1"/>
          <w:iCs w:val="1"/>
          <w:color w:val="auto"/>
        </w:rPr>
        <w:t xml:space="preserve"> </w:t>
      </w:r>
      <w:r>
        <w:rPr>
          <w:rFonts w:ascii="Arial" w:cs="Arial" w:eastAsia="Arial" w:hAnsi="Arial"/>
          <w:sz w:val="16"/>
          <w:szCs w:val="16"/>
          <w:color w:val="auto"/>
        </w:rPr>
        <w:t>and ROE, with a performance period from fiscal 2006 through fiscal 2008 (the “2006-2008 Plan”). The Committee selected EPS and ROE for this plan period based on the same principles considered for the 2005-2007 Plan. In contrast to the 2005-2007 Plan, in lieu of establishing a range of ROE targets for the</w:t>
      </w:r>
    </w:p>
    <w:p>
      <w:pPr>
        <w:ind w:right="240"/>
        <w:spacing w:after="0" w:line="277" w:lineRule="auto"/>
        <w:rPr>
          <w:sz w:val="20"/>
          <w:szCs w:val="20"/>
          <w:color w:val="auto"/>
        </w:rPr>
      </w:pPr>
      <w:r>
        <w:rPr>
          <w:rFonts w:ascii="Arial" w:cs="Arial" w:eastAsia="Arial" w:hAnsi="Arial"/>
          <w:sz w:val="17"/>
          <w:szCs w:val="17"/>
          <w:color w:val="auto"/>
        </w:rPr>
        <w:t>2006-2008 Plan, the Committee instituted a threshold ROE requirement which provides that no payment will be made under the 2006-2008 Plan unless the Company achieves at least an average annual ROE of 21% for the fiscal three-year period. To the extent this threshold ROE is achieved, incentive award percentages under the 2006-2008 Plan were established by the Committee in accordance with three-year cumulative EPS targets.</w:t>
      </w:r>
    </w:p>
    <w:p>
      <w:pPr>
        <w:spacing w:after="0" w:line="133"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The 2006-2008 Plan provides for a bonus (Target) of 25% of the annualized base salary (Target) to be awarded in restricted stock (or in cash at the participant’s election) at 100% achievement of each of the financial objectives of EPS and a minimum ROE. The annualized base salary figure utilized for measurement in the 2006-2008 Plan will be the salary in place for each participant as of January 2006. The resultant incentive award (at 100% of the three-year fiscal plan) will be adjusted up or down as determined by the actual financial performance of EPS expressed as a percentage (Financial Factor) at the end of the three-year fiscal period.</w:t>
      </w:r>
    </w:p>
    <w:p>
      <w:pPr>
        <w:spacing w:after="0" w:line="161" w:lineRule="exact"/>
        <w:rPr>
          <w:sz w:val="20"/>
          <w:szCs w:val="20"/>
          <w:color w:val="auto"/>
        </w:rPr>
      </w:pPr>
    </w:p>
    <w:p>
      <w:pPr>
        <w:ind w:firstLine="360"/>
        <w:spacing w:after="0" w:line="302" w:lineRule="auto"/>
        <w:rPr>
          <w:sz w:val="20"/>
          <w:szCs w:val="20"/>
          <w:color w:val="auto"/>
        </w:rPr>
      </w:pPr>
      <w:r>
        <w:rPr>
          <w:rFonts w:ascii="Arial" w:cs="Arial" w:eastAsia="Arial" w:hAnsi="Arial"/>
          <w:sz w:val="16"/>
          <w:szCs w:val="16"/>
          <w:color w:val="auto"/>
        </w:rPr>
        <w:t>The Committee determined that the three-year cumulative EPS target under the 2006-2008 Plan is as follows: The Committee set the first year target for the 2006-2008 Plan as the actual EPS for fiscal 2005, increased by 10%. The Committee set the second year target for the 2006-2008 Plan as the first year target EPS increased by 10%, and the third year target as the second year target EPS increased by 10%. Financial performance of less than 80% for EPS of the financial performance goal results in no incentive award under the 2006-2008 Plan. The Committee set the maximum target three-year</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cumulative EPS at $7.137, the best EPS fiscal year end in the Company’s history with a 10% per fiscal year projected increase. The maximum aggregate incentive award of 150% of Target can be earned if this financial measurement of EPS is maximized.</w:t>
      </w:r>
    </w:p>
    <w:p>
      <w:pPr>
        <w:spacing w:after="0" w:line="143" w:lineRule="exact"/>
        <w:rPr>
          <w:sz w:val="20"/>
          <w:szCs w:val="20"/>
          <w:color w:val="auto"/>
        </w:rPr>
      </w:pPr>
    </w:p>
    <w:p>
      <w:pPr>
        <w:ind w:right="60" w:firstLine="360"/>
        <w:spacing w:after="0" w:line="293" w:lineRule="auto"/>
        <w:rPr>
          <w:sz w:val="20"/>
          <w:szCs w:val="20"/>
          <w:color w:val="auto"/>
        </w:rPr>
      </w:pPr>
      <w:r>
        <w:rPr>
          <w:rFonts w:ascii="Arial" w:cs="Arial" w:eastAsia="Arial" w:hAnsi="Arial"/>
          <w:sz w:val="16"/>
          <w:szCs w:val="16"/>
          <w:i w:val="1"/>
          <w:iCs w:val="1"/>
          <w:color w:val="auto"/>
        </w:rPr>
        <w:t xml:space="preserve">Long-Term Incentive Plan Fiscal 2007-2009. </w:t>
      </w:r>
      <w:r>
        <w:rPr>
          <w:rFonts w:ascii="Arial" w:cs="Arial" w:eastAsia="Arial" w:hAnsi="Arial"/>
          <w:sz w:val="16"/>
          <w:szCs w:val="16"/>
          <w:color w:val="auto"/>
        </w:rPr>
        <w:t>In October 2006, the Committee established a three-year plan with management objectives based on EPS</w:t>
      </w:r>
      <w:r>
        <w:rPr>
          <w:rFonts w:ascii="Arial" w:cs="Arial" w:eastAsia="Arial" w:hAnsi="Arial"/>
          <w:sz w:val="16"/>
          <w:szCs w:val="16"/>
          <w:i w:val="1"/>
          <w:iCs w:val="1"/>
          <w:color w:val="auto"/>
        </w:rPr>
        <w:t xml:space="preserve"> </w:t>
      </w:r>
      <w:r>
        <w:rPr>
          <w:rFonts w:ascii="Arial" w:cs="Arial" w:eastAsia="Arial" w:hAnsi="Arial"/>
          <w:sz w:val="16"/>
          <w:szCs w:val="16"/>
          <w:color w:val="auto"/>
        </w:rPr>
        <w:t>and ROIC, with a performance period from fiscal 2007 through fiscal 2009 (the “2007-2009 Plan”). The Committee selected EPS and ROIC, for this plan based on the same principles utilized for the Company’s annual incentive compensation in fiscal 2007, as discussed above under “Annual Incentive Plan.” The Committee decided to change from a ROE financial measurement to ROIC in order to provide for relative consistency between the annual and longer term incentive plans and financial goals. In addition, the Committee viewed ROIC as a critical indicator of how effectively a company uses its capital invested in its operations during periods of market volatility and as an important measurement of value a company is creating for its shareholders.</w:t>
      </w:r>
    </w:p>
    <w:p>
      <w:pPr>
        <w:spacing w:after="0" w:line="124" w:lineRule="exact"/>
        <w:rPr>
          <w:sz w:val="20"/>
          <w:szCs w:val="20"/>
          <w:color w:val="auto"/>
        </w:rPr>
      </w:pPr>
    </w:p>
    <w:p>
      <w:pPr>
        <w:ind w:right="100" w:firstLine="360"/>
        <w:spacing w:after="0" w:line="255" w:lineRule="auto"/>
        <w:rPr>
          <w:sz w:val="20"/>
          <w:szCs w:val="20"/>
          <w:color w:val="auto"/>
        </w:rPr>
      </w:pPr>
      <w:r>
        <w:rPr>
          <w:rFonts w:ascii="Arial" w:cs="Arial" w:eastAsia="Arial" w:hAnsi="Arial"/>
          <w:sz w:val="18"/>
          <w:szCs w:val="18"/>
          <w:color w:val="auto"/>
        </w:rPr>
        <w:t>The 2007-2009 Plan provides for a bonus (Target) of 25% of the annualized base salary (Target) to be awarded in restricted stock (or in cash at the participant’s election) at 100% achievement of each of the financial objectives of EPS and ROIC. The annualized base salary figure utilized for measurement in the 2007-2009 Plan will be the salary in place for each participant as of January 2007. The resultant incentive award (at 100% of the three-year fiscal financial targets) will be adjusted up or down as determined by the actual financial performance of EPS and ROIC expressed as a percentage (Financial Factor) at the end of the three-year fiscal period. In calculating the financial targets for incentive eligibility under the Plan, the financial performance is weighted 75% to EPS and 25% to ROIC.</w:t>
      </w:r>
    </w:p>
    <w:p>
      <w:pPr>
        <w:sectPr>
          <w:pgSz w:w="11900" w:h="16838" w:orient="portrait"/>
          <w:cols w:equalWidth="0" w:num="1">
            <w:col w:w="11420"/>
          </w:cols>
          <w:pgMar w:left="240" w:top="125" w:right="239" w:bottom="0" w:gutter="0" w:footer="0" w:header="0"/>
        </w:sectPr>
      </w:pPr>
    </w:p>
    <w:bookmarkStart w:id="19" w:name="page20"/>
    <w:bookmarkEnd w:id="19"/>
    <w:p>
      <w:pPr>
        <w:ind w:right="80" w:firstLine="360"/>
        <w:spacing w:after="0" w:line="264" w:lineRule="auto"/>
        <w:rPr>
          <w:sz w:val="20"/>
          <w:szCs w:val="20"/>
          <w:color w:val="auto"/>
        </w:rPr>
      </w:pPr>
      <w:r>
        <w:rPr>
          <w:rFonts w:ascii="Arial" w:cs="Arial" w:eastAsia="Arial" w:hAnsi="Arial"/>
          <w:sz w:val="18"/>
          <w:szCs w:val="18"/>
          <w:color w:val="auto"/>
        </w:rPr>
        <w:t>The Committee determined that the year one target under the 2007-2009 Plan would be the actual EPS for fiscal 2006. The Committee set the second year target for the 2007-2009 Plan as the actual EPS for 2007 and the third year target as the actual EPS for 2008. The Committee set the maximum target for EPS at 10% above the best EPS fiscal year end in the Company’s history.</w:t>
      </w:r>
    </w:p>
    <w:p>
      <w:pPr>
        <w:spacing w:after="0" w:line="141"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Financial performance of less than 16.5% for ROIC and less than a $2.992 three-year cumulative EPS results in no incentive award under the 2007-2009 Plan. The maximum aggregate incentive award of 150% of Target can be earned if both financial measurement components of EPS and ROIC under 2007-2009 Plan are maximized. Estimated future payouts of plan-based awards under the 2007-2009 Plan are reported in columns (c)-(e) of the Grants of Plan-Base Awards Table in the “Compensation Tables and Narrative Disclosure” below.</w:t>
      </w:r>
    </w:p>
    <w:p>
      <w:pPr>
        <w:spacing w:after="0" w:line="160" w:lineRule="exact"/>
        <w:rPr>
          <w:sz w:val="20"/>
          <w:szCs w:val="20"/>
          <w:color w:val="auto"/>
        </w:rPr>
      </w:pPr>
    </w:p>
    <w:p>
      <w:pPr>
        <w:ind w:right="160" w:firstLine="360"/>
        <w:spacing w:after="0" w:line="255" w:lineRule="auto"/>
        <w:rPr>
          <w:sz w:val="20"/>
          <w:szCs w:val="20"/>
          <w:color w:val="auto"/>
        </w:rPr>
      </w:pPr>
      <w:r>
        <w:rPr>
          <w:rFonts w:ascii="Arial" w:cs="Arial" w:eastAsia="Arial" w:hAnsi="Arial"/>
          <w:sz w:val="18"/>
          <w:szCs w:val="18"/>
          <w:i w:val="1"/>
          <w:iCs w:val="1"/>
          <w:color w:val="auto"/>
        </w:rPr>
        <w:t xml:space="preserve">2004 Incentive Compensation Plan — </w:t>
      </w:r>
      <w:r>
        <w:rPr>
          <w:rFonts w:ascii="Arial" w:cs="Arial" w:eastAsia="Arial" w:hAnsi="Arial"/>
          <w:sz w:val="18"/>
          <w:szCs w:val="18"/>
          <w:color w:val="auto"/>
        </w:rPr>
        <w:t>In 2004, the Company adopted and the shareholders approved the Winnebago Industries, Inc. 2004 Incentive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Plan (such plan, as amended, the “2004 Plan”) to reward key employees and Non-employee Directors by providing for certain cash benefits and additional means for those individuals to acquire common stock of the Company. The Company’s objective in the 2004 Plan is to further the interests of the Company and its shareholders by providing incentives to key employees and Non-employee Directors who contribute materially to the success and profitability of the Company. The Company additionally believes that the 2004 Plan serves to attract and retain certain key employees and Non-employee Directors.</w:t>
      </w:r>
    </w:p>
    <w:p>
      <w:pPr>
        <w:spacing w:after="0" w:line="153" w:lineRule="exact"/>
        <w:rPr>
          <w:sz w:val="20"/>
          <w:szCs w:val="20"/>
          <w:color w:val="auto"/>
        </w:rPr>
      </w:pPr>
    </w:p>
    <w:p>
      <w:pPr>
        <w:ind w:right="40" w:firstLine="360"/>
        <w:spacing w:after="0" w:line="264" w:lineRule="auto"/>
        <w:rPr>
          <w:sz w:val="20"/>
          <w:szCs w:val="20"/>
          <w:color w:val="auto"/>
        </w:rPr>
      </w:pPr>
      <w:r>
        <w:rPr>
          <w:rFonts w:ascii="Arial" w:cs="Arial" w:eastAsia="Arial" w:hAnsi="Arial"/>
          <w:sz w:val="18"/>
          <w:szCs w:val="18"/>
          <w:color w:val="auto"/>
        </w:rPr>
        <w:t>The 2004 Plan provides that employees and Non-employee Directors may receive certain “Stock Awards,” “Performance Awards,” and “Stock Options,” each as defined under the 2004 Plan. Terms, conditions and limitations applicable to any awards granted under the 2004 Plan are determined by the Committee at the discretion of the Board of Directors.</w:t>
      </w:r>
    </w:p>
    <w:p>
      <w:pPr>
        <w:spacing w:after="0" w:line="141"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i w:val="1"/>
          <w:iCs w:val="1"/>
          <w:color w:val="auto"/>
        </w:rPr>
        <w:t xml:space="preserve">Restricted Stock. </w:t>
      </w:r>
      <w:r>
        <w:rPr>
          <w:rFonts w:ascii="Arial" w:cs="Arial" w:eastAsia="Arial" w:hAnsi="Arial"/>
          <w:sz w:val="18"/>
          <w:szCs w:val="18"/>
          <w:color w:val="auto"/>
        </w:rPr>
        <w:t>The Company utilizes restricted stock awards to complement stock options and other 2004 Plan awards as a basis for long-term</w:t>
      </w:r>
      <w:r>
        <w:rPr>
          <w:rFonts w:ascii="Arial" w:cs="Arial" w:eastAsia="Arial" w:hAnsi="Arial"/>
          <w:sz w:val="18"/>
          <w:szCs w:val="18"/>
          <w:i w:val="1"/>
          <w:iCs w:val="1"/>
          <w:color w:val="auto"/>
        </w:rPr>
        <w:t xml:space="preserve"> </w:t>
      </w:r>
      <w:r>
        <w:rPr>
          <w:rFonts w:ascii="Arial" w:cs="Arial" w:eastAsia="Arial" w:hAnsi="Arial"/>
          <w:sz w:val="18"/>
          <w:szCs w:val="18"/>
          <w:color w:val="auto"/>
        </w:rPr>
        <w:t>equity incentive compensation. The Committee recognizes that competitive market practices have placed an increasing use of restricted stock awards as a part of total executive compensation strategy. The Company’s stock awards are intended to retain and motivate officers or employees, including Named Executive Officers to seek to improve long-term stock market performance and to enhance shareholder value by placing a portion of their compensation at risk and directly tied to Company stock price appreciation. While the Committee believes that stock options and restricted stock grants both continue to serve as critical elements of long-term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plan design, in fiscal 2007, the Committee recognized that competitive market practices were shifting and that restricted stock awards were becoming a more prevalent means of long-term compensation. The restricted stock awards provide for an effective recruitment and retention tool, inspire increased motivation by providing ownership, maintain motivation because of intrinsic value even during periods of stock price fluctuations, and further align the interests of management and the shareholders.</w:t>
      </w:r>
    </w:p>
    <w:p>
      <w:pPr>
        <w:spacing w:after="0" w:line="146"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color w:val="auto"/>
        </w:rPr>
        <w:t>The Company, from time to time, makes restricted stock awards to Named Executive Officers pursuant to the 2004 Plan. In October 2005, the Committee recommended, and the Board approved, an amendment to the 2004 Plan to reduce the minimum restriction period from three years to one year for non-performance based stock awards. The Committee believed that one year was the most appropriate vesting period to effectively motivate executives and key personnel participants. The Company granted time based, non-performance restricted stock awards at the Board and Committees meetings in October 2006 to the Named Executive Officers as follows:</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Bruce D. Hertzke (Chairman of the Board and Chief Executive Officer) – 15,000 shares</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Edwin F. Barker (President (retired May 4, 2007)) – 7,500 shares</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Robert J. Olson (President) – 6,000 shares</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Raymond M. Beebe (Vice President, General Counsel and Secretary) – 4,000 shares</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Sarah N. Nielsen (Vice President, Chief Financial Officer) – 4,000 shares</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William J. O’Leary (Vice President, Product Development) – 4,000 shares</w:t>
      </w:r>
    </w:p>
    <w:p>
      <w:pPr>
        <w:spacing w:after="0" w:line="198" w:lineRule="exact"/>
        <w:rPr>
          <w:sz w:val="20"/>
          <w:szCs w:val="20"/>
          <w:color w:val="auto"/>
        </w:rPr>
      </w:pPr>
    </w:p>
    <w:p>
      <w:pPr>
        <w:ind w:firstLine="360"/>
        <w:spacing w:after="0" w:line="293" w:lineRule="auto"/>
        <w:rPr>
          <w:sz w:val="20"/>
          <w:szCs w:val="20"/>
          <w:color w:val="auto"/>
        </w:rPr>
      </w:pPr>
      <w:r>
        <w:rPr>
          <w:rFonts w:ascii="Arial" w:cs="Arial" w:eastAsia="Arial" w:hAnsi="Arial"/>
          <w:sz w:val="16"/>
          <w:szCs w:val="16"/>
          <w:color w:val="auto"/>
        </w:rPr>
        <w:t>Pursuant to each restricted stock award agreement between the Company and each Named Executive Officer, the restricted stock grants vest in annual increments of one-third commencing October 11, 2007, one-third on October 11, 2008, and the remaining one-third on October 11, 2009. Named Executive Officers are entitled under each of the respective restricted stock award agreements to receive dividends declared on the restricted stock beginning from the time such restricted stock is granted, regardless of the vesting schedule of the restricted stock grants. In addition, Named Executive Officers may be entitled to earlier vesting of restricted stock awards under the 2004 Plan in the event of a “Change of Control” (as defined in the 2004 Plan) of the Company, disability, termination of employment or death. See “Potential Payments upon Termination or Change of Control - 2004 Incentive Plan Payments” below.</w:t>
      </w:r>
    </w:p>
    <w:p>
      <w:pPr>
        <w:spacing w:after="0" w:line="124" w:lineRule="exact"/>
        <w:rPr>
          <w:sz w:val="20"/>
          <w:szCs w:val="20"/>
          <w:color w:val="auto"/>
        </w:rPr>
      </w:pPr>
    </w:p>
    <w:p>
      <w:pPr>
        <w:ind w:right="20" w:firstLine="360"/>
        <w:spacing w:after="0" w:line="279" w:lineRule="auto"/>
        <w:rPr>
          <w:sz w:val="20"/>
          <w:szCs w:val="20"/>
          <w:color w:val="auto"/>
        </w:rPr>
      </w:pPr>
      <w:r>
        <w:rPr>
          <w:rFonts w:ascii="Arial" w:cs="Arial" w:eastAsia="Arial" w:hAnsi="Arial"/>
          <w:sz w:val="17"/>
          <w:szCs w:val="17"/>
          <w:i w:val="1"/>
          <w:iCs w:val="1"/>
          <w:color w:val="auto"/>
        </w:rPr>
        <w:t xml:space="preserve">Stock Options. </w:t>
      </w:r>
      <w:r>
        <w:rPr>
          <w:rFonts w:ascii="Arial" w:cs="Arial" w:eastAsia="Arial" w:hAnsi="Arial"/>
          <w:sz w:val="17"/>
          <w:szCs w:val="17"/>
          <w:color w:val="auto"/>
        </w:rPr>
        <w:t>The Company, from time to time, also provides long-term incentives under the 2004 Plan in the form of stock options granted to Named</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Officers and other key management personnel. Stock option grants are intended to retain and motivate Named Executive Officers to seek to improve long-term stock market performance and enhance shareholder value by placing a portion of their compensation at risk and directly tied to stock price appreciation. No stock options were granted to Named Executive Officers by the Company in fiscal 2007.</w:t>
      </w:r>
    </w:p>
    <w:p>
      <w:pPr>
        <w:spacing w:after="0" w:line="131" w:lineRule="exact"/>
        <w:rPr>
          <w:sz w:val="20"/>
          <w:szCs w:val="20"/>
          <w:color w:val="auto"/>
        </w:rPr>
      </w:pPr>
    </w:p>
    <w:p>
      <w:pPr>
        <w:ind w:right="20" w:firstLine="360"/>
        <w:spacing w:after="0" w:line="271" w:lineRule="auto"/>
        <w:rPr>
          <w:sz w:val="20"/>
          <w:szCs w:val="20"/>
          <w:color w:val="auto"/>
        </w:rPr>
      </w:pPr>
      <w:r>
        <w:rPr>
          <w:rFonts w:ascii="Arial" w:cs="Arial" w:eastAsia="Arial" w:hAnsi="Arial"/>
          <w:sz w:val="17"/>
          <w:szCs w:val="17"/>
          <w:color w:val="auto"/>
        </w:rPr>
        <w:t>Under the 2004 Plan, incentive and non-qualified stock options may be granted at any time for new hires, promotions or other compensation-based reasons as determined by the Committee. In previous years, stock option awards have been recommended by the Committee and approved by the Board at the October Company Board of Directors and Committee meetings following our fiscal year end. Any future stock options are expected to be granted at the closing market price on the date of grant by the Committee and, as such, will only gain value if the price of the Company’s common stock underlying the stock option increases above the price of the Company’s common stock on the date of the stock option grant. Prior to fiscal 2007, stock options were granted by the Company at the “prevailing market price” — the mean between the highest and lowest price on the date of the grant. Options are exercisable at such time or times and in such amount or amounts as determined by the Committee, generally vesting and exercisable over a three-year period in one-third increments per year, with the term of stock option extending no more than 10 years after the grant date.</w:t>
      </w:r>
    </w:p>
    <w:p>
      <w:pPr>
        <w:sectPr>
          <w:pgSz w:w="11900" w:h="16838" w:orient="portrait"/>
          <w:cols w:equalWidth="0" w:num="1">
            <w:col w:w="11420"/>
          </w:cols>
          <w:pgMar w:left="240" w:top="125" w:right="239" w:bottom="0" w:gutter="0" w:footer="0" w:header="0"/>
        </w:sectPr>
      </w:pPr>
    </w:p>
    <w:bookmarkStart w:id="20" w:name="page21"/>
    <w:bookmarkEnd w:id="20"/>
    <w:p>
      <w:pPr>
        <w:ind w:right="60" w:firstLine="360"/>
        <w:spacing w:after="0" w:line="264" w:lineRule="auto"/>
        <w:rPr>
          <w:sz w:val="20"/>
          <w:szCs w:val="20"/>
          <w:color w:val="auto"/>
        </w:rPr>
      </w:pPr>
      <w:r>
        <w:rPr>
          <w:rFonts w:ascii="Arial" w:cs="Arial" w:eastAsia="Arial" w:hAnsi="Arial"/>
          <w:sz w:val="18"/>
          <w:szCs w:val="18"/>
          <w:color w:val="auto"/>
        </w:rPr>
        <w:t>In addition, Named Executive Officers may be entitled to earlier vesting of stock option awards under the 2004 Plan in the event of a “Change of Control” (as defined in the 2004 Plan) of the Company, disability, termination of employment or death. See “Potential Payments upon Termination or Change of Control - 2004 Incentive Plan Payments” below. Additional vesting rules apply to incentive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81"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stock options and non-qualified options under the 2004 Plan pursuant to individual option award agreements entered into between each stock option grantee and the Company on the date of the stock option grant.</w:t>
      </w:r>
    </w:p>
    <w:p>
      <w:pPr>
        <w:spacing w:after="0" w:line="130" w:lineRule="exact"/>
        <w:rPr>
          <w:sz w:val="20"/>
          <w:szCs w:val="20"/>
          <w:color w:val="auto"/>
        </w:rPr>
      </w:pPr>
    </w:p>
    <w:p>
      <w:pPr>
        <w:ind w:right="40" w:firstLine="360"/>
        <w:spacing w:after="0" w:line="302" w:lineRule="auto"/>
        <w:rPr>
          <w:sz w:val="20"/>
          <w:szCs w:val="20"/>
          <w:color w:val="auto"/>
        </w:rPr>
      </w:pPr>
      <w:r>
        <w:rPr>
          <w:rFonts w:ascii="Arial" w:cs="Arial" w:eastAsia="Arial" w:hAnsi="Arial"/>
          <w:sz w:val="16"/>
          <w:szCs w:val="16"/>
          <w:color w:val="auto"/>
        </w:rPr>
        <w:t>As all stock options granted in the future are expected to be at the closing market price on the date of the stock option granted the Company believes that the value of any such stock option will bear a direct relationship to the Company’s stock price and, as such, provides for an effective incentive for Named Executive Officers to create value for shareholders. While the Committee does not believe that granting stock options every year is necessary to achieve incentive compensation goals, the Committee continues to believe that stock options are an important component of its long-term compensation philosophy.</w:t>
      </w:r>
    </w:p>
    <w:p>
      <w:pPr>
        <w:spacing w:after="0" w:line="114" w:lineRule="exact"/>
        <w:rPr>
          <w:sz w:val="20"/>
          <w:szCs w:val="20"/>
          <w:color w:val="auto"/>
        </w:rPr>
      </w:pPr>
    </w:p>
    <w:p>
      <w:pPr>
        <w:ind w:right="40" w:firstLine="360"/>
        <w:spacing w:after="0" w:line="272" w:lineRule="auto"/>
        <w:rPr>
          <w:sz w:val="20"/>
          <w:szCs w:val="20"/>
          <w:color w:val="auto"/>
        </w:rPr>
      </w:pPr>
      <w:r>
        <w:rPr>
          <w:rFonts w:ascii="Arial" w:cs="Arial" w:eastAsia="Arial" w:hAnsi="Arial"/>
          <w:sz w:val="17"/>
          <w:szCs w:val="17"/>
          <w:b w:val="1"/>
          <w:bCs w:val="1"/>
          <w:i w:val="1"/>
          <w:iCs w:val="1"/>
          <w:color w:val="auto"/>
        </w:rPr>
        <w:t xml:space="preserve">Benefits. </w:t>
      </w:r>
      <w:r>
        <w:rPr>
          <w:rFonts w:ascii="Arial" w:cs="Arial" w:eastAsia="Arial" w:hAnsi="Arial"/>
          <w:sz w:val="17"/>
          <w:szCs w:val="17"/>
          <w:color w:val="auto"/>
        </w:rPr>
        <w:t>The Company’s Named Executive Officers are eligible to participate in the same Company benefit plans designed for all of our full-time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employees. The basic insurance package includes health, dental, disability and basic group life insurance coverage (including partial Company subsidy for retiree health and dental insurance for employees hired before April 2001). In addition, certain management employees of the Company, including the Named Executive Officers, may qualify for retiree health benefits. Under the Company’s Long-Term Disability Plan, salaried employees are eligible for a monthly benefit based upon 70% of pre-disability earnings up to a maximum monthly benefit of $10,000. Named Executive Officers and certain other executives are eligible for this benefit under this same program up to $13,000 monthly maximum, as a means to accommodate the higher base salary and to provide reasonable income protection in the event of an extended disability.</w:t>
      </w:r>
    </w:p>
    <w:p>
      <w:pPr>
        <w:spacing w:after="0" w:line="151" w:lineRule="exact"/>
        <w:rPr>
          <w:sz w:val="20"/>
          <w:szCs w:val="20"/>
          <w:color w:val="auto"/>
        </w:rPr>
      </w:pPr>
    </w:p>
    <w:p>
      <w:pPr>
        <w:jc w:val="both"/>
        <w:ind w:right="340" w:firstLine="360"/>
        <w:spacing w:after="0" w:line="264" w:lineRule="auto"/>
        <w:rPr>
          <w:sz w:val="20"/>
          <w:szCs w:val="20"/>
          <w:color w:val="auto"/>
        </w:rPr>
      </w:pPr>
      <w:r>
        <w:rPr>
          <w:rFonts w:ascii="Arial" w:cs="Arial" w:eastAsia="Arial" w:hAnsi="Arial"/>
          <w:sz w:val="18"/>
          <w:szCs w:val="18"/>
          <w:color w:val="auto"/>
        </w:rPr>
        <w:t>Except as specifically summarized in this Compensation Discussion and Analysis, the Company does not currently provide retirement payments and benefits for Named Executive Officers following his or her retirement, including, but not limited to, tax-qualified defined benefit plans and supplemental executive retirement plans.</w:t>
      </w:r>
    </w:p>
    <w:p>
      <w:pPr>
        <w:spacing w:after="0" w:line="141" w:lineRule="exact"/>
        <w:rPr>
          <w:sz w:val="20"/>
          <w:szCs w:val="20"/>
          <w:color w:val="auto"/>
        </w:rPr>
      </w:pPr>
    </w:p>
    <w:p>
      <w:pPr>
        <w:ind w:right="20" w:firstLine="360"/>
        <w:spacing w:after="0" w:line="270" w:lineRule="auto"/>
        <w:rPr>
          <w:sz w:val="20"/>
          <w:szCs w:val="20"/>
          <w:color w:val="auto"/>
        </w:rPr>
      </w:pPr>
      <w:r>
        <w:rPr>
          <w:rFonts w:ascii="Arial" w:cs="Arial" w:eastAsia="Arial" w:hAnsi="Arial"/>
          <w:sz w:val="17"/>
          <w:szCs w:val="17"/>
          <w:i w:val="1"/>
          <w:iCs w:val="1"/>
          <w:color w:val="auto"/>
        </w:rPr>
        <w:t xml:space="preserve">Profit Sharing and Deferred Savings and Investment Plan — </w:t>
      </w:r>
      <w:r>
        <w:rPr>
          <w:rFonts w:ascii="Arial" w:cs="Arial" w:eastAsia="Arial" w:hAnsi="Arial"/>
          <w:sz w:val="17"/>
          <w:szCs w:val="17"/>
          <w:color w:val="auto"/>
        </w:rPr>
        <w:t>The Company also maintains a 401(k) plan, the Winnebago Industries, Inc. Profit Sharing</w:t>
      </w:r>
      <w:r>
        <w:rPr>
          <w:rFonts w:ascii="Arial" w:cs="Arial" w:eastAsia="Arial" w:hAnsi="Arial"/>
          <w:sz w:val="17"/>
          <w:szCs w:val="17"/>
          <w:i w:val="1"/>
          <w:iCs w:val="1"/>
          <w:color w:val="auto"/>
        </w:rPr>
        <w:t xml:space="preserve"> </w:t>
      </w:r>
      <w:r>
        <w:rPr>
          <w:rFonts w:ascii="Arial" w:cs="Arial" w:eastAsia="Arial" w:hAnsi="Arial"/>
          <w:sz w:val="17"/>
          <w:szCs w:val="17"/>
          <w:color w:val="auto"/>
        </w:rPr>
        <w:t>and Deferred Savings and Investment Plan (the “401(k) Plan”), which is a tax-qualified defined contribution plan maintained for the benefit of substantially all hourly and salaried employees including our executives. The 401(k) Plan offers Named Executive Officers and all other Company employees the opportunity to defer income that is made a part of their total compensation package. The Company may, at its discretion, also provide for a Company matching contribution at a rate set by the Committee and approved by the Board on a quarterly basis. For the 2007 fiscal year, the Company made matching contributions equal to 50%, up to 6% of the base compensation deferred by employees (subject to IRS limits and non-discrimination testing). Although executives, including the Named Executive Officers, are eligible to participate in the 401(k) Plan, the application of the annual limitation on contributions under the Internal Revenue Code prevents executives from participating at the same level as non-executives. This compensation element is tax-deferred and is not intended to affect the value of any other compensation element, but the amount of contributions that may be made under the 401(k) Plan may affect calculation of payments that may be paid upon a change in control as described below.</w:t>
      </w:r>
    </w:p>
    <w:p>
      <w:pPr>
        <w:spacing w:after="0" w:line="137" w:lineRule="exact"/>
        <w:rPr>
          <w:sz w:val="20"/>
          <w:szCs w:val="20"/>
          <w:color w:val="auto"/>
        </w:rPr>
      </w:pPr>
    </w:p>
    <w:p>
      <w:pPr>
        <w:ind w:firstLine="360"/>
        <w:spacing w:after="0" w:line="297" w:lineRule="auto"/>
        <w:rPr>
          <w:sz w:val="20"/>
          <w:szCs w:val="20"/>
          <w:color w:val="auto"/>
        </w:rPr>
      </w:pPr>
      <w:r>
        <w:rPr>
          <w:rFonts w:ascii="Arial" w:cs="Arial" w:eastAsia="Arial" w:hAnsi="Arial"/>
          <w:sz w:val="16"/>
          <w:szCs w:val="16"/>
          <w:i w:val="1"/>
          <w:iCs w:val="1"/>
          <w:color w:val="auto"/>
        </w:rPr>
        <w:t xml:space="preserve">Split Dollar Life Insurance — </w:t>
      </w:r>
      <w:r>
        <w:rPr>
          <w:rFonts w:ascii="Arial" w:cs="Arial" w:eastAsia="Arial" w:hAnsi="Arial"/>
          <w:sz w:val="16"/>
          <w:szCs w:val="16"/>
          <w:color w:val="auto"/>
        </w:rPr>
        <w:t>In 1988, the Board of Directors approved the adoption of an Executive Split-Dollar Life Insurance Program with respect to</w:t>
      </w:r>
      <w:r>
        <w:rPr>
          <w:rFonts w:ascii="Arial" w:cs="Arial" w:eastAsia="Arial" w:hAnsi="Arial"/>
          <w:sz w:val="16"/>
          <w:szCs w:val="16"/>
          <w:i w:val="1"/>
          <w:iCs w:val="1"/>
          <w:color w:val="auto"/>
        </w:rPr>
        <w:t xml:space="preserve"> </w:t>
      </w:r>
      <w:r>
        <w:rPr>
          <w:rFonts w:ascii="Arial" w:cs="Arial" w:eastAsia="Arial" w:hAnsi="Arial"/>
          <w:sz w:val="16"/>
          <w:szCs w:val="16"/>
          <w:color w:val="auto"/>
        </w:rPr>
        <w:t>certain executives of the Company. The primary purpose of this insurance was to provide these executives with supplemental retirement income for a period of 15 years after retirement. Additionally, the insurance provided for was intended to provide a liquid asset to heirs of executives to pay estate taxes, thereby minimizing the necessity for their estates to sell large blocks of shares of the Company to pay estate taxes, which sale might disrupt the market for the Company’s shares which provides the Company with stability and acts as an incentive to these executives to continue their employment with the Company.</w:t>
      </w:r>
    </w:p>
    <w:p>
      <w:pPr>
        <w:spacing w:after="0" w:line="131"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We have not offered this insurance as a continuing part of the Named Executive Officer total compensation package or to other members of management since 1998 due to regulatory and tax changes that made this program less attractive but have maintained the benefit for those originally participating in the program. The plan is funded with individual whole life insurance policies owned by the named insured executive. The life insurance premiums were initially paid by the Company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life of the executives and the executive receives life insurance and supplemental cash payment during the 15-years following retirement. The Company would “cost recover” materially all of the premiums paid by the Company at the executives death, as each insured executive has collaterally assigned to the Company the right to receive proceeds in an amount equal to the Company’s interests. The premiums paid on the executives policies since 2004 have been paid by the executives through bonus payments made by the Company to the executive and are not subject to cost recovery by the Company.</w:t>
      </w:r>
    </w:p>
    <w:p>
      <w:pPr>
        <w:spacing w:after="0" w:line="127" w:lineRule="exact"/>
        <w:rPr>
          <w:sz w:val="20"/>
          <w:szCs w:val="20"/>
          <w:color w:val="auto"/>
        </w:rPr>
      </w:pPr>
    </w:p>
    <w:p>
      <w:pPr>
        <w:ind w:right="20" w:firstLine="360"/>
        <w:spacing w:after="0" w:line="272" w:lineRule="auto"/>
        <w:rPr>
          <w:sz w:val="20"/>
          <w:szCs w:val="20"/>
          <w:color w:val="auto"/>
        </w:rPr>
      </w:pPr>
      <w:r>
        <w:rPr>
          <w:rFonts w:ascii="Arial" w:cs="Arial" w:eastAsia="Arial" w:hAnsi="Arial"/>
          <w:sz w:val="17"/>
          <w:szCs w:val="17"/>
          <w:i w:val="1"/>
          <w:iCs w:val="1"/>
          <w:color w:val="auto"/>
        </w:rPr>
        <w:t xml:space="preserve">Executive Share Option Program — </w:t>
      </w:r>
      <w:r>
        <w:rPr>
          <w:rFonts w:ascii="Arial" w:cs="Arial" w:eastAsia="Arial" w:hAnsi="Arial"/>
          <w:sz w:val="17"/>
          <w:szCs w:val="17"/>
          <w:color w:val="auto"/>
        </w:rPr>
        <w:t>We established the Executive Share Option Program in April 1997 to provide executives with an opportunity to</w:t>
      </w:r>
      <w:r>
        <w:rPr>
          <w:rFonts w:ascii="Arial" w:cs="Arial" w:eastAsia="Arial" w:hAnsi="Arial"/>
          <w:sz w:val="17"/>
          <w:szCs w:val="17"/>
          <w:i w:val="1"/>
          <w:iCs w:val="1"/>
          <w:color w:val="auto"/>
        </w:rPr>
        <w:t xml:space="preserve"> </w:t>
      </w:r>
      <w:r>
        <w:rPr>
          <w:rFonts w:ascii="Arial" w:cs="Arial" w:eastAsia="Arial" w:hAnsi="Arial"/>
          <w:sz w:val="17"/>
          <w:szCs w:val="17"/>
          <w:color w:val="auto"/>
        </w:rPr>
        <w:t>defer a portion of their compensation in the form of options to purchase mutual funds invested in companies other than the Company. Due to the enactment in 2004 of Section 409A of the Internal Revenue Code, which provides new tax rules for deferred compensation plans, the Executive Share Option Program was frozen effective December 31, 2004. Accordingly, there have been and will be no new deferrals or contributions to the Executive Share Options Program after that date and no new participants will enter the plan. We maintain the account balances as part of the executives’ past compensation to be paid in the future in accordance with the terms of the plan, but these accounts are not considered a currently active part of the total compensation package of any Named Executive Officer participating in the plan.</w:t>
      </w:r>
    </w:p>
    <w:p>
      <w:pPr>
        <w:spacing w:after="0" w:line="137" w:lineRule="exact"/>
        <w:rPr>
          <w:sz w:val="20"/>
          <w:szCs w:val="20"/>
          <w:color w:val="auto"/>
        </w:rPr>
      </w:pPr>
    </w:p>
    <w:p>
      <w:pPr>
        <w:ind w:right="120" w:firstLine="360"/>
        <w:spacing w:after="0" w:line="312" w:lineRule="auto"/>
        <w:rPr>
          <w:sz w:val="20"/>
          <w:szCs w:val="20"/>
          <w:color w:val="auto"/>
        </w:rPr>
      </w:pPr>
      <w:r>
        <w:rPr>
          <w:rFonts w:ascii="Arial" w:cs="Arial" w:eastAsia="Arial" w:hAnsi="Arial"/>
          <w:sz w:val="16"/>
          <w:szCs w:val="16"/>
          <w:i w:val="1"/>
          <w:iCs w:val="1"/>
          <w:color w:val="auto"/>
        </w:rPr>
        <w:t xml:space="preserve">Deferred Compensation Plan (1981) — </w:t>
      </w:r>
      <w:r>
        <w:rPr>
          <w:rFonts w:ascii="Arial" w:cs="Arial" w:eastAsia="Arial" w:hAnsi="Arial"/>
          <w:sz w:val="16"/>
          <w:szCs w:val="16"/>
          <w:color w:val="auto"/>
        </w:rPr>
        <w:t>Under the Winnebago Industries, Inc. Non-Qualified Deferred Compensation Plan, executive officers and other</w:t>
      </w:r>
      <w:r>
        <w:rPr>
          <w:rFonts w:ascii="Arial" w:cs="Arial" w:eastAsia="Arial" w:hAnsi="Arial"/>
          <w:sz w:val="16"/>
          <w:szCs w:val="16"/>
          <w:i w:val="1"/>
          <w:iCs w:val="1"/>
          <w:color w:val="auto"/>
        </w:rPr>
        <w:t xml:space="preserve"> </w:t>
      </w:r>
      <w:r>
        <w:rPr>
          <w:rFonts w:ascii="Arial" w:cs="Arial" w:eastAsia="Arial" w:hAnsi="Arial"/>
          <w:sz w:val="16"/>
          <w:szCs w:val="16"/>
          <w:color w:val="auto"/>
        </w:rPr>
        <w:t>key employees were eligible to annually elect to defer a portion of their compensation until retirement. The retirement benefit provided is based upon the amount of compensation deferred and the age of the individual at the time of the deferral, at a rate per annum determined by the Board ranging from 6 to 8%</w:t>
      </w:r>
    </w:p>
    <w:p>
      <w:pPr>
        <w:sectPr>
          <w:pgSz w:w="11900" w:h="16838" w:orient="portrait"/>
          <w:cols w:equalWidth="0" w:num="1">
            <w:col w:w="11420"/>
          </w:cols>
          <w:pgMar w:left="240" w:top="125" w:right="239" w:bottom="0" w:gutter="0" w:footer="0" w:header="0"/>
        </w:sectPr>
      </w:pPr>
    </w:p>
    <w:bookmarkStart w:id="21" w:name="page22"/>
    <w:bookmarkEnd w:id="21"/>
    <w:p>
      <w:pPr>
        <w:spacing w:after="0" w:line="6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per annum. Under the plan, a participant generally vests at the later of age 55 and five years of service since the deferral was made. For deferrals prior to December 1992, vesting occurs at the later of age 55 and five years service from first deferral or 20 years of service. To assist in funding the deferred compensation liability, the Company invested in corporate-owned life insurance policies. Participants in the plan have the same status as unsecured creditors of the Company. In 2001, the Board of Directors elected to freeze this plan to additional participants. We maintain the account balances as part of the executives’ past compensation to be paid in the future in accordance with the terms of the plan, but these accounts are not considered a currently active part of the total compensation package of any Named Executive Officer participating in the plan.</w:t>
      </w:r>
    </w:p>
    <w:p>
      <w:pPr>
        <w:spacing w:after="0" w:line="138" w:lineRule="exact"/>
        <w:rPr>
          <w:sz w:val="20"/>
          <w:szCs w:val="20"/>
          <w:color w:val="auto"/>
        </w:rPr>
      </w:pPr>
    </w:p>
    <w:p>
      <w:pPr>
        <w:ind w:right="60" w:firstLine="360"/>
        <w:spacing w:after="0" w:line="255" w:lineRule="auto"/>
        <w:rPr>
          <w:sz w:val="20"/>
          <w:szCs w:val="20"/>
          <w:color w:val="auto"/>
        </w:rPr>
      </w:pPr>
      <w:r>
        <w:rPr>
          <w:rFonts w:ascii="Arial" w:cs="Arial" w:eastAsia="Arial" w:hAnsi="Arial"/>
          <w:sz w:val="18"/>
          <w:szCs w:val="18"/>
          <w:i w:val="1"/>
          <w:iCs w:val="1"/>
          <w:color w:val="auto"/>
        </w:rPr>
        <w:t xml:space="preserve">Executive Deferred Compensation Plan 2007 (Non-Qualified Deferred Compensation Plan) — </w:t>
      </w:r>
      <w:r>
        <w:rPr>
          <w:rFonts w:ascii="Arial" w:cs="Arial" w:eastAsia="Arial" w:hAnsi="Arial"/>
          <w:sz w:val="18"/>
          <w:szCs w:val="18"/>
          <w:color w:val="auto"/>
        </w:rPr>
        <w:t>In December 2006, the Board adopted the Winnebago</w:t>
      </w:r>
      <w:r>
        <w:rPr>
          <w:rFonts w:ascii="Arial" w:cs="Arial" w:eastAsia="Arial" w:hAnsi="Arial"/>
          <w:sz w:val="18"/>
          <w:szCs w:val="18"/>
          <w:i w:val="1"/>
          <w:iCs w:val="1"/>
          <w:color w:val="auto"/>
        </w:rPr>
        <w:t xml:space="preserve"> </w:t>
      </w:r>
      <w:r>
        <w:rPr>
          <w:rFonts w:ascii="Arial" w:cs="Arial" w:eastAsia="Arial" w:hAnsi="Arial"/>
          <w:sz w:val="18"/>
          <w:szCs w:val="18"/>
          <w:color w:val="auto"/>
        </w:rPr>
        <w:t>Industries, Inc. Executive Deferred Compensation Plan (the “Executive Deferred Compensation Plan”). The Executive Deferred Compensation Plan permits executive officers, including the Named Executive Officers, to defer a portion of their salary and all or a portion of their cash incentive award compensation. The Executive Deferred Compensation Plan was effective as of January 1, 2007 and will apply to compensation paid to participants on and after such date. A copy of the Executive Deferred Compensation Plan is filed as Exhibit 10c to the Company’s Quarterly Report on Form 10-Q for the quarter ended November 25, 2006.</w:t>
      </w:r>
    </w:p>
    <w:p>
      <w:pPr>
        <w:spacing w:after="0" w:line="166" w:lineRule="exact"/>
        <w:rPr>
          <w:sz w:val="20"/>
          <w:szCs w:val="20"/>
          <w:color w:val="auto"/>
        </w:rPr>
      </w:pPr>
    </w:p>
    <w:p>
      <w:pPr>
        <w:ind w:right="140" w:firstLine="360"/>
        <w:spacing w:after="0" w:line="286" w:lineRule="auto"/>
        <w:rPr>
          <w:sz w:val="20"/>
          <w:szCs w:val="20"/>
          <w:color w:val="auto"/>
        </w:rPr>
      </w:pPr>
      <w:r>
        <w:rPr>
          <w:rFonts w:ascii="Arial" w:cs="Arial" w:eastAsia="Arial" w:hAnsi="Arial"/>
          <w:sz w:val="17"/>
          <w:szCs w:val="17"/>
          <w:color w:val="auto"/>
        </w:rPr>
        <w:t>Under the Executive Deferred Compensation Plan, executive officers and certain key employees may annually choose to defer up to 50 percent of their salary and up to 100 percent of their cash incentive awards. The Committee may, from time to time and in its sole and absolute discretion, select the investments in which a participant’s deferred benefit account may be deemed invested (“Available Investments”).</w:t>
      </w:r>
    </w:p>
    <w:p>
      <w:pPr>
        <w:spacing w:after="0" w:line="125"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Each participant may designate the Available Investments in which his or her deferred benefit account will be deemed invested, and the percentage of his or her deferred benefit account that will be invested in each Available Investment, for purposes of determining the amount of earnings or losses to be credited or debited to his or her deferred benefit account.</w:t>
      </w:r>
    </w:p>
    <w:p>
      <w:pPr>
        <w:spacing w:after="0" w:line="14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 participant in the Executive Deferred Compensation Plan will, upon the first to occur of the following events, be entitled to a payment (a “Deferred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Benefit”) equal to the amount of his or her deferred benefit account as of the determination date coincidental with such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20" w:right="180" w:hanging="472"/>
        <w:spacing w:after="0" w:line="277"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date certain (which must be selected by the participant in his or her participation agreement and which cannot be changed except as otherwise provided in the Executive Deferred Compensation Plan);</w:t>
      </w:r>
    </w:p>
    <w:p>
      <w:pPr>
        <w:spacing w:after="0" w:line="35" w:lineRule="exact"/>
        <w:rPr>
          <w:rFonts w:ascii="Arial" w:cs="Arial" w:eastAsia="Arial" w:hAnsi="Arial"/>
          <w:sz w:val="18"/>
          <w:szCs w:val="18"/>
          <w:color w:val="auto"/>
        </w:rPr>
      </w:pPr>
    </w:p>
    <w:p>
      <w:pPr>
        <w:ind w:left="1020" w:hanging="472"/>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separation from service;</w:t>
      </w:r>
    </w:p>
    <w:p>
      <w:pPr>
        <w:spacing w:after="0" w:line="90" w:lineRule="exact"/>
        <w:rPr>
          <w:rFonts w:ascii="Arial" w:cs="Arial" w:eastAsia="Arial" w:hAnsi="Arial"/>
          <w:sz w:val="18"/>
          <w:szCs w:val="18"/>
          <w:color w:val="auto"/>
        </w:rPr>
      </w:pPr>
    </w:p>
    <w:p>
      <w:pPr>
        <w:ind w:left="1020" w:hanging="472"/>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disability;</w:t>
      </w:r>
    </w:p>
    <w:p>
      <w:pPr>
        <w:spacing w:after="0" w:line="90" w:lineRule="exact"/>
        <w:rPr>
          <w:rFonts w:ascii="Arial" w:cs="Arial" w:eastAsia="Arial" w:hAnsi="Arial"/>
          <w:sz w:val="18"/>
          <w:szCs w:val="18"/>
          <w:color w:val="auto"/>
        </w:rPr>
      </w:pPr>
    </w:p>
    <w:p>
      <w:pPr>
        <w:ind w:left="1020" w:hanging="472"/>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death; or</w:t>
      </w:r>
    </w:p>
    <w:p>
      <w:pPr>
        <w:spacing w:after="0" w:line="90" w:lineRule="exact"/>
        <w:rPr>
          <w:rFonts w:ascii="Arial" w:cs="Arial" w:eastAsia="Arial" w:hAnsi="Arial"/>
          <w:sz w:val="18"/>
          <w:szCs w:val="18"/>
          <w:color w:val="auto"/>
        </w:rPr>
      </w:pPr>
    </w:p>
    <w:p>
      <w:pPr>
        <w:ind w:left="1020" w:hanging="472"/>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 of control.</w:t>
      </w:r>
    </w:p>
    <w:p>
      <w:pPr>
        <w:spacing w:after="0" w:line="239" w:lineRule="exact"/>
        <w:rPr>
          <w:sz w:val="20"/>
          <w:szCs w:val="20"/>
          <w:color w:val="auto"/>
        </w:rPr>
      </w:pPr>
    </w:p>
    <w:p>
      <w:pPr>
        <w:ind w:right="480" w:firstLine="360"/>
        <w:spacing w:after="0" w:line="264" w:lineRule="auto"/>
        <w:rPr>
          <w:sz w:val="20"/>
          <w:szCs w:val="20"/>
          <w:color w:val="auto"/>
        </w:rPr>
      </w:pPr>
      <w:r>
        <w:rPr>
          <w:rFonts w:ascii="Arial" w:cs="Arial" w:eastAsia="Arial" w:hAnsi="Arial"/>
          <w:sz w:val="18"/>
          <w:szCs w:val="18"/>
          <w:color w:val="auto"/>
        </w:rPr>
        <w:t>Under the Executive Deferred Compensation Plan, the Company is required to pay to the participant (or the participant’s beneficiary), his or her Deferred Benefit in one of the following forms (as elected in the participation agreement filed by the participant with the administrator of the Executive Deferred Compensation Plan):</w:t>
      </w:r>
    </w:p>
    <w:p>
      <w:pPr>
        <w:spacing w:after="0" w:line="208" w:lineRule="exact"/>
        <w:rPr>
          <w:sz w:val="20"/>
          <w:szCs w:val="20"/>
          <w:color w:val="auto"/>
        </w:rPr>
      </w:pPr>
    </w:p>
    <w:p>
      <w:pPr>
        <w:ind w:left="1020" w:hanging="472"/>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lump sum payment; or</w:t>
      </w:r>
    </w:p>
    <w:p>
      <w:pPr>
        <w:spacing w:after="0" w:line="90" w:lineRule="exact"/>
        <w:rPr>
          <w:rFonts w:ascii="Arial" w:cs="Arial" w:eastAsia="Arial" w:hAnsi="Arial"/>
          <w:sz w:val="18"/>
          <w:szCs w:val="18"/>
          <w:color w:val="auto"/>
        </w:rPr>
      </w:pPr>
    </w:p>
    <w:p>
      <w:pPr>
        <w:ind w:left="1020" w:right="240" w:hanging="472"/>
        <w:spacing w:after="0" w:line="259"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monthly payment of a fixed amount which shall amortize the participant’s Deferred Benefit in equal monthly payments of principal and interest over a period from 2 to 120 months (as selected by the participant on his or her participation agreement). In the event of death, disability or change in control, the Company is required to pay to the participant (or the participant’s beneficiary) the total value of his or her Deferred Benefit in a lump-sum payment.</w:t>
      </w:r>
    </w:p>
    <w:p>
      <w:pPr>
        <w:spacing w:after="0" w:line="20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the absence of a participant’s election as to the form of the payout, a participant’s Deferred Benefit account will be paid over a 120-month period.</w:t>
      </w:r>
    </w:p>
    <w:p>
      <w:pPr>
        <w:spacing w:after="0" w:line="208" w:lineRule="exact"/>
        <w:rPr>
          <w:sz w:val="20"/>
          <w:szCs w:val="20"/>
          <w:color w:val="auto"/>
        </w:rPr>
      </w:pPr>
    </w:p>
    <w:p>
      <w:pPr>
        <w:ind w:right="280" w:firstLine="360"/>
        <w:spacing w:after="0" w:line="259" w:lineRule="auto"/>
        <w:rPr>
          <w:sz w:val="20"/>
          <w:szCs w:val="20"/>
          <w:color w:val="auto"/>
        </w:rPr>
      </w:pPr>
      <w:r>
        <w:rPr>
          <w:rFonts w:ascii="Arial" w:cs="Arial" w:eastAsia="Arial" w:hAnsi="Arial"/>
          <w:sz w:val="18"/>
          <w:szCs w:val="18"/>
          <w:color w:val="auto"/>
        </w:rPr>
        <w:t>The Executive Deferred Compensation Plan adopted effective beginning in 2007 was established to provide a replacement to several of the executive non-qualified deferred compensation programs that were frozen by the Company previously. The Committee believed that it was important to provide a current program that would permit executives to defer a portion of their compensation on a voluntary basis to supplement future retirement income due to contribution limitations on the Company’s qualified 401(k) Plan.</w:t>
      </w:r>
    </w:p>
    <w:p>
      <w:pPr>
        <w:spacing w:after="0" w:line="160" w:lineRule="exact"/>
        <w:rPr>
          <w:sz w:val="20"/>
          <w:szCs w:val="20"/>
          <w:color w:val="auto"/>
        </w:rPr>
      </w:pPr>
    </w:p>
    <w:p>
      <w:pPr>
        <w:ind w:right="100" w:firstLine="360"/>
        <w:spacing w:after="0" w:line="257" w:lineRule="auto"/>
        <w:rPr>
          <w:sz w:val="20"/>
          <w:szCs w:val="20"/>
          <w:color w:val="auto"/>
        </w:rPr>
      </w:pPr>
      <w:r>
        <w:rPr>
          <w:rFonts w:ascii="Arial" w:cs="Arial" w:eastAsia="Arial" w:hAnsi="Arial"/>
          <w:sz w:val="18"/>
          <w:szCs w:val="18"/>
          <w:b w:val="1"/>
          <w:bCs w:val="1"/>
          <w:i w:val="1"/>
          <w:iCs w:val="1"/>
          <w:color w:val="auto"/>
        </w:rPr>
        <w:t xml:space="preserve">Perquisites. </w:t>
      </w:r>
      <w:r>
        <w:rPr>
          <w:rFonts w:ascii="Arial" w:cs="Arial" w:eastAsia="Arial" w:hAnsi="Arial"/>
          <w:sz w:val="18"/>
          <w:szCs w:val="18"/>
          <w:color w:val="auto"/>
        </w:rPr>
        <w:t>The Company provides Named Executive Officers with certain limited perquisites that the Committee believes are reasonable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consistent with the overall compensation program to better enable the Company to attract and retain superior employees for key positions. The Committee periodically reviews the levels of perquisites and other personal benefits provided to Named Executive Officers. Based upon this periodic review, perquisites are awarded or adjusted on an individual basis. Named Executive Officers are not automatically awarded all, or in equal amounts, perquisites granted by the Company.</w:t>
      </w:r>
    </w:p>
    <w:p>
      <w:pPr>
        <w:spacing w:after="0" w:line="148" w:lineRule="exact"/>
        <w:rPr>
          <w:sz w:val="20"/>
          <w:szCs w:val="20"/>
          <w:color w:val="auto"/>
        </w:rPr>
      </w:pPr>
    </w:p>
    <w:p>
      <w:pPr>
        <w:ind w:right="500" w:firstLine="360"/>
        <w:spacing w:after="0" w:line="342" w:lineRule="auto"/>
        <w:rPr>
          <w:sz w:val="20"/>
          <w:szCs w:val="20"/>
          <w:color w:val="auto"/>
        </w:rPr>
      </w:pPr>
      <w:r>
        <w:rPr>
          <w:rFonts w:ascii="Arial" w:cs="Arial" w:eastAsia="Arial" w:hAnsi="Arial"/>
          <w:sz w:val="16"/>
          <w:szCs w:val="16"/>
          <w:i w:val="1"/>
          <w:iCs w:val="1"/>
          <w:color w:val="auto"/>
        </w:rPr>
        <w:t xml:space="preserve">Executive Physical — </w:t>
      </w:r>
      <w:r>
        <w:rPr>
          <w:rFonts w:ascii="Arial" w:cs="Arial" w:eastAsia="Arial" w:hAnsi="Arial"/>
          <w:sz w:val="16"/>
          <w:szCs w:val="16"/>
          <w:color w:val="auto"/>
        </w:rPr>
        <w:t>In an effort to encourage executives to monitor and maintain good health, the Company pays for extensive voluntary annual</w:t>
      </w:r>
      <w:r>
        <w:rPr>
          <w:rFonts w:ascii="Arial" w:cs="Arial" w:eastAsia="Arial" w:hAnsi="Arial"/>
          <w:sz w:val="16"/>
          <w:szCs w:val="16"/>
          <w:i w:val="1"/>
          <w:iCs w:val="1"/>
          <w:color w:val="auto"/>
        </w:rPr>
        <w:t xml:space="preserve"> </w:t>
      </w:r>
      <w:r>
        <w:rPr>
          <w:rFonts w:ascii="Arial" w:cs="Arial" w:eastAsia="Arial" w:hAnsi="Arial"/>
          <w:sz w:val="16"/>
          <w:szCs w:val="16"/>
          <w:color w:val="auto"/>
        </w:rPr>
        <w:t>physical examinations for executives, including the Named Executive Officers, to the extent not covered by such executives’ insurance carrier.</w:t>
      </w:r>
    </w:p>
    <w:p>
      <w:pPr>
        <w:spacing w:after="0" w:line="83" w:lineRule="exact"/>
        <w:rPr>
          <w:sz w:val="20"/>
          <w:szCs w:val="20"/>
          <w:color w:val="auto"/>
        </w:rPr>
      </w:pPr>
    </w:p>
    <w:p>
      <w:pPr>
        <w:ind w:right="100" w:firstLine="360"/>
        <w:spacing w:after="0" w:line="264" w:lineRule="auto"/>
        <w:rPr>
          <w:sz w:val="20"/>
          <w:szCs w:val="20"/>
          <w:color w:val="auto"/>
        </w:rPr>
      </w:pPr>
      <w:r>
        <w:rPr>
          <w:rFonts w:ascii="Arial" w:cs="Arial" w:eastAsia="Arial" w:hAnsi="Arial"/>
          <w:sz w:val="18"/>
          <w:szCs w:val="18"/>
          <w:i w:val="1"/>
          <w:iCs w:val="1"/>
          <w:color w:val="auto"/>
        </w:rPr>
        <w:t xml:space="preserve">Corporate Automobile — </w:t>
      </w:r>
      <w:r>
        <w:rPr>
          <w:rFonts w:ascii="Arial" w:cs="Arial" w:eastAsia="Arial" w:hAnsi="Arial"/>
          <w:sz w:val="18"/>
          <w:szCs w:val="18"/>
          <w:color w:val="auto"/>
        </w:rPr>
        <w:t>The Company provides each Named Executive Officer with the use of an automobile. The automobile may be used both for</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and personal purposes and as such, the portion of the value attributable to the use is considered additional compensation to the executive. The value of the additional compensation is included in the gross earnings for those executives.</w:t>
      </w:r>
    </w:p>
    <w:p>
      <w:pPr>
        <w:spacing w:after="0" w:line="154" w:lineRule="exact"/>
        <w:rPr>
          <w:sz w:val="20"/>
          <w:szCs w:val="20"/>
          <w:color w:val="auto"/>
        </w:rPr>
      </w:pPr>
    </w:p>
    <w:p>
      <w:pPr>
        <w:ind w:right="80" w:firstLine="360"/>
        <w:spacing w:after="0" w:line="264" w:lineRule="auto"/>
        <w:rPr>
          <w:sz w:val="20"/>
          <w:szCs w:val="20"/>
          <w:color w:val="auto"/>
        </w:rPr>
      </w:pPr>
      <w:r>
        <w:rPr>
          <w:rFonts w:ascii="Arial" w:cs="Arial" w:eastAsia="Arial" w:hAnsi="Arial"/>
          <w:sz w:val="18"/>
          <w:szCs w:val="18"/>
          <w:i w:val="1"/>
          <w:iCs w:val="1"/>
          <w:color w:val="auto"/>
        </w:rPr>
        <w:t xml:space="preserve">Motor Home Use — </w:t>
      </w:r>
      <w:r>
        <w:rPr>
          <w:rFonts w:ascii="Arial" w:cs="Arial" w:eastAsia="Arial" w:hAnsi="Arial"/>
          <w:sz w:val="18"/>
          <w:szCs w:val="18"/>
          <w:color w:val="auto"/>
        </w:rPr>
        <w:t>The Company provides each of its executives, including Named Executive Officers, an opportunity to utilize our motor homes on a</w:t>
      </w:r>
      <w:r>
        <w:rPr>
          <w:rFonts w:ascii="Arial" w:cs="Arial" w:eastAsia="Arial" w:hAnsi="Arial"/>
          <w:sz w:val="18"/>
          <w:szCs w:val="18"/>
          <w:i w:val="1"/>
          <w:iCs w:val="1"/>
          <w:color w:val="auto"/>
        </w:rPr>
        <w:t xml:space="preserve"> </w:t>
      </w:r>
      <w:r>
        <w:rPr>
          <w:rFonts w:ascii="Arial" w:cs="Arial" w:eastAsia="Arial" w:hAnsi="Arial"/>
          <w:sz w:val="18"/>
          <w:szCs w:val="18"/>
          <w:color w:val="auto"/>
        </w:rPr>
        <w:t>temporary basis. We encourage the executive to have first hand understanding of the recreational vehicle lifestyle experienced by our end-customers and to provide the executive with the opportunity to evaluate product design and efficiency.</w:t>
      </w:r>
    </w:p>
    <w:p>
      <w:pPr>
        <w:spacing w:after="0" w:line="141" w:lineRule="exact"/>
        <w:rPr>
          <w:sz w:val="20"/>
          <w:szCs w:val="20"/>
          <w:color w:val="auto"/>
        </w:rPr>
      </w:pPr>
    </w:p>
    <w:p>
      <w:pPr>
        <w:ind w:right="100" w:firstLine="360"/>
        <w:spacing w:after="0" w:line="342" w:lineRule="auto"/>
        <w:rPr>
          <w:sz w:val="20"/>
          <w:szCs w:val="20"/>
          <w:color w:val="auto"/>
        </w:rPr>
      </w:pPr>
      <w:r>
        <w:rPr>
          <w:rFonts w:ascii="Arial" w:cs="Arial" w:eastAsia="Arial" w:hAnsi="Arial"/>
          <w:sz w:val="16"/>
          <w:szCs w:val="16"/>
          <w:i w:val="1"/>
          <w:iCs w:val="1"/>
          <w:color w:val="auto"/>
        </w:rPr>
        <w:t xml:space="preserve">Company Aircraft — </w:t>
      </w:r>
      <w:r>
        <w:rPr>
          <w:rFonts w:ascii="Arial" w:cs="Arial" w:eastAsia="Arial" w:hAnsi="Arial"/>
          <w:sz w:val="16"/>
          <w:szCs w:val="16"/>
          <w:color w:val="auto"/>
        </w:rPr>
        <w:t>The Company aircraft is intended to be used only in the conduct of official Company business. When the Company aircraft makes</w:t>
      </w:r>
      <w:r>
        <w:rPr>
          <w:rFonts w:ascii="Arial" w:cs="Arial" w:eastAsia="Arial" w:hAnsi="Arial"/>
          <w:sz w:val="16"/>
          <w:szCs w:val="16"/>
          <w:i w:val="1"/>
          <w:iCs w:val="1"/>
          <w:color w:val="auto"/>
        </w:rPr>
        <w:t xml:space="preserve"> </w:t>
      </w:r>
      <w:r>
        <w:rPr>
          <w:rFonts w:ascii="Arial" w:cs="Arial" w:eastAsia="Arial" w:hAnsi="Arial"/>
          <w:sz w:val="16"/>
          <w:szCs w:val="16"/>
          <w:color w:val="auto"/>
        </w:rPr>
        <w:t>flights in the conduct of Company business, other passengers who are not Company employees may occupy seats only when approved by the President or</w:t>
      </w:r>
    </w:p>
    <w:p>
      <w:pPr>
        <w:sectPr>
          <w:pgSz w:w="11900" w:h="16908" w:orient="portrait"/>
          <w:cols w:equalWidth="0" w:num="1">
            <w:col w:w="11400"/>
          </w:cols>
          <w:pgMar w:left="240" w:top="125" w:right="259" w:bottom="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Chairman of the Board. Occasionally, spouses or guests of Named Executive Officers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81"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8"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accompany the executive on a flight or may occupy an available seat on the aircraft. As appropriate, imputed cost of aircraft use is treated as compensation and reported according to IRS regulations. In fiscal 2007, none of the Named Executive Officers utilized the Company aircraft for personal use.</w:t>
      </w:r>
    </w:p>
    <w:p>
      <w:pPr>
        <w:spacing w:after="0" w:line="8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Other Matters.</w:t>
      </w:r>
    </w:p>
    <w:p>
      <w:pPr>
        <w:spacing w:after="0" w:line="185" w:lineRule="exact"/>
        <w:rPr>
          <w:sz w:val="20"/>
          <w:szCs w:val="20"/>
          <w:color w:val="auto"/>
        </w:rPr>
      </w:pPr>
    </w:p>
    <w:p>
      <w:pPr>
        <w:ind w:right="60" w:firstLine="360"/>
        <w:spacing w:after="0" w:line="273" w:lineRule="auto"/>
        <w:rPr>
          <w:sz w:val="20"/>
          <w:szCs w:val="20"/>
          <w:color w:val="auto"/>
        </w:rPr>
      </w:pPr>
      <w:r>
        <w:rPr>
          <w:rFonts w:ascii="Arial" w:cs="Arial" w:eastAsia="Arial" w:hAnsi="Arial"/>
          <w:sz w:val="17"/>
          <w:szCs w:val="17"/>
          <w:i w:val="1"/>
          <w:iCs w:val="1"/>
          <w:color w:val="auto"/>
        </w:rPr>
        <w:t xml:space="preserve">Stock Ownership Guidelines — </w:t>
      </w:r>
      <w:r>
        <w:rPr>
          <w:rFonts w:ascii="Arial" w:cs="Arial" w:eastAsia="Arial" w:hAnsi="Arial"/>
          <w:sz w:val="17"/>
          <w:szCs w:val="17"/>
          <w:color w:val="auto"/>
        </w:rPr>
        <w:t>In 1999, the Committee adopted Stock Ownership Guidelines for executives. In general, each executive has five years</w:t>
      </w:r>
      <w:r>
        <w:rPr>
          <w:rFonts w:ascii="Arial" w:cs="Arial" w:eastAsia="Arial" w:hAnsi="Arial"/>
          <w:sz w:val="17"/>
          <w:szCs w:val="17"/>
          <w:i w:val="1"/>
          <w:iCs w:val="1"/>
          <w:color w:val="auto"/>
        </w:rPr>
        <w:t xml:space="preserve"> </w:t>
      </w:r>
      <w:r>
        <w:rPr>
          <w:rFonts w:ascii="Arial" w:cs="Arial" w:eastAsia="Arial" w:hAnsi="Arial"/>
          <w:sz w:val="17"/>
          <w:szCs w:val="17"/>
          <w:color w:val="auto"/>
        </w:rPr>
        <w:t>from the date he or she becomes an executive to accumulate the appropriate number of shares. The purpose of the guidelines is to encourage our executive officers to own and retain Company shares, thereby aligning their interests with our shareholders. Although these guidelines are not mandatory, executive officers are strongly encouraged to follow them. However, special personal circumstances may require an executive officer to depart from the guidelines. The table below describes the ownership guidelines for the Chief Executive Officer and each of the other Named Executive Officers and the number of shares beneficially owned for the purposes of the guidelines as of August 25, 2007.</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3"/>
              </w:rPr>
              <w:t>Ownership</w:t>
            </w:r>
          </w:p>
        </w:tc>
        <w:tc>
          <w:tcPr>
            <w:tcW w:w="780" w:type="dxa"/>
            <w:vAlign w:val="bottom"/>
          </w:tcPr>
          <w:p>
            <w:pPr>
              <w:spacing w:after="0"/>
              <w:rPr>
                <w:sz w:val="14"/>
                <w:szCs w:val="14"/>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Actual Shares</w:t>
            </w:r>
          </w:p>
        </w:tc>
        <w:tc>
          <w:tcPr>
            <w:tcW w:w="780" w:type="dxa"/>
            <w:vAlign w:val="bottom"/>
          </w:tcPr>
          <w:p>
            <w:pPr>
              <w:spacing w:after="0"/>
              <w:rPr>
                <w:sz w:val="14"/>
                <w:szCs w:val="14"/>
                <w:color w:val="auto"/>
              </w:rPr>
            </w:pPr>
          </w:p>
        </w:tc>
        <w:tc>
          <w:tcPr>
            <w:tcW w:w="13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Guidelines –</w:t>
            </w:r>
          </w:p>
        </w:tc>
        <w:tc>
          <w:tcPr>
            <w:tcW w:w="78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Named Executive Officer</w:t>
            </w:r>
            <w:r>
              <w:rPr>
                <w:rFonts w:ascii="Arial" w:cs="Arial" w:eastAsia="Arial" w:hAnsi="Arial"/>
                <w:sz w:val="23"/>
                <w:szCs w:val="23"/>
                <w:b w:val="1"/>
                <w:bCs w:val="1"/>
                <w:color w:val="auto"/>
                <w:vertAlign w:val="superscript"/>
              </w:rPr>
              <w:t>(1)</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78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780" w:type="dxa"/>
            <w:vAlign w:val="bottom"/>
          </w:tcPr>
          <w:p>
            <w:pPr>
              <w:spacing w:after="0"/>
              <w:rPr>
                <w:sz w:val="12"/>
                <w:szCs w:val="12"/>
                <w:color w:val="auto"/>
              </w:rPr>
            </w:pP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of Guideline</w:t>
            </w:r>
          </w:p>
        </w:tc>
        <w:tc>
          <w:tcPr>
            <w:tcW w:w="0" w:type="dxa"/>
            <w:vAlign w:val="bottom"/>
          </w:tcPr>
          <w:p>
            <w:pPr>
              <w:spacing w:after="0"/>
              <w:rPr>
                <w:sz w:val="1"/>
                <w:szCs w:val="1"/>
                <w:color w:val="auto"/>
              </w:rPr>
            </w:pPr>
          </w:p>
        </w:tc>
      </w:tr>
      <w:tr>
        <w:trPr>
          <w:trHeight w:val="279"/>
        </w:trPr>
        <w:tc>
          <w:tcPr>
            <w:tcW w:w="6020" w:type="dxa"/>
            <w:vAlign w:val="bottom"/>
            <w:gridSpan w:val="3"/>
            <w:vMerge w:val="continue"/>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4"/>
              </w:rPr>
              <w:t>Annual Salary</w:t>
            </w:r>
          </w:p>
        </w:tc>
        <w:tc>
          <w:tcPr>
            <w:tcW w:w="78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4"/>
              </w:rPr>
              <w:t>Owned</w:t>
            </w:r>
          </w:p>
        </w:tc>
        <w:tc>
          <w:tcPr>
            <w:tcW w:w="780" w:type="dxa"/>
            <w:vAlign w:val="bottom"/>
          </w:tcPr>
          <w:p>
            <w:pPr>
              <w:spacing w:after="0"/>
              <w:rPr>
                <w:sz w:val="24"/>
                <w:szCs w:val="24"/>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Attained</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00" w:type="dxa"/>
            <w:vAlign w:val="bottom"/>
            <w:tcBorders>
              <w:top w:val="single" w:sz="8" w:color="auto"/>
            </w:tcBorders>
          </w:tcPr>
          <w:p>
            <w:pPr>
              <w:spacing w:after="0"/>
              <w:rPr>
                <w:sz w:val="8"/>
                <w:szCs w:val="8"/>
                <w:color w:val="auto"/>
              </w:rPr>
            </w:pPr>
          </w:p>
        </w:tc>
        <w:tc>
          <w:tcPr>
            <w:tcW w:w="4200" w:type="dxa"/>
            <w:vAlign w:val="bottom"/>
          </w:tcPr>
          <w:p>
            <w:pPr>
              <w:spacing w:after="0"/>
              <w:rPr>
                <w:sz w:val="8"/>
                <w:szCs w:val="8"/>
                <w:color w:val="auto"/>
              </w:rPr>
            </w:pPr>
          </w:p>
        </w:tc>
        <w:tc>
          <w:tcPr>
            <w:tcW w:w="1240" w:type="dxa"/>
            <w:vAlign w:val="bottom"/>
            <w:tcBorders>
              <w:top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1240" w:type="dxa"/>
            <w:vAlign w:val="bottom"/>
            <w:tcBorders>
              <w:top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12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000" w:type="dxa"/>
            <w:vAlign w:val="bottom"/>
            <w:gridSpan w:val="2"/>
            <w:shd w:val="clear" w:color="auto" w:fill="D6F3E8"/>
          </w:tcPr>
          <w:p>
            <w:pPr>
              <w:spacing w:after="0" w:line="201" w:lineRule="exact"/>
              <w:rPr>
                <w:sz w:val="20"/>
                <w:szCs w:val="20"/>
                <w:color w:val="auto"/>
              </w:rPr>
            </w:pPr>
            <w:r>
              <w:rPr>
                <w:rFonts w:ascii="Arial" w:cs="Arial" w:eastAsia="Arial" w:hAnsi="Arial"/>
                <w:sz w:val="18"/>
                <w:szCs w:val="18"/>
                <w:color w:val="auto"/>
              </w:rPr>
              <w:t>Bruce D. Hertzke</w:t>
            </w:r>
          </w:p>
        </w:tc>
        <w:tc>
          <w:tcPr>
            <w:tcW w:w="1240" w:type="dxa"/>
            <w:vAlign w:val="bottom"/>
            <w:shd w:val="clear" w:color="auto" w:fill="D6F3E8"/>
          </w:tcPr>
          <w:p>
            <w:pPr>
              <w:spacing w:after="0"/>
              <w:rPr>
                <w:sz w:val="17"/>
                <w:szCs w:val="17"/>
                <w:color w:val="auto"/>
              </w:rPr>
            </w:pPr>
          </w:p>
        </w:tc>
        <w:tc>
          <w:tcPr>
            <w:tcW w:w="780" w:type="dxa"/>
            <w:vAlign w:val="bottom"/>
            <w:shd w:val="clear" w:color="auto" w:fill="D6F3E8"/>
          </w:tcPr>
          <w:p>
            <w:pPr>
              <w:spacing w:after="0"/>
              <w:rPr>
                <w:sz w:val="17"/>
                <w:szCs w:val="17"/>
                <w:color w:val="auto"/>
              </w:rPr>
            </w:pPr>
          </w:p>
        </w:tc>
        <w:tc>
          <w:tcPr>
            <w:tcW w:w="1240" w:type="dxa"/>
            <w:vAlign w:val="bottom"/>
            <w:shd w:val="clear" w:color="auto" w:fill="D6F3E8"/>
          </w:tcPr>
          <w:p>
            <w:pPr>
              <w:spacing w:after="0"/>
              <w:rPr>
                <w:sz w:val="17"/>
                <w:szCs w:val="17"/>
                <w:color w:val="auto"/>
              </w:rPr>
            </w:pPr>
          </w:p>
        </w:tc>
        <w:tc>
          <w:tcPr>
            <w:tcW w:w="780" w:type="dxa"/>
            <w:vAlign w:val="bottom"/>
            <w:shd w:val="clear" w:color="auto" w:fill="D6F3E8"/>
          </w:tcPr>
          <w:p>
            <w:pPr>
              <w:spacing w:after="0"/>
              <w:rPr>
                <w:sz w:val="17"/>
                <w:szCs w:val="17"/>
                <w:color w:val="auto"/>
              </w:rPr>
            </w:pPr>
          </w:p>
        </w:tc>
        <w:tc>
          <w:tcPr>
            <w:tcW w:w="1260" w:type="dxa"/>
            <w:vAlign w:val="bottom"/>
            <w:shd w:val="clear" w:color="auto" w:fill="D6F3E8"/>
          </w:tcPr>
          <w:p>
            <w:pPr>
              <w:spacing w:after="0"/>
              <w:rPr>
                <w:sz w:val="17"/>
                <w:szCs w:val="17"/>
                <w:color w:val="auto"/>
              </w:rPr>
            </w:pPr>
          </w:p>
        </w:tc>
        <w:tc>
          <w:tcPr>
            <w:tcW w:w="100" w:type="dxa"/>
            <w:vAlign w:val="bottom"/>
            <w:shd w:val="clear" w:color="auto" w:fill="D6F3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00" w:type="dxa"/>
            <w:vAlign w:val="bottom"/>
            <w:gridSpan w:val="2"/>
            <w:shd w:val="clear" w:color="auto" w:fill="D6F3E8"/>
          </w:tcPr>
          <w:p>
            <w:pPr>
              <w:ind w:left="80"/>
              <w:spacing w:after="0"/>
              <w:rPr>
                <w:sz w:val="20"/>
                <w:szCs w:val="20"/>
                <w:color w:val="auto"/>
              </w:rPr>
            </w:pPr>
            <w:r>
              <w:rPr>
                <w:rFonts w:ascii="Arial" w:cs="Arial" w:eastAsia="Arial" w:hAnsi="Arial"/>
                <w:sz w:val="18"/>
                <w:szCs w:val="18"/>
                <w:color w:val="auto"/>
              </w:rPr>
              <w:t>Chairman of the Board and CEO</w:t>
            </w:r>
          </w:p>
        </w:tc>
        <w:tc>
          <w:tcPr>
            <w:tcW w:w="1240" w:type="dxa"/>
            <w:vAlign w:val="bottom"/>
            <w:shd w:val="clear" w:color="auto" w:fill="D6F3E8"/>
          </w:tcPr>
          <w:p>
            <w:pPr>
              <w:jc w:val="right"/>
              <w:ind w:right="278"/>
              <w:spacing w:after="0"/>
              <w:rPr>
                <w:sz w:val="20"/>
                <w:szCs w:val="20"/>
                <w:color w:val="auto"/>
              </w:rPr>
            </w:pPr>
            <w:r>
              <w:rPr>
                <w:rFonts w:ascii="Arial" w:cs="Arial" w:eastAsia="Arial" w:hAnsi="Arial"/>
                <w:sz w:val="18"/>
                <w:szCs w:val="18"/>
                <w:color w:val="auto"/>
              </w:rPr>
              <w:t>400%</w:t>
            </w:r>
          </w:p>
        </w:tc>
        <w:tc>
          <w:tcPr>
            <w:tcW w:w="2020" w:type="dxa"/>
            <w:vAlign w:val="bottom"/>
            <w:gridSpan w:val="2"/>
            <w:shd w:val="clear" w:color="auto" w:fill="D6F3E8"/>
          </w:tcPr>
          <w:p>
            <w:pPr>
              <w:jc w:val="right"/>
              <w:ind w:right="248"/>
              <w:spacing w:after="0"/>
              <w:rPr>
                <w:sz w:val="20"/>
                <w:szCs w:val="20"/>
                <w:color w:val="auto"/>
              </w:rPr>
            </w:pPr>
            <w:r>
              <w:rPr>
                <w:rFonts w:ascii="Arial" w:cs="Arial" w:eastAsia="Arial" w:hAnsi="Arial"/>
                <w:sz w:val="18"/>
                <w:szCs w:val="18"/>
                <w:color w:val="auto"/>
              </w:rPr>
              <w:t>57,878</w:t>
            </w:r>
          </w:p>
        </w:tc>
        <w:tc>
          <w:tcPr>
            <w:tcW w:w="2040" w:type="dxa"/>
            <w:vAlign w:val="bottom"/>
            <w:gridSpan w:val="2"/>
            <w:shd w:val="clear" w:color="auto" w:fill="D6F3E8"/>
          </w:tcPr>
          <w:p>
            <w:pPr>
              <w:jc w:val="right"/>
              <w:ind w:right="288"/>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D6F3E8"/>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00" w:type="dxa"/>
            <w:vAlign w:val="bottom"/>
            <w:gridSpan w:val="2"/>
          </w:tcPr>
          <w:p>
            <w:pPr>
              <w:spacing w:after="0" w:line="201" w:lineRule="exact"/>
              <w:rPr>
                <w:sz w:val="20"/>
                <w:szCs w:val="20"/>
                <w:color w:val="auto"/>
              </w:rPr>
            </w:pPr>
            <w:r>
              <w:rPr>
                <w:rFonts w:ascii="Arial" w:cs="Arial" w:eastAsia="Arial" w:hAnsi="Arial"/>
                <w:sz w:val="18"/>
                <w:szCs w:val="18"/>
                <w:color w:val="auto"/>
              </w:rPr>
              <w:t>Robert J. Olson</w:t>
            </w:r>
          </w:p>
        </w:tc>
        <w:tc>
          <w:tcPr>
            <w:tcW w:w="1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00" w:type="dxa"/>
            <w:vAlign w:val="bottom"/>
            <w:gridSpan w:val="2"/>
          </w:tcPr>
          <w:p>
            <w:pPr>
              <w:ind w:left="80"/>
              <w:spacing w:after="0"/>
              <w:rPr>
                <w:sz w:val="20"/>
                <w:szCs w:val="20"/>
                <w:color w:val="auto"/>
              </w:rPr>
            </w:pPr>
            <w:r>
              <w:rPr>
                <w:rFonts w:ascii="Arial" w:cs="Arial" w:eastAsia="Arial" w:hAnsi="Arial"/>
                <w:sz w:val="18"/>
                <w:szCs w:val="18"/>
                <w:color w:val="auto"/>
              </w:rPr>
              <w:t>President</w:t>
            </w:r>
          </w:p>
        </w:tc>
        <w:tc>
          <w:tcPr>
            <w:tcW w:w="1240" w:type="dxa"/>
            <w:vAlign w:val="bottom"/>
          </w:tcPr>
          <w:p>
            <w:pPr>
              <w:jc w:val="right"/>
              <w:ind w:right="278"/>
              <w:spacing w:after="0"/>
              <w:rPr>
                <w:sz w:val="20"/>
                <w:szCs w:val="20"/>
                <w:color w:val="auto"/>
              </w:rPr>
            </w:pPr>
            <w:r>
              <w:rPr>
                <w:rFonts w:ascii="Arial" w:cs="Arial" w:eastAsia="Arial" w:hAnsi="Arial"/>
                <w:sz w:val="18"/>
                <w:szCs w:val="18"/>
                <w:color w:val="auto"/>
              </w:rPr>
              <w:t>250%</w:t>
            </w:r>
          </w:p>
        </w:tc>
        <w:tc>
          <w:tcPr>
            <w:tcW w:w="2020" w:type="dxa"/>
            <w:vAlign w:val="bottom"/>
            <w:gridSpan w:val="2"/>
          </w:tcPr>
          <w:p>
            <w:pPr>
              <w:jc w:val="right"/>
              <w:ind w:right="248"/>
              <w:spacing w:after="0"/>
              <w:rPr>
                <w:sz w:val="20"/>
                <w:szCs w:val="20"/>
                <w:color w:val="auto"/>
              </w:rPr>
            </w:pPr>
            <w:r>
              <w:rPr>
                <w:rFonts w:ascii="Arial" w:cs="Arial" w:eastAsia="Arial" w:hAnsi="Arial"/>
                <w:sz w:val="18"/>
                <w:szCs w:val="18"/>
                <w:color w:val="auto"/>
              </w:rPr>
              <w:t>15,992</w:t>
            </w:r>
          </w:p>
        </w:tc>
        <w:tc>
          <w:tcPr>
            <w:tcW w:w="2040" w:type="dxa"/>
            <w:vAlign w:val="bottom"/>
            <w:gridSpan w:val="2"/>
          </w:tcPr>
          <w:p>
            <w:pPr>
              <w:jc w:val="right"/>
              <w:ind w:right="288"/>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00" w:type="dxa"/>
            <w:vAlign w:val="bottom"/>
            <w:gridSpan w:val="2"/>
            <w:shd w:val="clear" w:color="auto" w:fill="D6F3E8"/>
          </w:tcPr>
          <w:p>
            <w:pPr>
              <w:spacing w:after="0" w:line="201" w:lineRule="exact"/>
              <w:rPr>
                <w:sz w:val="20"/>
                <w:szCs w:val="20"/>
                <w:color w:val="auto"/>
              </w:rPr>
            </w:pPr>
            <w:r>
              <w:rPr>
                <w:rFonts w:ascii="Arial" w:cs="Arial" w:eastAsia="Arial" w:hAnsi="Arial"/>
                <w:sz w:val="18"/>
                <w:szCs w:val="18"/>
                <w:color w:val="auto"/>
              </w:rPr>
              <w:t>Raymond M. Beebe</w:t>
            </w:r>
          </w:p>
        </w:tc>
        <w:tc>
          <w:tcPr>
            <w:tcW w:w="1240" w:type="dxa"/>
            <w:vAlign w:val="bottom"/>
            <w:shd w:val="clear" w:color="auto" w:fill="D6F3E8"/>
          </w:tcPr>
          <w:p>
            <w:pPr>
              <w:spacing w:after="0"/>
              <w:rPr>
                <w:sz w:val="17"/>
                <w:szCs w:val="17"/>
                <w:color w:val="auto"/>
              </w:rPr>
            </w:pPr>
          </w:p>
        </w:tc>
        <w:tc>
          <w:tcPr>
            <w:tcW w:w="780" w:type="dxa"/>
            <w:vAlign w:val="bottom"/>
            <w:shd w:val="clear" w:color="auto" w:fill="D6F3E8"/>
          </w:tcPr>
          <w:p>
            <w:pPr>
              <w:spacing w:after="0"/>
              <w:rPr>
                <w:sz w:val="17"/>
                <w:szCs w:val="17"/>
                <w:color w:val="auto"/>
              </w:rPr>
            </w:pPr>
          </w:p>
        </w:tc>
        <w:tc>
          <w:tcPr>
            <w:tcW w:w="1240" w:type="dxa"/>
            <w:vAlign w:val="bottom"/>
            <w:shd w:val="clear" w:color="auto" w:fill="D6F3E8"/>
          </w:tcPr>
          <w:p>
            <w:pPr>
              <w:spacing w:after="0"/>
              <w:rPr>
                <w:sz w:val="17"/>
                <w:szCs w:val="17"/>
                <w:color w:val="auto"/>
              </w:rPr>
            </w:pPr>
          </w:p>
        </w:tc>
        <w:tc>
          <w:tcPr>
            <w:tcW w:w="780" w:type="dxa"/>
            <w:vAlign w:val="bottom"/>
            <w:shd w:val="clear" w:color="auto" w:fill="D6F3E8"/>
          </w:tcPr>
          <w:p>
            <w:pPr>
              <w:spacing w:after="0"/>
              <w:rPr>
                <w:sz w:val="17"/>
                <w:szCs w:val="17"/>
                <w:color w:val="auto"/>
              </w:rPr>
            </w:pPr>
          </w:p>
        </w:tc>
        <w:tc>
          <w:tcPr>
            <w:tcW w:w="1260" w:type="dxa"/>
            <w:vAlign w:val="bottom"/>
            <w:shd w:val="clear" w:color="auto" w:fill="D6F3E8"/>
          </w:tcPr>
          <w:p>
            <w:pPr>
              <w:spacing w:after="0"/>
              <w:rPr>
                <w:sz w:val="17"/>
                <w:szCs w:val="17"/>
                <w:color w:val="auto"/>
              </w:rPr>
            </w:pPr>
          </w:p>
        </w:tc>
        <w:tc>
          <w:tcPr>
            <w:tcW w:w="100" w:type="dxa"/>
            <w:vAlign w:val="bottom"/>
            <w:shd w:val="clear" w:color="auto" w:fill="D6F3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00" w:type="dxa"/>
            <w:vAlign w:val="bottom"/>
            <w:gridSpan w:val="2"/>
            <w:shd w:val="clear" w:color="auto" w:fill="D6F3E8"/>
          </w:tcPr>
          <w:p>
            <w:pPr>
              <w:ind w:left="80"/>
              <w:spacing w:after="0"/>
              <w:rPr>
                <w:sz w:val="20"/>
                <w:szCs w:val="20"/>
                <w:color w:val="auto"/>
              </w:rPr>
            </w:pPr>
            <w:r>
              <w:rPr>
                <w:rFonts w:ascii="Arial" w:cs="Arial" w:eastAsia="Arial" w:hAnsi="Arial"/>
                <w:sz w:val="18"/>
                <w:szCs w:val="18"/>
                <w:color w:val="auto"/>
              </w:rPr>
              <w:t>Vice President – General Counsel &amp; Secretary</w:t>
            </w:r>
          </w:p>
        </w:tc>
        <w:tc>
          <w:tcPr>
            <w:tcW w:w="1240" w:type="dxa"/>
            <w:vAlign w:val="bottom"/>
            <w:shd w:val="clear" w:color="auto" w:fill="D6F3E8"/>
          </w:tcPr>
          <w:p>
            <w:pPr>
              <w:jc w:val="right"/>
              <w:ind w:right="278"/>
              <w:spacing w:after="0"/>
              <w:rPr>
                <w:sz w:val="20"/>
                <w:szCs w:val="20"/>
                <w:color w:val="auto"/>
              </w:rPr>
            </w:pPr>
            <w:r>
              <w:rPr>
                <w:rFonts w:ascii="Arial" w:cs="Arial" w:eastAsia="Arial" w:hAnsi="Arial"/>
                <w:sz w:val="18"/>
                <w:szCs w:val="18"/>
                <w:color w:val="auto"/>
              </w:rPr>
              <w:t>250%</w:t>
            </w:r>
          </w:p>
        </w:tc>
        <w:tc>
          <w:tcPr>
            <w:tcW w:w="2020" w:type="dxa"/>
            <w:vAlign w:val="bottom"/>
            <w:gridSpan w:val="2"/>
            <w:shd w:val="clear" w:color="auto" w:fill="D6F3E8"/>
          </w:tcPr>
          <w:p>
            <w:pPr>
              <w:jc w:val="right"/>
              <w:ind w:right="248"/>
              <w:spacing w:after="0"/>
              <w:rPr>
                <w:sz w:val="20"/>
                <w:szCs w:val="20"/>
                <w:color w:val="auto"/>
              </w:rPr>
            </w:pPr>
            <w:r>
              <w:rPr>
                <w:rFonts w:ascii="Arial" w:cs="Arial" w:eastAsia="Arial" w:hAnsi="Arial"/>
                <w:sz w:val="18"/>
                <w:szCs w:val="18"/>
                <w:color w:val="auto"/>
              </w:rPr>
              <w:t>8,100</w:t>
            </w:r>
          </w:p>
        </w:tc>
        <w:tc>
          <w:tcPr>
            <w:tcW w:w="2040" w:type="dxa"/>
            <w:vAlign w:val="bottom"/>
            <w:gridSpan w:val="2"/>
            <w:shd w:val="clear" w:color="auto" w:fill="D6F3E8"/>
          </w:tcPr>
          <w:p>
            <w:pPr>
              <w:jc w:val="right"/>
              <w:ind w:right="288"/>
              <w:spacing w:after="0"/>
              <w:rPr>
                <w:sz w:val="20"/>
                <w:szCs w:val="20"/>
                <w:color w:val="auto"/>
              </w:rPr>
            </w:pPr>
            <w:r>
              <w:rPr>
                <w:rFonts w:ascii="Arial" w:cs="Arial" w:eastAsia="Arial" w:hAnsi="Arial"/>
                <w:sz w:val="18"/>
                <w:szCs w:val="18"/>
                <w:color w:val="auto"/>
              </w:rPr>
              <w:t>89%</w:t>
            </w:r>
          </w:p>
        </w:tc>
        <w:tc>
          <w:tcPr>
            <w:tcW w:w="100" w:type="dxa"/>
            <w:vAlign w:val="bottom"/>
            <w:shd w:val="clear" w:color="auto" w:fill="D6F3E8"/>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000" w:type="dxa"/>
            <w:vAlign w:val="bottom"/>
            <w:gridSpan w:val="2"/>
          </w:tcPr>
          <w:p>
            <w:pPr>
              <w:spacing w:after="0" w:line="242" w:lineRule="exact"/>
              <w:rPr>
                <w:sz w:val="20"/>
                <w:szCs w:val="20"/>
                <w:color w:val="auto"/>
              </w:rPr>
            </w:pPr>
            <w:r>
              <w:rPr>
                <w:rFonts w:ascii="Arial" w:cs="Arial" w:eastAsia="Arial" w:hAnsi="Arial"/>
                <w:sz w:val="17"/>
                <w:szCs w:val="17"/>
                <w:color w:val="auto"/>
              </w:rPr>
              <w:t>Sarah N. Nielsen</w:t>
            </w:r>
            <w:r>
              <w:rPr>
                <w:rFonts w:ascii="Arial" w:cs="Arial" w:eastAsia="Arial" w:hAnsi="Arial"/>
                <w:sz w:val="28"/>
                <w:szCs w:val="28"/>
                <w:color w:val="auto"/>
                <w:vertAlign w:val="superscript"/>
              </w:rPr>
              <w:t>(2)</w:t>
            </w:r>
          </w:p>
        </w:tc>
        <w:tc>
          <w:tcPr>
            <w:tcW w:w="1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00" w:type="dxa"/>
            <w:vAlign w:val="bottom"/>
            <w:gridSpan w:val="2"/>
          </w:tcPr>
          <w:p>
            <w:pPr>
              <w:ind w:left="80"/>
              <w:spacing w:after="0"/>
              <w:rPr>
                <w:sz w:val="20"/>
                <w:szCs w:val="20"/>
                <w:color w:val="auto"/>
              </w:rPr>
            </w:pPr>
            <w:r>
              <w:rPr>
                <w:rFonts w:ascii="Arial" w:cs="Arial" w:eastAsia="Arial" w:hAnsi="Arial"/>
                <w:sz w:val="18"/>
                <w:szCs w:val="18"/>
                <w:color w:val="auto"/>
              </w:rPr>
              <w:t>Vice President – CFO</w:t>
            </w:r>
          </w:p>
        </w:tc>
        <w:tc>
          <w:tcPr>
            <w:tcW w:w="1240" w:type="dxa"/>
            <w:vAlign w:val="bottom"/>
          </w:tcPr>
          <w:p>
            <w:pPr>
              <w:jc w:val="right"/>
              <w:ind w:right="278"/>
              <w:spacing w:after="0"/>
              <w:rPr>
                <w:sz w:val="20"/>
                <w:szCs w:val="20"/>
                <w:color w:val="auto"/>
              </w:rPr>
            </w:pPr>
            <w:r>
              <w:rPr>
                <w:rFonts w:ascii="Arial" w:cs="Arial" w:eastAsia="Arial" w:hAnsi="Arial"/>
                <w:sz w:val="18"/>
                <w:szCs w:val="18"/>
                <w:color w:val="auto"/>
              </w:rPr>
              <w:t>250%</w:t>
            </w:r>
          </w:p>
        </w:tc>
        <w:tc>
          <w:tcPr>
            <w:tcW w:w="2020" w:type="dxa"/>
            <w:vAlign w:val="bottom"/>
            <w:gridSpan w:val="2"/>
          </w:tcPr>
          <w:p>
            <w:pPr>
              <w:jc w:val="right"/>
              <w:ind w:right="248"/>
              <w:spacing w:after="0"/>
              <w:rPr>
                <w:sz w:val="20"/>
                <w:szCs w:val="20"/>
                <w:color w:val="auto"/>
              </w:rPr>
            </w:pPr>
            <w:r>
              <w:rPr>
                <w:rFonts w:ascii="Arial" w:cs="Arial" w:eastAsia="Arial" w:hAnsi="Arial"/>
                <w:sz w:val="18"/>
                <w:szCs w:val="18"/>
                <w:color w:val="auto"/>
              </w:rPr>
              <w:t>4,000</w:t>
            </w:r>
          </w:p>
        </w:tc>
        <w:tc>
          <w:tcPr>
            <w:tcW w:w="2040" w:type="dxa"/>
            <w:vAlign w:val="bottom"/>
            <w:gridSpan w:val="2"/>
          </w:tcPr>
          <w:p>
            <w:pPr>
              <w:jc w:val="right"/>
              <w:ind w:right="288"/>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00" w:type="dxa"/>
            <w:vAlign w:val="bottom"/>
            <w:gridSpan w:val="2"/>
            <w:shd w:val="clear" w:color="auto" w:fill="D6F3E8"/>
          </w:tcPr>
          <w:p>
            <w:pPr>
              <w:spacing w:after="0" w:line="201" w:lineRule="exact"/>
              <w:rPr>
                <w:sz w:val="20"/>
                <w:szCs w:val="20"/>
                <w:color w:val="auto"/>
              </w:rPr>
            </w:pPr>
            <w:r>
              <w:rPr>
                <w:rFonts w:ascii="Arial" w:cs="Arial" w:eastAsia="Arial" w:hAnsi="Arial"/>
                <w:sz w:val="18"/>
                <w:szCs w:val="18"/>
                <w:color w:val="auto"/>
              </w:rPr>
              <w:t>William J. O’Leary</w:t>
            </w:r>
          </w:p>
        </w:tc>
        <w:tc>
          <w:tcPr>
            <w:tcW w:w="1240" w:type="dxa"/>
            <w:vAlign w:val="bottom"/>
            <w:shd w:val="clear" w:color="auto" w:fill="D6F3E8"/>
          </w:tcPr>
          <w:p>
            <w:pPr>
              <w:spacing w:after="0"/>
              <w:rPr>
                <w:sz w:val="17"/>
                <w:szCs w:val="17"/>
                <w:color w:val="auto"/>
              </w:rPr>
            </w:pPr>
          </w:p>
        </w:tc>
        <w:tc>
          <w:tcPr>
            <w:tcW w:w="780" w:type="dxa"/>
            <w:vAlign w:val="bottom"/>
            <w:shd w:val="clear" w:color="auto" w:fill="D6F3E8"/>
          </w:tcPr>
          <w:p>
            <w:pPr>
              <w:spacing w:after="0"/>
              <w:rPr>
                <w:sz w:val="17"/>
                <w:szCs w:val="17"/>
                <w:color w:val="auto"/>
              </w:rPr>
            </w:pPr>
          </w:p>
        </w:tc>
        <w:tc>
          <w:tcPr>
            <w:tcW w:w="1240" w:type="dxa"/>
            <w:vAlign w:val="bottom"/>
            <w:shd w:val="clear" w:color="auto" w:fill="D6F3E8"/>
          </w:tcPr>
          <w:p>
            <w:pPr>
              <w:spacing w:after="0"/>
              <w:rPr>
                <w:sz w:val="17"/>
                <w:szCs w:val="17"/>
                <w:color w:val="auto"/>
              </w:rPr>
            </w:pPr>
          </w:p>
        </w:tc>
        <w:tc>
          <w:tcPr>
            <w:tcW w:w="780" w:type="dxa"/>
            <w:vAlign w:val="bottom"/>
            <w:shd w:val="clear" w:color="auto" w:fill="D6F3E8"/>
          </w:tcPr>
          <w:p>
            <w:pPr>
              <w:spacing w:after="0"/>
              <w:rPr>
                <w:sz w:val="17"/>
                <w:szCs w:val="17"/>
                <w:color w:val="auto"/>
              </w:rPr>
            </w:pPr>
          </w:p>
        </w:tc>
        <w:tc>
          <w:tcPr>
            <w:tcW w:w="1260" w:type="dxa"/>
            <w:vAlign w:val="bottom"/>
            <w:shd w:val="clear" w:color="auto" w:fill="D6F3E8"/>
          </w:tcPr>
          <w:p>
            <w:pPr>
              <w:spacing w:after="0"/>
              <w:rPr>
                <w:sz w:val="17"/>
                <w:szCs w:val="17"/>
                <w:color w:val="auto"/>
              </w:rPr>
            </w:pPr>
          </w:p>
        </w:tc>
        <w:tc>
          <w:tcPr>
            <w:tcW w:w="100" w:type="dxa"/>
            <w:vAlign w:val="bottom"/>
            <w:shd w:val="clear" w:color="auto" w:fill="D6F3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00" w:type="dxa"/>
            <w:vAlign w:val="bottom"/>
            <w:gridSpan w:val="2"/>
            <w:shd w:val="clear" w:color="auto" w:fill="D6F3E8"/>
          </w:tcPr>
          <w:p>
            <w:pPr>
              <w:ind w:left="80"/>
              <w:spacing w:after="0"/>
              <w:rPr>
                <w:sz w:val="20"/>
                <w:szCs w:val="20"/>
                <w:color w:val="auto"/>
              </w:rPr>
            </w:pPr>
            <w:r>
              <w:rPr>
                <w:rFonts w:ascii="Arial" w:cs="Arial" w:eastAsia="Arial" w:hAnsi="Arial"/>
                <w:sz w:val="18"/>
                <w:szCs w:val="18"/>
                <w:color w:val="auto"/>
              </w:rPr>
              <w:t>Vice President – Product Development</w:t>
            </w:r>
          </w:p>
        </w:tc>
        <w:tc>
          <w:tcPr>
            <w:tcW w:w="1240" w:type="dxa"/>
            <w:vAlign w:val="bottom"/>
            <w:shd w:val="clear" w:color="auto" w:fill="D6F3E8"/>
          </w:tcPr>
          <w:p>
            <w:pPr>
              <w:jc w:val="right"/>
              <w:ind w:right="278"/>
              <w:spacing w:after="0"/>
              <w:rPr>
                <w:sz w:val="20"/>
                <w:szCs w:val="20"/>
                <w:color w:val="auto"/>
              </w:rPr>
            </w:pPr>
            <w:r>
              <w:rPr>
                <w:rFonts w:ascii="Arial" w:cs="Arial" w:eastAsia="Arial" w:hAnsi="Arial"/>
                <w:sz w:val="18"/>
                <w:szCs w:val="18"/>
                <w:color w:val="auto"/>
              </w:rPr>
              <w:t>250%</w:t>
            </w:r>
          </w:p>
        </w:tc>
        <w:tc>
          <w:tcPr>
            <w:tcW w:w="2020" w:type="dxa"/>
            <w:vAlign w:val="bottom"/>
            <w:gridSpan w:val="2"/>
            <w:shd w:val="clear" w:color="auto" w:fill="D6F3E8"/>
          </w:tcPr>
          <w:p>
            <w:pPr>
              <w:jc w:val="right"/>
              <w:ind w:right="248"/>
              <w:spacing w:after="0"/>
              <w:rPr>
                <w:sz w:val="20"/>
                <w:szCs w:val="20"/>
                <w:color w:val="auto"/>
              </w:rPr>
            </w:pPr>
            <w:r>
              <w:rPr>
                <w:rFonts w:ascii="Arial" w:cs="Arial" w:eastAsia="Arial" w:hAnsi="Arial"/>
                <w:sz w:val="18"/>
                <w:szCs w:val="18"/>
                <w:color w:val="auto"/>
              </w:rPr>
              <w:t>11,500</w:t>
            </w:r>
          </w:p>
        </w:tc>
        <w:tc>
          <w:tcPr>
            <w:tcW w:w="2040" w:type="dxa"/>
            <w:vAlign w:val="bottom"/>
            <w:gridSpan w:val="2"/>
            <w:shd w:val="clear" w:color="auto" w:fill="D6F3E8"/>
          </w:tcPr>
          <w:p>
            <w:pPr>
              <w:jc w:val="right"/>
              <w:ind w:right="288"/>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D6F3E8"/>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46621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540" w:hanging="478"/>
        <w:spacing w:after="0"/>
        <w:tabs>
          <w:tab w:leader="none" w:pos="5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Mr. Barker’s ownership is intentionally omitted, as he retired from the Company effective May 4, 2007.</w:t>
      </w:r>
    </w:p>
    <w:p>
      <w:pPr>
        <w:spacing w:after="0" w:line="95" w:lineRule="exact"/>
        <w:rPr>
          <w:rFonts w:ascii="Arial" w:cs="Arial" w:eastAsia="Arial" w:hAnsi="Arial"/>
          <w:sz w:val="14"/>
          <w:szCs w:val="14"/>
          <w:color w:val="auto"/>
        </w:rPr>
      </w:pPr>
    </w:p>
    <w:p>
      <w:pPr>
        <w:ind w:left="540" w:hanging="478"/>
        <w:spacing w:after="0"/>
        <w:tabs>
          <w:tab w:leader="none" w:pos="540" w:val="left"/>
        </w:tabs>
        <w:numPr>
          <w:ilvl w:val="0"/>
          <w:numId w:val="41"/>
        </w:numPr>
        <w:rPr>
          <w:rFonts w:ascii="Arial" w:cs="Arial" w:eastAsia="Arial" w:hAnsi="Arial"/>
          <w:sz w:val="13"/>
          <w:szCs w:val="13"/>
          <w:color w:val="auto"/>
        </w:rPr>
      </w:pPr>
      <w:r>
        <w:rPr>
          <w:rFonts w:ascii="Arial" w:cs="Arial" w:eastAsia="Arial" w:hAnsi="Arial"/>
          <w:sz w:val="13"/>
          <w:szCs w:val="13"/>
          <w:color w:val="auto"/>
        </w:rPr>
        <w:t>Sarah N. Nielsen became an officer for the Company in August 2005 and guidelines provide for a five year period in which to attain stock ownership in accordance with the guidelines.</w:t>
      </w:r>
    </w:p>
    <w:p>
      <w:pPr>
        <w:spacing w:after="0" w:line="200" w:lineRule="exact"/>
        <w:rPr>
          <w:sz w:val="20"/>
          <w:szCs w:val="20"/>
          <w:color w:val="auto"/>
        </w:rPr>
      </w:pPr>
    </w:p>
    <w:p>
      <w:pPr>
        <w:spacing w:after="0" w:line="276"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i w:val="1"/>
          <w:iCs w:val="1"/>
          <w:color w:val="auto"/>
        </w:rPr>
        <w:t xml:space="preserve">Severance Payments — </w:t>
      </w:r>
      <w:r>
        <w:rPr>
          <w:rFonts w:ascii="Arial" w:cs="Arial" w:eastAsia="Arial" w:hAnsi="Arial"/>
          <w:sz w:val="18"/>
          <w:szCs w:val="18"/>
          <w:color w:val="auto"/>
        </w:rPr>
        <w:t>The compensation package of each Named Executive Officer also provides for special payments and accelerated vesting of other</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opportunities upon termination of employment or in specified circumstances significant reduction of duties or in working conditions. The Company has entered into change of control agreements with each of the Named Executive Officers and certain other executive officers (“Executive Change of Control Agreements”).</w:t>
      </w:r>
    </w:p>
    <w:p>
      <w:pPr>
        <w:spacing w:after="0" w:line="146" w:lineRule="exact"/>
        <w:rPr>
          <w:sz w:val="20"/>
          <w:szCs w:val="20"/>
          <w:color w:val="auto"/>
        </w:rPr>
      </w:pPr>
    </w:p>
    <w:p>
      <w:pPr>
        <w:jc w:val="both"/>
        <w:ind w:right="300" w:firstLine="360"/>
        <w:spacing w:after="0" w:line="264" w:lineRule="auto"/>
        <w:rPr>
          <w:sz w:val="20"/>
          <w:szCs w:val="20"/>
          <w:color w:val="auto"/>
        </w:rPr>
      </w:pPr>
      <w:r>
        <w:rPr>
          <w:rFonts w:ascii="Arial" w:cs="Arial" w:eastAsia="Arial" w:hAnsi="Arial"/>
          <w:sz w:val="18"/>
          <w:szCs w:val="18"/>
          <w:color w:val="auto"/>
        </w:rPr>
        <w:t>The Agreements generally provide that, in the event of a termination of the executive’s employment (for a reason other than death, disability, willful misconduct, normal retirement or, under certain circumstances, a voluntary termination of employment by the executive) within three years of a change of control, such executive would receive a cash payment and certain other benefits.</w:t>
      </w:r>
    </w:p>
    <w:p>
      <w:pPr>
        <w:spacing w:after="0" w:line="154" w:lineRule="exact"/>
        <w:rPr>
          <w:sz w:val="20"/>
          <w:szCs w:val="20"/>
          <w:color w:val="auto"/>
        </w:rPr>
      </w:pPr>
    </w:p>
    <w:p>
      <w:pPr>
        <w:ind w:right="200" w:firstLine="360"/>
        <w:spacing w:after="0" w:line="276" w:lineRule="auto"/>
        <w:rPr>
          <w:sz w:val="20"/>
          <w:szCs w:val="20"/>
          <w:color w:val="auto"/>
        </w:rPr>
      </w:pPr>
      <w:r>
        <w:rPr>
          <w:rFonts w:ascii="Arial" w:cs="Arial" w:eastAsia="Arial" w:hAnsi="Arial"/>
          <w:sz w:val="17"/>
          <w:szCs w:val="17"/>
          <w:color w:val="auto"/>
        </w:rPr>
        <w:t>The Committee believes these agreements are an important part of the total executive compensation program, because they protect the Company’s interest in the continuity and stability of the executive group. The Committee also believes that the change in control agreements reduce the executives’ interest in working against a potential change in control and help to keep them focused on minimizing interruptions in business operations by reducing any concerns they may have of being terminated prematurely and without cause during any ownership transition. See “Potential Payments Upon Termination or Change of Control—Executive Change in Control Arrangements” below for additional detail.</w:t>
      </w:r>
    </w:p>
    <w:p>
      <w:pPr>
        <w:spacing w:after="0" w:line="132" w:lineRule="exact"/>
        <w:rPr>
          <w:sz w:val="20"/>
          <w:szCs w:val="20"/>
          <w:color w:val="auto"/>
        </w:rPr>
      </w:pPr>
    </w:p>
    <w:p>
      <w:pPr>
        <w:ind w:right="200" w:firstLine="360"/>
        <w:spacing w:after="0" w:line="308" w:lineRule="auto"/>
        <w:rPr>
          <w:sz w:val="20"/>
          <w:szCs w:val="20"/>
          <w:color w:val="auto"/>
        </w:rPr>
      </w:pPr>
      <w:r>
        <w:rPr>
          <w:rFonts w:ascii="Arial" w:cs="Arial" w:eastAsia="Arial" w:hAnsi="Arial"/>
          <w:sz w:val="17"/>
          <w:szCs w:val="17"/>
          <w:color w:val="auto"/>
        </w:rPr>
        <w:t>We have not provided any executives with special agreements regarding severance with the exception of the Executive Change of Control Agreements described above. Our executives are eligible, however, for the same severance program afforded to all salaried employees when an</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81"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8"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employee is terminated for circumstances outside of their control. Essentially, this program provides for one week of severance pay for each full year of continuous service, up to a maximum of 26 weeks. One week of severance pay is equal to the executive’s weekly base compensation.</w:t>
      </w:r>
    </w:p>
    <w:p>
      <w:pPr>
        <w:spacing w:after="0" w:line="106" w:lineRule="exact"/>
        <w:rPr>
          <w:sz w:val="20"/>
          <w:szCs w:val="20"/>
          <w:color w:val="auto"/>
        </w:rPr>
      </w:pPr>
    </w:p>
    <w:p>
      <w:pPr>
        <w:ind w:right="220" w:firstLine="360"/>
        <w:spacing w:after="0" w:line="259" w:lineRule="auto"/>
        <w:rPr>
          <w:sz w:val="20"/>
          <w:szCs w:val="20"/>
          <w:color w:val="auto"/>
        </w:rPr>
      </w:pPr>
      <w:r>
        <w:rPr>
          <w:rFonts w:ascii="Arial" w:cs="Arial" w:eastAsia="Arial" w:hAnsi="Arial"/>
          <w:sz w:val="18"/>
          <w:szCs w:val="18"/>
          <w:i w:val="1"/>
          <w:iCs w:val="1"/>
          <w:color w:val="auto"/>
        </w:rPr>
        <w:t>Notwithstanding anything to the contrary set forth in any of the Company’s filings under the Securities Act of 1933, as amended, or the Securities Exchange Act of 1934, as amended, that might incorporate other filings with the SEC, including this proxy statement, in whole or in part, the following Winnebago Industries Human Resources Committee Report on Compensation Discussion and Analysis shall not be deemed to be incorporated by reference into any such filings.</w:t>
      </w:r>
    </w:p>
    <w:p>
      <w:pPr>
        <w:sectPr>
          <w:pgSz w:w="11900" w:h="16838" w:orient="portrait"/>
          <w:cols w:equalWidth="0" w:num="1">
            <w:col w:w="11420"/>
          </w:cols>
          <w:pgMar w:left="240" w:top="125" w:right="239" w:bottom="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Human Resources Committee Report on Compensation Discussion and Analysis</w:t>
      </w:r>
    </w:p>
    <w:p>
      <w:pPr>
        <w:sectPr>
          <w:pgSz w:w="11900" w:h="16838" w:orient="portrait"/>
          <w:cols w:equalWidth="0" w:num="1">
            <w:col w:w="11420"/>
          </w:cols>
          <w:pgMar w:left="240" w:top="125" w:right="239" w:bottom="0" w:gutter="0" w:footer="0" w:header="0"/>
          <w:type w:val="continuous"/>
        </w:sectPr>
      </w:pPr>
    </w:p>
    <w:bookmarkStart w:id="23" w:name="page24"/>
    <w:bookmarkEnd w:id="23"/>
    <w:p>
      <w:pPr>
        <w:ind w:right="340" w:firstLine="360"/>
        <w:spacing w:after="0" w:line="264" w:lineRule="auto"/>
        <w:rPr>
          <w:sz w:val="20"/>
          <w:szCs w:val="20"/>
          <w:color w:val="auto"/>
        </w:rPr>
      </w:pPr>
      <w:r>
        <w:rPr>
          <w:rFonts w:ascii="Arial" w:cs="Arial" w:eastAsia="Arial" w:hAnsi="Arial"/>
          <w:sz w:val="18"/>
          <w:szCs w:val="18"/>
          <w:color w:val="auto"/>
        </w:rPr>
        <w:t>The Human Resources Committee (the “Committee”) discharges the Board’s responsibilities relating to compensation of the Company’s executive officers. The Committee approves and evaluates all compensation of executive officers, including salaries, bonuses, and compensation plans, policies and programs of the Company.</w:t>
      </w:r>
    </w:p>
    <w:p>
      <w:pPr>
        <w:spacing w:after="0" w:line="141" w:lineRule="exact"/>
        <w:rPr>
          <w:sz w:val="20"/>
          <w:szCs w:val="20"/>
          <w:color w:val="auto"/>
        </w:rPr>
      </w:pPr>
    </w:p>
    <w:p>
      <w:pPr>
        <w:ind w:right="840" w:firstLine="360"/>
        <w:spacing w:after="0" w:line="308" w:lineRule="auto"/>
        <w:rPr>
          <w:sz w:val="20"/>
          <w:szCs w:val="20"/>
          <w:color w:val="auto"/>
        </w:rPr>
      </w:pPr>
      <w:r>
        <w:rPr>
          <w:rFonts w:ascii="Arial" w:cs="Arial" w:eastAsia="Arial" w:hAnsi="Arial"/>
          <w:sz w:val="17"/>
          <w:szCs w:val="17"/>
          <w:color w:val="auto"/>
        </w:rPr>
        <w:t>The Committee also fulfills its duties with respect to the Compensation Discussion and Analysis and Human Resources Committee Report on Compensation Discussion and Analysis portions of the proxy statement, as described in the Committee’s Charter.</w:t>
      </w:r>
    </w:p>
    <w:p>
      <w:pPr>
        <w:spacing w:after="0" w:line="120" w:lineRule="exact"/>
        <w:rPr>
          <w:sz w:val="20"/>
          <w:szCs w:val="20"/>
          <w:color w:val="auto"/>
        </w:rPr>
      </w:pPr>
    </w:p>
    <w:p>
      <w:pPr>
        <w:jc w:val="both"/>
        <w:ind w:right="360" w:firstLine="360"/>
        <w:spacing w:after="0" w:line="264" w:lineRule="auto"/>
        <w:rPr>
          <w:sz w:val="20"/>
          <w:szCs w:val="20"/>
          <w:color w:val="auto"/>
        </w:rPr>
      </w:pPr>
      <w:r>
        <w:rPr>
          <w:rFonts w:ascii="Arial" w:cs="Arial" w:eastAsia="Arial" w:hAnsi="Arial"/>
          <w:sz w:val="18"/>
          <w:szCs w:val="18"/>
          <w:color w:val="auto"/>
        </w:rPr>
        <w:t>The Compensation Discussion and Analysis has been prepared by management of the Company. The Company is responsible for the Compensation Discussion and Analysis and for the disclosure controls relating to executive compensation. The Compensation Discussion and Analysis is not a report or disclosure of the Committee.</w:t>
      </w:r>
    </w:p>
    <w:p>
      <w:pPr>
        <w:spacing w:after="0" w:line="14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Human Resources Committee of Winnebago Industries, Inc.’s Board of Directors:</w:t>
      </w:r>
    </w:p>
    <w:p>
      <w:pPr>
        <w:spacing w:after="0" w:line="239" w:lineRule="exact"/>
        <w:rPr>
          <w:sz w:val="20"/>
          <w:szCs w:val="20"/>
          <w:color w:val="auto"/>
        </w:rPr>
      </w:pPr>
    </w:p>
    <w:p>
      <w:pPr>
        <w:ind w:left="1020" w:right="440" w:hanging="472"/>
        <w:spacing w:after="0" w:line="277"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has reviewed and discussed the Compensation Discussion and Analysis included in this proxy statement and the 2007 Form 10-K with the management of the Company; and</w:t>
      </w:r>
    </w:p>
    <w:p>
      <w:pPr>
        <w:spacing w:after="0" w:line="35" w:lineRule="exact"/>
        <w:rPr>
          <w:rFonts w:ascii="Arial" w:cs="Arial" w:eastAsia="Arial" w:hAnsi="Arial"/>
          <w:sz w:val="18"/>
          <w:szCs w:val="18"/>
          <w:color w:val="auto"/>
        </w:rPr>
      </w:pPr>
    </w:p>
    <w:p>
      <w:pPr>
        <w:ind w:left="1020" w:right="600" w:hanging="472"/>
        <w:spacing w:after="0" w:line="277"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such review and discussions, the Human Resources Committee recommended to the Board of Directors that the Compensation Discussion and Analysis be included in this proxy statement and the 2007 Form 10-K.</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Human Resources Committee:</w:t>
      </w:r>
    </w:p>
    <w:p>
      <w:pPr>
        <w:spacing w:after="0" w:line="18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Gerald C. Kitch, Chairman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Irvin E. Aal</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Jerry N. Currie</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John E. Herlitz</w:t>
      </w:r>
    </w:p>
    <w:p>
      <w:pPr>
        <w:spacing w:after="0" w:line="166" w:lineRule="exact"/>
        <w:rPr>
          <w:sz w:val="20"/>
          <w:szCs w:val="20"/>
          <w:color w:val="auto"/>
        </w:rPr>
      </w:pPr>
    </w:p>
    <w:p>
      <w:pPr>
        <w:ind w:right="100" w:firstLine="360"/>
        <w:spacing w:after="0" w:line="258" w:lineRule="auto"/>
        <w:rPr>
          <w:sz w:val="20"/>
          <w:szCs w:val="20"/>
          <w:color w:val="auto"/>
        </w:rPr>
      </w:pPr>
      <w:r>
        <w:rPr>
          <w:rFonts w:ascii="Arial" w:cs="Arial" w:eastAsia="Arial" w:hAnsi="Arial"/>
          <w:sz w:val="18"/>
          <w:szCs w:val="18"/>
          <w:b w:val="1"/>
          <w:bCs w:val="1"/>
          <w:color w:val="auto"/>
        </w:rPr>
        <w:t xml:space="preserve">Human Resources Committee Interlocks and Insider Participation. </w:t>
      </w:r>
      <w:r>
        <w:rPr>
          <w:rFonts w:ascii="Arial" w:cs="Arial" w:eastAsia="Arial" w:hAnsi="Arial"/>
          <w:sz w:val="18"/>
          <w:szCs w:val="18"/>
          <w:color w:val="auto"/>
        </w:rPr>
        <w:t>The current members of the Human Resources Committee of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Messrs. Kitch, Aal, Currie and Herlitz, were not at any time during fiscal 2007 or at any other time an officer or employee of the Company, and no member had any relationship with the Company requiring disclosure under applicable SEC rules. No executive officer of the Company has served on the board of directors or compensation committee of any other entity that has or has had one or more executive officers who served as a member of the Company’s Board of Directors or the Human Resources Committee during fiscal 2007.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Compensation Tables and Narrative Disclosure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UMMARY</w:t>
      </w:r>
      <w:r>
        <w:rPr>
          <w:rFonts w:ascii="Arial" w:cs="Arial" w:eastAsia="Arial" w:hAnsi="Arial"/>
          <w:sz w:val="22"/>
          <w:szCs w:val="22"/>
          <w:color w:val="auto"/>
        </w:rPr>
        <w:t xml:space="preserve"> C</w:t>
      </w:r>
      <w:r>
        <w:rPr>
          <w:rFonts w:ascii="Arial" w:cs="Arial" w:eastAsia="Arial" w:hAnsi="Arial"/>
          <w:sz w:val="18"/>
          <w:szCs w:val="18"/>
          <w:color w:val="auto"/>
        </w:rPr>
        <w:t>OMPENSATION</w:t>
      </w:r>
      <w:r>
        <w:rPr>
          <w:rFonts w:ascii="Arial" w:cs="Arial" w:eastAsia="Arial" w:hAnsi="Arial"/>
          <w:sz w:val="22"/>
          <w:szCs w:val="22"/>
          <w:color w:val="auto"/>
        </w:rPr>
        <w:t xml:space="preserve"> T</w:t>
      </w:r>
      <w:r>
        <w:rPr>
          <w:rFonts w:ascii="Arial" w:cs="Arial" w:eastAsia="Arial" w:hAnsi="Arial"/>
          <w:sz w:val="18"/>
          <w:szCs w:val="18"/>
          <w:color w:val="auto"/>
        </w:rPr>
        <w:t>ABLE</w:t>
      </w:r>
    </w:p>
    <w:p>
      <w:pPr>
        <w:spacing w:after="0" w:line="213" w:lineRule="exact"/>
        <w:rPr>
          <w:sz w:val="20"/>
          <w:szCs w:val="20"/>
          <w:color w:val="auto"/>
        </w:rPr>
      </w:pPr>
    </w:p>
    <w:p>
      <w:pPr>
        <w:ind w:right="460" w:firstLine="360"/>
        <w:spacing w:after="0" w:line="277" w:lineRule="auto"/>
        <w:rPr>
          <w:sz w:val="20"/>
          <w:szCs w:val="20"/>
          <w:color w:val="auto"/>
        </w:rPr>
      </w:pPr>
      <w:r>
        <w:rPr>
          <w:rFonts w:ascii="Arial" w:cs="Arial" w:eastAsia="Arial" w:hAnsi="Arial"/>
          <w:sz w:val="18"/>
          <w:szCs w:val="18"/>
          <w:color w:val="auto"/>
        </w:rPr>
        <w:t>The following tables set forth compensation information for the Company’s Named Executive Officers for services rendered in all capacities to the Company and its subsidiaries in fiscal year 2007.</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Change in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Pension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6"/>
              </w:rPr>
              <w:t>Non-Equity</w:t>
            </w: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Value and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0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Non-qualified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Option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Incentive</w:t>
            </w: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Deferred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All Other</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Plan</w:t>
            </w: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80" w:type="dxa"/>
            <w:vAlign w:val="bottom"/>
          </w:tcPr>
          <w:p>
            <w:pPr>
              <w:ind w:left="200"/>
              <w:spacing w:after="0"/>
              <w:rPr>
                <w:sz w:val="20"/>
                <w:szCs w:val="20"/>
                <w:color w:val="auto"/>
              </w:rPr>
            </w:pPr>
            <w:r>
              <w:rPr>
                <w:rFonts w:ascii="Arial" w:cs="Arial" w:eastAsia="Arial" w:hAnsi="Arial"/>
                <w:sz w:val="14"/>
                <w:szCs w:val="14"/>
                <w:b w:val="1"/>
                <w:bCs w:val="1"/>
                <w:color w:val="auto"/>
              </w:rPr>
              <w:t>Fiscal</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Salary</w:t>
            </w:r>
          </w:p>
        </w:tc>
        <w:tc>
          <w:tcPr>
            <w:tcW w:w="780" w:type="dxa"/>
            <w:vAlign w:val="bottom"/>
          </w:tcPr>
          <w:p>
            <w:pPr>
              <w:ind w:left="200"/>
              <w:spacing w:after="0"/>
              <w:rPr>
                <w:sz w:val="20"/>
                <w:szCs w:val="20"/>
                <w:color w:val="auto"/>
              </w:rPr>
            </w:pPr>
            <w:r>
              <w:rPr>
                <w:rFonts w:ascii="Arial" w:cs="Arial" w:eastAsia="Arial" w:hAnsi="Arial"/>
                <w:sz w:val="14"/>
                <w:szCs w:val="14"/>
                <w:b w:val="1"/>
                <w:bCs w:val="1"/>
                <w:color w:val="auto"/>
              </w:rPr>
              <w:t>Bonus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Awards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Awards</w:t>
            </w:r>
          </w:p>
        </w:tc>
        <w:tc>
          <w:tcPr>
            <w:tcW w:w="1200" w:type="dxa"/>
            <w:vAlign w:val="bottom"/>
            <w:gridSpan w:val="4"/>
          </w:tcPr>
          <w:p>
            <w:pPr>
              <w:ind w:left="120"/>
              <w:spacing w:after="0"/>
              <w:rPr>
                <w:sz w:val="20"/>
                <w:szCs w:val="20"/>
                <w:color w:val="auto"/>
              </w:rPr>
            </w:pPr>
            <w:r>
              <w:rPr>
                <w:rFonts w:ascii="Arial" w:cs="Arial" w:eastAsia="Arial" w:hAnsi="Arial"/>
                <w:sz w:val="14"/>
                <w:szCs w:val="14"/>
                <w:b w:val="1"/>
                <w:bCs w:val="1"/>
                <w:color w:val="auto"/>
              </w:rPr>
              <w:t>Compensation</w:t>
            </w: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Earnings</w:t>
            </w:r>
          </w:p>
        </w:tc>
        <w:tc>
          <w:tcPr>
            <w:tcW w:w="1200" w:type="dxa"/>
            <w:vAlign w:val="bottom"/>
            <w:gridSpan w:val="4"/>
          </w:tcPr>
          <w:p>
            <w:pPr>
              <w:ind w:left="100"/>
              <w:spacing w:after="0"/>
              <w:rPr>
                <w:sz w:val="20"/>
                <w:szCs w:val="20"/>
                <w:color w:val="auto"/>
              </w:rPr>
            </w:pPr>
            <w:r>
              <w:rPr>
                <w:rFonts w:ascii="Arial" w:cs="Arial" w:eastAsia="Arial" w:hAnsi="Arial"/>
                <w:sz w:val="14"/>
                <w:szCs w:val="14"/>
                <w:b w:val="1"/>
                <w:bCs w:val="1"/>
                <w:color w:val="auto"/>
              </w:rPr>
              <w:t>Compensation</w:t>
            </w:r>
          </w:p>
        </w:tc>
        <w:tc>
          <w:tcPr>
            <w:tcW w:w="160" w:type="dxa"/>
            <w:vAlign w:val="bottom"/>
          </w:tcPr>
          <w:p>
            <w:pPr>
              <w:spacing w:after="0"/>
              <w:rPr>
                <w:sz w:val="14"/>
                <w:szCs w:val="14"/>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9"/>
        </w:trPr>
        <w:tc>
          <w:tcPr>
            <w:tcW w:w="22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780" w:type="dxa"/>
            <w:vAlign w:val="bottom"/>
          </w:tcPr>
          <w:p>
            <w:pPr>
              <w:ind w:left="240"/>
              <w:spacing w:after="0"/>
              <w:rPr>
                <w:sz w:val="20"/>
                <w:szCs w:val="20"/>
                <w:color w:val="auto"/>
              </w:rPr>
            </w:pPr>
            <w:r>
              <w:rPr>
                <w:rFonts w:ascii="Arial" w:cs="Arial" w:eastAsia="Arial" w:hAnsi="Arial"/>
                <w:sz w:val="14"/>
                <w:szCs w:val="14"/>
                <w:b w:val="1"/>
                <w:bCs w:val="1"/>
                <w:color w:val="auto"/>
              </w:rPr>
              <w:t>Year</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780" w:type="dxa"/>
            <w:vAlign w:val="bottom"/>
          </w:tcPr>
          <w:p>
            <w:pPr>
              <w:ind w:left="30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ind w:right="57"/>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ind w:right="57"/>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57"/>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36"/>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center"/>
              <w:ind w:right="97"/>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4"/>
        </w:trPr>
        <w:tc>
          <w:tcPr>
            <w:tcW w:w="2200" w:type="dxa"/>
            <w:vAlign w:val="bottom"/>
            <w:gridSpan w:val="3"/>
          </w:tcPr>
          <w:p>
            <w:pPr>
              <w:spacing w:after="0"/>
              <w:rPr>
                <w:sz w:val="20"/>
                <w:szCs w:val="20"/>
                <w:color w:val="auto"/>
              </w:rPr>
            </w:pPr>
            <w:r>
              <w:rPr>
                <w:rFonts w:ascii="Arial" w:cs="Arial" w:eastAsia="Arial" w:hAnsi="Arial"/>
                <w:sz w:val="14"/>
                <w:szCs w:val="14"/>
                <w:b w:val="1"/>
                <w:bCs w:val="1"/>
                <w:color w:val="auto"/>
              </w:rPr>
              <w:t>(a)</w:t>
            </w:r>
          </w:p>
        </w:tc>
        <w:tc>
          <w:tcPr>
            <w:tcW w:w="780" w:type="dxa"/>
            <w:vAlign w:val="bottom"/>
          </w:tcPr>
          <w:p>
            <w:pPr>
              <w:ind w:left="300"/>
              <w:spacing w:after="0"/>
              <w:rPr>
                <w:sz w:val="20"/>
                <w:szCs w:val="20"/>
                <w:color w:val="auto"/>
              </w:rPr>
            </w:pPr>
            <w:r>
              <w:rPr>
                <w:rFonts w:ascii="Arial" w:cs="Arial" w:eastAsia="Arial" w:hAnsi="Arial"/>
                <w:sz w:val="14"/>
                <w:szCs w:val="14"/>
                <w:b w:val="1"/>
                <w:bCs w:val="1"/>
                <w:color w:val="auto"/>
              </w:rPr>
              <w:t>(b)</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ind w:left="160"/>
              <w:spacing w:after="0"/>
              <w:rPr>
                <w:sz w:val="20"/>
                <w:szCs w:val="20"/>
                <w:color w:val="auto"/>
              </w:rPr>
            </w:pPr>
            <w:r>
              <w:rPr>
                <w:rFonts w:ascii="Arial" w:cs="Arial" w:eastAsia="Arial" w:hAnsi="Arial"/>
                <w:sz w:val="14"/>
                <w:szCs w:val="14"/>
                <w:b w:val="1"/>
                <w:bCs w:val="1"/>
                <w:color w:val="auto"/>
              </w:rPr>
              <w:t>(c)</w:t>
            </w:r>
          </w:p>
        </w:tc>
        <w:tc>
          <w:tcPr>
            <w:tcW w:w="780" w:type="dxa"/>
            <w:vAlign w:val="bottom"/>
          </w:tcPr>
          <w:p>
            <w:pPr>
              <w:ind w:left="300"/>
              <w:spacing w:after="0"/>
              <w:rPr>
                <w:sz w:val="20"/>
                <w:szCs w:val="20"/>
                <w:color w:val="auto"/>
              </w:rPr>
            </w:pPr>
            <w:r>
              <w:rPr>
                <w:rFonts w:ascii="Arial" w:cs="Arial" w:eastAsia="Arial" w:hAnsi="Arial"/>
                <w:sz w:val="14"/>
                <w:szCs w:val="14"/>
                <w:b w:val="1"/>
                <w:bCs w:val="1"/>
                <w:color w:val="auto"/>
              </w:rPr>
              <w:t>(d)</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3"/>
              </w:rPr>
              <w:t>(e)</w:t>
            </w:r>
            <w:r>
              <w:rPr>
                <w:rFonts w:ascii="Arial" w:cs="Arial" w:eastAsia="Arial" w:hAnsi="Arial"/>
                <w:sz w:val="23"/>
                <w:szCs w:val="23"/>
                <w:b w:val="1"/>
                <w:bCs w:val="1"/>
                <w:color w:val="auto"/>
                <w:w w:val="83"/>
                <w:vertAlign w:val="superscript"/>
              </w:rPr>
              <w:t>(1)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(f)</w:t>
            </w:r>
            <w:r>
              <w:rPr>
                <w:rFonts w:ascii="Arial" w:cs="Arial" w:eastAsia="Arial" w:hAnsi="Arial"/>
                <w:sz w:val="23"/>
                <w:szCs w:val="23"/>
                <w:b w:val="1"/>
                <w:bCs w:val="1"/>
                <w:color w:val="auto"/>
                <w:w w:val="85"/>
                <w:vertAlign w:val="superscript"/>
              </w:rPr>
              <w:t>(2)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1"/>
              </w:rPr>
              <w:t>(g)</w:t>
            </w:r>
            <w:r>
              <w:rPr>
                <w:rFonts w:ascii="Arial" w:cs="Arial" w:eastAsia="Arial" w:hAnsi="Arial"/>
                <w:sz w:val="23"/>
                <w:szCs w:val="23"/>
                <w:b w:val="1"/>
                <w:bCs w:val="1"/>
                <w:color w:val="auto"/>
                <w:w w:val="81"/>
                <w:vertAlign w:val="superscript"/>
              </w:rPr>
              <w:t>(3)</w:t>
            </w: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(h)</w:t>
            </w:r>
            <w:r>
              <w:rPr>
                <w:rFonts w:ascii="Arial" w:cs="Arial" w:eastAsia="Arial" w:hAnsi="Arial"/>
                <w:sz w:val="23"/>
                <w:szCs w:val="23"/>
                <w:b w:val="1"/>
                <w:bCs w:val="1"/>
                <w:color w:val="auto"/>
                <w:w w:val="87"/>
                <w:vertAlign w:val="superscript"/>
              </w:rPr>
              <w:t>(4)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(i)</w:t>
            </w:r>
            <w:r>
              <w:rPr>
                <w:rFonts w:ascii="Arial" w:cs="Arial" w:eastAsia="Arial" w:hAnsi="Arial"/>
                <w:sz w:val="23"/>
                <w:szCs w:val="23"/>
                <w:b w:val="1"/>
                <w:bCs w:val="1"/>
                <w:color w:val="auto"/>
                <w:w w:val="87"/>
                <w:vertAlign w:val="superscript"/>
              </w:rPr>
              <w:t>(5)</w:t>
            </w:r>
          </w:p>
        </w:tc>
        <w:tc>
          <w:tcPr>
            <w:tcW w:w="160" w:type="dxa"/>
            <w:vAlign w:val="bottom"/>
          </w:tcPr>
          <w:p>
            <w:pPr>
              <w:spacing w:after="0"/>
              <w:rPr>
                <w:sz w:val="24"/>
                <w:szCs w:val="24"/>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(j)</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520" w:type="dxa"/>
            <w:vAlign w:val="bottom"/>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180" w:type="dxa"/>
            <w:vAlign w:val="bottom"/>
            <w:gridSpan w:val="2"/>
            <w:shd w:val="clear" w:color="auto" w:fill="D6F3E8"/>
          </w:tcPr>
          <w:p>
            <w:pPr>
              <w:spacing w:after="0" w:line="201" w:lineRule="exact"/>
              <w:rPr>
                <w:sz w:val="20"/>
                <w:szCs w:val="20"/>
                <w:color w:val="auto"/>
              </w:rPr>
            </w:pPr>
            <w:r>
              <w:rPr>
                <w:rFonts w:ascii="Arial" w:cs="Arial" w:eastAsia="Arial" w:hAnsi="Arial"/>
                <w:sz w:val="18"/>
                <w:szCs w:val="18"/>
                <w:color w:val="auto"/>
              </w:rPr>
              <w:t>Bruce D. Hertzke</w:t>
            </w:r>
          </w:p>
        </w:tc>
        <w:tc>
          <w:tcPr>
            <w:tcW w:w="780" w:type="dxa"/>
            <w:vAlign w:val="bottom"/>
            <w:shd w:val="clear" w:color="auto" w:fill="D6F3E8"/>
          </w:tcPr>
          <w:p>
            <w:pPr>
              <w:spacing w:after="0"/>
              <w:rPr>
                <w:sz w:val="17"/>
                <w:szCs w:val="17"/>
                <w:color w:val="auto"/>
              </w:rPr>
            </w:pPr>
          </w:p>
        </w:tc>
        <w:tc>
          <w:tcPr>
            <w:tcW w:w="220" w:type="dxa"/>
            <w:vAlign w:val="bottom"/>
            <w:shd w:val="clear" w:color="auto" w:fill="D6F3E8"/>
          </w:tcPr>
          <w:p>
            <w:pPr>
              <w:spacing w:after="0"/>
              <w:rPr>
                <w:sz w:val="17"/>
                <w:szCs w:val="17"/>
                <w:color w:val="auto"/>
              </w:rPr>
            </w:pPr>
          </w:p>
        </w:tc>
        <w:tc>
          <w:tcPr>
            <w:tcW w:w="140" w:type="dxa"/>
            <w:vAlign w:val="bottom"/>
            <w:shd w:val="clear" w:color="auto" w:fill="D6F3E8"/>
          </w:tcPr>
          <w:p>
            <w:pPr>
              <w:spacing w:after="0"/>
              <w:rPr>
                <w:sz w:val="17"/>
                <w:szCs w:val="17"/>
                <w:color w:val="auto"/>
              </w:rPr>
            </w:pPr>
          </w:p>
        </w:tc>
        <w:tc>
          <w:tcPr>
            <w:tcW w:w="640" w:type="dxa"/>
            <w:vAlign w:val="bottom"/>
            <w:shd w:val="clear" w:color="auto" w:fill="D6F3E8"/>
          </w:tcPr>
          <w:p>
            <w:pPr>
              <w:spacing w:after="0"/>
              <w:rPr>
                <w:sz w:val="17"/>
                <w:szCs w:val="17"/>
                <w:color w:val="auto"/>
              </w:rPr>
            </w:pPr>
          </w:p>
        </w:tc>
        <w:tc>
          <w:tcPr>
            <w:tcW w:w="220" w:type="dxa"/>
            <w:vAlign w:val="bottom"/>
            <w:shd w:val="clear" w:color="auto" w:fill="D6F3E8"/>
          </w:tcPr>
          <w:p>
            <w:pPr>
              <w:spacing w:after="0"/>
              <w:rPr>
                <w:sz w:val="17"/>
                <w:szCs w:val="17"/>
                <w:color w:val="auto"/>
              </w:rPr>
            </w:pPr>
          </w:p>
        </w:tc>
        <w:tc>
          <w:tcPr>
            <w:tcW w:w="780" w:type="dxa"/>
            <w:vAlign w:val="bottom"/>
            <w:shd w:val="clear" w:color="auto" w:fill="D6F3E8"/>
          </w:tcPr>
          <w:p>
            <w:pPr>
              <w:spacing w:after="0"/>
              <w:rPr>
                <w:sz w:val="17"/>
                <w:szCs w:val="17"/>
                <w:color w:val="auto"/>
              </w:rPr>
            </w:pPr>
          </w:p>
        </w:tc>
        <w:tc>
          <w:tcPr>
            <w:tcW w:w="220" w:type="dxa"/>
            <w:vAlign w:val="bottom"/>
            <w:shd w:val="clear" w:color="auto" w:fill="D6F3E8"/>
          </w:tcPr>
          <w:p>
            <w:pPr>
              <w:spacing w:after="0"/>
              <w:rPr>
                <w:sz w:val="17"/>
                <w:szCs w:val="17"/>
                <w:color w:val="auto"/>
              </w:rPr>
            </w:pPr>
          </w:p>
        </w:tc>
        <w:tc>
          <w:tcPr>
            <w:tcW w:w="120" w:type="dxa"/>
            <w:vAlign w:val="bottom"/>
            <w:shd w:val="clear" w:color="auto" w:fill="D6F3E8"/>
          </w:tcPr>
          <w:p>
            <w:pPr>
              <w:spacing w:after="0"/>
              <w:rPr>
                <w:sz w:val="17"/>
                <w:szCs w:val="17"/>
                <w:color w:val="auto"/>
              </w:rPr>
            </w:pPr>
          </w:p>
        </w:tc>
        <w:tc>
          <w:tcPr>
            <w:tcW w:w="660" w:type="dxa"/>
            <w:vAlign w:val="bottom"/>
            <w:shd w:val="clear" w:color="auto" w:fill="D6F3E8"/>
          </w:tcPr>
          <w:p>
            <w:pPr>
              <w:spacing w:after="0"/>
              <w:rPr>
                <w:sz w:val="17"/>
                <w:szCs w:val="17"/>
                <w:color w:val="auto"/>
              </w:rPr>
            </w:pPr>
          </w:p>
        </w:tc>
        <w:tc>
          <w:tcPr>
            <w:tcW w:w="100" w:type="dxa"/>
            <w:vAlign w:val="bottom"/>
            <w:shd w:val="clear" w:color="auto" w:fill="D6F3E8"/>
          </w:tcPr>
          <w:p>
            <w:pPr>
              <w:spacing w:after="0"/>
              <w:rPr>
                <w:sz w:val="17"/>
                <w:szCs w:val="17"/>
                <w:color w:val="auto"/>
              </w:rPr>
            </w:pPr>
          </w:p>
        </w:tc>
        <w:tc>
          <w:tcPr>
            <w:tcW w:w="120" w:type="dxa"/>
            <w:vAlign w:val="bottom"/>
            <w:shd w:val="clear" w:color="auto" w:fill="D6F3E8"/>
          </w:tcPr>
          <w:p>
            <w:pPr>
              <w:spacing w:after="0"/>
              <w:rPr>
                <w:sz w:val="17"/>
                <w:szCs w:val="17"/>
                <w:color w:val="auto"/>
              </w:rPr>
            </w:pPr>
          </w:p>
        </w:tc>
        <w:tc>
          <w:tcPr>
            <w:tcW w:w="120" w:type="dxa"/>
            <w:vAlign w:val="bottom"/>
            <w:shd w:val="clear" w:color="auto" w:fill="D6F3E8"/>
          </w:tcPr>
          <w:p>
            <w:pPr>
              <w:spacing w:after="0"/>
              <w:rPr>
                <w:sz w:val="17"/>
                <w:szCs w:val="17"/>
                <w:color w:val="auto"/>
              </w:rPr>
            </w:pPr>
          </w:p>
        </w:tc>
        <w:tc>
          <w:tcPr>
            <w:tcW w:w="660" w:type="dxa"/>
            <w:vAlign w:val="bottom"/>
            <w:shd w:val="clear" w:color="auto" w:fill="D6F3E8"/>
          </w:tcPr>
          <w:p>
            <w:pPr>
              <w:spacing w:after="0"/>
              <w:rPr>
                <w:sz w:val="17"/>
                <w:szCs w:val="17"/>
                <w:color w:val="auto"/>
              </w:rPr>
            </w:pPr>
          </w:p>
        </w:tc>
        <w:tc>
          <w:tcPr>
            <w:tcW w:w="100" w:type="dxa"/>
            <w:vAlign w:val="bottom"/>
            <w:shd w:val="clear" w:color="auto" w:fill="D6F3E8"/>
          </w:tcPr>
          <w:p>
            <w:pPr>
              <w:spacing w:after="0"/>
              <w:rPr>
                <w:sz w:val="17"/>
                <w:szCs w:val="17"/>
                <w:color w:val="auto"/>
              </w:rPr>
            </w:pPr>
          </w:p>
        </w:tc>
        <w:tc>
          <w:tcPr>
            <w:tcW w:w="120" w:type="dxa"/>
            <w:vAlign w:val="bottom"/>
            <w:shd w:val="clear" w:color="auto" w:fill="D6F3E8"/>
          </w:tcPr>
          <w:p>
            <w:pPr>
              <w:spacing w:after="0"/>
              <w:rPr>
                <w:sz w:val="17"/>
                <w:szCs w:val="17"/>
                <w:color w:val="auto"/>
              </w:rPr>
            </w:pPr>
          </w:p>
        </w:tc>
        <w:tc>
          <w:tcPr>
            <w:tcW w:w="120" w:type="dxa"/>
            <w:vAlign w:val="bottom"/>
            <w:shd w:val="clear" w:color="auto" w:fill="D6F3E8"/>
          </w:tcPr>
          <w:p>
            <w:pPr>
              <w:spacing w:after="0"/>
              <w:rPr>
                <w:sz w:val="17"/>
                <w:szCs w:val="17"/>
                <w:color w:val="auto"/>
              </w:rPr>
            </w:pPr>
          </w:p>
        </w:tc>
        <w:tc>
          <w:tcPr>
            <w:tcW w:w="760" w:type="dxa"/>
            <w:vAlign w:val="bottom"/>
            <w:shd w:val="clear" w:color="auto" w:fill="D6F3E8"/>
          </w:tcPr>
          <w:p>
            <w:pPr>
              <w:spacing w:after="0"/>
              <w:rPr>
                <w:sz w:val="17"/>
                <w:szCs w:val="17"/>
                <w:color w:val="auto"/>
              </w:rPr>
            </w:pPr>
          </w:p>
        </w:tc>
        <w:tc>
          <w:tcPr>
            <w:tcW w:w="200" w:type="dxa"/>
            <w:vAlign w:val="bottom"/>
            <w:shd w:val="clear" w:color="auto" w:fill="D6F3E8"/>
          </w:tcPr>
          <w:p>
            <w:pPr>
              <w:spacing w:after="0"/>
              <w:rPr>
                <w:sz w:val="17"/>
                <w:szCs w:val="17"/>
                <w:color w:val="auto"/>
              </w:rPr>
            </w:pPr>
          </w:p>
        </w:tc>
        <w:tc>
          <w:tcPr>
            <w:tcW w:w="880" w:type="dxa"/>
            <w:vAlign w:val="bottom"/>
            <w:shd w:val="clear" w:color="auto" w:fill="D6F3E8"/>
          </w:tcPr>
          <w:p>
            <w:pPr>
              <w:spacing w:after="0"/>
              <w:rPr>
                <w:sz w:val="17"/>
                <w:szCs w:val="17"/>
                <w:color w:val="auto"/>
              </w:rPr>
            </w:pPr>
          </w:p>
        </w:tc>
        <w:tc>
          <w:tcPr>
            <w:tcW w:w="120" w:type="dxa"/>
            <w:vAlign w:val="bottom"/>
            <w:shd w:val="clear" w:color="auto" w:fill="D6F3E8"/>
          </w:tcPr>
          <w:p>
            <w:pPr>
              <w:spacing w:after="0"/>
              <w:rPr>
                <w:sz w:val="17"/>
                <w:szCs w:val="17"/>
                <w:color w:val="auto"/>
              </w:rPr>
            </w:pPr>
          </w:p>
        </w:tc>
        <w:tc>
          <w:tcPr>
            <w:tcW w:w="100" w:type="dxa"/>
            <w:vAlign w:val="bottom"/>
            <w:shd w:val="clear" w:color="auto" w:fill="D6F3E8"/>
          </w:tcPr>
          <w:p>
            <w:pPr>
              <w:spacing w:after="0"/>
              <w:rPr>
                <w:sz w:val="17"/>
                <w:szCs w:val="17"/>
                <w:color w:val="auto"/>
              </w:rPr>
            </w:pPr>
          </w:p>
        </w:tc>
        <w:tc>
          <w:tcPr>
            <w:tcW w:w="120" w:type="dxa"/>
            <w:vAlign w:val="bottom"/>
            <w:shd w:val="clear" w:color="auto" w:fill="D6F3E8"/>
          </w:tcPr>
          <w:p>
            <w:pPr>
              <w:spacing w:after="0"/>
              <w:rPr>
                <w:sz w:val="17"/>
                <w:szCs w:val="17"/>
                <w:color w:val="auto"/>
              </w:rPr>
            </w:pPr>
          </w:p>
        </w:tc>
        <w:tc>
          <w:tcPr>
            <w:tcW w:w="760" w:type="dxa"/>
            <w:vAlign w:val="bottom"/>
            <w:shd w:val="clear" w:color="auto" w:fill="D6F3E8"/>
          </w:tcPr>
          <w:p>
            <w:pPr>
              <w:spacing w:after="0"/>
              <w:rPr>
                <w:sz w:val="17"/>
                <w:szCs w:val="17"/>
                <w:color w:val="auto"/>
              </w:rPr>
            </w:pPr>
          </w:p>
        </w:tc>
        <w:tc>
          <w:tcPr>
            <w:tcW w:w="220" w:type="dxa"/>
            <w:vAlign w:val="bottom"/>
            <w:shd w:val="clear" w:color="auto" w:fill="D6F3E8"/>
          </w:tcPr>
          <w:p>
            <w:pPr>
              <w:spacing w:after="0"/>
              <w:rPr>
                <w:sz w:val="17"/>
                <w:szCs w:val="17"/>
                <w:color w:val="auto"/>
              </w:rPr>
            </w:pPr>
          </w:p>
        </w:tc>
        <w:tc>
          <w:tcPr>
            <w:tcW w:w="160" w:type="dxa"/>
            <w:vAlign w:val="bottom"/>
            <w:shd w:val="clear" w:color="auto" w:fill="D6F3E8"/>
          </w:tcPr>
          <w:p>
            <w:pPr>
              <w:spacing w:after="0"/>
              <w:rPr>
                <w:sz w:val="17"/>
                <w:szCs w:val="17"/>
                <w:color w:val="auto"/>
              </w:rPr>
            </w:pPr>
          </w:p>
        </w:tc>
        <w:tc>
          <w:tcPr>
            <w:tcW w:w="680" w:type="dxa"/>
            <w:vAlign w:val="bottom"/>
            <w:shd w:val="clear" w:color="auto" w:fill="D6F3E8"/>
          </w:tcPr>
          <w:p>
            <w:pPr>
              <w:spacing w:after="0"/>
              <w:rPr>
                <w:sz w:val="17"/>
                <w:szCs w:val="17"/>
                <w:color w:val="auto"/>
              </w:rPr>
            </w:pPr>
          </w:p>
        </w:tc>
        <w:tc>
          <w:tcPr>
            <w:tcW w:w="100" w:type="dxa"/>
            <w:vAlign w:val="bottom"/>
            <w:shd w:val="clear" w:color="auto" w:fill="D6F3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gridSpan w:val="2"/>
            <w:shd w:val="clear" w:color="auto" w:fill="D6F3E8"/>
          </w:tcPr>
          <w:p>
            <w:pPr>
              <w:ind w:left="80"/>
              <w:spacing w:after="0"/>
              <w:rPr>
                <w:sz w:val="20"/>
                <w:szCs w:val="20"/>
                <w:color w:val="auto"/>
              </w:rPr>
            </w:pPr>
            <w:r>
              <w:rPr>
                <w:rFonts w:ascii="Arial" w:cs="Arial" w:eastAsia="Arial" w:hAnsi="Arial"/>
                <w:sz w:val="18"/>
                <w:szCs w:val="18"/>
                <w:color w:val="auto"/>
              </w:rPr>
              <w:t>Chairman and Chief</w:t>
            </w:r>
          </w:p>
        </w:tc>
        <w:tc>
          <w:tcPr>
            <w:tcW w:w="78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64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78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66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66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76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88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76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68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80" w:type="dxa"/>
            <w:vAlign w:val="bottom"/>
            <w:gridSpan w:val="2"/>
            <w:shd w:val="clear" w:color="auto" w:fill="D6F3E8"/>
          </w:tcPr>
          <w:p>
            <w:pPr>
              <w:ind w:left="80"/>
              <w:spacing w:after="0"/>
              <w:rPr>
                <w:sz w:val="20"/>
                <w:szCs w:val="20"/>
                <w:color w:val="auto"/>
              </w:rPr>
            </w:pPr>
            <w:r>
              <w:rPr>
                <w:rFonts w:ascii="Arial" w:cs="Arial" w:eastAsia="Arial" w:hAnsi="Arial"/>
                <w:sz w:val="18"/>
                <w:szCs w:val="18"/>
                <w:color w:val="auto"/>
              </w:rPr>
              <w:t>Executive Officer</w:t>
            </w:r>
          </w:p>
        </w:tc>
        <w:tc>
          <w:tcPr>
            <w:tcW w:w="780" w:type="dxa"/>
            <w:vAlign w:val="bottom"/>
            <w:shd w:val="clear" w:color="auto" w:fill="D6F3E8"/>
          </w:tcPr>
          <w:p>
            <w:pPr>
              <w:ind w:left="260"/>
              <w:spacing w:after="0"/>
              <w:rPr>
                <w:sz w:val="20"/>
                <w:szCs w:val="20"/>
                <w:color w:val="auto"/>
              </w:rPr>
            </w:pPr>
            <w:r>
              <w:rPr>
                <w:rFonts w:ascii="Arial" w:cs="Arial" w:eastAsia="Arial" w:hAnsi="Arial"/>
                <w:sz w:val="18"/>
                <w:szCs w:val="18"/>
                <w:color w:val="auto"/>
              </w:rPr>
              <w:t>2007</w:t>
            </w:r>
          </w:p>
        </w:tc>
        <w:tc>
          <w:tcPr>
            <w:tcW w:w="36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D6F3E8"/>
          </w:tcPr>
          <w:p>
            <w:pPr>
              <w:ind w:left="60"/>
              <w:spacing w:after="0"/>
              <w:rPr>
                <w:sz w:val="20"/>
                <w:szCs w:val="20"/>
                <w:color w:val="auto"/>
              </w:rPr>
            </w:pPr>
            <w:r>
              <w:rPr>
                <w:rFonts w:ascii="Arial" w:cs="Arial" w:eastAsia="Arial" w:hAnsi="Arial"/>
                <w:sz w:val="18"/>
                <w:szCs w:val="18"/>
                <w:color w:val="auto"/>
              </w:rPr>
              <w:t>535,246</w:t>
            </w:r>
          </w:p>
        </w:tc>
        <w:tc>
          <w:tcPr>
            <w:tcW w:w="780" w:type="dxa"/>
            <w:vAlign w:val="bottom"/>
            <w:shd w:val="clear" w:color="auto" w:fill="D6F3E8"/>
          </w:tcPr>
          <w:p>
            <w:pPr>
              <w:ind w:left="3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w w:val="98"/>
              </w:rPr>
              <w:t>515,400</w:t>
            </w:r>
          </w:p>
        </w:tc>
        <w:tc>
          <w:tcPr>
            <w:tcW w:w="24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w w:val="98"/>
              </w:rPr>
              <w:t>191,159</w:t>
            </w:r>
          </w:p>
        </w:tc>
        <w:tc>
          <w:tcPr>
            <w:tcW w:w="240" w:type="dxa"/>
            <w:vAlign w:val="bottom"/>
            <w:gridSpan w:val="2"/>
            <w:shd w:val="clear" w:color="auto" w:fill="D6F3E8"/>
          </w:tcPr>
          <w:p>
            <w:pPr>
              <w:ind w:left="12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616,794</w:t>
            </w:r>
          </w:p>
        </w:tc>
        <w:tc>
          <w:tcPr>
            <w:tcW w:w="1000" w:type="dxa"/>
            <w:vAlign w:val="bottom"/>
            <w:gridSpan w:val="2"/>
            <w:shd w:val="clear" w:color="auto" w:fill="D6F3E8"/>
          </w:tcPr>
          <w:p>
            <w:pPr>
              <w:ind w:left="42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D6F3E8"/>
          </w:tcPr>
          <w:p>
            <w:pPr>
              <w:ind w:left="10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43,805</w:t>
            </w:r>
          </w:p>
        </w:tc>
        <w:tc>
          <w:tcPr>
            <w:tcW w:w="940" w:type="dxa"/>
            <w:vAlign w:val="bottom"/>
            <w:gridSpan w:val="3"/>
            <w:shd w:val="clear" w:color="auto" w:fill="D6F3E8"/>
          </w:tcPr>
          <w:p>
            <w:pPr>
              <w:jc w:val="right"/>
              <w:ind w:right="100"/>
              <w:spacing w:after="0"/>
              <w:rPr>
                <w:sz w:val="20"/>
                <w:szCs w:val="20"/>
                <w:color w:val="auto"/>
              </w:rPr>
            </w:pPr>
            <w:r>
              <w:rPr>
                <w:rFonts w:ascii="Arial" w:cs="Arial" w:eastAsia="Arial" w:hAnsi="Arial"/>
                <w:sz w:val="18"/>
                <w:szCs w:val="18"/>
                <w:color w:val="auto"/>
                <w:w w:val="86"/>
              </w:rPr>
              <w:t>$ 1,902,404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80" w:type="dxa"/>
            <w:vAlign w:val="bottom"/>
            <w:gridSpan w:val="2"/>
          </w:tcPr>
          <w:p>
            <w:pPr>
              <w:spacing w:after="0" w:line="201" w:lineRule="exact"/>
              <w:rPr>
                <w:sz w:val="20"/>
                <w:szCs w:val="20"/>
                <w:color w:val="auto"/>
              </w:rPr>
            </w:pPr>
            <w:r>
              <w:rPr>
                <w:rFonts w:ascii="Arial" w:cs="Arial" w:eastAsia="Arial" w:hAnsi="Arial"/>
                <w:sz w:val="18"/>
                <w:szCs w:val="18"/>
                <w:color w:val="auto"/>
              </w:rPr>
              <w:t>Robert J. Olson</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80" w:type="dxa"/>
            <w:vAlign w:val="bottom"/>
            <w:gridSpan w:val="2"/>
          </w:tcPr>
          <w:p>
            <w:pPr>
              <w:ind w:left="80"/>
              <w:spacing w:after="0"/>
              <w:rPr>
                <w:sz w:val="20"/>
                <w:szCs w:val="20"/>
                <w:color w:val="auto"/>
              </w:rPr>
            </w:pPr>
            <w:r>
              <w:rPr>
                <w:rFonts w:ascii="Arial" w:cs="Arial" w:eastAsia="Arial" w:hAnsi="Arial"/>
                <w:sz w:val="18"/>
                <w:szCs w:val="18"/>
                <w:color w:val="auto"/>
              </w:rPr>
              <w:t>President</w:t>
            </w:r>
          </w:p>
        </w:tc>
        <w:tc>
          <w:tcPr>
            <w:tcW w:w="780" w:type="dxa"/>
            <w:vAlign w:val="bottom"/>
          </w:tcPr>
          <w:p>
            <w:pPr>
              <w:ind w:left="260"/>
              <w:spacing w:after="0"/>
              <w:rPr>
                <w:sz w:val="20"/>
                <w:szCs w:val="20"/>
                <w:color w:val="auto"/>
              </w:rPr>
            </w:pPr>
            <w:r>
              <w:rPr>
                <w:rFonts w:ascii="Arial" w:cs="Arial" w:eastAsia="Arial" w:hAnsi="Arial"/>
                <w:sz w:val="18"/>
                <w:szCs w:val="18"/>
                <w:color w:val="auto"/>
              </w:rPr>
              <w:t>2007</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60"/>
              <w:spacing w:after="0"/>
              <w:rPr>
                <w:sz w:val="20"/>
                <w:szCs w:val="20"/>
                <w:color w:val="auto"/>
              </w:rPr>
            </w:pPr>
            <w:r>
              <w:rPr>
                <w:rFonts w:ascii="Arial" w:cs="Arial" w:eastAsia="Arial" w:hAnsi="Arial"/>
                <w:sz w:val="18"/>
                <w:szCs w:val="18"/>
                <w:color w:val="auto"/>
              </w:rPr>
              <w:t>288,548</w:t>
            </w:r>
          </w:p>
        </w:tc>
        <w:tc>
          <w:tcPr>
            <w:tcW w:w="780" w:type="dxa"/>
            <w:vAlign w:val="bottom"/>
          </w:tcPr>
          <w:p>
            <w:pPr>
              <w:ind w:left="36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206,160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47,790</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190,006</w:t>
            </w:r>
          </w:p>
        </w:tc>
        <w:tc>
          <w:tcPr>
            <w:tcW w:w="10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28,177</w:t>
            </w:r>
          </w:p>
        </w:tc>
        <w:tc>
          <w:tcPr>
            <w:tcW w:w="160" w:type="dxa"/>
            <w:vAlign w:val="bottom"/>
          </w:tcPr>
          <w:p>
            <w:pPr>
              <w:jc w:val="right"/>
              <w:ind w:right="2"/>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760,681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80" w:type="dxa"/>
            <w:vAlign w:val="bottom"/>
            <w:gridSpan w:val="2"/>
            <w:shd w:val="clear" w:color="auto" w:fill="D6F3E8"/>
          </w:tcPr>
          <w:p>
            <w:pPr>
              <w:spacing w:after="0" w:line="201" w:lineRule="exact"/>
              <w:rPr>
                <w:sz w:val="20"/>
                <w:szCs w:val="20"/>
                <w:color w:val="auto"/>
              </w:rPr>
            </w:pPr>
            <w:r>
              <w:rPr>
                <w:rFonts w:ascii="Arial" w:cs="Arial" w:eastAsia="Arial" w:hAnsi="Arial"/>
                <w:sz w:val="18"/>
                <w:szCs w:val="18"/>
                <w:color w:val="auto"/>
              </w:rPr>
              <w:t>Raymond M. Beebe</w:t>
            </w:r>
          </w:p>
        </w:tc>
        <w:tc>
          <w:tcPr>
            <w:tcW w:w="780" w:type="dxa"/>
            <w:vAlign w:val="bottom"/>
            <w:shd w:val="clear" w:color="auto" w:fill="D6F3E8"/>
          </w:tcPr>
          <w:p>
            <w:pPr>
              <w:spacing w:after="0"/>
              <w:rPr>
                <w:sz w:val="17"/>
                <w:szCs w:val="17"/>
                <w:color w:val="auto"/>
              </w:rPr>
            </w:pPr>
          </w:p>
        </w:tc>
        <w:tc>
          <w:tcPr>
            <w:tcW w:w="220" w:type="dxa"/>
            <w:vAlign w:val="bottom"/>
            <w:shd w:val="clear" w:color="auto" w:fill="D6F3E8"/>
          </w:tcPr>
          <w:p>
            <w:pPr>
              <w:spacing w:after="0"/>
              <w:rPr>
                <w:sz w:val="17"/>
                <w:szCs w:val="17"/>
                <w:color w:val="auto"/>
              </w:rPr>
            </w:pPr>
          </w:p>
        </w:tc>
        <w:tc>
          <w:tcPr>
            <w:tcW w:w="140" w:type="dxa"/>
            <w:vAlign w:val="bottom"/>
            <w:shd w:val="clear" w:color="auto" w:fill="D6F3E8"/>
          </w:tcPr>
          <w:p>
            <w:pPr>
              <w:spacing w:after="0"/>
              <w:rPr>
                <w:sz w:val="17"/>
                <w:szCs w:val="17"/>
                <w:color w:val="auto"/>
              </w:rPr>
            </w:pPr>
          </w:p>
        </w:tc>
        <w:tc>
          <w:tcPr>
            <w:tcW w:w="640" w:type="dxa"/>
            <w:vAlign w:val="bottom"/>
            <w:shd w:val="clear" w:color="auto" w:fill="D6F3E8"/>
          </w:tcPr>
          <w:p>
            <w:pPr>
              <w:spacing w:after="0"/>
              <w:rPr>
                <w:sz w:val="17"/>
                <w:szCs w:val="17"/>
                <w:color w:val="auto"/>
              </w:rPr>
            </w:pPr>
          </w:p>
        </w:tc>
        <w:tc>
          <w:tcPr>
            <w:tcW w:w="220" w:type="dxa"/>
            <w:vAlign w:val="bottom"/>
            <w:shd w:val="clear" w:color="auto" w:fill="D6F3E8"/>
          </w:tcPr>
          <w:p>
            <w:pPr>
              <w:spacing w:after="0"/>
              <w:rPr>
                <w:sz w:val="17"/>
                <w:szCs w:val="17"/>
                <w:color w:val="auto"/>
              </w:rPr>
            </w:pPr>
          </w:p>
        </w:tc>
        <w:tc>
          <w:tcPr>
            <w:tcW w:w="780" w:type="dxa"/>
            <w:vAlign w:val="bottom"/>
            <w:shd w:val="clear" w:color="auto" w:fill="D6F3E8"/>
          </w:tcPr>
          <w:p>
            <w:pPr>
              <w:spacing w:after="0"/>
              <w:rPr>
                <w:sz w:val="17"/>
                <w:szCs w:val="17"/>
                <w:color w:val="auto"/>
              </w:rPr>
            </w:pPr>
          </w:p>
        </w:tc>
        <w:tc>
          <w:tcPr>
            <w:tcW w:w="220" w:type="dxa"/>
            <w:vAlign w:val="bottom"/>
            <w:shd w:val="clear" w:color="auto" w:fill="D6F3E8"/>
          </w:tcPr>
          <w:p>
            <w:pPr>
              <w:spacing w:after="0"/>
              <w:rPr>
                <w:sz w:val="17"/>
                <w:szCs w:val="17"/>
                <w:color w:val="auto"/>
              </w:rPr>
            </w:pPr>
          </w:p>
        </w:tc>
        <w:tc>
          <w:tcPr>
            <w:tcW w:w="120" w:type="dxa"/>
            <w:vAlign w:val="bottom"/>
            <w:shd w:val="clear" w:color="auto" w:fill="D6F3E8"/>
          </w:tcPr>
          <w:p>
            <w:pPr>
              <w:spacing w:after="0"/>
              <w:rPr>
                <w:sz w:val="17"/>
                <w:szCs w:val="17"/>
                <w:color w:val="auto"/>
              </w:rPr>
            </w:pPr>
          </w:p>
        </w:tc>
        <w:tc>
          <w:tcPr>
            <w:tcW w:w="660" w:type="dxa"/>
            <w:vAlign w:val="bottom"/>
            <w:shd w:val="clear" w:color="auto" w:fill="D6F3E8"/>
          </w:tcPr>
          <w:p>
            <w:pPr>
              <w:spacing w:after="0"/>
              <w:rPr>
                <w:sz w:val="17"/>
                <w:szCs w:val="17"/>
                <w:color w:val="auto"/>
              </w:rPr>
            </w:pPr>
          </w:p>
        </w:tc>
        <w:tc>
          <w:tcPr>
            <w:tcW w:w="100" w:type="dxa"/>
            <w:vAlign w:val="bottom"/>
            <w:shd w:val="clear" w:color="auto" w:fill="D6F3E8"/>
          </w:tcPr>
          <w:p>
            <w:pPr>
              <w:spacing w:after="0"/>
              <w:rPr>
                <w:sz w:val="17"/>
                <w:szCs w:val="17"/>
                <w:color w:val="auto"/>
              </w:rPr>
            </w:pPr>
          </w:p>
        </w:tc>
        <w:tc>
          <w:tcPr>
            <w:tcW w:w="120" w:type="dxa"/>
            <w:vAlign w:val="bottom"/>
            <w:shd w:val="clear" w:color="auto" w:fill="D6F3E8"/>
          </w:tcPr>
          <w:p>
            <w:pPr>
              <w:spacing w:after="0"/>
              <w:rPr>
                <w:sz w:val="17"/>
                <w:szCs w:val="17"/>
                <w:color w:val="auto"/>
              </w:rPr>
            </w:pPr>
          </w:p>
        </w:tc>
        <w:tc>
          <w:tcPr>
            <w:tcW w:w="120" w:type="dxa"/>
            <w:vAlign w:val="bottom"/>
            <w:shd w:val="clear" w:color="auto" w:fill="D6F3E8"/>
          </w:tcPr>
          <w:p>
            <w:pPr>
              <w:spacing w:after="0"/>
              <w:rPr>
                <w:sz w:val="17"/>
                <w:szCs w:val="17"/>
                <w:color w:val="auto"/>
              </w:rPr>
            </w:pPr>
          </w:p>
        </w:tc>
        <w:tc>
          <w:tcPr>
            <w:tcW w:w="660" w:type="dxa"/>
            <w:vAlign w:val="bottom"/>
            <w:shd w:val="clear" w:color="auto" w:fill="D6F3E8"/>
          </w:tcPr>
          <w:p>
            <w:pPr>
              <w:spacing w:after="0"/>
              <w:rPr>
                <w:sz w:val="17"/>
                <w:szCs w:val="17"/>
                <w:color w:val="auto"/>
              </w:rPr>
            </w:pPr>
          </w:p>
        </w:tc>
        <w:tc>
          <w:tcPr>
            <w:tcW w:w="100" w:type="dxa"/>
            <w:vAlign w:val="bottom"/>
            <w:shd w:val="clear" w:color="auto" w:fill="D6F3E8"/>
          </w:tcPr>
          <w:p>
            <w:pPr>
              <w:spacing w:after="0"/>
              <w:rPr>
                <w:sz w:val="17"/>
                <w:szCs w:val="17"/>
                <w:color w:val="auto"/>
              </w:rPr>
            </w:pPr>
          </w:p>
        </w:tc>
        <w:tc>
          <w:tcPr>
            <w:tcW w:w="120" w:type="dxa"/>
            <w:vAlign w:val="bottom"/>
            <w:shd w:val="clear" w:color="auto" w:fill="D6F3E8"/>
          </w:tcPr>
          <w:p>
            <w:pPr>
              <w:spacing w:after="0"/>
              <w:rPr>
                <w:sz w:val="17"/>
                <w:szCs w:val="17"/>
                <w:color w:val="auto"/>
              </w:rPr>
            </w:pPr>
          </w:p>
        </w:tc>
        <w:tc>
          <w:tcPr>
            <w:tcW w:w="120" w:type="dxa"/>
            <w:vAlign w:val="bottom"/>
            <w:shd w:val="clear" w:color="auto" w:fill="D6F3E8"/>
          </w:tcPr>
          <w:p>
            <w:pPr>
              <w:spacing w:after="0"/>
              <w:rPr>
                <w:sz w:val="17"/>
                <w:szCs w:val="17"/>
                <w:color w:val="auto"/>
              </w:rPr>
            </w:pPr>
          </w:p>
        </w:tc>
        <w:tc>
          <w:tcPr>
            <w:tcW w:w="760" w:type="dxa"/>
            <w:vAlign w:val="bottom"/>
            <w:shd w:val="clear" w:color="auto" w:fill="D6F3E8"/>
          </w:tcPr>
          <w:p>
            <w:pPr>
              <w:spacing w:after="0"/>
              <w:rPr>
                <w:sz w:val="17"/>
                <w:szCs w:val="17"/>
                <w:color w:val="auto"/>
              </w:rPr>
            </w:pPr>
          </w:p>
        </w:tc>
        <w:tc>
          <w:tcPr>
            <w:tcW w:w="200" w:type="dxa"/>
            <w:vAlign w:val="bottom"/>
            <w:shd w:val="clear" w:color="auto" w:fill="D6F3E8"/>
          </w:tcPr>
          <w:p>
            <w:pPr>
              <w:spacing w:after="0"/>
              <w:rPr>
                <w:sz w:val="17"/>
                <w:szCs w:val="17"/>
                <w:color w:val="auto"/>
              </w:rPr>
            </w:pPr>
          </w:p>
        </w:tc>
        <w:tc>
          <w:tcPr>
            <w:tcW w:w="880" w:type="dxa"/>
            <w:vAlign w:val="bottom"/>
            <w:shd w:val="clear" w:color="auto" w:fill="D6F3E8"/>
          </w:tcPr>
          <w:p>
            <w:pPr>
              <w:spacing w:after="0"/>
              <w:rPr>
                <w:sz w:val="17"/>
                <w:szCs w:val="17"/>
                <w:color w:val="auto"/>
              </w:rPr>
            </w:pPr>
          </w:p>
        </w:tc>
        <w:tc>
          <w:tcPr>
            <w:tcW w:w="120" w:type="dxa"/>
            <w:vAlign w:val="bottom"/>
            <w:shd w:val="clear" w:color="auto" w:fill="D6F3E8"/>
          </w:tcPr>
          <w:p>
            <w:pPr>
              <w:spacing w:after="0"/>
              <w:rPr>
                <w:sz w:val="17"/>
                <w:szCs w:val="17"/>
                <w:color w:val="auto"/>
              </w:rPr>
            </w:pPr>
          </w:p>
        </w:tc>
        <w:tc>
          <w:tcPr>
            <w:tcW w:w="100" w:type="dxa"/>
            <w:vAlign w:val="bottom"/>
            <w:shd w:val="clear" w:color="auto" w:fill="D6F3E8"/>
          </w:tcPr>
          <w:p>
            <w:pPr>
              <w:spacing w:after="0"/>
              <w:rPr>
                <w:sz w:val="17"/>
                <w:szCs w:val="17"/>
                <w:color w:val="auto"/>
              </w:rPr>
            </w:pPr>
          </w:p>
        </w:tc>
        <w:tc>
          <w:tcPr>
            <w:tcW w:w="120" w:type="dxa"/>
            <w:vAlign w:val="bottom"/>
            <w:shd w:val="clear" w:color="auto" w:fill="D6F3E8"/>
          </w:tcPr>
          <w:p>
            <w:pPr>
              <w:spacing w:after="0"/>
              <w:rPr>
                <w:sz w:val="17"/>
                <w:szCs w:val="17"/>
                <w:color w:val="auto"/>
              </w:rPr>
            </w:pPr>
          </w:p>
        </w:tc>
        <w:tc>
          <w:tcPr>
            <w:tcW w:w="760" w:type="dxa"/>
            <w:vAlign w:val="bottom"/>
            <w:shd w:val="clear" w:color="auto" w:fill="D6F3E8"/>
          </w:tcPr>
          <w:p>
            <w:pPr>
              <w:spacing w:after="0"/>
              <w:rPr>
                <w:sz w:val="17"/>
                <w:szCs w:val="17"/>
                <w:color w:val="auto"/>
              </w:rPr>
            </w:pPr>
          </w:p>
        </w:tc>
        <w:tc>
          <w:tcPr>
            <w:tcW w:w="220" w:type="dxa"/>
            <w:vAlign w:val="bottom"/>
            <w:shd w:val="clear" w:color="auto" w:fill="D6F3E8"/>
          </w:tcPr>
          <w:p>
            <w:pPr>
              <w:spacing w:after="0"/>
              <w:rPr>
                <w:sz w:val="17"/>
                <w:szCs w:val="17"/>
                <w:color w:val="auto"/>
              </w:rPr>
            </w:pPr>
          </w:p>
        </w:tc>
        <w:tc>
          <w:tcPr>
            <w:tcW w:w="160" w:type="dxa"/>
            <w:vAlign w:val="bottom"/>
            <w:shd w:val="clear" w:color="auto" w:fill="D6F3E8"/>
          </w:tcPr>
          <w:p>
            <w:pPr>
              <w:spacing w:after="0"/>
              <w:rPr>
                <w:sz w:val="17"/>
                <w:szCs w:val="17"/>
                <w:color w:val="auto"/>
              </w:rPr>
            </w:pPr>
          </w:p>
        </w:tc>
        <w:tc>
          <w:tcPr>
            <w:tcW w:w="680" w:type="dxa"/>
            <w:vAlign w:val="bottom"/>
            <w:shd w:val="clear" w:color="auto" w:fill="D6F3E8"/>
          </w:tcPr>
          <w:p>
            <w:pPr>
              <w:spacing w:after="0"/>
              <w:rPr>
                <w:sz w:val="17"/>
                <w:szCs w:val="17"/>
                <w:color w:val="auto"/>
              </w:rPr>
            </w:pPr>
          </w:p>
        </w:tc>
        <w:tc>
          <w:tcPr>
            <w:tcW w:w="100" w:type="dxa"/>
            <w:vAlign w:val="bottom"/>
            <w:shd w:val="clear" w:color="auto" w:fill="D6F3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gridSpan w:val="2"/>
            <w:shd w:val="clear" w:color="auto" w:fill="D6F3E8"/>
          </w:tcPr>
          <w:p>
            <w:pPr>
              <w:ind w:left="80"/>
              <w:spacing w:after="0"/>
              <w:rPr>
                <w:sz w:val="20"/>
                <w:szCs w:val="20"/>
                <w:color w:val="auto"/>
              </w:rPr>
            </w:pPr>
            <w:r>
              <w:rPr>
                <w:rFonts w:ascii="Arial" w:cs="Arial" w:eastAsia="Arial" w:hAnsi="Arial"/>
                <w:sz w:val="18"/>
                <w:szCs w:val="18"/>
                <w:color w:val="auto"/>
              </w:rPr>
              <w:t>Vice President, General</w:t>
            </w:r>
          </w:p>
        </w:tc>
        <w:tc>
          <w:tcPr>
            <w:tcW w:w="78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64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78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66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66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76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88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76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68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80" w:type="dxa"/>
            <w:vAlign w:val="bottom"/>
            <w:gridSpan w:val="2"/>
            <w:shd w:val="clear" w:color="auto" w:fill="D6F3E8"/>
          </w:tcPr>
          <w:p>
            <w:pPr>
              <w:ind w:left="80"/>
              <w:spacing w:after="0"/>
              <w:rPr>
                <w:sz w:val="20"/>
                <w:szCs w:val="20"/>
                <w:color w:val="auto"/>
              </w:rPr>
            </w:pPr>
            <w:r>
              <w:rPr>
                <w:rFonts w:ascii="Arial" w:cs="Arial" w:eastAsia="Arial" w:hAnsi="Arial"/>
                <w:sz w:val="18"/>
                <w:szCs w:val="18"/>
                <w:color w:val="auto"/>
              </w:rPr>
              <w:t>Counsel and Secretary</w:t>
            </w:r>
          </w:p>
        </w:tc>
        <w:tc>
          <w:tcPr>
            <w:tcW w:w="780" w:type="dxa"/>
            <w:vAlign w:val="bottom"/>
            <w:shd w:val="clear" w:color="auto" w:fill="D6F3E8"/>
          </w:tcPr>
          <w:p>
            <w:pPr>
              <w:ind w:left="260"/>
              <w:spacing w:after="0"/>
              <w:rPr>
                <w:sz w:val="20"/>
                <w:szCs w:val="20"/>
                <w:color w:val="auto"/>
              </w:rPr>
            </w:pPr>
            <w:r>
              <w:rPr>
                <w:rFonts w:ascii="Arial" w:cs="Arial" w:eastAsia="Arial" w:hAnsi="Arial"/>
                <w:sz w:val="18"/>
                <w:szCs w:val="18"/>
                <w:color w:val="auto"/>
              </w:rPr>
              <w:t>2007</w:t>
            </w:r>
          </w:p>
        </w:tc>
        <w:tc>
          <w:tcPr>
            <w:tcW w:w="36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D6F3E8"/>
          </w:tcPr>
          <w:p>
            <w:pPr>
              <w:ind w:left="60"/>
              <w:spacing w:after="0"/>
              <w:rPr>
                <w:sz w:val="20"/>
                <w:szCs w:val="20"/>
                <w:color w:val="auto"/>
              </w:rPr>
            </w:pPr>
            <w:r>
              <w:rPr>
                <w:rFonts w:ascii="Arial" w:cs="Arial" w:eastAsia="Arial" w:hAnsi="Arial"/>
                <w:sz w:val="18"/>
                <w:szCs w:val="18"/>
                <w:color w:val="auto"/>
              </w:rPr>
              <w:t>248,132</w:t>
            </w:r>
          </w:p>
        </w:tc>
        <w:tc>
          <w:tcPr>
            <w:tcW w:w="780" w:type="dxa"/>
            <w:vAlign w:val="bottom"/>
            <w:shd w:val="clear" w:color="auto" w:fill="D6F3E8"/>
          </w:tcPr>
          <w:p>
            <w:pPr>
              <w:ind w:left="3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w w:val="98"/>
              </w:rPr>
              <w:t>137,440</w:t>
            </w:r>
          </w:p>
        </w:tc>
        <w:tc>
          <w:tcPr>
            <w:tcW w:w="24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47,790</w:t>
            </w:r>
          </w:p>
        </w:tc>
        <w:tc>
          <w:tcPr>
            <w:tcW w:w="240" w:type="dxa"/>
            <w:vAlign w:val="bottom"/>
            <w:gridSpan w:val="2"/>
            <w:shd w:val="clear" w:color="auto" w:fill="D6F3E8"/>
          </w:tcPr>
          <w:p>
            <w:pPr>
              <w:ind w:left="12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163,392</w:t>
            </w:r>
          </w:p>
        </w:tc>
        <w:tc>
          <w:tcPr>
            <w:tcW w:w="1000" w:type="dxa"/>
            <w:vAlign w:val="bottom"/>
            <w:gridSpan w:val="2"/>
            <w:shd w:val="clear" w:color="auto" w:fill="D6F3E8"/>
          </w:tcPr>
          <w:p>
            <w:pPr>
              <w:ind w:left="42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D6F3E8"/>
          </w:tcPr>
          <w:p>
            <w:pPr>
              <w:ind w:left="10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43,677</w:t>
            </w:r>
          </w:p>
        </w:tc>
        <w:tc>
          <w:tcPr>
            <w:tcW w:w="160" w:type="dxa"/>
            <w:vAlign w:val="bottom"/>
            <w:shd w:val="clear" w:color="auto" w:fill="D6F3E8"/>
          </w:tcPr>
          <w:p>
            <w:pPr>
              <w:jc w:val="right"/>
              <w:ind w:right="2"/>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640,431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80" w:type="dxa"/>
            <w:vAlign w:val="bottom"/>
            <w:gridSpan w:val="2"/>
          </w:tcPr>
          <w:p>
            <w:pPr>
              <w:spacing w:after="0" w:line="201" w:lineRule="exact"/>
              <w:rPr>
                <w:sz w:val="20"/>
                <w:szCs w:val="20"/>
                <w:color w:val="auto"/>
              </w:rPr>
            </w:pPr>
            <w:r>
              <w:rPr>
                <w:rFonts w:ascii="Arial" w:cs="Arial" w:eastAsia="Arial" w:hAnsi="Arial"/>
                <w:sz w:val="18"/>
                <w:szCs w:val="18"/>
                <w:color w:val="auto"/>
              </w:rPr>
              <w:t>Sarah N. Nielsen</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gridSpan w:val="2"/>
          </w:tcPr>
          <w:p>
            <w:pPr>
              <w:ind w:left="80"/>
              <w:spacing w:after="0"/>
              <w:rPr>
                <w:sz w:val="20"/>
                <w:szCs w:val="20"/>
                <w:color w:val="auto"/>
              </w:rPr>
            </w:pPr>
            <w:r>
              <w:rPr>
                <w:rFonts w:ascii="Arial" w:cs="Arial" w:eastAsia="Arial" w:hAnsi="Arial"/>
                <w:sz w:val="18"/>
                <w:szCs w:val="18"/>
                <w:color w:val="auto"/>
              </w:rPr>
              <w:t>Vice President, Chief</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80" w:type="dxa"/>
            <w:vAlign w:val="bottom"/>
            <w:gridSpan w:val="2"/>
          </w:tcPr>
          <w:p>
            <w:pPr>
              <w:ind w:left="80"/>
              <w:spacing w:after="0"/>
              <w:rPr>
                <w:sz w:val="20"/>
                <w:szCs w:val="20"/>
                <w:color w:val="auto"/>
              </w:rPr>
            </w:pPr>
            <w:r>
              <w:rPr>
                <w:rFonts w:ascii="Arial" w:cs="Arial" w:eastAsia="Arial" w:hAnsi="Arial"/>
                <w:sz w:val="18"/>
                <w:szCs w:val="18"/>
                <w:color w:val="auto"/>
              </w:rPr>
              <w:t>Financial Officer</w:t>
            </w:r>
          </w:p>
        </w:tc>
        <w:tc>
          <w:tcPr>
            <w:tcW w:w="780" w:type="dxa"/>
            <w:vAlign w:val="bottom"/>
          </w:tcPr>
          <w:p>
            <w:pPr>
              <w:ind w:left="260"/>
              <w:spacing w:after="0"/>
              <w:rPr>
                <w:sz w:val="20"/>
                <w:szCs w:val="20"/>
                <w:color w:val="auto"/>
              </w:rPr>
            </w:pPr>
            <w:r>
              <w:rPr>
                <w:rFonts w:ascii="Arial" w:cs="Arial" w:eastAsia="Arial" w:hAnsi="Arial"/>
                <w:sz w:val="18"/>
                <w:szCs w:val="18"/>
                <w:color w:val="auto"/>
              </w:rPr>
              <w:t>2007</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60"/>
              <w:spacing w:after="0"/>
              <w:rPr>
                <w:sz w:val="20"/>
                <w:szCs w:val="20"/>
                <w:color w:val="auto"/>
              </w:rPr>
            </w:pPr>
            <w:r>
              <w:rPr>
                <w:rFonts w:ascii="Arial" w:cs="Arial" w:eastAsia="Arial" w:hAnsi="Arial"/>
                <w:sz w:val="18"/>
                <w:szCs w:val="18"/>
                <w:color w:val="auto"/>
              </w:rPr>
              <w:t>222,579</w:t>
            </w:r>
          </w:p>
        </w:tc>
        <w:tc>
          <w:tcPr>
            <w:tcW w:w="780" w:type="dxa"/>
            <w:vAlign w:val="bottom"/>
          </w:tcPr>
          <w:p>
            <w:pPr>
              <w:ind w:left="36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36,366</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38,961</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146,566</w:t>
            </w:r>
          </w:p>
        </w:tc>
        <w:tc>
          <w:tcPr>
            <w:tcW w:w="10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21,128</w:t>
            </w:r>
          </w:p>
        </w:tc>
        <w:tc>
          <w:tcPr>
            <w:tcW w:w="160" w:type="dxa"/>
            <w:vAlign w:val="bottom"/>
          </w:tcPr>
          <w:p>
            <w:pPr>
              <w:jc w:val="right"/>
              <w:ind w:right="2"/>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465,600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80" w:type="dxa"/>
            <w:vAlign w:val="bottom"/>
            <w:gridSpan w:val="2"/>
            <w:shd w:val="clear" w:color="auto" w:fill="D6F3E8"/>
          </w:tcPr>
          <w:p>
            <w:pPr>
              <w:spacing w:after="0" w:line="201" w:lineRule="exact"/>
              <w:rPr>
                <w:sz w:val="20"/>
                <w:szCs w:val="20"/>
                <w:color w:val="auto"/>
              </w:rPr>
            </w:pPr>
            <w:r>
              <w:rPr>
                <w:rFonts w:ascii="Arial" w:cs="Arial" w:eastAsia="Arial" w:hAnsi="Arial"/>
                <w:sz w:val="18"/>
                <w:szCs w:val="18"/>
                <w:color w:val="auto"/>
              </w:rPr>
              <w:t>William J. O’Leary</w:t>
            </w:r>
          </w:p>
        </w:tc>
        <w:tc>
          <w:tcPr>
            <w:tcW w:w="780" w:type="dxa"/>
            <w:vAlign w:val="bottom"/>
            <w:shd w:val="clear" w:color="auto" w:fill="D6F3E8"/>
          </w:tcPr>
          <w:p>
            <w:pPr>
              <w:spacing w:after="0"/>
              <w:rPr>
                <w:sz w:val="17"/>
                <w:szCs w:val="17"/>
                <w:color w:val="auto"/>
              </w:rPr>
            </w:pPr>
          </w:p>
        </w:tc>
        <w:tc>
          <w:tcPr>
            <w:tcW w:w="220" w:type="dxa"/>
            <w:vAlign w:val="bottom"/>
            <w:shd w:val="clear" w:color="auto" w:fill="D6F3E8"/>
          </w:tcPr>
          <w:p>
            <w:pPr>
              <w:spacing w:after="0"/>
              <w:rPr>
                <w:sz w:val="17"/>
                <w:szCs w:val="17"/>
                <w:color w:val="auto"/>
              </w:rPr>
            </w:pPr>
          </w:p>
        </w:tc>
        <w:tc>
          <w:tcPr>
            <w:tcW w:w="140" w:type="dxa"/>
            <w:vAlign w:val="bottom"/>
            <w:shd w:val="clear" w:color="auto" w:fill="D6F3E8"/>
          </w:tcPr>
          <w:p>
            <w:pPr>
              <w:spacing w:after="0"/>
              <w:rPr>
                <w:sz w:val="17"/>
                <w:szCs w:val="17"/>
                <w:color w:val="auto"/>
              </w:rPr>
            </w:pPr>
          </w:p>
        </w:tc>
        <w:tc>
          <w:tcPr>
            <w:tcW w:w="640" w:type="dxa"/>
            <w:vAlign w:val="bottom"/>
            <w:shd w:val="clear" w:color="auto" w:fill="D6F3E8"/>
          </w:tcPr>
          <w:p>
            <w:pPr>
              <w:spacing w:after="0"/>
              <w:rPr>
                <w:sz w:val="17"/>
                <w:szCs w:val="17"/>
                <w:color w:val="auto"/>
              </w:rPr>
            </w:pPr>
          </w:p>
        </w:tc>
        <w:tc>
          <w:tcPr>
            <w:tcW w:w="220" w:type="dxa"/>
            <w:vAlign w:val="bottom"/>
            <w:shd w:val="clear" w:color="auto" w:fill="D6F3E8"/>
          </w:tcPr>
          <w:p>
            <w:pPr>
              <w:spacing w:after="0"/>
              <w:rPr>
                <w:sz w:val="17"/>
                <w:szCs w:val="17"/>
                <w:color w:val="auto"/>
              </w:rPr>
            </w:pPr>
          </w:p>
        </w:tc>
        <w:tc>
          <w:tcPr>
            <w:tcW w:w="780" w:type="dxa"/>
            <w:vAlign w:val="bottom"/>
            <w:shd w:val="clear" w:color="auto" w:fill="D6F3E8"/>
          </w:tcPr>
          <w:p>
            <w:pPr>
              <w:spacing w:after="0"/>
              <w:rPr>
                <w:sz w:val="17"/>
                <w:szCs w:val="17"/>
                <w:color w:val="auto"/>
              </w:rPr>
            </w:pPr>
          </w:p>
        </w:tc>
        <w:tc>
          <w:tcPr>
            <w:tcW w:w="220" w:type="dxa"/>
            <w:vAlign w:val="bottom"/>
            <w:shd w:val="clear" w:color="auto" w:fill="D6F3E8"/>
          </w:tcPr>
          <w:p>
            <w:pPr>
              <w:spacing w:after="0"/>
              <w:rPr>
                <w:sz w:val="17"/>
                <w:szCs w:val="17"/>
                <w:color w:val="auto"/>
              </w:rPr>
            </w:pPr>
          </w:p>
        </w:tc>
        <w:tc>
          <w:tcPr>
            <w:tcW w:w="120" w:type="dxa"/>
            <w:vAlign w:val="bottom"/>
            <w:shd w:val="clear" w:color="auto" w:fill="D6F3E8"/>
          </w:tcPr>
          <w:p>
            <w:pPr>
              <w:spacing w:after="0"/>
              <w:rPr>
                <w:sz w:val="17"/>
                <w:szCs w:val="17"/>
                <w:color w:val="auto"/>
              </w:rPr>
            </w:pPr>
          </w:p>
        </w:tc>
        <w:tc>
          <w:tcPr>
            <w:tcW w:w="660" w:type="dxa"/>
            <w:vAlign w:val="bottom"/>
            <w:shd w:val="clear" w:color="auto" w:fill="D6F3E8"/>
          </w:tcPr>
          <w:p>
            <w:pPr>
              <w:spacing w:after="0"/>
              <w:rPr>
                <w:sz w:val="17"/>
                <w:szCs w:val="17"/>
                <w:color w:val="auto"/>
              </w:rPr>
            </w:pPr>
          </w:p>
        </w:tc>
        <w:tc>
          <w:tcPr>
            <w:tcW w:w="100" w:type="dxa"/>
            <w:vAlign w:val="bottom"/>
            <w:shd w:val="clear" w:color="auto" w:fill="D6F3E8"/>
          </w:tcPr>
          <w:p>
            <w:pPr>
              <w:spacing w:after="0"/>
              <w:rPr>
                <w:sz w:val="17"/>
                <w:szCs w:val="17"/>
                <w:color w:val="auto"/>
              </w:rPr>
            </w:pPr>
          </w:p>
        </w:tc>
        <w:tc>
          <w:tcPr>
            <w:tcW w:w="120" w:type="dxa"/>
            <w:vAlign w:val="bottom"/>
            <w:shd w:val="clear" w:color="auto" w:fill="D6F3E8"/>
          </w:tcPr>
          <w:p>
            <w:pPr>
              <w:spacing w:after="0"/>
              <w:rPr>
                <w:sz w:val="17"/>
                <w:szCs w:val="17"/>
                <w:color w:val="auto"/>
              </w:rPr>
            </w:pPr>
          </w:p>
        </w:tc>
        <w:tc>
          <w:tcPr>
            <w:tcW w:w="120" w:type="dxa"/>
            <w:vAlign w:val="bottom"/>
            <w:shd w:val="clear" w:color="auto" w:fill="D6F3E8"/>
          </w:tcPr>
          <w:p>
            <w:pPr>
              <w:spacing w:after="0"/>
              <w:rPr>
                <w:sz w:val="17"/>
                <w:szCs w:val="17"/>
                <w:color w:val="auto"/>
              </w:rPr>
            </w:pPr>
          </w:p>
        </w:tc>
        <w:tc>
          <w:tcPr>
            <w:tcW w:w="660" w:type="dxa"/>
            <w:vAlign w:val="bottom"/>
            <w:shd w:val="clear" w:color="auto" w:fill="D6F3E8"/>
          </w:tcPr>
          <w:p>
            <w:pPr>
              <w:spacing w:after="0"/>
              <w:rPr>
                <w:sz w:val="17"/>
                <w:szCs w:val="17"/>
                <w:color w:val="auto"/>
              </w:rPr>
            </w:pPr>
          </w:p>
        </w:tc>
        <w:tc>
          <w:tcPr>
            <w:tcW w:w="100" w:type="dxa"/>
            <w:vAlign w:val="bottom"/>
            <w:shd w:val="clear" w:color="auto" w:fill="D6F3E8"/>
          </w:tcPr>
          <w:p>
            <w:pPr>
              <w:spacing w:after="0"/>
              <w:rPr>
                <w:sz w:val="17"/>
                <w:szCs w:val="17"/>
                <w:color w:val="auto"/>
              </w:rPr>
            </w:pPr>
          </w:p>
        </w:tc>
        <w:tc>
          <w:tcPr>
            <w:tcW w:w="120" w:type="dxa"/>
            <w:vAlign w:val="bottom"/>
            <w:shd w:val="clear" w:color="auto" w:fill="D6F3E8"/>
          </w:tcPr>
          <w:p>
            <w:pPr>
              <w:spacing w:after="0"/>
              <w:rPr>
                <w:sz w:val="17"/>
                <w:szCs w:val="17"/>
                <w:color w:val="auto"/>
              </w:rPr>
            </w:pPr>
          </w:p>
        </w:tc>
        <w:tc>
          <w:tcPr>
            <w:tcW w:w="120" w:type="dxa"/>
            <w:vAlign w:val="bottom"/>
            <w:shd w:val="clear" w:color="auto" w:fill="D6F3E8"/>
          </w:tcPr>
          <w:p>
            <w:pPr>
              <w:spacing w:after="0"/>
              <w:rPr>
                <w:sz w:val="17"/>
                <w:szCs w:val="17"/>
                <w:color w:val="auto"/>
              </w:rPr>
            </w:pPr>
          </w:p>
        </w:tc>
        <w:tc>
          <w:tcPr>
            <w:tcW w:w="760" w:type="dxa"/>
            <w:vAlign w:val="bottom"/>
            <w:shd w:val="clear" w:color="auto" w:fill="D6F3E8"/>
          </w:tcPr>
          <w:p>
            <w:pPr>
              <w:spacing w:after="0"/>
              <w:rPr>
                <w:sz w:val="17"/>
                <w:szCs w:val="17"/>
                <w:color w:val="auto"/>
              </w:rPr>
            </w:pPr>
          </w:p>
        </w:tc>
        <w:tc>
          <w:tcPr>
            <w:tcW w:w="200" w:type="dxa"/>
            <w:vAlign w:val="bottom"/>
            <w:shd w:val="clear" w:color="auto" w:fill="D6F3E8"/>
          </w:tcPr>
          <w:p>
            <w:pPr>
              <w:spacing w:after="0"/>
              <w:rPr>
                <w:sz w:val="17"/>
                <w:szCs w:val="17"/>
                <w:color w:val="auto"/>
              </w:rPr>
            </w:pPr>
          </w:p>
        </w:tc>
        <w:tc>
          <w:tcPr>
            <w:tcW w:w="880" w:type="dxa"/>
            <w:vAlign w:val="bottom"/>
            <w:shd w:val="clear" w:color="auto" w:fill="D6F3E8"/>
          </w:tcPr>
          <w:p>
            <w:pPr>
              <w:spacing w:after="0"/>
              <w:rPr>
                <w:sz w:val="17"/>
                <w:szCs w:val="17"/>
                <w:color w:val="auto"/>
              </w:rPr>
            </w:pPr>
          </w:p>
        </w:tc>
        <w:tc>
          <w:tcPr>
            <w:tcW w:w="120" w:type="dxa"/>
            <w:vAlign w:val="bottom"/>
            <w:shd w:val="clear" w:color="auto" w:fill="D6F3E8"/>
          </w:tcPr>
          <w:p>
            <w:pPr>
              <w:spacing w:after="0"/>
              <w:rPr>
                <w:sz w:val="17"/>
                <w:szCs w:val="17"/>
                <w:color w:val="auto"/>
              </w:rPr>
            </w:pPr>
          </w:p>
        </w:tc>
        <w:tc>
          <w:tcPr>
            <w:tcW w:w="100" w:type="dxa"/>
            <w:vAlign w:val="bottom"/>
            <w:shd w:val="clear" w:color="auto" w:fill="D6F3E8"/>
          </w:tcPr>
          <w:p>
            <w:pPr>
              <w:spacing w:after="0"/>
              <w:rPr>
                <w:sz w:val="17"/>
                <w:szCs w:val="17"/>
                <w:color w:val="auto"/>
              </w:rPr>
            </w:pPr>
          </w:p>
        </w:tc>
        <w:tc>
          <w:tcPr>
            <w:tcW w:w="120" w:type="dxa"/>
            <w:vAlign w:val="bottom"/>
            <w:shd w:val="clear" w:color="auto" w:fill="D6F3E8"/>
          </w:tcPr>
          <w:p>
            <w:pPr>
              <w:spacing w:after="0"/>
              <w:rPr>
                <w:sz w:val="17"/>
                <w:szCs w:val="17"/>
                <w:color w:val="auto"/>
              </w:rPr>
            </w:pPr>
          </w:p>
        </w:tc>
        <w:tc>
          <w:tcPr>
            <w:tcW w:w="760" w:type="dxa"/>
            <w:vAlign w:val="bottom"/>
            <w:shd w:val="clear" w:color="auto" w:fill="D6F3E8"/>
          </w:tcPr>
          <w:p>
            <w:pPr>
              <w:spacing w:after="0"/>
              <w:rPr>
                <w:sz w:val="17"/>
                <w:szCs w:val="17"/>
                <w:color w:val="auto"/>
              </w:rPr>
            </w:pPr>
          </w:p>
        </w:tc>
        <w:tc>
          <w:tcPr>
            <w:tcW w:w="220" w:type="dxa"/>
            <w:vAlign w:val="bottom"/>
            <w:shd w:val="clear" w:color="auto" w:fill="D6F3E8"/>
          </w:tcPr>
          <w:p>
            <w:pPr>
              <w:spacing w:after="0"/>
              <w:rPr>
                <w:sz w:val="17"/>
                <w:szCs w:val="17"/>
                <w:color w:val="auto"/>
              </w:rPr>
            </w:pPr>
          </w:p>
        </w:tc>
        <w:tc>
          <w:tcPr>
            <w:tcW w:w="160" w:type="dxa"/>
            <w:vAlign w:val="bottom"/>
            <w:shd w:val="clear" w:color="auto" w:fill="D6F3E8"/>
          </w:tcPr>
          <w:p>
            <w:pPr>
              <w:spacing w:after="0"/>
              <w:rPr>
                <w:sz w:val="17"/>
                <w:szCs w:val="17"/>
                <w:color w:val="auto"/>
              </w:rPr>
            </w:pPr>
          </w:p>
        </w:tc>
        <w:tc>
          <w:tcPr>
            <w:tcW w:w="680" w:type="dxa"/>
            <w:vAlign w:val="bottom"/>
            <w:shd w:val="clear" w:color="auto" w:fill="D6F3E8"/>
          </w:tcPr>
          <w:p>
            <w:pPr>
              <w:spacing w:after="0"/>
              <w:rPr>
                <w:sz w:val="17"/>
                <w:szCs w:val="17"/>
                <w:color w:val="auto"/>
              </w:rPr>
            </w:pPr>
          </w:p>
        </w:tc>
        <w:tc>
          <w:tcPr>
            <w:tcW w:w="100" w:type="dxa"/>
            <w:vAlign w:val="bottom"/>
            <w:shd w:val="clear" w:color="auto" w:fill="D6F3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gridSpan w:val="2"/>
            <w:shd w:val="clear" w:color="auto" w:fill="D6F3E8"/>
          </w:tcPr>
          <w:p>
            <w:pPr>
              <w:ind w:left="80"/>
              <w:spacing w:after="0"/>
              <w:rPr>
                <w:sz w:val="20"/>
                <w:szCs w:val="20"/>
                <w:color w:val="auto"/>
              </w:rPr>
            </w:pPr>
            <w:r>
              <w:rPr>
                <w:rFonts w:ascii="Arial" w:cs="Arial" w:eastAsia="Arial" w:hAnsi="Arial"/>
                <w:sz w:val="18"/>
                <w:szCs w:val="18"/>
                <w:color w:val="auto"/>
              </w:rPr>
              <w:t>Vice President, Product</w:t>
            </w:r>
          </w:p>
        </w:tc>
        <w:tc>
          <w:tcPr>
            <w:tcW w:w="78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64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78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66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66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76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88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76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68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80" w:type="dxa"/>
            <w:vAlign w:val="bottom"/>
            <w:gridSpan w:val="2"/>
            <w:shd w:val="clear" w:color="auto" w:fill="D6F3E8"/>
          </w:tcPr>
          <w:p>
            <w:pPr>
              <w:ind w:left="80"/>
              <w:spacing w:after="0"/>
              <w:rPr>
                <w:sz w:val="20"/>
                <w:szCs w:val="20"/>
                <w:color w:val="auto"/>
              </w:rPr>
            </w:pPr>
            <w:r>
              <w:rPr>
                <w:rFonts w:ascii="Arial" w:cs="Arial" w:eastAsia="Arial" w:hAnsi="Arial"/>
                <w:sz w:val="18"/>
                <w:szCs w:val="18"/>
                <w:color w:val="auto"/>
              </w:rPr>
              <w:t>Development</w:t>
            </w:r>
          </w:p>
        </w:tc>
        <w:tc>
          <w:tcPr>
            <w:tcW w:w="780" w:type="dxa"/>
            <w:vAlign w:val="bottom"/>
            <w:shd w:val="clear" w:color="auto" w:fill="D6F3E8"/>
          </w:tcPr>
          <w:p>
            <w:pPr>
              <w:ind w:left="260"/>
              <w:spacing w:after="0"/>
              <w:rPr>
                <w:sz w:val="20"/>
                <w:szCs w:val="20"/>
                <w:color w:val="auto"/>
              </w:rPr>
            </w:pPr>
            <w:r>
              <w:rPr>
                <w:rFonts w:ascii="Arial" w:cs="Arial" w:eastAsia="Arial" w:hAnsi="Arial"/>
                <w:sz w:val="18"/>
                <w:szCs w:val="18"/>
                <w:color w:val="auto"/>
              </w:rPr>
              <w:t>2007</w:t>
            </w:r>
          </w:p>
        </w:tc>
        <w:tc>
          <w:tcPr>
            <w:tcW w:w="36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D6F3E8"/>
          </w:tcPr>
          <w:p>
            <w:pPr>
              <w:ind w:left="60"/>
              <w:spacing w:after="0"/>
              <w:rPr>
                <w:sz w:val="20"/>
                <w:szCs w:val="20"/>
                <w:color w:val="auto"/>
              </w:rPr>
            </w:pPr>
            <w:r>
              <w:rPr>
                <w:rFonts w:ascii="Arial" w:cs="Arial" w:eastAsia="Arial" w:hAnsi="Arial"/>
                <w:sz w:val="18"/>
                <w:szCs w:val="18"/>
                <w:color w:val="auto"/>
              </w:rPr>
              <w:t>236,646</w:t>
            </w:r>
          </w:p>
        </w:tc>
        <w:tc>
          <w:tcPr>
            <w:tcW w:w="780" w:type="dxa"/>
            <w:vAlign w:val="bottom"/>
            <w:shd w:val="clear" w:color="auto" w:fill="D6F3E8"/>
          </w:tcPr>
          <w:p>
            <w:pPr>
              <w:ind w:left="3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w w:val="98"/>
              </w:rPr>
              <w:t>137,440</w:t>
            </w:r>
          </w:p>
        </w:tc>
        <w:tc>
          <w:tcPr>
            <w:tcW w:w="24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47,790</w:t>
            </w:r>
          </w:p>
        </w:tc>
        <w:tc>
          <w:tcPr>
            <w:tcW w:w="240" w:type="dxa"/>
            <w:vAlign w:val="bottom"/>
            <w:gridSpan w:val="2"/>
            <w:shd w:val="clear" w:color="auto" w:fill="D6F3E8"/>
          </w:tcPr>
          <w:p>
            <w:pPr>
              <w:ind w:left="12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155,829</w:t>
            </w:r>
          </w:p>
        </w:tc>
        <w:tc>
          <w:tcPr>
            <w:tcW w:w="1000" w:type="dxa"/>
            <w:vAlign w:val="bottom"/>
            <w:gridSpan w:val="2"/>
            <w:shd w:val="clear" w:color="auto" w:fill="D6F3E8"/>
          </w:tcPr>
          <w:p>
            <w:pPr>
              <w:ind w:left="42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D6F3E8"/>
          </w:tcPr>
          <w:p>
            <w:pPr>
              <w:ind w:left="10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27,186</w:t>
            </w:r>
          </w:p>
        </w:tc>
        <w:tc>
          <w:tcPr>
            <w:tcW w:w="160" w:type="dxa"/>
            <w:vAlign w:val="bottom"/>
            <w:shd w:val="clear" w:color="auto" w:fill="D6F3E8"/>
          </w:tcPr>
          <w:p>
            <w:pPr>
              <w:jc w:val="right"/>
              <w:ind w:right="2"/>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604,891</w:t>
            </w:r>
          </w:p>
        </w:tc>
        <w:tc>
          <w:tcPr>
            <w:tcW w:w="0" w:type="dxa"/>
            <w:vAlign w:val="bottom"/>
          </w:tcPr>
          <w:p>
            <w:pPr>
              <w:spacing w:after="0"/>
              <w:rPr>
                <w:sz w:val="1"/>
                <w:szCs w:val="1"/>
                <w:color w:val="auto"/>
              </w:rPr>
            </w:pPr>
          </w:p>
        </w:tc>
      </w:tr>
      <w:tr>
        <w:trPr>
          <w:trHeight w:val="390"/>
        </w:trPr>
        <w:tc>
          <w:tcPr>
            <w:tcW w:w="20" w:type="dxa"/>
            <w:vAlign w:val="bottom"/>
          </w:tcPr>
          <w:p>
            <w:pPr>
              <w:spacing w:after="0"/>
              <w:rPr>
                <w:sz w:val="24"/>
                <w:szCs w:val="24"/>
                <w:color w:val="auto"/>
              </w:rPr>
            </w:pPr>
          </w:p>
        </w:tc>
        <w:tc>
          <w:tcPr>
            <w:tcW w:w="2180" w:type="dxa"/>
            <w:vAlign w:val="bottom"/>
            <w:gridSpan w:val="2"/>
          </w:tcPr>
          <w:p>
            <w:pPr>
              <w:spacing w:after="0"/>
              <w:rPr>
                <w:sz w:val="20"/>
                <w:szCs w:val="20"/>
                <w:color w:val="auto"/>
              </w:rPr>
            </w:pPr>
            <w:r>
              <w:rPr>
                <w:rFonts w:ascii="Arial" w:cs="Arial" w:eastAsia="Arial" w:hAnsi="Arial"/>
                <w:sz w:val="18"/>
                <w:szCs w:val="18"/>
                <w:color w:val="auto"/>
              </w:rPr>
              <w:t>Edwin F. Barker</w:t>
            </w:r>
            <w:r>
              <w:rPr>
                <w:rFonts w:ascii="Arial" w:cs="Arial" w:eastAsia="Arial" w:hAnsi="Arial"/>
                <w:sz w:val="30"/>
                <w:szCs w:val="30"/>
                <w:color w:val="auto"/>
                <w:vertAlign w:val="superscript"/>
              </w:rPr>
              <w:t>(6)</w:t>
            </w:r>
          </w:p>
        </w:tc>
        <w:tc>
          <w:tcPr>
            <w:tcW w:w="780" w:type="dxa"/>
            <w:vAlign w:val="bottom"/>
          </w:tcPr>
          <w:p>
            <w:pPr>
              <w:ind w:left="260"/>
              <w:spacing w:after="0"/>
              <w:rPr>
                <w:sz w:val="20"/>
                <w:szCs w:val="20"/>
                <w:color w:val="auto"/>
              </w:rPr>
            </w:pPr>
            <w:r>
              <w:rPr>
                <w:rFonts w:ascii="Arial" w:cs="Arial" w:eastAsia="Arial" w:hAnsi="Arial"/>
                <w:sz w:val="18"/>
                <w:szCs w:val="18"/>
                <w:color w:val="auto"/>
              </w:rPr>
              <w:t>2007</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60"/>
              <w:spacing w:after="0"/>
              <w:rPr>
                <w:sz w:val="20"/>
                <w:szCs w:val="20"/>
                <w:color w:val="auto"/>
              </w:rPr>
            </w:pPr>
            <w:r>
              <w:rPr>
                <w:rFonts w:ascii="Arial" w:cs="Arial" w:eastAsia="Arial" w:hAnsi="Arial"/>
                <w:sz w:val="18"/>
                <w:szCs w:val="18"/>
                <w:color w:val="auto"/>
              </w:rPr>
              <w:t>335,498</w:t>
            </w:r>
          </w:p>
        </w:tc>
        <w:tc>
          <w:tcPr>
            <w:tcW w:w="780" w:type="dxa"/>
            <w:vAlign w:val="bottom"/>
          </w:tcPr>
          <w:p>
            <w:pPr>
              <w:ind w:left="36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454,380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13,344</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26,043</w:t>
            </w:r>
          </w:p>
        </w:tc>
        <w:tc>
          <w:tcPr>
            <w:tcW w:w="10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50,182</w:t>
            </w:r>
          </w:p>
        </w:tc>
        <w:tc>
          <w:tcPr>
            <w:tcW w:w="160" w:type="dxa"/>
            <w:vAlign w:val="bottom"/>
          </w:tcPr>
          <w:p>
            <w:pPr>
              <w:jc w:val="right"/>
              <w:ind w:right="2"/>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879,447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46621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24" w:name="page25"/>
    <w:bookmarkEnd w:id="24"/>
    <w:p>
      <w:pPr>
        <w:ind w:left="540" w:hanging="478"/>
        <w:spacing w:after="0" w:line="249" w:lineRule="auto"/>
        <w:tabs>
          <w:tab w:leader="none" w:pos="540" w:val="left"/>
        </w:tabs>
        <w:numPr>
          <w:ilvl w:val="0"/>
          <w:numId w:val="43"/>
        </w:numPr>
        <w:rPr>
          <w:rFonts w:ascii="Arial" w:cs="Arial" w:eastAsia="Arial" w:hAnsi="Arial"/>
          <w:sz w:val="13"/>
          <w:szCs w:val="13"/>
          <w:color w:val="auto"/>
        </w:rPr>
      </w:pPr>
      <w:r>
        <w:rPr>
          <w:rFonts w:ascii="Arial" w:cs="Arial" w:eastAsia="Arial" w:hAnsi="Arial"/>
          <w:sz w:val="13"/>
          <w:szCs w:val="13"/>
          <w:color w:val="auto"/>
        </w:rPr>
        <w:t>This column represents the dollar amount recognized for financial statement reporting purposes with respect to the 2007 fiscal year for the fair value of restricted stock granted in fiscal 2007, pursuant to the 2004 Plan in accordance with FAS 123(R). Pursuant to SEC rules, the amounts shown excludes the impact of estimated forfeitures related to service-based vesting conditions. For additional information, refer to Note 9 of the consolidated financial statements in the 2007 Form 10-K. These amounts reflect the Company’s accounting expense for these awards, and do not correspond to the actual value that will be recognized by the Named Executive Officers. Under FAS 123(R), restricted stock awards are generally recognized over the vesting period of the awards, except for retirement-eligible executives, whose awards are recognized upon grant. Each of the Named Executive Officers, with the exception of Ms. Nielsen, is retirement-eligible. Accordingly, amounts in this column reflect the full value of these Named Executive Officers’ restricted stock awards.</w:t>
      </w:r>
    </w:p>
    <w:p>
      <w:pPr>
        <w:spacing w:after="0" w:line="68" w:lineRule="exact"/>
        <w:rPr>
          <w:rFonts w:ascii="Arial" w:cs="Arial" w:eastAsia="Arial" w:hAnsi="Arial"/>
          <w:sz w:val="13"/>
          <w:szCs w:val="13"/>
          <w:color w:val="auto"/>
        </w:rPr>
      </w:pPr>
    </w:p>
    <w:p>
      <w:pPr>
        <w:ind w:left="540" w:right="160" w:hanging="478"/>
        <w:spacing w:after="0" w:line="231" w:lineRule="auto"/>
        <w:tabs>
          <w:tab w:leader="none" w:pos="5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amounts reported in this column reflect the dollar amount of stock option awards recognized for financial statement reporting purposes for the fiscal year ended August 25, 2007 pursuant to the 2004 Plan and the Winnebago Industries, Inc. 1997 Stock Option Plan (the “1997 Plan”), in accordance with FAS 123(R), and thus include amounts from awards granted both in and prior to fiscal 2007. The assumptions used in the calculation of these amounts are included in Note 9 to the Company’s audited financial statements for the fiscal year ended August 25, 2007 included in the 2007 Form 10-K. The amounts reported in this column reflect our accounting cost for these options, and do not correspond to the actual economic value that may be received by the Named Executive Officers from exercising options.</w:t>
      </w:r>
    </w:p>
    <w:p>
      <w:pPr>
        <w:spacing w:after="0" w:line="76" w:lineRule="exact"/>
        <w:rPr>
          <w:rFonts w:ascii="Arial" w:cs="Arial" w:eastAsia="Arial" w:hAnsi="Arial"/>
          <w:sz w:val="14"/>
          <w:szCs w:val="14"/>
          <w:color w:val="auto"/>
        </w:rPr>
      </w:pPr>
    </w:p>
    <w:p>
      <w:pPr>
        <w:ind w:left="540" w:right="120" w:hanging="478"/>
        <w:spacing w:after="0" w:line="234" w:lineRule="auto"/>
        <w:tabs>
          <w:tab w:leader="none" w:pos="5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These amounts represent annual incentive plan award payouts under the Officers Incentive Compensation Plan Fiscal Period 2007 (“Officers Incentive Compensation Plan”). Awards consisted of cash and are calculated as a percentage of the Named Executive Officer’s base salary in accordance with the Officers Incentive Compensation Plan. No awards were made to Named Executive Officers in fiscal 2007 under the 2005-2007 Long-Term Incentive Plan (the “2005-2007 Plan”). See “Compensation Discussion and Analysis” for further discussion on how amounts were determined for fiscal 2007.</w:t>
      </w:r>
    </w:p>
    <w:p>
      <w:pPr>
        <w:spacing w:after="0" w:line="74" w:lineRule="exact"/>
        <w:rPr>
          <w:rFonts w:ascii="Arial" w:cs="Arial" w:eastAsia="Arial" w:hAnsi="Arial"/>
          <w:sz w:val="14"/>
          <w:szCs w:val="14"/>
          <w:color w:val="auto"/>
        </w:rPr>
      </w:pPr>
    </w:p>
    <w:p>
      <w:pPr>
        <w:ind w:left="540" w:right="120" w:hanging="478"/>
        <w:spacing w:after="0" w:line="253" w:lineRule="auto"/>
        <w:tabs>
          <w:tab w:leader="none" w:pos="5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Company does not pay interest in excess of 120% of the applicable federal rate in effect during fiscal 2007 for the Executive Share Option Program and deferred compensation plans described in “Compensation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4" w:lineRule="exact"/>
        <w:rPr>
          <w:sz w:val="20"/>
          <w:szCs w:val="20"/>
          <w:color w:val="auto"/>
        </w:rPr>
      </w:pPr>
    </w:p>
    <w:p>
      <w:pPr>
        <w:ind w:left="540" w:hanging="478"/>
        <w:spacing w:after="0" w:line="234" w:lineRule="auto"/>
        <w:tabs>
          <w:tab w:leader="none" w:pos="5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For all the Named Executive Officers, “All Other Compensation” for fiscal 2007 includes the Company match to the 401(k) Plan, use of Company car, based on allocation of cost of vehicle, car insurance and fuel, and the cost of executive health examination. In Fiscal 2007, the Company made payments to Mr. Barker for consulting services ($10,143), with such amount included in the calculation of “All Other Compensation.” In addition, included in the calculation of “All Other Compensation” are amounts attributable to split-dollar life insurance premium reimbursement payments made by the Company to the following Named Executive Officers:</w:t>
      </w:r>
    </w:p>
    <w:p>
      <w:pPr>
        <w:spacing w:after="0" w:line="16" w:lineRule="exact"/>
        <w:rPr>
          <w:sz w:val="20"/>
          <w:szCs w:val="20"/>
          <w:color w:val="auto"/>
        </w:rPr>
      </w:pPr>
    </w:p>
    <w:tbl>
      <w:tblPr>
        <w:tblLayout w:type="fixed"/>
        <w:tblInd w:w="2300" w:type="dxa"/>
        <w:tblCellMar>
          <w:top w:w="0" w:type="dxa"/>
          <w:left w:w="0" w:type="dxa"/>
          <w:bottom w:w="0" w:type="dxa"/>
          <w:right w:w="0" w:type="dxa"/>
        </w:tblCellMar>
      </w:tblPr>
      <w:tr>
        <w:trPr>
          <w:trHeight w:val="186"/>
        </w:trPr>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5480" w:type="dxa"/>
            <w:vAlign w:val="bottom"/>
          </w:tcPr>
          <w:p>
            <w:pPr>
              <w:spacing w:after="0"/>
              <w:rPr>
                <w:sz w:val="16"/>
                <w:szCs w:val="16"/>
                <w:color w:val="auto"/>
              </w:rPr>
            </w:pPr>
          </w:p>
        </w:tc>
        <w:tc>
          <w:tcPr>
            <w:tcW w:w="70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4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0" w:type="dxa"/>
            <w:vAlign w:val="bottom"/>
          </w:tcPr>
          <w:p>
            <w:pPr>
              <w:spacing w:after="0"/>
              <w:rPr>
                <w:sz w:val="8"/>
                <w:szCs w:val="8"/>
                <w:color w:val="auto"/>
              </w:rPr>
            </w:pPr>
          </w:p>
        </w:tc>
        <w:tc>
          <w:tcPr>
            <w:tcW w:w="5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40" w:type="dxa"/>
            <w:vAlign w:val="bottom"/>
            <w:shd w:val="clear" w:color="auto" w:fill="D6F3E8"/>
          </w:tcPr>
          <w:p>
            <w:pPr>
              <w:spacing w:after="0" w:line="149" w:lineRule="exact"/>
              <w:rPr>
                <w:sz w:val="20"/>
                <w:szCs w:val="20"/>
                <w:color w:val="auto"/>
              </w:rPr>
            </w:pPr>
            <w:r>
              <w:rPr>
                <w:rFonts w:ascii="Arial" w:cs="Arial" w:eastAsia="Arial" w:hAnsi="Arial"/>
                <w:sz w:val="14"/>
                <w:szCs w:val="14"/>
                <w:color w:val="auto"/>
              </w:rPr>
              <w:t>Hertzke</w:t>
            </w:r>
          </w:p>
        </w:tc>
        <w:tc>
          <w:tcPr>
            <w:tcW w:w="6180" w:type="dxa"/>
            <w:vAlign w:val="bottom"/>
            <w:gridSpan w:val="3"/>
            <w:shd w:val="clear" w:color="auto" w:fill="D6F3E8"/>
          </w:tcPr>
          <w:p>
            <w:pPr>
              <w:jc w:val="right"/>
              <w:ind w:right="60"/>
              <w:spacing w:after="0" w:line="149" w:lineRule="exact"/>
              <w:rPr>
                <w:sz w:val="20"/>
                <w:szCs w:val="20"/>
                <w:color w:val="auto"/>
              </w:rPr>
            </w:pPr>
            <w:r>
              <w:rPr>
                <w:rFonts w:ascii="Arial" w:cs="Arial" w:eastAsia="Arial" w:hAnsi="Arial"/>
                <w:sz w:val="14"/>
                <w:szCs w:val="14"/>
                <w:color w:val="auto"/>
              </w:rPr>
              <w:t>$  19,263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line="149" w:lineRule="exact"/>
              <w:rPr>
                <w:sz w:val="20"/>
                <w:szCs w:val="20"/>
                <w:color w:val="auto"/>
              </w:rPr>
            </w:pPr>
            <w:r>
              <w:rPr>
                <w:rFonts w:ascii="Arial" w:cs="Arial" w:eastAsia="Arial" w:hAnsi="Arial"/>
                <w:sz w:val="14"/>
                <w:szCs w:val="14"/>
                <w:color w:val="auto"/>
              </w:rPr>
              <w:t>Olson</w:t>
            </w:r>
          </w:p>
        </w:tc>
        <w:tc>
          <w:tcPr>
            <w:tcW w:w="61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5,413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shd w:val="clear" w:color="auto" w:fill="D6F3E8"/>
          </w:tcPr>
          <w:p>
            <w:pPr>
              <w:spacing w:after="0" w:line="149" w:lineRule="exact"/>
              <w:rPr>
                <w:sz w:val="20"/>
                <w:szCs w:val="20"/>
                <w:color w:val="auto"/>
              </w:rPr>
            </w:pPr>
            <w:r>
              <w:rPr>
                <w:rFonts w:ascii="Arial" w:cs="Arial" w:eastAsia="Arial" w:hAnsi="Arial"/>
                <w:sz w:val="14"/>
                <w:szCs w:val="14"/>
                <w:color w:val="auto"/>
              </w:rPr>
              <w:t>Beebe</w:t>
            </w:r>
          </w:p>
        </w:tc>
        <w:tc>
          <w:tcPr>
            <w:tcW w:w="6180" w:type="dxa"/>
            <w:vAlign w:val="bottom"/>
            <w:gridSpan w:val="3"/>
            <w:shd w:val="clear" w:color="auto" w:fill="D6F3E8"/>
          </w:tcPr>
          <w:p>
            <w:pPr>
              <w:jc w:val="right"/>
              <w:ind w:right="60"/>
              <w:spacing w:after="0" w:line="149" w:lineRule="exact"/>
              <w:rPr>
                <w:sz w:val="20"/>
                <w:szCs w:val="20"/>
                <w:color w:val="auto"/>
              </w:rPr>
            </w:pPr>
            <w:r>
              <w:rPr>
                <w:rFonts w:ascii="Arial" w:cs="Arial" w:eastAsia="Arial" w:hAnsi="Arial"/>
                <w:sz w:val="14"/>
                <w:szCs w:val="14"/>
                <w:color w:val="auto"/>
              </w:rPr>
              <w:t>22,488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line="149" w:lineRule="exact"/>
              <w:rPr>
                <w:sz w:val="20"/>
                <w:szCs w:val="20"/>
                <w:color w:val="auto"/>
              </w:rPr>
            </w:pPr>
            <w:r>
              <w:rPr>
                <w:rFonts w:ascii="Arial" w:cs="Arial" w:eastAsia="Arial" w:hAnsi="Arial"/>
                <w:sz w:val="14"/>
                <w:szCs w:val="14"/>
                <w:color w:val="auto"/>
              </w:rPr>
              <w:t>O’Leary</w:t>
            </w:r>
          </w:p>
        </w:tc>
        <w:tc>
          <w:tcPr>
            <w:tcW w:w="61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6,150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shd w:val="clear" w:color="auto" w:fill="D6F3E8"/>
          </w:tcPr>
          <w:p>
            <w:pPr>
              <w:spacing w:after="0" w:line="149" w:lineRule="exact"/>
              <w:rPr>
                <w:sz w:val="20"/>
                <w:szCs w:val="20"/>
                <w:color w:val="auto"/>
              </w:rPr>
            </w:pPr>
            <w:r>
              <w:rPr>
                <w:rFonts w:ascii="Arial" w:cs="Arial" w:eastAsia="Arial" w:hAnsi="Arial"/>
                <w:sz w:val="14"/>
                <w:szCs w:val="14"/>
                <w:color w:val="auto"/>
              </w:rPr>
              <w:t>Barker</w:t>
            </w:r>
          </w:p>
        </w:tc>
        <w:tc>
          <w:tcPr>
            <w:tcW w:w="6180" w:type="dxa"/>
            <w:vAlign w:val="bottom"/>
            <w:gridSpan w:val="3"/>
            <w:shd w:val="clear" w:color="auto" w:fill="D6F3E8"/>
          </w:tcPr>
          <w:p>
            <w:pPr>
              <w:jc w:val="right"/>
              <w:ind w:right="60"/>
              <w:spacing w:after="0" w:line="149" w:lineRule="exact"/>
              <w:rPr>
                <w:sz w:val="20"/>
                <w:szCs w:val="20"/>
                <w:color w:val="auto"/>
              </w:rPr>
            </w:pPr>
            <w:r>
              <w:rPr>
                <w:rFonts w:ascii="Arial" w:cs="Arial" w:eastAsia="Arial" w:hAnsi="Arial"/>
                <w:sz w:val="14"/>
                <w:szCs w:val="14"/>
                <w:color w:val="auto"/>
              </w:rPr>
              <w:t>17,752</w:t>
            </w:r>
          </w:p>
        </w:tc>
        <w:tc>
          <w:tcPr>
            <w:tcW w:w="0" w:type="dxa"/>
            <w:vAlign w:val="bottom"/>
          </w:tcPr>
          <w:p>
            <w:pPr>
              <w:spacing w:after="0"/>
              <w:rPr>
                <w:sz w:val="1"/>
                <w:szCs w:val="1"/>
                <w:color w:val="auto"/>
              </w:rPr>
            </w:pPr>
          </w:p>
        </w:tc>
      </w:tr>
    </w:tbl>
    <w:p>
      <w:pPr>
        <w:spacing w:after="0" w:line="278" w:lineRule="exact"/>
        <w:rPr>
          <w:sz w:val="20"/>
          <w:szCs w:val="20"/>
          <w:color w:val="auto"/>
        </w:rPr>
      </w:pPr>
    </w:p>
    <w:p>
      <w:pPr>
        <w:ind w:left="540" w:hanging="478"/>
        <w:spacing w:after="0"/>
        <w:tabs>
          <w:tab w:leader="none" w:pos="5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Mr. Barker was a Named Executive Officer during fiscal 2007, but retired from his position as President of the Company on May 4, 2007.</w:t>
      </w:r>
    </w:p>
    <w:p>
      <w:pPr>
        <w:spacing w:after="0" w:line="200" w:lineRule="exact"/>
        <w:rPr>
          <w:sz w:val="20"/>
          <w:szCs w:val="20"/>
          <w:color w:val="auto"/>
        </w:rPr>
      </w:pPr>
    </w:p>
    <w:p>
      <w:pPr>
        <w:spacing w:after="0" w:line="2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G</w:t>
      </w:r>
      <w:r>
        <w:rPr>
          <w:rFonts w:ascii="Arial" w:cs="Arial" w:eastAsia="Arial" w:hAnsi="Arial"/>
          <w:sz w:val="15"/>
          <w:szCs w:val="15"/>
          <w:color w:val="auto"/>
        </w:rPr>
        <w:t>RANTS OF</w:t>
      </w:r>
      <w:r>
        <w:rPr>
          <w:rFonts w:ascii="Arial" w:cs="Arial" w:eastAsia="Arial" w:hAnsi="Arial"/>
          <w:sz w:val="18"/>
          <w:szCs w:val="18"/>
          <w:color w:val="auto"/>
        </w:rPr>
        <w:t xml:space="preserve"> P</w:t>
      </w:r>
      <w:r>
        <w:rPr>
          <w:rFonts w:ascii="Arial" w:cs="Arial" w:eastAsia="Arial" w:hAnsi="Arial"/>
          <w:sz w:val="15"/>
          <w:szCs w:val="15"/>
          <w:color w:val="auto"/>
        </w:rPr>
        <w:t>LAN</w:t>
      </w:r>
      <w:r>
        <w:rPr>
          <w:rFonts w:ascii="Arial" w:cs="Arial" w:eastAsia="Arial" w:hAnsi="Arial"/>
          <w:sz w:val="18"/>
          <w:szCs w:val="18"/>
          <w:color w:val="auto"/>
        </w:rPr>
        <w:t>-B</w:t>
      </w:r>
      <w:r>
        <w:rPr>
          <w:rFonts w:ascii="Arial" w:cs="Arial" w:eastAsia="Arial" w:hAnsi="Arial"/>
          <w:sz w:val="15"/>
          <w:szCs w:val="15"/>
          <w:color w:val="auto"/>
        </w:rPr>
        <w:t>ASED</w:t>
      </w:r>
      <w:r>
        <w:rPr>
          <w:rFonts w:ascii="Arial" w:cs="Arial" w:eastAsia="Arial" w:hAnsi="Arial"/>
          <w:sz w:val="18"/>
          <w:szCs w:val="18"/>
          <w:color w:val="auto"/>
        </w:rPr>
        <w:t xml:space="preserve"> A</w:t>
      </w:r>
      <w:r>
        <w:rPr>
          <w:rFonts w:ascii="Arial" w:cs="Arial" w:eastAsia="Arial" w:hAnsi="Arial"/>
          <w:sz w:val="15"/>
          <w:szCs w:val="15"/>
          <w:color w:val="auto"/>
        </w:rPr>
        <w:t>WARDS</w:t>
      </w:r>
      <w:r>
        <w:rPr>
          <w:rFonts w:ascii="Arial" w:cs="Arial" w:eastAsia="Arial" w:hAnsi="Arial"/>
          <w:sz w:val="18"/>
          <w:szCs w:val="18"/>
          <w:color w:val="auto"/>
        </w:rPr>
        <w:t xml:space="preserve"> T</w:t>
      </w:r>
      <w:r>
        <w:rPr>
          <w:rFonts w:ascii="Arial" w:cs="Arial" w:eastAsia="Arial" w:hAnsi="Arial"/>
          <w:sz w:val="15"/>
          <w:szCs w:val="15"/>
          <w:color w:val="auto"/>
        </w:rPr>
        <w:t>ABLE</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following table provides additional information relating to plan-based awards granted to our Named Executive Officers during fiscal 2007.</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4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2"/>
              </w:rPr>
              <w:t>Estimated Future Payouts</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All Other</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40" w:type="dxa"/>
            <w:vAlign w:val="bottom"/>
            <w:gridSpan w:val="4"/>
            <w:vMerge w:val="continue"/>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Stock</w:t>
            </w: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360" w:type="dxa"/>
            <w:vAlign w:val="bottom"/>
            <w:gridSpan w:val="7"/>
            <w:vMerge w:val="restart"/>
          </w:tcPr>
          <w:p>
            <w:pPr>
              <w:jc w:val="center"/>
              <w:ind w:left="473"/>
              <w:spacing w:after="0" w:line="149" w:lineRule="exact"/>
              <w:rPr>
                <w:sz w:val="20"/>
                <w:szCs w:val="20"/>
                <w:color w:val="auto"/>
              </w:rPr>
            </w:pPr>
            <w:r>
              <w:rPr>
                <w:rFonts w:ascii="Arial" w:cs="Arial" w:eastAsia="Arial" w:hAnsi="Arial"/>
                <w:sz w:val="14"/>
                <w:szCs w:val="14"/>
                <w:b w:val="1"/>
                <w:bCs w:val="1"/>
                <w:color w:val="auto"/>
                <w:w w:val="95"/>
              </w:rPr>
              <w:t>Under Non-Equity Incentive</w:t>
            </w:r>
          </w:p>
        </w:tc>
        <w:tc>
          <w:tcPr>
            <w:tcW w:w="7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360" w:type="dxa"/>
            <w:vAlign w:val="bottom"/>
            <w:gridSpan w:val="7"/>
            <w:vMerge w:val="continue"/>
          </w:tcPr>
          <w:p>
            <w:pPr>
              <w:spacing w:after="0"/>
              <w:rPr>
                <w:sz w:val="8"/>
                <w:szCs w:val="8"/>
                <w:color w:val="auto"/>
              </w:rPr>
            </w:pPr>
          </w:p>
        </w:tc>
        <w:tc>
          <w:tcPr>
            <w:tcW w:w="7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Awards:</w:t>
            </w:r>
          </w:p>
        </w:tc>
        <w:tc>
          <w:tcPr>
            <w:tcW w:w="220" w:type="dxa"/>
            <w:vAlign w:val="bottom"/>
          </w:tcPr>
          <w:p>
            <w:pPr>
              <w:spacing w:after="0"/>
              <w:rPr>
                <w:sz w:val="8"/>
                <w:szCs w:val="8"/>
                <w:color w:val="auto"/>
              </w:rPr>
            </w:pPr>
          </w:p>
        </w:tc>
        <w:tc>
          <w:tcPr>
            <w:tcW w:w="900" w:type="dxa"/>
            <w:vAlign w:val="bottom"/>
            <w:gridSpan w:val="3"/>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2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95"/>
              </w:rPr>
              <w:t>Plan Awards</w:t>
            </w: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Number</w:t>
            </w:r>
          </w:p>
        </w:tc>
        <w:tc>
          <w:tcPr>
            <w:tcW w:w="220" w:type="dxa"/>
            <w:vAlign w:val="bottom"/>
          </w:tcPr>
          <w:p>
            <w:pPr>
              <w:spacing w:after="0"/>
              <w:rPr>
                <w:sz w:val="12"/>
                <w:szCs w:val="12"/>
                <w:color w:val="auto"/>
              </w:rPr>
            </w:pPr>
          </w:p>
        </w:tc>
        <w:tc>
          <w:tcPr>
            <w:tcW w:w="9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of Shares</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of Stock</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of Stock</w:t>
            </w:r>
          </w:p>
        </w:tc>
        <w:tc>
          <w:tcPr>
            <w:tcW w:w="220" w:type="dxa"/>
            <w:vAlign w:val="bottom"/>
          </w:tcPr>
          <w:p>
            <w:pPr>
              <w:spacing w:after="0"/>
              <w:rPr>
                <w:sz w:val="12"/>
                <w:szCs w:val="12"/>
                <w:color w:val="auto"/>
              </w:rPr>
            </w:pPr>
          </w:p>
        </w:tc>
        <w:tc>
          <w:tcPr>
            <w:tcW w:w="9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and Option</w:t>
            </w:r>
          </w:p>
        </w:tc>
        <w:tc>
          <w:tcPr>
            <w:tcW w:w="0" w:type="dxa"/>
            <w:vAlign w:val="bottom"/>
          </w:tcPr>
          <w:p>
            <w:pPr>
              <w:spacing w:after="0"/>
              <w:rPr>
                <w:sz w:val="1"/>
                <w:szCs w:val="1"/>
                <w:color w:val="auto"/>
              </w:rPr>
            </w:pPr>
          </w:p>
        </w:tc>
      </w:tr>
      <w:tr>
        <w:trPr>
          <w:trHeight w:val="185"/>
        </w:trPr>
        <w:tc>
          <w:tcPr>
            <w:tcW w:w="2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6"/>
                <w:szCs w:val="16"/>
                <w:color w:val="auto"/>
              </w:rPr>
            </w:pPr>
          </w:p>
        </w:tc>
        <w:tc>
          <w:tcPr>
            <w:tcW w:w="780" w:type="dxa"/>
            <w:vAlign w:val="bottom"/>
            <w:vMerge w:val="restart"/>
          </w:tcPr>
          <w:p>
            <w:pPr>
              <w:jc w:val="center"/>
              <w:ind w:right="12"/>
              <w:spacing w:after="0"/>
              <w:rPr>
                <w:sz w:val="20"/>
                <w:szCs w:val="20"/>
                <w:color w:val="auto"/>
              </w:rPr>
            </w:pPr>
            <w:r>
              <w:rPr>
                <w:rFonts w:ascii="Arial" w:cs="Arial" w:eastAsia="Arial" w:hAnsi="Arial"/>
                <w:sz w:val="14"/>
                <w:szCs w:val="14"/>
                <w:b w:val="1"/>
                <w:bCs w:val="1"/>
                <w:color w:val="auto"/>
                <w:w w:val="94"/>
              </w:rPr>
              <w:t>Plan</w:t>
            </w:r>
          </w:p>
        </w:tc>
        <w:tc>
          <w:tcPr>
            <w:tcW w:w="440" w:type="dxa"/>
            <w:vAlign w:val="bottom"/>
          </w:tcPr>
          <w:p>
            <w:pPr>
              <w:spacing w:after="0"/>
              <w:rPr>
                <w:sz w:val="16"/>
                <w:szCs w:val="16"/>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Grant</w:t>
            </w:r>
          </w:p>
        </w:tc>
        <w:tc>
          <w:tcPr>
            <w:tcW w:w="8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4"/>
              </w:rPr>
              <w:t>Threshold</w:t>
            </w: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Target</w:t>
            </w:r>
          </w:p>
        </w:tc>
        <w:tc>
          <w:tcPr>
            <w:tcW w:w="100" w:type="dxa"/>
            <w:vAlign w:val="bottom"/>
          </w:tcPr>
          <w:p>
            <w:pPr>
              <w:spacing w:after="0"/>
              <w:rPr>
                <w:sz w:val="16"/>
                <w:szCs w:val="16"/>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5"/>
              </w:rPr>
              <w:t>Maximum</w:t>
            </w: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or Units</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Awards</w:t>
            </w:r>
          </w:p>
        </w:tc>
        <w:tc>
          <w:tcPr>
            <w:tcW w:w="0" w:type="dxa"/>
            <w:vAlign w:val="bottom"/>
          </w:tcPr>
          <w:p>
            <w:pPr>
              <w:spacing w:after="0"/>
              <w:rPr>
                <w:sz w:val="1"/>
                <w:szCs w:val="1"/>
                <w:color w:val="auto"/>
              </w:rPr>
            </w:pPr>
          </w:p>
        </w:tc>
      </w:tr>
      <w:tr>
        <w:trPr>
          <w:trHeight w:val="149"/>
        </w:trPr>
        <w:tc>
          <w:tcPr>
            <w:tcW w:w="29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240" w:type="dxa"/>
            <w:vAlign w:val="bottom"/>
            <w:gridSpan w:val="2"/>
          </w:tcPr>
          <w:p>
            <w:pPr>
              <w:jc w:val="center"/>
              <w:ind w:right="460"/>
              <w:spacing w:after="0" w:line="149" w:lineRule="exact"/>
              <w:rPr>
                <w:sz w:val="20"/>
                <w:szCs w:val="20"/>
                <w:color w:val="auto"/>
              </w:rPr>
            </w:pPr>
            <w:r>
              <w:rPr>
                <w:rFonts w:ascii="Arial" w:cs="Arial" w:eastAsia="Arial" w:hAnsi="Arial"/>
                <w:sz w:val="11"/>
                <w:szCs w:val="11"/>
                <w:b w:val="1"/>
                <w:bCs w:val="1"/>
                <w:color w:val="auto"/>
              </w:rPr>
              <w:t>Date</w:t>
            </w:r>
            <w:r>
              <w:rPr>
                <w:rFonts w:ascii="Arial" w:cs="Arial" w:eastAsia="Arial" w:hAnsi="Arial"/>
                <w:sz w:val="17"/>
                <w:szCs w:val="17"/>
                <w:b w:val="1"/>
                <w:bCs w:val="1"/>
                <w:color w:val="auto"/>
                <w:vertAlign w:val="superscript"/>
              </w:rPr>
              <w:t>(3)</w:t>
            </w:r>
          </w:p>
        </w:tc>
        <w:tc>
          <w:tcPr>
            <w:tcW w:w="180" w:type="dxa"/>
            <w:vAlign w:val="bottom"/>
          </w:tcPr>
          <w:p>
            <w:pPr>
              <w:spacing w:after="0"/>
              <w:rPr>
                <w:sz w:val="12"/>
                <w:szCs w:val="12"/>
                <w:color w:val="auto"/>
              </w:rPr>
            </w:pPr>
          </w:p>
        </w:tc>
        <w:tc>
          <w:tcPr>
            <w:tcW w:w="600" w:type="dxa"/>
            <w:vAlign w:val="bottom"/>
          </w:tcPr>
          <w:p>
            <w:pPr>
              <w:jc w:val="center"/>
              <w:ind w:right="113"/>
              <w:spacing w:after="0" w:line="149" w:lineRule="exact"/>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213"/>
              <w:spacing w:after="0" w:line="149" w:lineRule="exact"/>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ind w:right="233"/>
              <w:spacing w:after="0" w:line="149" w:lineRule="exact"/>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1"/>
                <w:szCs w:val="11"/>
                <w:b w:val="1"/>
                <w:bCs w:val="1"/>
                <w:color w:val="auto"/>
              </w:rPr>
              <w:t>(#)</w:t>
            </w:r>
            <w:r>
              <w:rPr>
                <w:rFonts w:ascii="Arial" w:cs="Arial" w:eastAsia="Arial" w:hAnsi="Arial"/>
                <w:sz w:val="17"/>
                <w:szCs w:val="17"/>
                <w:b w:val="1"/>
                <w:bCs w:val="1"/>
                <w:color w:val="auto"/>
                <w:vertAlign w:val="superscript"/>
              </w:rPr>
              <w:t>(4)</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ind w:right="38"/>
              <w:spacing w:after="0" w:line="149" w:lineRule="exact"/>
              <w:rPr>
                <w:sz w:val="20"/>
                <w:szCs w:val="20"/>
                <w:color w:val="auto"/>
              </w:rPr>
            </w:pPr>
            <w:r>
              <w:rPr>
                <w:rFonts w:ascii="Arial" w:cs="Arial" w:eastAsia="Arial" w:hAnsi="Arial"/>
                <w:sz w:val="11"/>
                <w:szCs w:val="11"/>
                <w:b w:val="1"/>
                <w:bCs w:val="1"/>
                <w:color w:val="auto"/>
              </w:rPr>
              <w:t>($)</w:t>
            </w:r>
            <w:r>
              <w:rPr>
                <w:rFonts w:ascii="Arial" w:cs="Arial" w:eastAsia="Arial" w:hAnsi="Arial"/>
                <w:sz w:val="17"/>
                <w:szCs w:val="17"/>
                <w:b w:val="1"/>
                <w:bCs w:val="1"/>
                <w:color w:val="auto"/>
                <w:vertAlign w:val="superscript"/>
              </w:rPr>
              <w:t>(5)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4"/>
        </w:trPr>
        <w:tc>
          <w:tcPr>
            <w:tcW w:w="2940" w:type="dxa"/>
            <w:vAlign w:val="bottom"/>
            <w:gridSpan w:val="3"/>
          </w:tcPr>
          <w:p>
            <w:pPr>
              <w:spacing w:after="0"/>
              <w:rPr>
                <w:sz w:val="20"/>
                <w:szCs w:val="20"/>
                <w:color w:val="auto"/>
              </w:rPr>
            </w:pPr>
            <w:r>
              <w:rPr>
                <w:rFonts w:ascii="Arial" w:cs="Arial" w:eastAsia="Arial" w:hAnsi="Arial"/>
                <w:sz w:val="14"/>
                <w:szCs w:val="14"/>
                <w:b w:val="1"/>
                <w:bCs w:val="1"/>
                <w:color w:val="auto"/>
              </w:rPr>
              <w:t>(a)</w:t>
            </w:r>
          </w:p>
        </w:tc>
        <w:tc>
          <w:tcPr>
            <w:tcW w:w="880" w:type="dxa"/>
            <w:vAlign w:val="bottom"/>
            <w:gridSpan w:val="2"/>
          </w:tcPr>
          <w:p>
            <w:pPr>
              <w:jc w:val="center"/>
              <w:spacing w:after="0" w:line="284" w:lineRule="exact"/>
              <w:rPr>
                <w:sz w:val="20"/>
                <w:szCs w:val="20"/>
                <w:color w:val="auto"/>
              </w:rPr>
            </w:pPr>
            <w:r>
              <w:rPr>
                <w:rFonts w:ascii="Arial" w:cs="Arial" w:eastAsia="Arial" w:hAnsi="Arial"/>
                <w:sz w:val="28"/>
                <w:szCs w:val="28"/>
                <w:b w:val="1"/>
                <w:bCs w:val="1"/>
                <w:color w:val="auto"/>
                <w:w w:val="81"/>
                <w:vertAlign w:val="subscript"/>
              </w:rPr>
              <w:t>Name</w:t>
            </w:r>
            <w:r>
              <w:rPr>
                <w:rFonts w:ascii="Arial" w:cs="Arial" w:eastAsia="Arial" w:hAnsi="Arial"/>
                <w:sz w:val="12"/>
                <w:szCs w:val="12"/>
                <w:b w:val="1"/>
                <w:bCs w:val="1"/>
                <w:color w:val="auto"/>
                <w:w w:val="81"/>
              </w:rPr>
              <w:t xml:space="preserve"> (1)(2)</w:t>
            </w:r>
          </w:p>
        </w:tc>
        <w:tc>
          <w:tcPr>
            <w:tcW w:w="440" w:type="dxa"/>
            <w:vAlign w:val="bottom"/>
          </w:tcPr>
          <w:p>
            <w:pPr>
              <w:spacing w:after="0"/>
              <w:rPr>
                <w:sz w:val="24"/>
                <w:szCs w:val="24"/>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(b)</w:t>
            </w:r>
          </w:p>
        </w:tc>
        <w:tc>
          <w:tcPr>
            <w:tcW w:w="180" w:type="dxa"/>
            <w:vAlign w:val="bottom"/>
          </w:tcPr>
          <w:p>
            <w:pPr>
              <w:spacing w:after="0"/>
              <w:rPr>
                <w:sz w:val="24"/>
                <w:szCs w:val="24"/>
                <w:color w:val="auto"/>
              </w:rPr>
            </w:pPr>
          </w:p>
        </w:tc>
        <w:tc>
          <w:tcPr>
            <w:tcW w:w="6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(c)</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(d)</w:t>
            </w:r>
          </w:p>
        </w:tc>
        <w:tc>
          <w:tcPr>
            <w:tcW w:w="100" w:type="dxa"/>
            <w:vAlign w:val="bottom"/>
          </w:tcPr>
          <w:p>
            <w:pPr>
              <w:spacing w:after="0"/>
              <w:rPr>
                <w:sz w:val="24"/>
                <w:szCs w:val="24"/>
                <w:color w:val="auto"/>
              </w:rPr>
            </w:pPr>
          </w:p>
        </w:tc>
        <w:tc>
          <w:tcPr>
            <w:tcW w:w="120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(e)</w:t>
            </w: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(f)</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(g)</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22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Bruce D. Hertzke</w:t>
            </w:r>
          </w:p>
        </w:tc>
        <w:tc>
          <w:tcPr>
            <w:tcW w:w="100" w:type="dxa"/>
            <w:vAlign w:val="bottom"/>
            <w:shd w:val="clear" w:color="auto" w:fill="D6F3E8"/>
          </w:tcPr>
          <w:p>
            <w:pPr>
              <w:spacing w:after="0"/>
              <w:rPr>
                <w:sz w:val="18"/>
                <w:szCs w:val="18"/>
                <w:color w:val="auto"/>
              </w:rPr>
            </w:pPr>
          </w:p>
        </w:tc>
        <w:tc>
          <w:tcPr>
            <w:tcW w:w="780" w:type="dxa"/>
            <w:vAlign w:val="bottom"/>
            <w:shd w:val="clear" w:color="auto" w:fill="D6F3E8"/>
          </w:tcPr>
          <w:p>
            <w:pPr>
              <w:spacing w:after="0"/>
              <w:rPr>
                <w:sz w:val="18"/>
                <w:szCs w:val="18"/>
                <w:color w:val="auto"/>
              </w:rPr>
            </w:pPr>
          </w:p>
        </w:tc>
        <w:tc>
          <w:tcPr>
            <w:tcW w:w="122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10/11/06</w:t>
            </w:r>
          </w:p>
        </w:tc>
        <w:tc>
          <w:tcPr>
            <w:tcW w:w="46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62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080" w:type="dxa"/>
            <w:vAlign w:val="bottom"/>
            <w:gridSpan w:val="2"/>
            <w:shd w:val="clear" w:color="auto" w:fill="D6F3E8"/>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D6F3E8"/>
          </w:tcPr>
          <w:p>
            <w:pPr>
              <w:spacing w:after="0"/>
              <w:rPr>
                <w:sz w:val="18"/>
                <w:szCs w:val="18"/>
                <w:color w:val="auto"/>
              </w:rPr>
            </w:pPr>
          </w:p>
        </w:tc>
        <w:tc>
          <w:tcPr>
            <w:tcW w:w="1200" w:type="dxa"/>
            <w:vAlign w:val="bottom"/>
            <w:gridSpan w:val="2"/>
            <w:shd w:val="clear" w:color="auto" w:fill="D6F3E8"/>
          </w:tcPr>
          <w:p>
            <w:pPr>
              <w:jc w:val="right"/>
              <w:ind w:right="4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15,000</w:t>
            </w:r>
          </w:p>
        </w:tc>
        <w:tc>
          <w:tcPr>
            <w:tcW w:w="34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w w:val="98"/>
              </w:rPr>
              <w:t>515,400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D6F3E8"/>
          </w:tcPr>
          <w:p>
            <w:pPr>
              <w:spacing w:after="0"/>
              <w:rPr>
                <w:sz w:val="18"/>
                <w:szCs w:val="18"/>
                <w:color w:val="auto"/>
              </w:rPr>
            </w:pPr>
          </w:p>
        </w:tc>
        <w:tc>
          <w:tcPr>
            <w:tcW w:w="226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780" w:type="dxa"/>
            <w:vAlign w:val="bottom"/>
            <w:shd w:val="clear" w:color="auto" w:fill="D6F3E8"/>
          </w:tcPr>
          <w:p>
            <w:pPr>
              <w:jc w:val="center"/>
              <w:spacing w:after="0"/>
              <w:rPr>
                <w:sz w:val="20"/>
                <w:szCs w:val="20"/>
                <w:color w:val="auto"/>
              </w:rPr>
            </w:pPr>
            <w:r>
              <w:rPr>
                <w:rFonts w:ascii="Arial" w:cs="Arial" w:eastAsia="Arial" w:hAnsi="Arial"/>
                <w:sz w:val="18"/>
                <w:szCs w:val="18"/>
                <w:color w:val="auto"/>
                <w:w w:val="95"/>
              </w:rPr>
              <w:t>OICP</w:t>
            </w:r>
          </w:p>
        </w:tc>
        <w:tc>
          <w:tcPr>
            <w:tcW w:w="440" w:type="dxa"/>
            <w:vAlign w:val="bottom"/>
            <w:shd w:val="clear" w:color="auto" w:fill="D6F3E8"/>
          </w:tcPr>
          <w:p>
            <w:pPr>
              <w:spacing w:after="0"/>
              <w:rPr>
                <w:sz w:val="18"/>
                <w:szCs w:val="18"/>
                <w:color w:val="auto"/>
              </w:rPr>
            </w:pPr>
          </w:p>
        </w:tc>
        <w:tc>
          <w:tcPr>
            <w:tcW w:w="780" w:type="dxa"/>
            <w:vAlign w:val="bottom"/>
            <w:shd w:val="clear" w:color="auto" w:fill="D6F3E8"/>
          </w:tcPr>
          <w:p>
            <w:pPr>
              <w:spacing w:after="0"/>
              <w:rPr>
                <w:sz w:val="18"/>
                <w:szCs w:val="18"/>
                <w:color w:val="auto"/>
              </w:rPr>
            </w:pPr>
          </w:p>
        </w:tc>
        <w:tc>
          <w:tcPr>
            <w:tcW w:w="460" w:type="dxa"/>
            <w:vAlign w:val="bottom"/>
            <w:shd w:val="clear" w:color="auto" w:fill="D6F3E8"/>
          </w:tcPr>
          <w:p>
            <w:pPr>
              <w:spacing w:after="0"/>
              <w:rPr>
                <w:sz w:val="18"/>
                <w:szCs w:val="18"/>
                <w:color w:val="auto"/>
              </w:rPr>
            </w:pPr>
          </w:p>
        </w:tc>
        <w:tc>
          <w:tcPr>
            <w:tcW w:w="180" w:type="dxa"/>
            <w:vAlign w:val="bottom"/>
            <w:shd w:val="clear" w:color="auto" w:fill="D6F3E8"/>
          </w:tcPr>
          <w:p>
            <w:pPr>
              <w:jc w:val="right"/>
              <w:ind w:right="25"/>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91,325</w:t>
            </w:r>
          </w:p>
        </w:tc>
        <w:tc>
          <w:tcPr>
            <w:tcW w:w="56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D6F3E8"/>
          </w:tcPr>
          <w:p>
            <w:pPr>
              <w:jc w:val="right"/>
              <w:ind w:right="440"/>
              <w:spacing w:after="0"/>
              <w:rPr>
                <w:sz w:val="20"/>
                <w:szCs w:val="20"/>
                <w:color w:val="auto"/>
              </w:rPr>
            </w:pPr>
            <w:r>
              <w:rPr>
                <w:rFonts w:ascii="Arial" w:cs="Arial" w:eastAsia="Arial" w:hAnsi="Arial"/>
                <w:sz w:val="18"/>
                <w:szCs w:val="18"/>
                <w:color w:val="auto"/>
                <w:w w:val="95"/>
              </w:rPr>
              <w:t>562,008</w:t>
            </w:r>
          </w:p>
        </w:tc>
        <w:tc>
          <w:tcPr>
            <w:tcW w:w="84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w w:val="86"/>
              </w:rPr>
              <w:t>$ 1,124,016</w:t>
            </w:r>
          </w:p>
        </w:tc>
        <w:tc>
          <w:tcPr>
            <w:tcW w:w="460" w:type="dxa"/>
            <w:vAlign w:val="bottom"/>
            <w:shd w:val="clear" w:color="auto" w:fill="D6F3E8"/>
          </w:tcPr>
          <w:p>
            <w:pPr>
              <w:spacing w:after="0"/>
              <w:rPr>
                <w:sz w:val="18"/>
                <w:szCs w:val="18"/>
                <w:color w:val="auto"/>
              </w:rPr>
            </w:pPr>
          </w:p>
        </w:tc>
        <w:tc>
          <w:tcPr>
            <w:tcW w:w="78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66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D6F3E8"/>
          </w:tcPr>
          <w:p>
            <w:pPr>
              <w:spacing w:after="0"/>
              <w:rPr>
                <w:sz w:val="18"/>
                <w:szCs w:val="18"/>
                <w:color w:val="auto"/>
              </w:rPr>
            </w:pPr>
          </w:p>
        </w:tc>
        <w:tc>
          <w:tcPr>
            <w:tcW w:w="226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780" w:type="dxa"/>
            <w:vAlign w:val="bottom"/>
            <w:shd w:val="clear" w:color="auto" w:fill="D6F3E8"/>
          </w:tcPr>
          <w:p>
            <w:pPr>
              <w:jc w:val="center"/>
              <w:spacing w:after="0"/>
              <w:rPr>
                <w:sz w:val="20"/>
                <w:szCs w:val="20"/>
                <w:color w:val="auto"/>
              </w:rPr>
            </w:pPr>
            <w:r>
              <w:rPr>
                <w:rFonts w:ascii="Arial" w:cs="Arial" w:eastAsia="Arial" w:hAnsi="Arial"/>
                <w:sz w:val="18"/>
                <w:szCs w:val="18"/>
                <w:color w:val="auto"/>
                <w:w w:val="93"/>
              </w:rPr>
              <w:t>2009 LTIP</w:t>
            </w:r>
          </w:p>
        </w:tc>
        <w:tc>
          <w:tcPr>
            <w:tcW w:w="440" w:type="dxa"/>
            <w:vAlign w:val="bottom"/>
            <w:shd w:val="clear" w:color="auto" w:fill="D6F3E8"/>
          </w:tcPr>
          <w:p>
            <w:pPr>
              <w:spacing w:after="0"/>
              <w:rPr>
                <w:sz w:val="18"/>
                <w:szCs w:val="18"/>
                <w:color w:val="auto"/>
              </w:rPr>
            </w:pPr>
          </w:p>
        </w:tc>
        <w:tc>
          <w:tcPr>
            <w:tcW w:w="780" w:type="dxa"/>
            <w:vAlign w:val="bottom"/>
            <w:shd w:val="clear" w:color="auto" w:fill="D6F3E8"/>
          </w:tcPr>
          <w:p>
            <w:pPr>
              <w:spacing w:after="0"/>
              <w:rPr>
                <w:sz w:val="18"/>
                <w:szCs w:val="18"/>
                <w:color w:val="auto"/>
              </w:rPr>
            </w:pPr>
          </w:p>
        </w:tc>
        <w:tc>
          <w:tcPr>
            <w:tcW w:w="460" w:type="dxa"/>
            <w:vAlign w:val="bottom"/>
            <w:shd w:val="clear" w:color="auto" w:fill="D6F3E8"/>
          </w:tcPr>
          <w:p>
            <w:pPr>
              <w:spacing w:after="0"/>
              <w:rPr>
                <w:sz w:val="18"/>
                <w:szCs w:val="18"/>
                <w:color w:val="auto"/>
              </w:rPr>
            </w:pPr>
          </w:p>
        </w:tc>
        <w:tc>
          <w:tcPr>
            <w:tcW w:w="180" w:type="dxa"/>
            <w:vAlign w:val="bottom"/>
            <w:shd w:val="clear" w:color="auto" w:fill="D6F3E8"/>
          </w:tcPr>
          <w:p>
            <w:pPr>
              <w:jc w:val="right"/>
              <w:ind w:right="25"/>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22,016</w:t>
            </w:r>
          </w:p>
        </w:tc>
        <w:tc>
          <w:tcPr>
            <w:tcW w:w="56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D6F3E8"/>
          </w:tcPr>
          <w:p>
            <w:pPr>
              <w:jc w:val="right"/>
              <w:ind w:right="440"/>
              <w:spacing w:after="0"/>
              <w:rPr>
                <w:sz w:val="20"/>
                <w:szCs w:val="20"/>
                <w:color w:val="auto"/>
              </w:rPr>
            </w:pPr>
            <w:r>
              <w:rPr>
                <w:rFonts w:ascii="Arial" w:cs="Arial" w:eastAsia="Arial" w:hAnsi="Arial"/>
                <w:sz w:val="18"/>
                <w:szCs w:val="18"/>
                <w:color w:val="auto"/>
                <w:w w:val="95"/>
              </w:rPr>
              <w:t>135,486</w:t>
            </w:r>
          </w:p>
        </w:tc>
        <w:tc>
          <w:tcPr>
            <w:tcW w:w="10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D6F3E8"/>
          </w:tcPr>
          <w:p>
            <w:pPr>
              <w:jc w:val="right"/>
              <w:ind w:right="460"/>
              <w:spacing w:after="0"/>
              <w:rPr>
                <w:sz w:val="20"/>
                <w:szCs w:val="20"/>
                <w:color w:val="auto"/>
              </w:rPr>
            </w:pPr>
            <w:r>
              <w:rPr>
                <w:rFonts w:ascii="Arial" w:cs="Arial" w:eastAsia="Arial" w:hAnsi="Arial"/>
                <w:sz w:val="18"/>
                <w:szCs w:val="18"/>
                <w:color w:val="auto"/>
              </w:rPr>
              <w:t>203,228</w:t>
            </w:r>
          </w:p>
        </w:tc>
        <w:tc>
          <w:tcPr>
            <w:tcW w:w="78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66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20" w:type="dxa"/>
            <w:vAlign w:val="bottom"/>
            <w:gridSpan w:val="2"/>
          </w:tcPr>
          <w:p>
            <w:pPr>
              <w:spacing w:after="0" w:line="201" w:lineRule="exact"/>
              <w:rPr>
                <w:sz w:val="20"/>
                <w:szCs w:val="20"/>
                <w:color w:val="auto"/>
              </w:rPr>
            </w:pPr>
            <w:r>
              <w:rPr>
                <w:rFonts w:ascii="Arial" w:cs="Arial" w:eastAsia="Arial" w:hAnsi="Arial"/>
                <w:sz w:val="18"/>
                <w:szCs w:val="18"/>
                <w:color w:val="auto"/>
              </w:rPr>
              <w:t>Robert J. Olson</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10/11/06</w:t>
            </w: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440"/>
              <w:spacing w:after="0" w:line="201"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0" w:type="dxa"/>
            <w:vAlign w:val="bottom"/>
            <w:gridSpan w:val="2"/>
          </w:tcPr>
          <w:p>
            <w:pPr>
              <w:jc w:val="right"/>
              <w:ind w:right="460"/>
              <w:spacing w:after="0" w:line="201"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1" w:lineRule="exact"/>
              <w:rPr>
                <w:sz w:val="20"/>
                <w:szCs w:val="20"/>
                <w:color w:val="auto"/>
              </w:rPr>
            </w:pPr>
            <w:r>
              <w:rPr>
                <w:rFonts w:ascii="Arial" w:cs="Arial" w:eastAsia="Arial" w:hAnsi="Arial"/>
                <w:sz w:val="18"/>
                <w:szCs w:val="18"/>
                <w:color w:val="auto"/>
              </w:rPr>
              <w:t>6,000</w:t>
            </w:r>
          </w:p>
        </w:tc>
        <w:tc>
          <w:tcPr>
            <w:tcW w:w="220" w:type="dxa"/>
            <w:vAlign w:val="bottom"/>
          </w:tcPr>
          <w:p>
            <w:pPr>
              <w:spacing w:after="0"/>
              <w:rPr>
                <w:sz w:val="17"/>
                <w:szCs w:val="17"/>
                <w:color w:val="auto"/>
              </w:rPr>
            </w:pPr>
          </w:p>
        </w:tc>
        <w:tc>
          <w:tcPr>
            <w:tcW w:w="3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w w:val="98"/>
              </w:rPr>
              <w:t>206,160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5"/>
              </w:rPr>
              <w:t>OICP</w:t>
            </w: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28,132</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173,129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346,256</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3"/>
              </w:rPr>
              <w:t>2009 LTIP</w:t>
            </w: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10,900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67,078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100,616</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Raymond M. Beebe</w:t>
            </w:r>
          </w:p>
        </w:tc>
        <w:tc>
          <w:tcPr>
            <w:tcW w:w="100" w:type="dxa"/>
            <w:vAlign w:val="bottom"/>
            <w:shd w:val="clear" w:color="auto" w:fill="D6F3E8"/>
          </w:tcPr>
          <w:p>
            <w:pPr>
              <w:spacing w:after="0"/>
              <w:rPr>
                <w:sz w:val="18"/>
                <w:szCs w:val="18"/>
                <w:color w:val="auto"/>
              </w:rPr>
            </w:pPr>
          </w:p>
        </w:tc>
        <w:tc>
          <w:tcPr>
            <w:tcW w:w="780" w:type="dxa"/>
            <w:vAlign w:val="bottom"/>
            <w:shd w:val="clear" w:color="auto" w:fill="D6F3E8"/>
          </w:tcPr>
          <w:p>
            <w:pPr>
              <w:spacing w:after="0"/>
              <w:rPr>
                <w:sz w:val="18"/>
                <w:szCs w:val="18"/>
                <w:color w:val="auto"/>
              </w:rPr>
            </w:pPr>
          </w:p>
        </w:tc>
        <w:tc>
          <w:tcPr>
            <w:tcW w:w="122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10/11/06</w:t>
            </w:r>
          </w:p>
        </w:tc>
        <w:tc>
          <w:tcPr>
            <w:tcW w:w="46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62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080" w:type="dxa"/>
            <w:vAlign w:val="bottom"/>
            <w:gridSpan w:val="2"/>
            <w:shd w:val="clear" w:color="auto" w:fill="D6F3E8"/>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D6F3E8"/>
          </w:tcPr>
          <w:p>
            <w:pPr>
              <w:spacing w:after="0"/>
              <w:rPr>
                <w:sz w:val="18"/>
                <w:szCs w:val="18"/>
                <w:color w:val="auto"/>
              </w:rPr>
            </w:pPr>
          </w:p>
        </w:tc>
        <w:tc>
          <w:tcPr>
            <w:tcW w:w="1200" w:type="dxa"/>
            <w:vAlign w:val="bottom"/>
            <w:gridSpan w:val="2"/>
            <w:shd w:val="clear" w:color="auto" w:fill="D6F3E8"/>
          </w:tcPr>
          <w:p>
            <w:pPr>
              <w:jc w:val="right"/>
              <w:ind w:right="460"/>
              <w:spacing w:after="0"/>
              <w:rPr>
                <w:sz w:val="20"/>
                <w:szCs w:val="20"/>
                <w:color w:val="auto"/>
              </w:rPr>
            </w:pPr>
            <w:r>
              <w:rPr>
                <w:rFonts w:ascii="Arial" w:cs="Arial" w:eastAsia="Arial" w:hAnsi="Arial"/>
                <w:sz w:val="18"/>
                <w:szCs w:val="18"/>
                <w:color w:val="auto"/>
              </w:rPr>
              <w:t>—</w:t>
            </w:r>
          </w:p>
        </w:tc>
        <w:tc>
          <w:tcPr>
            <w:tcW w:w="7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4,000</w:t>
            </w:r>
          </w:p>
        </w:tc>
        <w:tc>
          <w:tcPr>
            <w:tcW w:w="220" w:type="dxa"/>
            <w:vAlign w:val="bottom"/>
            <w:shd w:val="clear" w:color="auto" w:fill="D6F3E8"/>
          </w:tcPr>
          <w:p>
            <w:pPr>
              <w:spacing w:after="0"/>
              <w:rPr>
                <w:sz w:val="18"/>
                <w:szCs w:val="18"/>
                <w:color w:val="auto"/>
              </w:rPr>
            </w:pPr>
          </w:p>
        </w:tc>
        <w:tc>
          <w:tcPr>
            <w:tcW w:w="34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w w:val="98"/>
              </w:rPr>
              <w:t>137,440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D6F3E8"/>
          </w:tcPr>
          <w:p>
            <w:pPr>
              <w:spacing w:after="0"/>
              <w:rPr>
                <w:sz w:val="18"/>
                <w:szCs w:val="18"/>
                <w:color w:val="auto"/>
              </w:rPr>
            </w:pPr>
          </w:p>
        </w:tc>
        <w:tc>
          <w:tcPr>
            <w:tcW w:w="226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780" w:type="dxa"/>
            <w:vAlign w:val="bottom"/>
            <w:shd w:val="clear" w:color="auto" w:fill="D6F3E8"/>
          </w:tcPr>
          <w:p>
            <w:pPr>
              <w:jc w:val="center"/>
              <w:spacing w:after="0"/>
              <w:rPr>
                <w:sz w:val="20"/>
                <w:szCs w:val="20"/>
                <w:color w:val="auto"/>
              </w:rPr>
            </w:pPr>
            <w:r>
              <w:rPr>
                <w:rFonts w:ascii="Arial" w:cs="Arial" w:eastAsia="Arial" w:hAnsi="Arial"/>
                <w:sz w:val="18"/>
                <w:szCs w:val="18"/>
                <w:color w:val="auto"/>
                <w:w w:val="95"/>
              </w:rPr>
              <w:t>OICP</w:t>
            </w:r>
          </w:p>
        </w:tc>
        <w:tc>
          <w:tcPr>
            <w:tcW w:w="440" w:type="dxa"/>
            <w:vAlign w:val="bottom"/>
            <w:shd w:val="clear" w:color="auto" w:fill="D6F3E8"/>
          </w:tcPr>
          <w:p>
            <w:pPr>
              <w:spacing w:after="0"/>
              <w:rPr>
                <w:sz w:val="18"/>
                <w:szCs w:val="18"/>
                <w:color w:val="auto"/>
              </w:rPr>
            </w:pPr>
          </w:p>
        </w:tc>
        <w:tc>
          <w:tcPr>
            <w:tcW w:w="780" w:type="dxa"/>
            <w:vAlign w:val="bottom"/>
            <w:shd w:val="clear" w:color="auto" w:fill="D6F3E8"/>
          </w:tcPr>
          <w:p>
            <w:pPr>
              <w:spacing w:after="0"/>
              <w:rPr>
                <w:sz w:val="18"/>
                <w:szCs w:val="18"/>
                <w:color w:val="auto"/>
              </w:rPr>
            </w:pPr>
          </w:p>
        </w:tc>
        <w:tc>
          <w:tcPr>
            <w:tcW w:w="460" w:type="dxa"/>
            <w:vAlign w:val="bottom"/>
            <w:shd w:val="clear" w:color="auto" w:fill="D6F3E8"/>
          </w:tcPr>
          <w:p>
            <w:pPr>
              <w:spacing w:after="0"/>
              <w:rPr>
                <w:sz w:val="18"/>
                <w:szCs w:val="18"/>
                <w:color w:val="auto"/>
              </w:rPr>
            </w:pPr>
          </w:p>
        </w:tc>
        <w:tc>
          <w:tcPr>
            <w:tcW w:w="180" w:type="dxa"/>
            <w:vAlign w:val="bottom"/>
            <w:shd w:val="clear" w:color="auto" w:fill="D6F3E8"/>
          </w:tcPr>
          <w:p>
            <w:pPr>
              <w:jc w:val="right"/>
              <w:ind w:right="25"/>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24,193</w:t>
            </w:r>
          </w:p>
        </w:tc>
        <w:tc>
          <w:tcPr>
            <w:tcW w:w="56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D6F3E8"/>
          </w:tcPr>
          <w:p>
            <w:pPr>
              <w:jc w:val="right"/>
              <w:ind w:right="440"/>
              <w:spacing w:after="0"/>
              <w:rPr>
                <w:sz w:val="20"/>
                <w:szCs w:val="20"/>
                <w:color w:val="auto"/>
              </w:rPr>
            </w:pPr>
            <w:r>
              <w:rPr>
                <w:rFonts w:ascii="Arial" w:cs="Arial" w:eastAsia="Arial" w:hAnsi="Arial"/>
                <w:sz w:val="18"/>
                <w:szCs w:val="18"/>
                <w:color w:val="auto"/>
                <w:w w:val="95"/>
              </w:rPr>
              <w:t>148,878</w:t>
            </w:r>
          </w:p>
        </w:tc>
        <w:tc>
          <w:tcPr>
            <w:tcW w:w="10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D6F3E8"/>
          </w:tcPr>
          <w:p>
            <w:pPr>
              <w:jc w:val="right"/>
              <w:ind w:right="460"/>
              <w:spacing w:after="0"/>
              <w:rPr>
                <w:sz w:val="20"/>
                <w:szCs w:val="20"/>
                <w:color w:val="auto"/>
              </w:rPr>
            </w:pPr>
            <w:r>
              <w:rPr>
                <w:rFonts w:ascii="Arial" w:cs="Arial" w:eastAsia="Arial" w:hAnsi="Arial"/>
                <w:sz w:val="18"/>
                <w:szCs w:val="18"/>
                <w:color w:val="auto"/>
              </w:rPr>
              <w:t>297,758</w:t>
            </w:r>
          </w:p>
        </w:tc>
        <w:tc>
          <w:tcPr>
            <w:tcW w:w="78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66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D6F3E8"/>
          </w:tcPr>
          <w:p>
            <w:pPr>
              <w:spacing w:after="0"/>
              <w:rPr>
                <w:sz w:val="18"/>
                <w:szCs w:val="18"/>
                <w:color w:val="auto"/>
              </w:rPr>
            </w:pPr>
          </w:p>
        </w:tc>
        <w:tc>
          <w:tcPr>
            <w:tcW w:w="226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780" w:type="dxa"/>
            <w:vAlign w:val="bottom"/>
            <w:shd w:val="clear" w:color="auto" w:fill="D6F3E8"/>
          </w:tcPr>
          <w:p>
            <w:pPr>
              <w:jc w:val="center"/>
              <w:spacing w:after="0"/>
              <w:rPr>
                <w:sz w:val="20"/>
                <w:szCs w:val="20"/>
                <w:color w:val="auto"/>
              </w:rPr>
            </w:pPr>
            <w:r>
              <w:rPr>
                <w:rFonts w:ascii="Arial" w:cs="Arial" w:eastAsia="Arial" w:hAnsi="Arial"/>
                <w:sz w:val="18"/>
                <w:szCs w:val="18"/>
                <w:color w:val="auto"/>
                <w:w w:val="93"/>
              </w:rPr>
              <w:t>2009 LTIP</w:t>
            </w:r>
          </w:p>
        </w:tc>
        <w:tc>
          <w:tcPr>
            <w:tcW w:w="440" w:type="dxa"/>
            <w:vAlign w:val="bottom"/>
            <w:shd w:val="clear" w:color="auto" w:fill="D6F3E8"/>
          </w:tcPr>
          <w:p>
            <w:pPr>
              <w:spacing w:after="0"/>
              <w:rPr>
                <w:sz w:val="18"/>
                <w:szCs w:val="18"/>
                <w:color w:val="auto"/>
              </w:rPr>
            </w:pPr>
          </w:p>
        </w:tc>
        <w:tc>
          <w:tcPr>
            <w:tcW w:w="780" w:type="dxa"/>
            <w:vAlign w:val="bottom"/>
            <w:shd w:val="clear" w:color="auto" w:fill="D6F3E8"/>
          </w:tcPr>
          <w:p>
            <w:pPr>
              <w:spacing w:after="0"/>
              <w:rPr>
                <w:sz w:val="18"/>
                <w:szCs w:val="18"/>
                <w:color w:val="auto"/>
              </w:rPr>
            </w:pPr>
          </w:p>
        </w:tc>
        <w:tc>
          <w:tcPr>
            <w:tcW w:w="460" w:type="dxa"/>
            <w:vAlign w:val="bottom"/>
            <w:shd w:val="clear" w:color="auto" w:fill="D6F3E8"/>
          </w:tcPr>
          <w:p>
            <w:pPr>
              <w:spacing w:after="0"/>
              <w:rPr>
                <w:sz w:val="18"/>
                <w:szCs w:val="18"/>
                <w:color w:val="auto"/>
              </w:rPr>
            </w:pPr>
          </w:p>
        </w:tc>
        <w:tc>
          <w:tcPr>
            <w:tcW w:w="180" w:type="dxa"/>
            <w:vAlign w:val="bottom"/>
            <w:shd w:val="clear" w:color="auto" w:fill="D6F3E8"/>
          </w:tcPr>
          <w:p>
            <w:pPr>
              <w:jc w:val="right"/>
              <w:ind w:right="25"/>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10,207</w:t>
            </w:r>
          </w:p>
        </w:tc>
        <w:tc>
          <w:tcPr>
            <w:tcW w:w="56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D6F3E8"/>
          </w:tcPr>
          <w:p>
            <w:pPr>
              <w:jc w:val="right"/>
              <w:ind w:right="440"/>
              <w:spacing w:after="0"/>
              <w:rPr>
                <w:sz w:val="20"/>
                <w:szCs w:val="20"/>
                <w:color w:val="auto"/>
              </w:rPr>
            </w:pPr>
            <w:r>
              <w:rPr>
                <w:rFonts w:ascii="Arial" w:cs="Arial" w:eastAsia="Arial" w:hAnsi="Arial"/>
                <w:sz w:val="18"/>
                <w:szCs w:val="18"/>
                <w:color w:val="auto"/>
              </w:rPr>
              <w:t>62,808</w:t>
            </w:r>
          </w:p>
        </w:tc>
        <w:tc>
          <w:tcPr>
            <w:tcW w:w="10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D6F3E8"/>
          </w:tcPr>
          <w:p>
            <w:pPr>
              <w:jc w:val="right"/>
              <w:ind w:right="460"/>
              <w:spacing w:after="0"/>
              <w:rPr>
                <w:sz w:val="20"/>
                <w:szCs w:val="20"/>
                <w:color w:val="auto"/>
              </w:rPr>
            </w:pPr>
            <w:r>
              <w:rPr>
                <w:rFonts w:ascii="Arial" w:cs="Arial" w:eastAsia="Arial" w:hAnsi="Arial"/>
                <w:sz w:val="18"/>
                <w:szCs w:val="18"/>
                <w:color w:val="auto"/>
              </w:rPr>
              <w:t>94,213</w:t>
            </w:r>
          </w:p>
        </w:tc>
        <w:tc>
          <w:tcPr>
            <w:tcW w:w="78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66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20" w:type="dxa"/>
            <w:vAlign w:val="bottom"/>
            <w:gridSpan w:val="2"/>
          </w:tcPr>
          <w:p>
            <w:pPr>
              <w:spacing w:after="0" w:line="201" w:lineRule="exact"/>
              <w:rPr>
                <w:sz w:val="20"/>
                <w:szCs w:val="20"/>
                <w:color w:val="auto"/>
              </w:rPr>
            </w:pPr>
            <w:r>
              <w:rPr>
                <w:rFonts w:ascii="Arial" w:cs="Arial" w:eastAsia="Arial" w:hAnsi="Arial"/>
                <w:sz w:val="18"/>
                <w:szCs w:val="18"/>
                <w:color w:val="auto"/>
              </w:rPr>
              <w:t>Sarah N. Nielsen</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10/11/06</w:t>
            </w: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440"/>
              <w:spacing w:after="0" w:line="201"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0" w:type="dxa"/>
            <w:vAlign w:val="bottom"/>
            <w:gridSpan w:val="2"/>
          </w:tcPr>
          <w:p>
            <w:pPr>
              <w:jc w:val="right"/>
              <w:ind w:right="460"/>
              <w:spacing w:after="0" w:line="201"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1" w:lineRule="exact"/>
              <w:rPr>
                <w:sz w:val="20"/>
                <w:szCs w:val="20"/>
                <w:color w:val="auto"/>
              </w:rPr>
            </w:pPr>
            <w:r>
              <w:rPr>
                <w:rFonts w:ascii="Arial" w:cs="Arial" w:eastAsia="Arial" w:hAnsi="Arial"/>
                <w:sz w:val="18"/>
                <w:szCs w:val="18"/>
                <w:color w:val="auto"/>
              </w:rPr>
              <w:t>4,000</w:t>
            </w:r>
          </w:p>
        </w:tc>
        <w:tc>
          <w:tcPr>
            <w:tcW w:w="220" w:type="dxa"/>
            <w:vAlign w:val="bottom"/>
          </w:tcPr>
          <w:p>
            <w:pPr>
              <w:spacing w:after="0"/>
              <w:rPr>
                <w:sz w:val="17"/>
                <w:szCs w:val="17"/>
                <w:color w:val="auto"/>
              </w:rPr>
            </w:pPr>
          </w:p>
        </w:tc>
        <w:tc>
          <w:tcPr>
            <w:tcW w:w="3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w w:val="98"/>
              </w:rPr>
              <w:t>137,440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5"/>
              </w:rPr>
              <w:t>OICP</w:t>
            </w: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21,701</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133,546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267,094</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3"/>
              </w:rPr>
              <w:t>2009 LTIP</w:t>
            </w: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9,251</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56,925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85,388</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William J. O’Leary</w:t>
            </w:r>
          </w:p>
        </w:tc>
        <w:tc>
          <w:tcPr>
            <w:tcW w:w="100" w:type="dxa"/>
            <w:vAlign w:val="bottom"/>
            <w:shd w:val="clear" w:color="auto" w:fill="D6F3E8"/>
          </w:tcPr>
          <w:p>
            <w:pPr>
              <w:spacing w:after="0"/>
              <w:rPr>
                <w:sz w:val="18"/>
                <w:szCs w:val="18"/>
                <w:color w:val="auto"/>
              </w:rPr>
            </w:pPr>
          </w:p>
        </w:tc>
        <w:tc>
          <w:tcPr>
            <w:tcW w:w="780" w:type="dxa"/>
            <w:vAlign w:val="bottom"/>
            <w:shd w:val="clear" w:color="auto" w:fill="D6F3E8"/>
          </w:tcPr>
          <w:p>
            <w:pPr>
              <w:spacing w:after="0"/>
              <w:rPr>
                <w:sz w:val="18"/>
                <w:szCs w:val="18"/>
                <w:color w:val="auto"/>
              </w:rPr>
            </w:pPr>
          </w:p>
        </w:tc>
        <w:tc>
          <w:tcPr>
            <w:tcW w:w="122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10/11/06</w:t>
            </w:r>
          </w:p>
        </w:tc>
        <w:tc>
          <w:tcPr>
            <w:tcW w:w="46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62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080" w:type="dxa"/>
            <w:vAlign w:val="bottom"/>
            <w:gridSpan w:val="2"/>
            <w:shd w:val="clear" w:color="auto" w:fill="D6F3E8"/>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D6F3E8"/>
          </w:tcPr>
          <w:p>
            <w:pPr>
              <w:spacing w:after="0"/>
              <w:rPr>
                <w:sz w:val="18"/>
                <w:szCs w:val="18"/>
                <w:color w:val="auto"/>
              </w:rPr>
            </w:pPr>
          </w:p>
        </w:tc>
        <w:tc>
          <w:tcPr>
            <w:tcW w:w="1200" w:type="dxa"/>
            <w:vAlign w:val="bottom"/>
            <w:gridSpan w:val="2"/>
            <w:shd w:val="clear" w:color="auto" w:fill="D6F3E8"/>
          </w:tcPr>
          <w:p>
            <w:pPr>
              <w:jc w:val="right"/>
              <w:ind w:right="460"/>
              <w:spacing w:after="0"/>
              <w:rPr>
                <w:sz w:val="20"/>
                <w:szCs w:val="20"/>
                <w:color w:val="auto"/>
              </w:rPr>
            </w:pPr>
            <w:r>
              <w:rPr>
                <w:rFonts w:ascii="Arial" w:cs="Arial" w:eastAsia="Arial" w:hAnsi="Arial"/>
                <w:sz w:val="18"/>
                <w:szCs w:val="18"/>
                <w:color w:val="auto"/>
              </w:rPr>
              <w:t>—</w:t>
            </w:r>
          </w:p>
        </w:tc>
        <w:tc>
          <w:tcPr>
            <w:tcW w:w="7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4,000</w:t>
            </w:r>
          </w:p>
        </w:tc>
        <w:tc>
          <w:tcPr>
            <w:tcW w:w="220" w:type="dxa"/>
            <w:vAlign w:val="bottom"/>
            <w:shd w:val="clear" w:color="auto" w:fill="D6F3E8"/>
          </w:tcPr>
          <w:p>
            <w:pPr>
              <w:spacing w:after="0"/>
              <w:rPr>
                <w:sz w:val="18"/>
                <w:szCs w:val="18"/>
                <w:color w:val="auto"/>
              </w:rPr>
            </w:pPr>
          </w:p>
        </w:tc>
        <w:tc>
          <w:tcPr>
            <w:tcW w:w="34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w w:val="98"/>
              </w:rPr>
              <w:t>137,440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D6F3E8"/>
          </w:tcPr>
          <w:p>
            <w:pPr>
              <w:spacing w:after="0"/>
              <w:rPr>
                <w:sz w:val="18"/>
                <w:szCs w:val="18"/>
                <w:color w:val="auto"/>
              </w:rPr>
            </w:pPr>
          </w:p>
        </w:tc>
        <w:tc>
          <w:tcPr>
            <w:tcW w:w="226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780" w:type="dxa"/>
            <w:vAlign w:val="bottom"/>
            <w:shd w:val="clear" w:color="auto" w:fill="D6F3E8"/>
          </w:tcPr>
          <w:p>
            <w:pPr>
              <w:jc w:val="center"/>
              <w:spacing w:after="0"/>
              <w:rPr>
                <w:sz w:val="20"/>
                <w:szCs w:val="20"/>
                <w:color w:val="auto"/>
              </w:rPr>
            </w:pPr>
            <w:r>
              <w:rPr>
                <w:rFonts w:ascii="Arial" w:cs="Arial" w:eastAsia="Arial" w:hAnsi="Arial"/>
                <w:sz w:val="18"/>
                <w:szCs w:val="18"/>
                <w:color w:val="auto"/>
                <w:w w:val="95"/>
              </w:rPr>
              <w:t>OICP</w:t>
            </w:r>
          </w:p>
        </w:tc>
        <w:tc>
          <w:tcPr>
            <w:tcW w:w="440" w:type="dxa"/>
            <w:vAlign w:val="bottom"/>
            <w:shd w:val="clear" w:color="auto" w:fill="D6F3E8"/>
          </w:tcPr>
          <w:p>
            <w:pPr>
              <w:spacing w:after="0"/>
              <w:rPr>
                <w:sz w:val="18"/>
                <w:szCs w:val="18"/>
                <w:color w:val="auto"/>
              </w:rPr>
            </w:pPr>
          </w:p>
        </w:tc>
        <w:tc>
          <w:tcPr>
            <w:tcW w:w="780" w:type="dxa"/>
            <w:vAlign w:val="bottom"/>
            <w:shd w:val="clear" w:color="auto" w:fill="D6F3E8"/>
          </w:tcPr>
          <w:p>
            <w:pPr>
              <w:spacing w:after="0"/>
              <w:rPr>
                <w:sz w:val="18"/>
                <w:szCs w:val="18"/>
                <w:color w:val="auto"/>
              </w:rPr>
            </w:pPr>
          </w:p>
        </w:tc>
        <w:tc>
          <w:tcPr>
            <w:tcW w:w="460" w:type="dxa"/>
            <w:vAlign w:val="bottom"/>
            <w:shd w:val="clear" w:color="auto" w:fill="D6F3E8"/>
          </w:tcPr>
          <w:p>
            <w:pPr>
              <w:spacing w:after="0"/>
              <w:rPr>
                <w:sz w:val="18"/>
                <w:szCs w:val="18"/>
                <w:color w:val="auto"/>
              </w:rPr>
            </w:pPr>
          </w:p>
        </w:tc>
        <w:tc>
          <w:tcPr>
            <w:tcW w:w="180" w:type="dxa"/>
            <w:vAlign w:val="bottom"/>
            <w:shd w:val="clear" w:color="auto" w:fill="D6F3E8"/>
          </w:tcPr>
          <w:p>
            <w:pPr>
              <w:jc w:val="right"/>
              <w:ind w:right="25"/>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23,071</w:t>
            </w:r>
          </w:p>
        </w:tc>
        <w:tc>
          <w:tcPr>
            <w:tcW w:w="56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D6F3E8"/>
          </w:tcPr>
          <w:p>
            <w:pPr>
              <w:jc w:val="right"/>
              <w:ind w:right="440"/>
              <w:spacing w:after="0"/>
              <w:rPr>
                <w:sz w:val="20"/>
                <w:szCs w:val="20"/>
                <w:color w:val="auto"/>
              </w:rPr>
            </w:pPr>
            <w:r>
              <w:rPr>
                <w:rFonts w:ascii="Arial" w:cs="Arial" w:eastAsia="Arial" w:hAnsi="Arial"/>
                <w:sz w:val="18"/>
                <w:szCs w:val="18"/>
                <w:color w:val="auto"/>
                <w:w w:val="95"/>
              </w:rPr>
              <w:t>141,987</w:t>
            </w:r>
          </w:p>
        </w:tc>
        <w:tc>
          <w:tcPr>
            <w:tcW w:w="10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D6F3E8"/>
          </w:tcPr>
          <w:p>
            <w:pPr>
              <w:jc w:val="right"/>
              <w:ind w:right="460"/>
              <w:spacing w:after="0"/>
              <w:rPr>
                <w:sz w:val="20"/>
                <w:szCs w:val="20"/>
                <w:color w:val="auto"/>
              </w:rPr>
            </w:pPr>
            <w:r>
              <w:rPr>
                <w:rFonts w:ascii="Arial" w:cs="Arial" w:eastAsia="Arial" w:hAnsi="Arial"/>
                <w:sz w:val="18"/>
                <w:szCs w:val="18"/>
                <w:color w:val="auto"/>
              </w:rPr>
              <w:t>283,974</w:t>
            </w:r>
          </w:p>
        </w:tc>
        <w:tc>
          <w:tcPr>
            <w:tcW w:w="78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66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D6F3E8"/>
          </w:tcPr>
          <w:p>
            <w:pPr>
              <w:spacing w:after="0"/>
              <w:rPr>
                <w:sz w:val="18"/>
                <w:szCs w:val="18"/>
                <w:color w:val="auto"/>
              </w:rPr>
            </w:pPr>
          </w:p>
        </w:tc>
        <w:tc>
          <w:tcPr>
            <w:tcW w:w="226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780" w:type="dxa"/>
            <w:vAlign w:val="bottom"/>
            <w:shd w:val="clear" w:color="auto" w:fill="D6F3E8"/>
          </w:tcPr>
          <w:p>
            <w:pPr>
              <w:jc w:val="center"/>
              <w:spacing w:after="0"/>
              <w:rPr>
                <w:sz w:val="20"/>
                <w:szCs w:val="20"/>
                <w:color w:val="auto"/>
              </w:rPr>
            </w:pPr>
            <w:r>
              <w:rPr>
                <w:rFonts w:ascii="Arial" w:cs="Arial" w:eastAsia="Arial" w:hAnsi="Arial"/>
                <w:sz w:val="18"/>
                <w:szCs w:val="18"/>
                <w:color w:val="auto"/>
                <w:w w:val="93"/>
              </w:rPr>
              <w:t>2009 LTIP</w:t>
            </w:r>
          </w:p>
        </w:tc>
        <w:tc>
          <w:tcPr>
            <w:tcW w:w="440" w:type="dxa"/>
            <w:vAlign w:val="bottom"/>
            <w:shd w:val="clear" w:color="auto" w:fill="D6F3E8"/>
          </w:tcPr>
          <w:p>
            <w:pPr>
              <w:spacing w:after="0"/>
              <w:rPr>
                <w:sz w:val="18"/>
                <w:szCs w:val="18"/>
                <w:color w:val="auto"/>
              </w:rPr>
            </w:pPr>
          </w:p>
        </w:tc>
        <w:tc>
          <w:tcPr>
            <w:tcW w:w="780" w:type="dxa"/>
            <w:vAlign w:val="bottom"/>
            <w:shd w:val="clear" w:color="auto" w:fill="D6F3E8"/>
          </w:tcPr>
          <w:p>
            <w:pPr>
              <w:spacing w:after="0"/>
              <w:rPr>
                <w:sz w:val="18"/>
                <w:szCs w:val="18"/>
                <w:color w:val="auto"/>
              </w:rPr>
            </w:pPr>
          </w:p>
        </w:tc>
        <w:tc>
          <w:tcPr>
            <w:tcW w:w="460" w:type="dxa"/>
            <w:vAlign w:val="bottom"/>
            <w:shd w:val="clear" w:color="auto" w:fill="D6F3E8"/>
          </w:tcPr>
          <w:p>
            <w:pPr>
              <w:spacing w:after="0"/>
              <w:rPr>
                <w:sz w:val="18"/>
                <w:szCs w:val="18"/>
                <w:color w:val="auto"/>
              </w:rPr>
            </w:pPr>
          </w:p>
        </w:tc>
        <w:tc>
          <w:tcPr>
            <w:tcW w:w="180" w:type="dxa"/>
            <w:vAlign w:val="bottom"/>
            <w:shd w:val="clear" w:color="auto" w:fill="D6F3E8"/>
          </w:tcPr>
          <w:p>
            <w:pPr>
              <w:jc w:val="right"/>
              <w:ind w:right="25"/>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9,733</w:t>
            </w:r>
          </w:p>
        </w:tc>
        <w:tc>
          <w:tcPr>
            <w:tcW w:w="56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D6F3E8"/>
          </w:tcPr>
          <w:p>
            <w:pPr>
              <w:jc w:val="right"/>
              <w:ind w:right="440"/>
              <w:spacing w:after="0"/>
              <w:rPr>
                <w:sz w:val="20"/>
                <w:szCs w:val="20"/>
                <w:color w:val="auto"/>
              </w:rPr>
            </w:pPr>
            <w:r>
              <w:rPr>
                <w:rFonts w:ascii="Arial" w:cs="Arial" w:eastAsia="Arial" w:hAnsi="Arial"/>
                <w:sz w:val="18"/>
                <w:szCs w:val="18"/>
                <w:color w:val="auto"/>
              </w:rPr>
              <w:t>59,902</w:t>
            </w:r>
          </w:p>
        </w:tc>
        <w:tc>
          <w:tcPr>
            <w:tcW w:w="10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D6F3E8"/>
          </w:tcPr>
          <w:p>
            <w:pPr>
              <w:jc w:val="right"/>
              <w:ind w:right="460"/>
              <w:spacing w:after="0"/>
              <w:rPr>
                <w:sz w:val="20"/>
                <w:szCs w:val="20"/>
                <w:color w:val="auto"/>
              </w:rPr>
            </w:pPr>
            <w:r>
              <w:rPr>
                <w:rFonts w:ascii="Arial" w:cs="Arial" w:eastAsia="Arial" w:hAnsi="Arial"/>
                <w:sz w:val="18"/>
                <w:szCs w:val="18"/>
                <w:color w:val="auto"/>
              </w:rPr>
              <w:t>89,852</w:t>
            </w:r>
          </w:p>
        </w:tc>
        <w:tc>
          <w:tcPr>
            <w:tcW w:w="78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66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20" w:type="dxa"/>
            <w:vAlign w:val="bottom"/>
            <w:gridSpan w:val="2"/>
          </w:tcPr>
          <w:p>
            <w:pPr>
              <w:spacing w:after="0" w:line="201" w:lineRule="exact"/>
              <w:rPr>
                <w:sz w:val="20"/>
                <w:szCs w:val="20"/>
                <w:color w:val="auto"/>
              </w:rPr>
            </w:pPr>
            <w:r>
              <w:rPr>
                <w:rFonts w:ascii="Arial" w:cs="Arial" w:eastAsia="Arial" w:hAnsi="Arial"/>
                <w:sz w:val="18"/>
                <w:szCs w:val="18"/>
                <w:color w:val="auto"/>
              </w:rPr>
              <w:t>Edwin F. Barker</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10/11/06</w:t>
            </w: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440"/>
              <w:spacing w:after="0" w:line="201"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0" w:type="dxa"/>
            <w:vAlign w:val="bottom"/>
            <w:gridSpan w:val="2"/>
          </w:tcPr>
          <w:p>
            <w:pPr>
              <w:jc w:val="right"/>
              <w:ind w:right="460"/>
              <w:spacing w:after="0" w:line="201"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1" w:lineRule="exact"/>
              <w:rPr>
                <w:sz w:val="20"/>
                <w:szCs w:val="20"/>
                <w:color w:val="auto"/>
              </w:rPr>
            </w:pPr>
            <w:r>
              <w:rPr>
                <w:rFonts w:ascii="Arial" w:cs="Arial" w:eastAsia="Arial" w:hAnsi="Arial"/>
                <w:sz w:val="18"/>
                <w:szCs w:val="18"/>
                <w:color w:val="auto"/>
              </w:rPr>
              <w:t>7,500</w:t>
            </w:r>
          </w:p>
        </w:tc>
        <w:tc>
          <w:tcPr>
            <w:tcW w:w="220" w:type="dxa"/>
            <w:vAlign w:val="bottom"/>
          </w:tcPr>
          <w:p>
            <w:pPr>
              <w:spacing w:after="0"/>
              <w:rPr>
                <w:sz w:val="17"/>
                <w:szCs w:val="17"/>
                <w:color w:val="auto"/>
              </w:rPr>
            </w:pPr>
          </w:p>
        </w:tc>
        <w:tc>
          <w:tcPr>
            <w:tcW w:w="3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w w:val="98"/>
              </w:rPr>
              <w:t>257,700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5/1/07</w:t>
            </w: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6,000</w:t>
            </w:r>
          </w:p>
        </w:tc>
        <w:tc>
          <w:tcPr>
            <w:tcW w:w="220" w:type="dxa"/>
            <w:vAlign w:val="bottom"/>
          </w:tcPr>
          <w:p>
            <w:pPr>
              <w:spacing w:after="0"/>
              <w:rPr>
                <w:sz w:val="20"/>
                <w:szCs w:val="20"/>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196,680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46621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540" w:right="80" w:hanging="478"/>
        <w:spacing w:after="0" w:line="229" w:lineRule="auto"/>
        <w:tabs>
          <w:tab w:leader="none" w:pos="5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OICP refers to the Company’s Officers Incentive Compensation Plan Fiscal Period 2007, which targets quarterly and annual performance against goals established by the Committee. Awards under the OICP are payable in cash and restricted stock (or all cash at the election of the Named Executive Officer) and actual payouts under the OICP are reflected in the column titled “Non-Equity Incentive Plan Compensation” in the Summary Compensation Table above. The Threshold, Target and Maximum amounts presented above represent such amounts for the OICP. Under the OICP, the Committee has discretionary authority to modify the financial factors used in determining amounts payable by plus or minus 20% based upon strategic priorities. For each of the Named Executive Officers, actual payouts, which incorporate these modifications, are described above in “Compensation Discussion and Analysis–Annual Incentive Plan”.</w:t>
      </w:r>
    </w:p>
    <w:p>
      <w:pPr>
        <w:spacing w:after="0" w:line="77" w:lineRule="exact"/>
        <w:rPr>
          <w:rFonts w:ascii="Arial" w:cs="Arial" w:eastAsia="Arial" w:hAnsi="Arial"/>
          <w:sz w:val="14"/>
          <w:szCs w:val="14"/>
          <w:color w:val="auto"/>
        </w:rPr>
      </w:pPr>
    </w:p>
    <w:p>
      <w:pPr>
        <w:ind w:left="540" w:right="60" w:hanging="478"/>
        <w:spacing w:after="0" w:line="253" w:lineRule="auto"/>
        <w:tabs>
          <w:tab w:leader="none" w:pos="5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2009 LTIP refers to the Company’s Officers Long-Term Incentive Plan 2007-2009. For each of the Named Executive Officers, except for Mr. Barker, the Threshold, Target and Maximum amounts under the 2007-2009 Plan will be measured over a three-year performance period from August 27, 2006 to August 29, 2009.</w:t>
      </w:r>
    </w:p>
    <w:p>
      <w:pPr>
        <w:spacing w:after="0" w:line="65" w:lineRule="exact"/>
        <w:rPr>
          <w:rFonts w:ascii="Arial" w:cs="Arial" w:eastAsia="Arial" w:hAnsi="Arial"/>
          <w:sz w:val="14"/>
          <w:szCs w:val="14"/>
          <w:color w:val="auto"/>
        </w:rPr>
      </w:pPr>
    </w:p>
    <w:p>
      <w:pPr>
        <w:ind w:left="540" w:right="340" w:hanging="478"/>
        <w:spacing w:after="0" w:line="253" w:lineRule="auto"/>
        <w:tabs>
          <w:tab w:leader="none" w:pos="5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Committee approved the grants of restricted stock to Named Executive Officers with a grant date of October 11, 2006 pursuant to the 2004 Plan. In addition, on May 1, 2007, the Company approved the grant of 6,000 shares of restricted stock to Mr. Barker.</w:t>
      </w:r>
    </w:p>
    <w:p>
      <w:pPr>
        <w:spacing w:after="0" w:line="65" w:lineRule="exact"/>
        <w:rPr>
          <w:rFonts w:ascii="Arial" w:cs="Arial" w:eastAsia="Arial" w:hAnsi="Arial"/>
          <w:sz w:val="14"/>
          <w:szCs w:val="14"/>
          <w:color w:val="auto"/>
        </w:rPr>
      </w:pPr>
    </w:p>
    <w:p>
      <w:pPr>
        <w:ind w:left="540" w:right="400" w:hanging="478"/>
        <w:spacing w:after="0" w:line="253" w:lineRule="auto"/>
        <w:tabs>
          <w:tab w:leader="none" w:pos="5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Awards in this column represent restricted stock awards made to Named Executive Officers under the 2004 Plan, which vest over a three-year period in annual one-third increments. Restrictions on shares of common stock granted to Mr. Barker on May 1, 2007 lapsed on May 4, 2007, the effective date of his retirement.</w:t>
      </w:r>
    </w:p>
    <w:p>
      <w:pPr>
        <w:sectPr>
          <w:pgSz w:w="11900" w:h="16838" w:orient="portrait"/>
          <w:cols w:equalWidth="0" w:num="1">
            <w:col w:w="11360"/>
          </w:cols>
          <w:pgMar w:left="240" w:top="175" w:right="299" w:bottom="26" w:gutter="0" w:footer="0" w:header="0"/>
        </w:sectPr>
      </w:pPr>
    </w:p>
    <w:bookmarkStart w:id="25" w:name="page26"/>
    <w:bookmarkEnd w:id="25"/>
    <w:p>
      <w:pPr>
        <w:jc w:val="center"/>
        <w:ind w:right="-9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4" w:lineRule="exact"/>
        <w:rPr>
          <w:sz w:val="20"/>
          <w:szCs w:val="20"/>
          <w:color w:val="auto"/>
        </w:rPr>
      </w:pPr>
    </w:p>
    <w:p>
      <w:pPr>
        <w:ind w:left="540" w:right="20" w:hanging="478"/>
        <w:spacing w:after="0" w:line="253" w:lineRule="auto"/>
        <w:tabs>
          <w:tab w:leader="none" w:pos="5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Represents the full grant date fair value of the restricted stock amounts in fiscal 2007, determined in accordance with FAS 123(R), based on the assumptions referenced in footnote 1 to the Summary Compensation Table.</w:t>
      </w:r>
    </w:p>
    <w:p>
      <w:pPr>
        <w:spacing w:after="0" w:line="205" w:lineRule="exact"/>
        <w:rPr>
          <w:sz w:val="20"/>
          <w:szCs w:val="20"/>
          <w:color w:val="auto"/>
        </w:rPr>
      </w:pPr>
    </w:p>
    <w:p>
      <w:pPr>
        <w:ind w:right="4720"/>
        <w:spacing w:after="0" w:line="454" w:lineRule="auto"/>
        <w:rPr>
          <w:sz w:val="20"/>
          <w:szCs w:val="20"/>
          <w:color w:val="auto"/>
        </w:rPr>
      </w:pPr>
      <w:r>
        <w:rPr>
          <w:rFonts w:ascii="Arial" w:cs="Arial" w:eastAsia="Arial" w:hAnsi="Arial"/>
          <w:sz w:val="18"/>
          <w:szCs w:val="18"/>
          <w:b w:val="1"/>
          <w:bCs w:val="1"/>
          <w:i w:val="1"/>
          <w:iCs w:val="1"/>
          <w:color w:val="auto"/>
        </w:rPr>
        <w:t xml:space="preserve">Narrative Disclosure to Summary Compensation Table and Grants of Plan Based Awards </w:t>
      </w:r>
      <w:r>
        <w:rPr>
          <w:rFonts w:ascii="Arial" w:cs="Arial" w:eastAsia="Arial" w:hAnsi="Arial"/>
          <w:sz w:val="18"/>
          <w:szCs w:val="18"/>
          <w:i w:val="1"/>
          <w:iCs w:val="1"/>
          <w:color w:val="auto"/>
        </w:rPr>
        <w:t>Executive Employment Arrangements</w:t>
      </w:r>
    </w:p>
    <w:p>
      <w:pPr>
        <w:ind w:right="40" w:firstLine="360"/>
        <w:spacing w:after="0" w:line="259" w:lineRule="auto"/>
        <w:rPr>
          <w:sz w:val="20"/>
          <w:szCs w:val="20"/>
          <w:color w:val="auto"/>
        </w:rPr>
      </w:pPr>
      <w:r>
        <w:rPr>
          <w:rFonts w:ascii="Arial" w:cs="Arial" w:eastAsia="Arial" w:hAnsi="Arial"/>
          <w:sz w:val="18"/>
          <w:szCs w:val="18"/>
          <w:color w:val="auto"/>
        </w:rPr>
        <w:t>None of the Named Executive Officers has an employment agreement. However, each Named Executive Officer has an Executive Change of Control Agreement that provides the executive with three-year severance benefits in the event he or she ceases to be employed by the Company within three years of a “Change of Control”, as defined in the agreement. Discussion of the payouts provided for under various termination situations is set forth in the section “Potential Payments Upon Termination or Change of Control” below.</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Salary</w:t>
      </w:r>
    </w:p>
    <w:p>
      <w:pPr>
        <w:spacing w:after="0" w:line="185" w:lineRule="exact"/>
        <w:rPr>
          <w:sz w:val="20"/>
          <w:szCs w:val="20"/>
          <w:color w:val="auto"/>
        </w:rPr>
      </w:pPr>
    </w:p>
    <w:p>
      <w:pPr>
        <w:ind w:right="100" w:firstLine="360"/>
        <w:spacing w:after="0" w:line="279" w:lineRule="auto"/>
        <w:rPr>
          <w:sz w:val="20"/>
          <w:szCs w:val="20"/>
          <w:color w:val="auto"/>
        </w:rPr>
      </w:pPr>
      <w:r>
        <w:rPr>
          <w:rFonts w:ascii="Arial" w:cs="Arial" w:eastAsia="Arial" w:hAnsi="Arial"/>
          <w:sz w:val="17"/>
          <w:szCs w:val="17"/>
          <w:color w:val="auto"/>
        </w:rPr>
        <w:t>The Committee annually reviews and adjusts base pay, in keeping with the overall objectives, pay philosophy and relative position with comparable companies, all as discussed in more detail in the “Compensation Discussion and Analysis.” For fiscal 2007, base salaries (including amounts deferred to the 401(k) Plan) as a percentage of total compensation shown in the Summary Compensation Table, were approximately 28% for Mr. Hertzke, 38% for Mr. Olson; 39% for Mr. Beebe; 48% for Ms. Nielsen, 39% for Mr. O’Leary and 38% for Mr. Barker.</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Awards</w:t>
      </w:r>
    </w:p>
    <w:p>
      <w:pPr>
        <w:spacing w:after="0" w:line="198" w:lineRule="exact"/>
        <w:rPr>
          <w:sz w:val="20"/>
          <w:szCs w:val="20"/>
          <w:color w:val="auto"/>
        </w:rPr>
      </w:pPr>
    </w:p>
    <w:p>
      <w:pPr>
        <w:ind w:right="100" w:firstLine="360"/>
        <w:spacing w:after="0" w:line="273" w:lineRule="auto"/>
        <w:rPr>
          <w:sz w:val="20"/>
          <w:szCs w:val="20"/>
          <w:color w:val="auto"/>
        </w:rPr>
      </w:pPr>
      <w:r>
        <w:rPr>
          <w:rFonts w:ascii="Arial" w:cs="Arial" w:eastAsia="Arial" w:hAnsi="Arial"/>
          <w:sz w:val="17"/>
          <w:szCs w:val="17"/>
          <w:color w:val="auto"/>
        </w:rPr>
        <w:t>Stock-based grants under the 2004 Plan were made as restricted stock in fiscal 2007 and stock options grants in prior years. Descriptions of these types of grants and the reason for these types of grants are discussed in “Compensation Discussion and Analysis—2004 Incentive Compensation Plan.” Grants of restricted stock and stock options, the FAS 123(R) expense for which is disclosed in the Summary Compensation Table, vest after one year from the date of grant for restricted stock grants and generally vest and are exercisable over a three-year period for stock options. Restricted Stock grants and stock option awards are subject to earlier vesting in the event of a Change of Control or termination of employment, as set forth in the section “Potential Payment Upon Termination or Change of Control” below.</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Incentive Plan</w:t>
      </w:r>
    </w:p>
    <w:p>
      <w:pPr>
        <w:spacing w:after="0" w:line="185" w:lineRule="exact"/>
        <w:rPr>
          <w:sz w:val="20"/>
          <w:szCs w:val="20"/>
          <w:color w:val="auto"/>
        </w:rPr>
      </w:pPr>
    </w:p>
    <w:p>
      <w:pPr>
        <w:ind w:right="100" w:firstLine="360"/>
        <w:spacing w:after="0" w:line="259" w:lineRule="auto"/>
        <w:rPr>
          <w:sz w:val="20"/>
          <w:szCs w:val="20"/>
          <w:color w:val="auto"/>
        </w:rPr>
      </w:pPr>
      <w:r>
        <w:rPr>
          <w:rFonts w:ascii="Arial" w:cs="Arial" w:eastAsia="Arial" w:hAnsi="Arial"/>
          <w:sz w:val="18"/>
          <w:szCs w:val="18"/>
          <w:color w:val="auto"/>
        </w:rPr>
        <w:t>In addition to base salary, each Named Executive Officer is entitled to a target annual incentive bonus equal to a percentage of his or her annual base salary, as follows: Mr. Hertzke — 105%; Mr. Olson, Mr. Beebe, Ms. Nielsen, Mr. O’Leary and Mr. Barker — 60%. This element of compensation is carried out through the Officers Incentive Compensation Plan Fiscal Period 2007, which is discussed in the “Compensation Discussion and Analysis—Annual Incentive Plan.”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Incentive Plans</w:t>
      </w:r>
    </w:p>
    <w:p>
      <w:pPr>
        <w:spacing w:after="0" w:line="185" w:lineRule="exact"/>
        <w:rPr>
          <w:sz w:val="20"/>
          <w:szCs w:val="20"/>
          <w:color w:val="auto"/>
        </w:rPr>
      </w:pPr>
    </w:p>
    <w:p>
      <w:pPr>
        <w:ind w:right="60" w:firstLine="360"/>
        <w:spacing w:after="0" w:line="277" w:lineRule="auto"/>
        <w:rPr>
          <w:sz w:val="20"/>
          <w:szCs w:val="20"/>
          <w:color w:val="auto"/>
        </w:rPr>
      </w:pPr>
      <w:r>
        <w:rPr>
          <w:rFonts w:ascii="Arial" w:cs="Arial" w:eastAsia="Arial" w:hAnsi="Arial"/>
          <w:sz w:val="18"/>
          <w:szCs w:val="18"/>
          <w:color w:val="auto"/>
        </w:rPr>
        <w:t>As indicated in the Summary Compensation Table above, no payouts were made to Named Executive Officers under the 2005-2007 LTIP. This element of compensation is described in the “Compensation Discussion and Analysis—Long Term Incentives” above.</w:t>
      </w:r>
    </w:p>
    <w:p>
      <w:pPr>
        <w:spacing w:after="0" w:line="130" w:lineRule="exact"/>
        <w:rPr>
          <w:sz w:val="20"/>
          <w:szCs w:val="20"/>
          <w:color w:val="auto"/>
        </w:rPr>
      </w:pPr>
    </w:p>
    <w:p>
      <w:pPr>
        <w:ind w:right="100" w:firstLine="360"/>
        <w:spacing w:after="0" w:line="264" w:lineRule="auto"/>
        <w:rPr>
          <w:sz w:val="20"/>
          <w:szCs w:val="20"/>
          <w:color w:val="auto"/>
        </w:rPr>
      </w:pPr>
      <w:r>
        <w:rPr>
          <w:rFonts w:ascii="Arial" w:cs="Arial" w:eastAsia="Arial" w:hAnsi="Arial"/>
          <w:sz w:val="18"/>
          <w:szCs w:val="18"/>
          <w:color w:val="auto"/>
        </w:rPr>
        <w:t>See “Compensation Discussion and Analysis” for further information regarding the terms of awards reported in the Summary Compensation Table and the Grants of Plan-Based Awards Table and for discussions regarding officer stock ownership guidelines, incentive compensation awards, and allocations between short-term and long-term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8"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O</w:t>
      </w:r>
      <w:r>
        <w:rPr>
          <w:rFonts w:ascii="Arial" w:cs="Arial" w:eastAsia="Arial" w:hAnsi="Arial"/>
          <w:sz w:val="18"/>
          <w:szCs w:val="18"/>
          <w:color w:val="auto"/>
        </w:rPr>
        <w:t>UTSTANDING</w:t>
      </w:r>
      <w:r>
        <w:rPr>
          <w:rFonts w:ascii="Arial" w:cs="Arial" w:eastAsia="Arial" w:hAnsi="Arial"/>
          <w:sz w:val="22"/>
          <w:szCs w:val="22"/>
          <w:color w:val="auto"/>
        </w:rPr>
        <w:t xml:space="preserve"> E</w:t>
      </w:r>
      <w:r>
        <w:rPr>
          <w:rFonts w:ascii="Arial" w:cs="Arial" w:eastAsia="Arial" w:hAnsi="Arial"/>
          <w:sz w:val="18"/>
          <w:szCs w:val="18"/>
          <w:color w:val="auto"/>
        </w:rPr>
        <w:t>QUITY</w:t>
      </w:r>
      <w:r>
        <w:rPr>
          <w:rFonts w:ascii="Arial" w:cs="Arial" w:eastAsia="Arial" w:hAnsi="Arial"/>
          <w:sz w:val="22"/>
          <w:szCs w:val="22"/>
          <w:color w:val="auto"/>
        </w:rPr>
        <w:t xml:space="preserve"> A</w:t>
      </w:r>
      <w:r>
        <w:rPr>
          <w:rFonts w:ascii="Arial" w:cs="Arial" w:eastAsia="Arial" w:hAnsi="Arial"/>
          <w:sz w:val="18"/>
          <w:szCs w:val="18"/>
          <w:color w:val="auto"/>
        </w:rPr>
        <w:t>WARDS AT</w:t>
      </w:r>
      <w:r>
        <w:rPr>
          <w:rFonts w:ascii="Arial" w:cs="Arial" w:eastAsia="Arial" w:hAnsi="Arial"/>
          <w:sz w:val="22"/>
          <w:szCs w:val="22"/>
          <w:color w:val="auto"/>
        </w:rPr>
        <w:t xml:space="preserve"> F</w:t>
      </w:r>
      <w:r>
        <w:rPr>
          <w:rFonts w:ascii="Arial" w:cs="Arial" w:eastAsia="Arial" w:hAnsi="Arial"/>
          <w:sz w:val="18"/>
          <w:szCs w:val="18"/>
          <w:color w:val="auto"/>
        </w:rPr>
        <w:t>ISCAL</w:t>
      </w:r>
      <w:r>
        <w:rPr>
          <w:rFonts w:ascii="Arial" w:cs="Arial" w:eastAsia="Arial" w:hAnsi="Arial"/>
          <w:sz w:val="22"/>
          <w:szCs w:val="22"/>
          <w:color w:val="auto"/>
        </w:rPr>
        <w:t xml:space="preserve"> Y</w:t>
      </w:r>
      <w:r>
        <w:rPr>
          <w:rFonts w:ascii="Arial" w:cs="Arial" w:eastAsia="Arial" w:hAnsi="Arial"/>
          <w:sz w:val="18"/>
          <w:szCs w:val="18"/>
          <w:color w:val="auto"/>
        </w:rPr>
        <w:t>EAR</w:t>
      </w:r>
      <w:r>
        <w:rPr>
          <w:rFonts w:ascii="Arial" w:cs="Arial" w:eastAsia="Arial" w:hAnsi="Arial"/>
          <w:sz w:val="22"/>
          <w:szCs w:val="22"/>
          <w:color w:val="auto"/>
        </w:rPr>
        <w:t xml:space="preserve"> E</w:t>
      </w:r>
      <w:r>
        <w:rPr>
          <w:rFonts w:ascii="Arial" w:cs="Arial" w:eastAsia="Arial" w:hAnsi="Arial"/>
          <w:sz w:val="18"/>
          <w:szCs w:val="18"/>
          <w:color w:val="auto"/>
        </w:rPr>
        <w:t>ND</w:t>
      </w:r>
    </w:p>
    <w:p>
      <w:pPr>
        <w:spacing w:after="0" w:line="21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provides information regarding the outstanding equity awards held by each of the Named Executive Officers as of August 25, 2007.</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310"/>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80" w:type="dxa"/>
            <w:vAlign w:val="bottom"/>
            <w:gridSpan w:val="6"/>
          </w:tcPr>
          <w:p>
            <w:pPr>
              <w:jc w:val="right"/>
              <w:ind w:right="980"/>
              <w:spacing w:after="0"/>
              <w:rPr>
                <w:sz w:val="20"/>
                <w:szCs w:val="20"/>
                <w:color w:val="auto"/>
              </w:rPr>
            </w:pPr>
            <w:r>
              <w:rPr>
                <w:rFonts w:ascii="Arial" w:cs="Arial" w:eastAsia="Arial" w:hAnsi="Arial"/>
                <w:sz w:val="14"/>
                <w:szCs w:val="14"/>
                <w:b w:val="1"/>
                <w:bCs w:val="1"/>
                <w:color w:val="auto"/>
              </w:rPr>
              <w:t>Option Awards</w:t>
            </w:r>
            <w:r>
              <w:rPr>
                <w:rFonts w:ascii="Arial" w:cs="Arial" w:eastAsia="Arial" w:hAnsi="Arial"/>
                <w:sz w:val="23"/>
                <w:szCs w:val="23"/>
                <w:b w:val="1"/>
                <w:bCs w:val="1"/>
                <w:color w:val="auto"/>
                <w:vertAlign w:val="superscript"/>
              </w:rPr>
              <w:t>(1)</w:t>
            </w: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60" w:type="dxa"/>
            <w:vAlign w:val="bottom"/>
            <w:gridSpan w:val="6"/>
          </w:tcPr>
          <w:p>
            <w:pPr>
              <w:ind w:left="680"/>
              <w:spacing w:after="0"/>
              <w:rPr>
                <w:sz w:val="20"/>
                <w:szCs w:val="20"/>
                <w:color w:val="auto"/>
              </w:rPr>
            </w:pPr>
            <w:r>
              <w:rPr>
                <w:rFonts w:ascii="Arial" w:cs="Arial" w:eastAsia="Arial" w:hAnsi="Arial"/>
                <w:sz w:val="14"/>
                <w:szCs w:val="14"/>
                <w:b w:val="1"/>
                <w:bCs w:val="1"/>
                <w:color w:val="auto"/>
              </w:rPr>
              <w:t>Stock Awards</w:t>
            </w:r>
            <w:r>
              <w:rPr>
                <w:rFonts w:ascii="Arial" w:cs="Arial" w:eastAsia="Arial" w:hAnsi="Arial"/>
                <w:sz w:val="23"/>
                <w:szCs w:val="23"/>
                <w:b w:val="1"/>
                <w:bCs w:val="1"/>
                <w:color w:val="auto"/>
                <w:vertAlign w:val="superscript"/>
              </w:rPr>
              <w:t>(2)</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7"/>
              </w:rPr>
              <w:t>Number of</w:t>
            </w:r>
          </w:p>
        </w:tc>
        <w:tc>
          <w:tcPr>
            <w:tcW w:w="1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Borders>
              <w:top w:val="single" w:sz="8" w:color="auto"/>
            </w:tcBorders>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Number</w:t>
            </w:r>
          </w:p>
        </w:tc>
        <w:tc>
          <w:tcPr>
            <w:tcW w:w="1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3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Number of</w:t>
            </w:r>
          </w:p>
        </w:tc>
        <w:tc>
          <w:tcPr>
            <w:tcW w:w="118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89"/>
              </w:rPr>
              <w:t>Securities</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1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of Shares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3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or Units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Shares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3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Options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7"/>
              </w:rPr>
              <w:t>Option</w:t>
            </w:r>
          </w:p>
        </w:tc>
        <w:tc>
          <w:tcPr>
            <w:tcW w:w="1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of Stock</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Units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3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000" w:type="dxa"/>
            <w:vAlign w:val="bottom"/>
          </w:tcPr>
          <w:p>
            <w:pPr>
              <w:jc w:val="right"/>
              <w:ind w:right="346"/>
              <w:spacing w:after="0" w:line="149"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3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7"/>
              </w:rPr>
              <w:t>Option</w:t>
            </w:r>
          </w:p>
        </w:tc>
        <w:tc>
          <w:tcPr>
            <w:tcW w:w="11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That Have</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Stock That</w:t>
            </w:r>
          </w:p>
        </w:tc>
        <w:tc>
          <w:tcPr>
            <w:tcW w:w="0" w:type="dxa"/>
            <w:vAlign w:val="bottom"/>
          </w:tcPr>
          <w:p>
            <w:pPr>
              <w:spacing w:after="0"/>
              <w:rPr>
                <w:sz w:val="1"/>
                <w:szCs w:val="1"/>
                <w:color w:val="auto"/>
              </w:rPr>
            </w:pPr>
          </w:p>
        </w:tc>
      </w:tr>
      <w:tr>
        <w:trPr>
          <w:trHeight w:val="149"/>
        </w:trPr>
        <w:tc>
          <w:tcPr>
            <w:tcW w:w="35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3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Options</w:t>
            </w:r>
          </w:p>
        </w:tc>
        <w:tc>
          <w:tcPr>
            <w:tcW w:w="11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Unexercisable</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Exercise</w:t>
            </w:r>
          </w:p>
        </w:tc>
        <w:tc>
          <w:tcPr>
            <w:tcW w:w="1320" w:type="dxa"/>
            <w:vAlign w:val="bottom"/>
            <w:gridSpan w:val="2"/>
            <w:vMerge w:val="continue"/>
          </w:tcPr>
          <w:p>
            <w:pPr>
              <w:spacing w:after="0"/>
              <w:rPr>
                <w:sz w:val="12"/>
                <w:szCs w:val="12"/>
                <w:color w:val="auto"/>
              </w:rPr>
            </w:pPr>
          </w:p>
        </w:tc>
        <w:tc>
          <w:tcPr>
            <w:tcW w:w="11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Not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Have Not</w:t>
            </w:r>
          </w:p>
        </w:tc>
        <w:tc>
          <w:tcPr>
            <w:tcW w:w="0" w:type="dxa"/>
            <w:vAlign w:val="bottom"/>
          </w:tcPr>
          <w:p>
            <w:pPr>
              <w:spacing w:after="0"/>
              <w:rPr>
                <w:sz w:val="1"/>
                <w:szCs w:val="1"/>
                <w:color w:val="auto"/>
              </w:rPr>
            </w:pPr>
          </w:p>
        </w:tc>
      </w:tr>
      <w:tr>
        <w:trPr>
          <w:trHeight w:val="153"/>
        </w:trPr>
        <w:tc>
          <w:tcPr>
            <w:tcW w:w="3520" w:type="dxa"/>
            <w:vAlign w:val="bottom"/>
            <w:gridSpan w:val="3"/>
            <w:vMerge w:val="continue"/>
          </w:tcPr>
          <w:p>
            <w:pPr>
              <w:spacing w:after="0"/>
              <w:rPr>
                <w:sz w:val="13"/>
                <w:szCs w:val="13"/>
                <w:color w:val="auto"/>
              </w:rPr>
            </w:pPr>
          </w:p>
        </w:tc>
        <w:tc>
          <w:tcPr>
            <w:tcW w:w="10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3"/>
              </w:rPr>
              <w:t>(#)</w:t>
            </w:r>
          </w:p>
        </w:tc>
        <w:tc>
          <w:tcPr>
            <w:tcW w:w="320" w:type="dxa"/>
            <w:vAlign w:val="bottom"/>
          </w:tcPr>
          <w:p>
            <w:pPr>
              <w:spacing w:after="0"/>
              <w:rPr>
                <w:sz w:val="13"/>
                <w:szCs w:val="13"/>
                <w:color w:val="auto"/>
              </w:rPr>
            </w:pPr>
          </w:p>
        </w:tc>
        <w:tc>
          <w:tcPr>
            <w:tcW w:w="1000" w:type="dxa"/>
            <w:vAlign w:val="bottom"/>
          </w:tcPr>
          <w:p>
            <w:pPr>
              <w:jc w:val="right"/>
              <w:ind w:right="346"/>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jc w:val="center"/>
              <w:ind w:right="500"/>
              <w:spacing w:after="0" w:line="153" w:lineRule="exact"/>
              <w:rPr>
                <w:sz w:val="20"/>
                <w:szCs w:val="20"/>
                <w:color w:val="auto"/>
              </w:rPr>
            </w:pPr>
            <w:r>
              <w:rPr>
                <w:rFonts w:ascii="Arial" w:cs="Arial" w:eastAsia="Arial" w:hAnsi="Arial"/>
                <w:sz w:val="11"/>
                <w:szCs w:val="11"/>
                <w:b w:val="1"/>
                <w:bCs w:val="1"/>
                <w:color w:val="auto"/>
              </w:rPr>
              <w:t>Price</w:t>
            </w:r>
            <w:r>
              <w:rPr>
                <w:rFonts w:ascii="Arial" w:cs="Arial" w:eastAsia="Arial" w:hAnsi="Arial"/>
                <w:sz w:val="17"/>
                <w:szCs w:val="17"/>
                <w:b w:val="1"/>
                <w:bCs w:val="1"/>
                <w:color w:val="auto"/>
                <w:vertAlign w:val="superscript"/>
              </w:rPr>
              <w:t>(4)</w:t>
            </w:r>
          </w:p>
        </w:tc>
        <w:tc>
          <w:tcPr>
            <w:tcW w:w="132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6"/>
              </w:rPr>
              <w:t>Expiration</w:t>
            </w:r>
          </w:p>
        </w:tc>
        <w:tc>
          <w:tcPr>
            <w:tcW w:w="1180" w:type="dxa"/>
            <w:vAlign w:val="bottom"/>
            <w:gridSpan w:val="2"/>
          </w:tcPr>
          <w:p>
            <w:pPr>
              <w:jc w:val="center"/>
              <w:ind w:right="160"/>
              <w:spacing w:after="0" w:line="153" w:lineRule="exact"/>
              <w:rPr>
                <w:sz w:val="20"/>
                <w:szCs w:val="20"/>
                <w:color w:val="auto"/>
              </w:rPr>
            </w:pPr>
            <w:r>
              <w:rPr>
                <w:rFonts w:ascii="Arial" w:cs="Arial" w:eastAsia="Arial" w:hAnsi="Arial"/>
                <w:sz w:val="11"/>
                <w:szCs w:val="11"/>
                <w:b w:val="1"/>
                <w:bCs w:val="1"/>
                <w:color w:val="auto"/>
              </w:rPr>
              <w:t>Vested</w:t>
            </w:r>
            <w:r>
              <w:rPr>
                <w:rFonts w:ascii="Arial" w:cs="Arial" w:eastAsia="Arial" w:hAnsi="Arial"/>
                <w:sz w:val="17"/>
                <w:szCs w:val="17"/>
                <w:b w:val="1"/>
                <w:bCs w:val="1"/>
                <w:color w:val="auto"/>
                <w:vertAlign w:val="superscript"/>
              </w:rPr>
              <w:t>(5)</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1"/>
              </w:rPr>
              <w:t>Vested</w:t>
            </w:r>
          </w:p>
        </w:tc>
        <w:tc>
          <w:tcPr>
            <w:tcW w:w="0" w:type="dxa"/>
            <w:vAlign w:val="bottom"/>
          </w:tcPr>
          <w:p>
            <w:pPr>
              <w:spacing w:after="0"/>
              <w:rPr>
                <w:sz w:val="1"/>
                <w:szCs w:val="1"/>
                <w:color w:val="auto"/>
              </w:rPr>
            </w:pPr>
          </w:p>
        </w:tc>
      </w:tr>
      <w:tr>
        <w:trPr>
          <w:trHeight w:val="186"/>
        </w:trPr>
        <w:tc>
          <w:tcPr>
            <w:tcW w:w="3520" w:type="dxa"/>
            <w:vAlign w:val="bottom"/>
            <w:gridSpan w:val="3"/>
          </w:tcPr>
          <w:p>
            <w:pPr>
              <w:spacing w:after="0"/>
              <w:rPr>
                <w:sz w:val="20"/>
                <w:szCs w:val="20"/>
                <w:color w:val="auto"/>
              </w:rPr>
            </w:pPr>
            <w:r>
              <w:rPr>
                <w:rFonts w:ascii="Arial" w:cs="Arial" w:eastAsia="Arial" w:hAnsi="Arial"/>
                <w:sz w:val="14"/>
                <w:szCs w:val="14"/>
                <w:b w:val="1"/>
                <w:bCs w:val="1"/>
                <w:color w:val="auto"/>
              </w:rPr>
              <w:t>(a)</w:t>
            </w: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Exercisable (b)</w:t>
            </w: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(c)</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($)(d)</w:t>
            </w: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Date(e)</w:t>
            </w: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(#)(f)</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84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0" w:type="dxa"/>
            <w:vAlign w:val="bottom"/>
          </w:tcPr>
          <w:p>
            <w:pPr>
              <w:spacing w:after="0"/>
              <w:rPr>
                <w:sz w:val="8"/>
                <w:szCs w:val="8"/>
                <w:color w:val="auto"/>
              </w:rPr>
            </w:pPr>
          </w:p>
        </w:tc>
        <w:tc>
          <w:tcPr>
            <w:tcW w:w="28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Bruce D. Hertzke</w:t>
            </w:r>
          </w:p>
        </w:tc>
        <w:tc>
          <w:tcPr>
            <w:tcW w:w="134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50,750</w:t>
            </w:r>
          </w:p>
        </w:tc>
        <w:tc>
          <w:tcPr>
            <w:tcW w:w="100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32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10.81</w:t>
            </w:r>
          </w:p>
        </w:tc>
        <w:tc>
          <w:tcPr>
            <w:tcW w:w="132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10/2/11</w:t>
            </w:r>
          </w:p>
        </w:tc>
        <w:tc>
          <w:tcPr>
            <w:tcW w:w="102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88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54,522</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18.25</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10/8/12</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D6F3E8"/>
          </w:tcPr>
          <w:p>
            <w:pPr>
              <w:spacing w:after="0"/>
              <w:rPr>
                <w:sz w:val="18"/>
                <w:szCs w:val="18"/>
                <w:color w:val="auto"/>
              </w:rPr>
            </w:pPr>
          </w:p>
        </w:tc>
        <w:tc>
          <w:tcPr>
            <w:tcW w:w="2840" w:type="dxa"/>
            <w:vAlign w:val="bottom"/>
            <w:shd w:val="clear" w:color="auto" w:fill="D6F3E8"/>
          </w:tcPr>
          <w:p>
            <w:pPr>
              <w:spacing w:after="0"/>
              <w:rPr>
                <w:sz w:val="18"/>
                <w:szCs w:val="18"/>
                <w:color w:val="auto"/>
              </w:rPr>
            </w:pPr>
          </w:p>
        </w:tc>
        <w:tc>
          <w:tcPr>
            <w:tcW w:w="134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56,226</w:t>
            </w:r>
          </w:p>
        </w:tc>
        <w:tc>
          <w:tcPr>
            <w:tcW w:w="100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32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26.495</w:t>
            </w:r>
          </w:p>
        </w:tc>
        <w:tc>
          <w:tcPr>
            <w:tcW w:w="132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10/15/13</w:t>
            </w:r>
          </w:p>
        </w:tc>
        <w:tc>
          <w:tcPr>
            <w:tcW w:w="102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88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53,333</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16,667</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31.475</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10/13/14</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D6F3E8"/>
          </w:tcPr>
          <w:p>
            <w:pPr>
              <w:spacing w:after="0"/>
              <w:rPr>
                <w:sz w:val="18"/>
                <w:szCs w:val="18"/>
                <w:color w:val="auto"/>
              </w:rPr>
            </w:pPr>
          </w:p>
        </w:tc>
        <w:tc>
          <w:tcPr>
            <w:tcW w:w="2840" w:type="dxa"/>
            <w:vAlign w:val="bottom"/>
            <w:shd w:val="clear" w:color="auto" w:fill="D6F3E8"/>
          </w:tcPr>
          <w:p>
            <w:pPr>
              <w:spacing w:after="0"/>
              <w:rPr>
                <w:sz w:val="18"/>
                <w:szCs w:val="18"/>
                <w:color w:val="auto"/>
              </w:rPr>
            </w:pPr>
          </w:p>
        </w:tc>
        <w:tc>
          <w:tcPr>
            <w:tcW w:w="134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16,666</w:t>
            </w:r>
          </w:p>
        </w:tc>
        <w:tc>
          <w:tcPr>
            <w:tcW w:w="118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33,334</w:t>
            </w:r>
          </w:p>
        </w:tc>
        <w:tc>
          <w:tcPr>
            <w:tcW w:w="32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26.93</w:t>
            </w:r>
          </w:p>
        </w:tc>
        <w:tc>
          <w:tcPr>
            <w:tcW w:w="132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10/12/15</w:t>
            </w:r>
          </w:p>
        </w:tc>
        <w:tc>
          <w:tcPr>
            <w:tcW w:w="118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15,000</w:t>
            </w:r>
          </w:p>
        </w:tc>
        <w:tc>
          <w:tcPr>
            <w:tcW w:w="30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416,100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40" w:type="dxa"/>
            <w:vAlign w:val="bottom"/>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787" w:right="319" w:bottom="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231,497</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50,001</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520" w:type="dxa"/>
            <w:vAlign w:val="bottom"/>
            <w:shd w:val="clear" w:color="auto" w:fill="D6F3E8"/>
          </w:tcPr>
          <w:p>
            <w:pPr>
              <w:spacing w:after="0"/>
              <w:rPr>
                <w:sz w:val="20"/>
                <w:szCs w:val="20"/>
                <w:color w:val="auto"/>
              </w:rPr>
            </w:pPr>
            <w:r>
              <w:rPr>
                <w:rFonts w:ascii="Arial" w:cs="Arial" w:eastAsia="Arial" w:hAnsi="Arial"/>
                <w:sz w:val="18"/>
                <w:szCs w:val="18"/>
                <w:color w:val="auto"/>
              </w:rPr>
              <w:t>Robert J. Olson</w:t>
            </w:r>
          </w:p>
        </w:tc>
        <w:tc>
          <w:tcPr>
            <w:tcW w:w="134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8,746</w:t>
            </w:r>
          </w:p>
        </w:tc>
        <w:tc>
          <w:tcPr>
            <w:tcW w:w="100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46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18.25</w:t>
            </w:r>
          </w:p>
        </w:tc>
        <w:tc>
          <w:tcPr>
            <w:tcW w:w="132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10/8/12</w:t>
            </w:r>
          </w:p>
        </w:tc>
        <w:tc>
          <w:tcPr>
            <w:tcW w:w="102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260" w:type="dxa"/>
            <w:vAlign w:val="bottom"/>
            <w:shd w:val="clear" w:color="auto" w:fill="D6F3E8"/>
          </w:tcPr>
          <w:p>
            <w:pPr>
              <w:spacing w:after="0"/>
              <w:rPr>
                <w:sz w:val="18"/>
                <w:szCs w:val="18"/>
                <w:color w:val="auto"/>
              </w:rPr>
            </w:pPr>
          </w:p>
        </w:tc>
        <w:tc>
          <w:tcPr>
            <w:tcW w:w="76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r>
      <w:tr>
        <w:trPr>
          <w:trHeight w:val="216"/>
        </w:trPr>
        <w:tc>
          <w:tcPr>
            <w:tcW w:w="35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15,000</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26.495</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10/15/13</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20" w:type="dxa"/>
            <w:vAlign w:val="bottom"/>
            <w:shd w:val="clear" w:color="auto" w:fill="D6F3E8"/>
          </w:tcPr>
          <w:p>
            <w:pPr>
              <w:spacing w:after="0"/>
              <w:rPr>
                <w:sz w:val="18"/>
                <w:szCs w:val="18"/>
                <w:color w:val="auto"/>
              </w:rPr>
            </w:pPr>
          </w:p>
        </w:tc>
        <w:tc>
          <w:tcPr>
            <w:tcW w:w="134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8,333</w:t>
            </w:r>
          </w:p>
        </w:tc>
        <w:tc>
          <w:tcPr>
            <w:tcW w:w="118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4,167</w:t>
            </w:r>
          </w:p>
        </w:tc>
        <w:tc>
          <w:tcPr>
            <w:tcW w:w="46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31.475</w:t>
            </w:r>
          </w:p>
        </w:tc>
        <w:tc>
          <w:tcPr>
            <w:tcW w:w="132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10/13/14</w:t>
            </w:r>
          </w:p>
        </w:tc>
        <w:tc>
          <w:tcPr>
            <w:tcW w:w="102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260" w:type="dxa"/>
            <w:vAlign w:val="bottom"/>
            <w:shd w:val="clear" w:color="auto" w:fill="D6F3E8"/>
          </w:tcPr>
          <w:p>
            <w:pPr>
              <w:spacing w:after="0"/>
              <w:rPr>
                <w:sz w:val="18"/>
                <w:szCs w:val="18"/>
                <w:color w:val="auto"/>
              </w:rPr>
            </w:pPr>
          </w:p>
        </w:tc>
        <w:tc>
          <w:tcPr>
            <w:tcW w:w="76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r>
      <w:tr>
        <w:trPr>
          <w:trHeight w:val="230"/>
        </w:trPr>
        <w:tc>
          <w:tcPr>
            <w:tcW w:w="352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4,166</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8,334</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26.93</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10/12/15</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6,000</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166,440</w:t>
            </w:r>
          </w:p>
        </w:tc>
      </w:tr>
      <w:tr>
        <w:trPr>
          <w:trHeight w:val="94"/>
        </w:trPr>
        <w:tc>
          <w:tcPr>
            <w:tcW w:w="352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102"/>
        </w:trPr>
        <w:tc>
          <w:tcPr>
            <w:tcW w:w="35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3520" w:type="dxa"/>
            <w:vAlign w:val="bottom"/>
            <w:shd w:val="clear" w:color="auto" w:fill="D6F3E8"/>
          </w:tcPr>
          <w:p>
            <w:pPr>
              <w:spacing w:after="0"/>
              <w:rPr>
                <w:sz w:val="18"/>
                <w:szCs w:val="18"/>
                <w:color w:val="auto"/>
              </w:rPr>
            </w:pPr>
          </w:p>
        </w:tc>
        <w:tc>
          <w:tcPr>
            <w:tcW w:w="134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36,245</w:t>
            </w:r>
          </w:p>
        </w:tc>
        <w:tc>
          <w:tcPr>
            <w:tcW w:w="118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12,501</w:t>
            </w:r>
          </w:p>
        </w:tc>
        <w:tc>
          <w:tcPr>
            <w:tcW w:w="160" w:type="dxa"/>
            <w:vAlign w:val="bottom"/>
            <w:shd w:val="clear" w:color="auto" w:fill="D6F3E8"/>
          </w:tcPr>
          <w:p>
            <w:pPr>
              <w:spacing w:after="0"/>
              <w:rPr>
                <w:sz w:val="18"/>
                <w:szCs w:val="18"/>
                <w:color w:val="auto"/>
              </w:rPr>
            </w:pPr>
          </w:p>
        </w:tc>
        <w:tc>
          <w:tcPr>
            <w:tcW w:w="300" w:type="dxa"/>
            <w:vAlign w:val="bottom"/>
            <w:shd w:val="clear" w:color="auto" w:fill="D6F3E8"/>
          </w:tcPr>
          <w:p>
            <w:pPr>
              <w:spacing w:after="0"/>
              <w:rPr>
                <w:sz w:val="18"/>
                <w:szCs w:val="18"/>
                <w:color w:val="auto"/>
              </w:rPr>
            </w:pPr>
          </w:p>
        </w:tc>
        <w:tc>
          <w:tcPr>
            <w:tcW w:w="70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100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102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260" w:type="dxa"/>
            <w:vAlign w:val="bottom"/>
            <w:shd w:val="clear" w:color="auto" w:fill="D6F3E8"/>
          </w:tcPr>
          <w:p>
            <w:pPr>
              <w:spacing w:after="0"/>
              <w:rPr>
                <w:sz w:val="18"/>
                <w:szCs w:val="18"/>
                <w:color w:val="auto"/>
              </w:rPr>
            </w:pPr>
          </w:p>
        </w:tc>
        <w:tc>
          <w:tcPr>
            <w:tcW w:w="76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Raymond M. Beebe</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15,000</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26.495</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10/15/13</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20" w:type="dxa"/>
            <w:vAlign w:val="bottom"/>
            <w:shd w:val="clear" w:color="auto" w:fill="D6F3E8"/>
          </w:tcPr>
          <w:p>
            <w:pPr>
              <w:spacing w:after="0"/>
              <w:rPr>
                <w:sz w:val="18"/>
                <w:szCs w:val="18"/>
                <w:color w:val="auto"/>
              </w:rPr>
            </w:pPr>
          </w:p>
        </w:tc>
        <w:tc>
          <w:tcPr>
            <w:tcW w:w="134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8,333</w:t>
            </w:r>
          </w:p>
        </w:tc>
        <w:tc>
          <w:tcPr>
            <w:tcW w:w="118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4,167</w:t>
            </w:r>
          </w:p>
        </w:tc>
        <w:tc>
          <w:tcPr>
            <w:tcW w:w="46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31.475</w:t>
            </w:r>
          </w:p>
        </w:tc>
        <w:tc>
          <w:tcPr>
            <w:tcW w:w="132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10/13/14</w:t>
            </w:r>
          </w:p>
        </w:tc>
        <w:tc>
          <w:tcPr>
            <w:tcW w:w="102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260" w:type="dxa"/>
            <w:vAlign w:val="bottom"/>
            <w:shd w:val="clear" w:color="auto" w:fill="D6F3E8"/>
          </w:tcPr>
          <w:p>
            <w:pPr>
              <w:spacing w:after="0"/>
              <w:rPr>
                <w:sz w:val="18"/>
                <w:szCs w:val="18"/>
                <w:color w:val="auto"/>
              </w:rPr>
            </w:pPr>
          </w:p>
        </w:tc>
        <w:tc>
          <w:tcPr>
            <w:tcW w:w="76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r>
      <w:tr>
        <w:trPr>
          <w:trHeight w:val="230"/>
        </w:trPr>
        <w:tc>
          <w:tcPr>
            <w:tcW w:w="352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4,166</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8,334</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26.93</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10/12/15</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4,000</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110,960</w:t>
            </w:r>
          </w:p>
        </w:tc>
      </w:tr>
      <w:tr>
        <w:trPr>
          <w:trHeight w:val="94"/>
        </w:trPr>
        <w:tc>
          <w:tcPr>
            <w:tcW w:w="352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102"/>
        </w:trPr>
        <w:tc>
          <w:tcPr>
            <w:tcW w:w="35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3520" w:type="dxa"/>
            <w:vAlign w:val="bottom"/>
            <w:shd w:val="clear" w:color="auto" w:fill="D6F3E8"/>
          </w:tcPr>
          <w:p>
            <w:pPr>
              <w:spacing w:after="0"/>
              <w:rPr>
                <w:sz w:val="18"/>
                <w:szCs w:val="18"/>
                <w:color w:val="auto"/>
              </w:rPr>
            </w:pPr>
          </w:p>
        </w:tc>
        <w:tc>
          <w:tcPr>
            <w:tcW w:w="134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27,499</w:t>
            </w:r>
          </w:p>
        </w:tc>
        <w:tc>
          <w:tcPr>
            <w:tcW w:w="118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12,501</w:t>
            </w:r>
          </w:p>
        </w:tc>
        <w:tc>
          <w:tcPr>
            <w:tcW w:w="160" w:type="dxa"/>
            <w:vAlign w:val="bottom"/>
            <w:shd w:val="clear" w:color="auto" w:fill="D6F3E8"/>
          </w:tcPr>
          <w:p>
            <w:pPr>
              <w:spacing w:after="0"/>
              <w:rPr>
                <w:sz w:val="18"/>
                <w:szCs w:val="18"/>
                <w:color w:val="auto"/>
              </w:rPr>
            </w:pPr>
          </w:p>
        </w:tc>
        <w:tc>
          <w:tcPr>
            <w:tcW w:w="300" w:type="dxa"/>
            <w:vAlign w:val="bottom"/>
            <w:shd w:val="clear" w:color="auto" w:fill="D6F3E8"/>
          </w:tcPr>
          <w:p>
            <w:pPr>
              <w:spacing w:after="0"/>
              <w:rPr>
                <w:sz w:val="18"/>
                <w:szCs w:val="18"/>
                <w:color w:val="auto"/>
              </w:rPr>
            </w:pPr>
          </w:p>
        </w:tc>
        <w:tc>
          <w:tcPr>
            <w:tcW w:w="70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100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102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260" w:type="dxa"/>
            <w:vAlign w:val="bottom"/>
            <w:shd w:val="clear" w:color="auto" w:fill="D6F3E8"/>
          </w:tcPr>
          <w:p>
            <w:pPr>
              <w:spacing w:after="0"/>
              <w:rPr>
                <w:sz w:val="18"/>
                <w:szCs w:val="18"/>
                <w:color w:val="auto"/>
              </w:rPr>
            </w:pPr>
          </w:p>
        </w:tc>
        <w:tc>
          <w:tcPr>
            <w:tcW w:w="76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Sarah N. Nielsen</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4,166</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8,334</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32.35</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11/14/15</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4,000</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110,960</w:t>
            </w:r>
          </w:p>
        </w:tc>
      </w:tr>
      <w:tr>
        <w:trPr>
          <w:trHeight w:val="216"/>
        </w:trPr>
        <w:tc>
          <w:tcPr>
            <w:tcW w:w="3520" w:type="dxa"/>
            <w:vAlign w:val="bottom"/>
            <w:shd w:val="clear" w:color="auto" w:fill="D6F3E8"/>
          </w:tcPr>
          <w:p>
            <w:pPr>
              <w:spacing w:after="0"/>
              <w:rPr>
                <w:sz w:val="20"/>
                <w:szCs w:val="20"/>
                <w:color w:val="auto"/>
              </w:rPr>
            </w:pPr>
            <w:r>
              <w:rPr>
                <w:rFonts w:ascii="Arial" w:cs="Arial" w:eastAsia="Arial" w:hAnsi="Arial"/>
                <w:sz w:val="18"/>
                <w:szCs w:val="18"/>
                <w:color w:val="auto"/>
              </w:rPr>
              <w:t>William J. O’Leary</w:t>
            </w:r>
          </w:p>
        </w:tc>
        <w:tc>
          <w:tcPr>
            <w:tcW w:w="134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15,000</w:t>
            </w:r>
          </w:p>
        </w:tc>
        <w:tc>
          <w:tcPr>
            <w:tcW w:w="100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46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26.495</w:t>
            </w:r>
          </w:p>
        </w:tc>
        <w:tc>
          <w:tcPr>
            <w:tcW w:w="132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10/15/13</w:t>
            </w:r>
          </w:p>
        </w:tc>
        <w:tc>
          <w:tcPr>
            <w:tcW w:w="102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260" w:type="dxa"/>
            <w:vAlign w:val="bottom"/>
            <w:shd w:val="clear" w:color="auto" w:fill="D6F3E8"/>
          </w:tcPr>
          <w:p>
            <w:pPr>
              <w:spacing w:after="0"/>
              <w:rPr>
                <w:sz w:val="18"/>
                <w:szCs w:val="18"/>
                <w:color w:val="auto"/>
              </w:rPr>
            </w:pPr>
          </w:p>
        </w:tc>
        <w:tc>
          <w:tcPr>
            <w:tcW w:w="76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r>
      <w:tr>
        <w:trPr>
          <w:trHeight w:val="216"/>
        </w:trPr>
        <w:tc>
          <w:tcPr>
            <w:tcW w:w="35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8,333</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4,167</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31.475</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10/13/14</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20" w:type="dxa"/>
            <w:vAlign w:val="bottom"/>
            <w:shd w:val="clear" w:color="auto" w:fill="D6F3E8"/>
          </w:tcPr>
          <w:p>
            <w:pPr>
              <w:spacing w:after="0"/>
              <w:rPr>
                <w:sz w:val="18"/>
                <w:szCs w:val="18"/>
                <w:color w:val="auto"/>
              </w:rPr>
            </w:pPr>
          </w:p>
        </w:tc>
        <w:tc>
          <w:tcPr>
            <w:tcW w:w="134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4,166</w:t>
            </w:r>
          </w:p>
        </w:tc>
        <w:tc>
          <w:tcPr>
            <w:tcW w:w="118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8,334</w:t>
            </w:r>
          </w:p>
        </w:tc>
        <w:tc>
          <w:tcPr>
            <w:tcW w:w="46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26.93</w:t>
            </w:r>
          </w:p>
        </w:tc>
        <w:tc>
          <w:tcPr>
            <w:tcW w:w="132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10/12/15</w:t>
            </w:r>
          </w:p>
        </w:tc>
        <w:tc>
          <w:tcPr>
            <w:tcW w:w="118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4,000</w:t>
            </w:r>
          </w:p>
        </w:tc>
        <w:tc>
          <w:tcPr>
            <w:tcW w:w="42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110,960</w:t>
            </w:r>
          </w:p>
        </w:tc>
      </w:tr>
      <w:tr>
        <w:trPr>
          <w:trHeight w:val="108"/>
        </w:trPr>
        <w:tc>
          <w:tcPr>
            <w:tcW w:w="3520" w:type="dxa"/>
            <w:vAlign w:val="bottom"/>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318"/>
        </w:trPr>
        <w:tc>
          <w:tcPr>
            <w:tcW w:w="3520" w:type="dxa"/>
            <w:vAlign w:val="bottom"/>
          </w:tcPr>
          <w:p>
            <w:pPr>
              <w:spacing w:after="0"/>
              <w:rPr>
                <w:sz w:val="24"/>
                <w:szCs w:val="24"/>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27,499</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12,501</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520" w:type="dxa"/>
            <w:vAlign w:val="bottom"/>
            <w:shd w:val="clear" w:color="auto" w:fill="D6F3E8"/>
          </w:tcPr>
          <w:p>
            <w:pPr>
              <w:spacing w:after="0"/>
              <w:rPr>
                <w:sz w:val="20"/>
                <w:szCs w:val="20"/>
                <w:color w:val="auto"/>
              </w:rPr>
            </w:pPr>
            <w:r>
              <w:rPr>
                <w:rFonts w:ascii="Arial" w:cs="Arial" w:eastAsia="Arial" w:hAnsi="Arial"/>
                <w:sz w:val="18"/>
                <w:szCs w:val="18"/>
                <w:color w:val="auto"/>
              </w:rPr>
              <w:t>Edwin F. Barker</w:t>
            </w:r>
          </w:p>
        </w:tc>
        <w:tc>
          <w:tcPr>
            <w:tcW w:w="134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41,823</w:t>
            </w:r>
          </w:p>
        </w:tc>
        <w:tc>
          <w:tcPr>
            <w:tcW w:w="100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46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31.475</w:t>
            </w:r>
          </w:p>
        </w:tc>
        <w:tc>
          <w:tcPr>
            <w:tcW w:w="132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10/13/14</w:t>
            </w:r>
          </w:p>
        </w:tc>
        <w:tc>
          <w:tcPr>
            <w:tcW w:w="102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260" w:type="dxa"/>
            <w:vAlign w:val="bottom"/>
            <w:shd w:val="clear" w:color="auto" w:fill="D6F3E8"/>
          </w:tcPr>
          <w:p>
            <w:pPr>
              <w:spacing w:after="0"/>
              <w:rPr>
                <w:sz w:val="18"/>
                <w:szCs w:val="18"/>
                <w:color w:val="auto"/>
              </w:rPr>
            </w:pPr>
          </w:p>
        </w:tc>
        <w:tc>
          <w:tcPr>
            <w:tcW w:w="76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r>
      <w:tr>
        <w:trPr>
          <w:trHeight w:val="230"/>
        </w:trPr>
        <w:tc>
          <w:tcPr>
            <w:tcW w:w="352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12,954</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26.93</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10/12/15</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94"/>
        </w:trPr>
        <w:tc>
          <w:tcPr>
            <w:tcW w:w="352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02"/>
        </w:trPr>
        <w:tc>
          <w:tcPr>
            <w:tcW w:w="35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3520" w:type="dxa"/>
            <w:vAlign w:val="bottom"/>
            <w:shd w:val="clear" w:color="auto" w:fill="D6F3E8"/>
          </w:tcPr>
          <w:p>
            <w:pPr>
              <w:spacing w:after="0"/>
              <w:rPr>
                <w:sz w:val="18"/>
                <w:szCs w:val="18"/>
                <w:color w:val="auto"/>
              </w:rPr>
            </w:pPr>
          </w:p>
        </w:tc>
        <w:tc>
          <w:tcPr>
            <w:tcW w:w="134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54,777</w:t>
            </w:r>
          </w:p>
        </w:tc>
        <w:tc>
          <w:tcPr>
            <w:tcW w:w="100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300" w:type="dxa"/>
            <w:vAlign w:val="bottom"/>
            <w:shd w:val="clear" w:color="auto" w:fill="D6F3E8"/>
          </w:tcPr>
          <w:p>
            <w:pPr>
              <w:spacing w:after="0"/>
              <w:rPr>
                <w:sz w:val="18"/>
                <w:szCs w:val="18"/>
                <w:color w:val="auto"/>
              </w:rPr>
            </w:pPr>
          </w:p>
        </w:tc>
        <w:tc>
          <w:tcPr>
            <w:tcW w:w="70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100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102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260" w:type="dxa"/>
            <w:vAlign w:val="bottom"/>
            <w:shd w:val="clear" w:color="auto" w:fill="D6F3E8"/>
          </w:tcPr>
          <w:p>
            <w:pPr>
              <w:spacing w:after="0"/>
              <w:rPr>
                <w:sz w:val="18"/>
                <w:szCs w:val="18"/>
                <w:color w:val="auto"/>
              </w:rPr>
            </w:pPr>
          </w:p>
        </w:tc>
        <w:tc>
          <w:tcPr>
            <w:tcW w:w="76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46621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540" w:right="480" w:hanging="478"/>
        <w:spacing w:after="0" w:line="253" w:lineRule="auto"/>
        <w:tabs>
          <w:tab w:leader="none" w:pos="5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Represents Company stock options awarded to Named Executive Officers prior to the fiscal 2007 under the 2004 Plan and the 1997 Plan. No stock options were awarded to Named Executive Officers in fiscal 2007.</w:t>
      </w:r>
    </w:p>
    <w:p>
      <w:pPr>
        <w:spacing w:after="0" w:line="38" w:lineRule="exact"/>
        <w:rPr>
          <w:rFonts w:ascii="Arial" w:cs="Arial" w:eastAsia="Arial" w:hAnsi="Arial"/>
          <w:sz w:val="14"/>
          <w:szCs w:val="14"/>
          <w:color w:val="auto"/>
        </w:rPr>
      </w:pPr>
    </w:p>
    <w:p>
      <w:pPr>
        <w:ind w:left="540" w:hanging="478"/>
        <w:spacing w:after="0"/>
        <w:tabs>
          <w:tab w:leader="none" w:pos="5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Restricted stock awarded to Named Executive Officers in fiscal 2007 pursuant to the 2004 Plan.</w:t>
      </w:r>
    </w:p>
    <w:p>
      <w:pPr>
        <w:spacing w:after="0" w:line="68" w:lineRule="exact"/>
        <w:rPr>
          <w:rFonts w:ascii="Arial" w:cs="Arial" w:eastAsia="Arial" w:hAnsi="Arial"/>
          <w:sz w:val="14"/>
          <w:szCs w:val="14"/>
          <w:color w:val="auto"/>
        </w:rPr>
      </w:pPr>
    </w:p>
    <w:p>
      <w:pPr>
        <w:ind w:left="540" w:right="280" w:hanging="478"/>
        <w:spacing w:after="0" w:line="253" w:lineRule="auto"/>
        <w:tabs>
          <w:tab w:leader="none" w:pos="5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Stock options generally vest and are exercisable over a three-year period in one-third increments per year. A discussion of the vesting of awards provided for under various termination situations is set forth in the section “Potential Payments Upon Termination or Change of Control” below.</w:t>
      </w:r>
    </w:p>
    <w:p>
      <w:pPr>
        <w:spacing w:after="0" w:line="38" w:lineRule="exact"/>
        <w:rPr>
          <w:rFonts w:ascii="Arial" w:cs="Arial" w:eastAsia="Arial" w:hAnsi="Arial"/>
          <w:sz w:val="14"/>
          <w:szCs w:val="14"/>
          <w:color w:val="auto"/>
        </w:rPr>
      </w:pPr>
    </w:p>
    <w:p>
      <w:pPr>
        <w:ind w:left="540" w:right="100" w:hanging="478"/>
        <w:spacing w:after="0" w:line="253" w:lineRule="auto"/>
        <w:tabs>
          <w:tab w:leader="none" w:pos="5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Prior to the fiscal 2007, stock options were granted by the Company at a price equal to the mean of the highest and lowest price of the Company’s common stock, as quoted on the NYSE, on the date of the grant.</w:t>
      </w:r>
    </w:p>
    <w:p>
      <w:pPr>
        <w:spacing w:after="0" w:line="38" w:lineRule="exact"/>
        <w:rPr>
          <w:rFonts w:ascii="Arial" w:cs="Arial" w:eastAsia="Arial" w:hAnsi="Arial"/>
          <w:sz w:val="14"/>
          <w:szCs w:val="14"/>
          <w:color w:val="auto"/>
        </w:rPr>
      </w:pPr>
    </w:p>
    <w:p>
      <w:pPr>
        <w:ind w:left="540" w:right="180" w:hanging="478"/>
        <w:spacing w:after="0" w:line="253" w:lineRule="auto"/>
        <w:tabs>
          <w:tab w:leader="none" w:pos="5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Shares of restricted stock generally vest one year from the date of grant. A discussion of the vesting of awards provided for under various termination situations is set forth in the section “Potential Payments Upon Termination or Change of Control”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w:t>
      </w:r>
      <w:r>
        <w:rPr>
          <w:rFonts w:ascii="Arial" w:cs="Arial" w:eastAsia="Arial" w:hAnsi="Arial"/>
          <w:sz w:val="15"/>
          <w:szCs w:val="15"/>
          <w:color w:val="auto"/>
        </w:rPr>
        <w:t>PTION</w:t>
      </w:r>
      <w:r>
        <w:rPr>
          <w:rFonts w:ascii="Arial" w:cs="Arial" w:eastAsia="Arial" w:hAnsi="Arial"/>
          <w:sz w:val="18"/>
          <w:szCs w:val="18"/>
          <w:color w:val="auto"/>
        </w:rPr>
        <w:t xml:space="preserve"> E</w:t>
      </w:r>
      <w:r>
        <w:rPr>
          <w:rFonts w:ascii="Arial" w:cs="Arial" w:eastAsia="Arial" w:hAnsi="Arial"/>
          <w:sz w:val="15"/>
          <w:szCs w:val="15"/>
          <w:color w:val="auto"/>
        </w:rPr>
        <w:t>XERCISES AND</w:t>
      </w:r>
      <w:r>
        <w:rPr>
          <w:rFonts w:ascii="Arial" w:cs="Arial" w:eastAsia="Arial" w:hAnsi="Arial"/>
          <w:sz w:val="18"/>
          <w:szCs w:val="18"/>
          <w:color w:val="auto"/>
        </w:rPr>
        <w:t xml:space="preserve"> S</w:t>
      </w:r>
      <w:r>
        <w:rPr>
          <w:rFonts w:ascii="Arial" w:cs="Arial" w:eastAsia="Arial" w:hAnsi="Arial"/>
          <w:sz w:val="15"/>
          <w:szCs w:val="15"/>
          <w:color w:val="auto"/>
        </w:rPr>
        <w:t>TOCK</w:t>
      </w:r>
      <w:r>
        <w:rPr>
          <w:rFonts w:ascii="Arial" w:cs="Arial" w:eastAsia="Arial" w:hAnsi="Arial"/>
          <w:sz w:val="18"/>
          <w:szCs w:val="18"/>
          <w:color w:val="auto"/>
        </w:rPr>
        <w:t xml:space="preserve"> V</w:t>
      </w:r>
      <w:r>
        <w:rPr>
          <w:rFonts w:ascii="Arial" w:cs="Arial" w:eastAsia="Arial" w:hAnsi="Arial"/>
          <w:sz w:val="15"/>
          <w:szCs w:val="15"/>
          <w:color w:val="auto"/>
        </w:rPr>
        <w:t>ESTED</w:t>
      </w:r>
      <w:r>
        <w:rPr>
          <w:rFonts w:ascii="Arial" w:cs="Arial" w:eastAsia="Arial" w:hAnsi="Arial"/>
          <w:sz w:val="18"/>
          <w:szCs w:val="18"/>
          <w:color w:val="auto"/>
        </w:rPr>
        <w:t xml:space="preserve"> T</w:t>
      </w:r>
      <w:r>
        <w:rPr>
          <w:rFonts w:ascii="Arial" w:cs="Arial" w:eastAsia="Arial" w:hAnsi="Arial"/>
          <w:sz w:val="15"/>
          <w:szCs w:val="15"/>
          <w:color w:val="auto"/>
        </w:rPr>
        <w:t>ABLE</w:t>
      </w:r>
    </w:p>
    <w:p>
      <w:pPr>
        <w:spacing w:after="0" w:line="198" w:lineRule="exact"/>
        <w:rPr>
          <w:sz w:val="20"/>
          <w:szCs w:val="20"/>
          <w:color w:val="auto"/>
        </w:rPr>
      </w:pPr>
    </w:p>
    <w:p>
      <w:pPr>
        <w:ind w:right="380" w:firstLine="360"/>
        <w:spacing w:after="0" w:line="277" w:lineRule="auto"/>
        <w:rPr>
          <w:sz w:val="20"/>
          <w:szCs w:val="20"/>
          <w:color w:val="auto"/>
        </w:rPr>
      </w:pPr>
      <w:r>
        <w:rPr>
          <w:rFonts w:ascii="Arial" w:cs="Arial" w:eastAsia="Arial" w:hAnsi="Arial"/>
          <w:sz w:val="18"/>
          <w:szCs w:val="18"/>
          <w:color w:val="auto"/>
        </w:rPr>
        <w:t>The following table provides the amounts received upon the exercise of options or similar instruments or the vesting of stock or similar instruments during the most recent fiscal year.</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2960" w:type="dxa"/>
            <w:vAlign w:val="bottom"/>
            <w:gridSpan w:val="6"/>
          </w:tcPr>
          <w:p>
            <w:pPr>
              <w:jc w:val="right"/>
              <w:ind w:right="1220"/>
              <w:spacing w:after="0"/>
              <w:rPr>
                <w:sz w:val="20"/>
                <w:szCs w:val="20"/>
                <w:color w:val="auto"/>
              </w:rPr>
            </w:pPr>
            <w:r>
              <w:rPr>
                <w:rFonts w:ascii="Arial" w:cs="Arial" w:eastAsia="Arial" w:hAnsi="Arial"/>
                <w:sz w:val="14"/>
                <w:szCs w:val="14"/>
                <w:b w:val="1"/>
                <w:bCs w:val="1"/>
                <w:color w:val="auto"/>
              </w:rPr>
              <w:t>Option Awards</w:t>
            </w:r>
          </w:p>
        </w:tc>
        <w:tc>
          <w:tcPr>
            <w:tcW w:w="2700" w:type="dxa"/>
            <w:vAlign w:val="bottom"/>
            <w:gridSpan w:val="4"/>
          </w:tcPr>
          <w:p>
            <w:pPr>
              <w:jc w:val="right"/>
              <w:ind w:right="102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40" w:type="dxa"/>
            <w:vAlign w:val="bottom"/>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Number of Shares</w:t>
            </w:r>
          </w:p>
        </w:tc>
        <w:tc>
          <w:tcPr>
            <w:tcW w:w="200" w:type="dxa"/>
            <w:vAlign w:val="bottom"/>
          </w:tcPr>
          <w:p>
            <w:pPr>
              <w:spacing w:after="0"/>
              <w:rPr>
                <w:sz w:val="19"/>
                <w:szCs w:val="19"/>
                <w:color w:val="auto"/>
              </w:rPr>
            </w:pPr>
          </w:p>
        </w:tc>
        <w:tc>
          <w:tcPr>
            <w:tcW w:w="1440" w:type="dxa"/>
            <w:vAlign w:val="bottom"/>
            <w:gridSpan w:val="3"/>
            <w:vMerge w:val="restart"/>
          </w:tcPr>
          <w:p>
            <w:pPr>
              <w:jc w:val="center"/>
              <w:ind w:right="420"/>
              <w:spacing w:after="0"/>
              <w:rPr>
                <w:sz w:val="20"/>
                <w:szCs w:val="20"/>
                <w:color w:val="auto"/>
              </w:rPr>
            </w:pPr>
            <w:r>
              <w:rPr>
                <w:rFonts w:ascii="Arial" w:cs="Arial" w:eastAsia="Arial" w:hAnsi="Arial"/>
                <w:sz w:val="14"/>
                <w:szCs w:val="14"/>
                <w:b w:val="1"/>
                <w:bCs w:val="1"/>
                <w:color w:val="auto"/>
                <w:w w:val="91"/>
              </w:rPr>
              <w:t>Value Realized</w:t>
            </w:r>
          </w:p>
        </w:tc>
        <w:tc>
          <w:tcPr>
            <w:tcW w:w="16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Number of Shares</w:t>
            </w:r>
          </w:p>
        </w:tc>
        <w:tc>
          <w:tcPr>
            <w:tcW w:w="11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3"/>
              </w:rPr>
              <w:t>Value Realized</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32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92"/>
              </w:rPr>
              <w:t>Acquired on</w:t>
            </w:r>
          </w:p>
        </w:tc>
        <w:tc>
          <w:tcPr>
            <w:tcW w:w="20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1600" w:type="dxa"/>
            <w:vAlign w:val="bottom"/>
            <w:gridSpan w:val="2"/>
          </w:tcPr>
          <w:p>
            <w:pPr>
              <w:jc w:val="center"/>
              <w:ind w:right="480"/>
              <w:spacing w:after="0" w:line="145" w:lineRule="exact"/>
              <w:rPr>
                <w:sz w:val="20"/>
                <w:szCs w:val="20"/>
                <w:color w:val="auto"/>
              </w:rPr>
            </w:pPr>
            <w:r>
              <w:rPr>
                <w:rFonts w:ascii="Arial" w:cs="Arial" w:eastAsia="Arial" w:hAnsi="Arial"/>
                <w:sz w:val="14"/>
                <w:szCs w:val="14"/>
                <w:b w:val="1"/>
                <w:bCs w:val="1"/>
                <w:color w:val="auto"/>
                <w:w w:val="92"/>
              </w:rPr>
              <w:t>Acquired on</w:t>
            </w: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3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Exercise</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9"/>
              </w:rPr>
              <w:t>on Exercise</w:t>
            </w:r>
          </w:p>
        </w:tc>
        <w:tc>
          <w:tcPr>
            <w:tcW w:w="16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Vesting</w:t>
            </w:r>
          </w:p>
        </w:tc>
        <w:tc>
          <w:tcPr>
            <w:tcW w:w="11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on Vesting</w:t>
            </w:r>
          </w:p>
        </w:tc>
        <w:tc>
          <w:tcPr>
            <w:tcW w:w="0" w:type="dxa"/>
            <w:vAlign w:val="bottom"/>
          </w:tcPr>
          <w:p>
            <w:pPr>
              <w:spacing w:after="0"/>
              <w:rPr>
                <w:sz w:val="1"/>
                <w:szCs w:val="1"/>
                <w:color w:val="auto"/>
              </w:rPr>
            </w:pPr>
          </w:p>
        </w:tc>
      </w:tr>
      <w:tr>
        <w:trPr>
          <w:trHeight w:val="153"/>
        </w:trPr>
        <w:tc>
          <w:tcPr>
            <w:tcW w:w="5720" w:type="dxa"/>
            <w:vAlign w:val="bottom"/>
            <w:gridSpan w:val="3"/>
            <w:vMerge w:val="continue"/>
          </w:tcPr>
          <w:p>
            <w:pPr>
              <w:spacing w:after="0"/>
              <w:rPr>
                <w:sz w:val="13"/>
                <w:szCs w:val="13"/>
                <w:color w:val="auto"/>
              </w:rPr>
            </w:pPr>
          </w:p>
        </w:tc>
        <w:tc>
          <w:tcPr>
            <w:tcW w:w="11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center"/>
              <w:ind w:right="48"/>
              <w:spacing w:after="0" w:line="153" w:lineRule="exact"/>
              <w:rPr>
                <w:sz w:val="20"/>
                <w:szCs w:val="20"/>
                <w:color w:val="auto"/>
              </w:rPr>
            </w:pPr>
            <w:r>
              <w:rPr>
                <w:rFonts w:ascii="Arial" w:cs="Arial" w:eastAsia="Arial" w:hAnsi="Arial"/>
                <w:sz w:val="17"/>
                <w:szCs w:val="17"/>
                <w:b w:val="1"/>
                <w:bCs w:val="1"/>
                <w:color w:val="auto"/>
                <w:vertAlign w:val="subscript"/>
              </w:rPr>
              <w:t>($)</w:t>
            </w:r>
            <w:r>
              <w:rPr>
                <w:rFonts w:ascii="Arial" w:cs="Arial" w:eastAsia="Arial" w:hAnsi="Arial"/>
                <w:sz w:val="9"/>
                <w:szCs w:val="9"/>
                <w:b w:val="1"/>
                <w:bCs w:val="1"/>
                <w:color w:val="auto"/>
              </w:rPr>
              <w:t>(1)</w:t>
            </w:r>
          </w:p>
        </w:tc>
        <w:tc>
          <w:tcPr>
            <w:tcW w:w="420" w:type="dxa"/>
            <w:vAlign w:val="bottom"/>
          </w:tcPr>
          <w:p>
            <w:pPr>
              <w:spacing w:after="0"/>
              <w:rPr>
                <w:sz w:val="13"/>
                <w:szCs w:val="13"/>
                <w:color w:val="auto"/>
              </w:rPr>
            </w:pPr>
          </w:p>
        </w:tc>
        <w:tc>
          <w:tcPr>
            <w:tcW w:w="11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3"/>
                <w:szCs w:val="13"/>
                <w:color w:val="auto"/>
              </w:rPr>
            </w:pPr>
          </w:p>
        </w:tc>
        <w:tc>
          <w:tcPr>
            <w:tcW w:w="9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5720" w:type="dxa"/>
            <w:vAlign w:val="bottom"/>
            <w:gridSpan w:val="3"/>
          </w:tcPr>
          <w:p>
            <w:pPr>
              <w:spacing w:after="0"/>
              <w:rPr>
                <w:sz w:val="20"/>
                <w:szCs w:val="20"/>
                <w:color w:val="auto"/>
              </w:rPr>
            </w:pPr>
            <w:r>
              <w:rPr>
                <w:rFonts w:ascii="Arial" w:cs="Arial" w:eastAsia="Arial" w:hAnsi="Arial"/>
                <w:sz w:val="14"/>
                <w:szCs w:val="14"/>
                <w:b w:val="1"/>
                <w:bCs w:val="1"/>
                <w:color w:val="auto"/>
              </w:rPr>
              <w:t>(a)</w:t>
            </w: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(b)</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3"/>
              </w:rPr>
              <w:t>(c)</w:t>
            </w:r>
          </w:p>
        </w:tc>
        <w:tc>
          <w:tcPr>
            <w:tcW w:w="16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(d)</w:t>
            </w: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040" w:type="dxa"/>
            <w:vAlign w:val="bottom"/>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0" w:type="dxa"/>
            <w:vAlign w:val="bottom"/>
          </w:tcPr>
          <w:p>
            <w:pPr>
              <w:spacing w:after="0"/>
              <w:rPr>
                <w:sz w:val="8"/>
                <w:szCs w:val="8"/>
                <w:color w:val="auto"/>
              </w:rPr>
            </w:pPr>
          </w:p>
        </w:tc>
        <w:tc>
          <w:tcPr>
            <w:tcW w:w="50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Bruce D. Hertzke</w:t>
            </w:r>
          </w:p>
        </w:tc>
        <w:tc>
          <w:tcPr>
            <w:tcW w:w="132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130,884</w:t>
            </w:r>
          </w:p>
        </w:tc>
        <w:tc>
          <w:tcPr>
            <w:tcW w:w="32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D6F3E8"/>
          </w:tcPr>
          <w:p>
            <w:pPr>
              <w:jc w:val="right"/>
              <w:ind w:right="420"/>
              <w:spacing w:after="0"/>
              <w:rPr>
                <w:sz w:val="20"/>
                <w:szCs w:val="20"/>
                <w:color w:val="auto"/>
              </w:rPr>
            </w:pPr>
            <w:r>
              <w:rPr>
                <w:rFonts w:ascii="Arial" w:cs="Arial" w:eastAsia="Arial" w:hAnsi="Arial"/>
                <w:sz w:val="18"/>
                <w:szCs w:val="18"/>
                <w:color w:val="auto"/>
              </w:rPr>
              <w:t>3,410,992</w:t>
            </w:r>
          </w:p>
        </w:tc>
        <w:tc>
          <w:tcPr>
            <w:tcW w:w="1600" w:type="dxa"/>
            <w:vAlign w:val="bottom"/>
            <w:gridSpan w:val="2"/>
            <w:shd w:val="clear" w:color="auto" w:fill="D6F3E8"/>
          </w:tcPr>
          <w:p>
            <w:pPr>
              <w:jc w:val="right"/>
              <w:ind w:right="5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Robert J. Olson</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Raymond M. Beebe</w:t>
            </w:r>
          </w:p>
        </w:tc>
        <w:tc>
          <w:tcPr>
            <w:tcW w:w="132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4,800</w:t>
            </w:r>
          </w:p>
        </w:tc>
        <w:tc>
          <w:tcPr>
            <w:tcW w:w="32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D6F3E8"/>
          </w:tcPr>
          <w:p>
            <w:pPr>
              <w:jc w:val="right"/>
              <w:ind w:right="420"/>
              <w:spacing w:after="0"/>
              <w:rPr>
                <w:sz w:val="20"/>
                <w:szCs w:val="20"/>
                <w:color w:val="auto"/>
              </w:rPr>
            </w:pPr>
            <w:r>
              <w:rPr>
                <w:rFonts w:ascii="Arial" w:cs="Arial" w:eastAsia="Arial" w:hAnsi="Arial"/>
                <w:sz w:val="18"/>
                <w:szCs w:val="18"/>
                <w:color w:val="auto"/>
              </w:rPr>
              <w:t>72,624</w:t>
            </w:r>
          </w:p>
        </w:tc>
        <w:tc>
          <w:tcPr>
            <w:tcW w:w="1600" w:type="dxa"/>
            <w:vAlign w:val="bottom"/>
            <w:gridSpan w:val="2"/>
            <w:shd w:val="clear" w:color="auto" w:fill="D6F3E8"/>
          </w:tcPr>
          <w:p>
            <w:pPr>
              <w:jc w:val="right"/>
              <w:ind w:right="5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Sarah N. Nielsen</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William J. O’Leary</w:t>
            </w:r>
          </w:p>
        </w:tc>
        <w:tc>
          <w:tcPr>
            <w:tcW w:w="132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1320" w:type="dxa"/>
            <w:vAlign w:val="bottom"/>
            <w:gridSpan w:val="2"/>
            <w:shd w:val="clear" w:color="auto" w:fill="D6F3E8"/>
          </w:tcPr>
          <w:p>
            <w:pPr>
              <w:jc w:val="right"/>
              <w:ind w:right="42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D6F3E8"/>
          </w:tcPr>
          <w:p>
            <w:pPr>
              <w:jc w:val="right"/>
              <w:ind w:right="5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
        </w:trPr>
        <w:tc>
          <w:tcPr>
            <w:tcW w:w="20" w:type="dxa"/>
            <w:vAlign w:val="bottom"/>
          </w:tcPr>
          <w:p>
            <w:pPr>
              <w:spacing w:after="0" w:line="20" w:lineRule="exact"/>
              <w:rPr>
                <w:sz w:val="1"/>
                <w:szCs w:val="1"/>
                <w:color w:val="auto"/>
              </w:rPr>
            </w:pPr>
          </w:p>
        </w:tc>
        <w:tc>
          <w:tcPr>
            <w:tcW w:w="5700" w:type="dxa"/>
            <w:vAlign w:val="bottom"/>
            <w:gridSpan w:val="2"/>
            <w:shd w:val="clear" w:color="auto" w:fill="D6F3E8"/>
          </w:tcPr>
          <w:p>
            <w:pPr>
              <w:spacing w:after="0"/>
              <w:rPr>
                <w:sz w:val="20"/>
                <w:szCs w:val="20"/>
                <w:color w:val="auto"/>
              </w:rPr>
            </w:pPr>
            <w:r>
              <w:rPr>
                <w:rFonts w:ascii="Arial" w:cs="Arial" w:eastAsia="Arial" w:hAnsi="Arial"/>
                <w:sz w:val="1"/>
                <w:szCs w:val="1"/>
                <w:color w:val="auto"/>
              </w:rPr>
              <w:t>Edwin F. Barker</w:t>
            </w:r>
          </w:p>
        </w:tc>
        <w:tc>
          <w:tcPr>
            <w:tcW w:w="1320" w:type="dxa"/>
            <w:vAlign w:val="bottom"/>
            <w:gridSpan w:val="2"/>
            <w:shd w:val="clear" w:color="auto" w:fill="D6F3E8"/>
          </w:tcPr>
          <w:p>
            <w:pPr>
              <w:jc w:val="right"/>
              <w:ind w:right="220"/>
              <w:spacing w:after="0"/>
              <w:rPr>
                <w:sz w:val="20"/>
                <w:szCs w:val="20"/>
                <w:color w:val="auto"/>
              </w:rPr>
            </w:pPr>
            <w:r>
              <w:rPr>
                <w:rFonts w:ascii="Arial" w:cs="Arial" w:eastAsia="Arial" w:hAnsi="Arial"/>
                <w:sz w:val="1"/>
                <w:szCs w:val="1"/>
                <w:color w:val="auto"/>
              </w:rPr>
              <w:t>45,527</w:t>
            </w:r>
          </w:p>
        </w:tc>
        <w:tc>
          <w:tcPr>
            <w:tcW w:w="320" w:type="dxa"/>
            <w:vAlign w:val="bottom"/>
            <w:gridSpan w:val="2"/>
            <w:shd w:val="clear" w:color="auto" w:fill="D6F3E8"/>
          </w:tcPr>
          <w:p>
            <w:pPr>
              <w:jc w:val="right"/>
              <w:spacing w:after="0"/>
              <w:rPr>
                <w:sz w:val="20"/>
                <w:szCs w:val="20"/>
                <w:color w:val="auto"/>
              </w:rPr>
            </w:pPr>
            <w:r>
              <w:rPr>
                <w:rFonts w:ascii="Arial" w:cs="Arial" w:eastAsia="Arial" w:hAnsi="Arial"/>
                <w:sz w:val="1"/>
                <w:szCs w:val="1"/>
                <w:color w:val="auto"/>
              </w:rPr>
              <w:t>$</w:t>
            </w:r>
          </w:p>
        </w:tc>
        <w:tc>
          <w:tcPr>
            <w:tcW w:w="1320" w:type="dxa"/>
            <w:vAlign w:val="bottom"/>
            <w:gridSpan w:val="2"/>
            <w:shd w:val="clear" w:color="auto" w:fill="D6F3E8"/>
          </w:tcPr>
          <w:p>
            <w:pPr>
              <w:jc w:val="right"/>
              <w:ind w:right="420"/>
              <w:spacing w:after="0"/>
              <w:rPr>
                <w:sz w:val="20"/>
                <w:szCs w:val="20"/>
                <w:color w:val="auto"/>
              </w:rPr>
            </w:pPr>
            <w:r>
              <w:rPr>
                <w:rFonts w:ascii="Arial" w:cs="Arial" w:eastAsia="Arial" w:hAnsi="Arial"/>
                <w:sz w:val="1"/>
                <w:szCs w:val="1"/>
                <w:color w:val="auto"/>
              </w:rPr>
              <w:t>406,835</w:t>
            </w:r>
          </w:p>
        </w:tc>
        <w:tc>
          <w:tcPr>
            <w:tcW w:w="1600" w:type="dxa"/>
            <w:vAlign w:val="bottom"/>
            <w:gridSpan w:val="2"/>
            <w:shd w:val="clear" w:color="auto" w:fill="D6F3E8"/>
          </w:tcPr>
          <w:p>
            <w:pPr>
              <w:jc w:val="right"/>
              <w:ind w:right="500"/>
              <w:spacing w:after="0"/>
              <w:rPr>
                <w:sz w:val="20"/>
                <w:szCs w:val="20"/>
                <w:color w:val="auto"/>
              </w:rPr>
            </w:pPr>
            <w:r>
              <w:rPr>
                <w:rFonts w:ascii="Arial" w:cs="Arial" w:eastAsia="Arial" w:hAnsi="Arial"/>
                <w:sz w:val="1"/>
                <w:szCs w:val="1"/>
                <w:color w:val="auto"/>
              </w:rPr>
              <w:t>13,500</w:t>
            </w:r>
          </w:p>
        </w:tc>
        <w:tc>
          <w:tcPr>
            <w:tcW w:w="1100" w:type="dxa"/>
            <w:vAlign w:val="bottom"/>
            <w:gridSpan w:val="2"/>
            <w:shd w:val="clear" w:color="auto" w:fill="D6F3E8"/>
          </w:tcPr>
          <w:p>
            <w:pPr>
              <w:jc w:val="right"/>
              <w:ind w:right="180"/>
              <w:spacing w:after="0"/>
              <w:rPr>
                <w:sz w:val="20"/>
                <w:szCs w:val="20"/>
                <w:color w:val="auto"/>
              </w:rPr>
            </w:pPr>
            <w:r>
              <w:rPr>
                <w:rFonts w:ascii="Arial" w:cs="Arial" w:eastAsia="Arial" w:hAnsi="Arial"/>
                <w:sz w:val="1"/>
                <w:szCs w:val="1"/>
                <w:color w:val="auto"/>
              </w:rPr>
              <w:t>$   451,575</w:t>
            </w: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0" w:type="dxa"/>
            <w:vAlign w:val="bottom"/>
            <w:gridSpan w:val="2"/>
          </w:tcPr>
          <w:p>
            <w:pPr>
              <w:jc w:val="right"/>
              <w:ind w:right="320"/>
              <w:spacing w:after="0"/>
              <w:rPr>
                <w:sz w:val="20"/>
                <w:szCs w:val="20"/>
                <w:color w:val="auto"/>
              </w:rPr>
            </w:pPr>
            <w:r>
              <w:rPr>
                <w:rFonts w:ascii="Arial" w:cs="Arial" w:eastAsia="Arial" w:hAnsi="Arial"/>
                <w:sz w:val="15"/>
                <w:szCs w:val="15"/>
                <w:color w:val="auto"/>
              </w:rPr>
              <w:t>(2)</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146621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ind w:left="540" w:right="20" w:hanging="478"/>
        <w:spacing w:after="0" w:line="238" w:lineRule="auto"/>
        <w:tabs>
          <w:tab w:leader="none" w:pos="5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Amounts are calculated by multiplying the number of shares received upon exercise of stock options by, with respect to Mr. Hertzke and Mr. Barker, the difference between the sale price and the exercise price for such options and, with respect to Mr. Beebe, the differences between the closing market price of the Company’s common stock as quoted on NYSE on the date of exercise and the exercise price for such option shares.</w:t>
      </w:r>
    </w:p>
    <w:p>
      <w:pPr>
        <w:spacing w:after="0" w:line="74" w:lineRule="exact"/>
        <w:rPr>
          <w:rFonts w:ascii="Arial" w:cs="Arial" w:eastAsia="Arial" w:hAnsi="Arial"/>
          <w:sz w:val="14"/>
          <w:szCs w:val="14"/>
          <w:color w:val="auto"/>
        </w:rPr>
      </w:pPr>
    </w:p>
    <w:p>
      <w:pPr>
        <w:ind w:left="540" w:right="240" w:hanging="478"/>
        <w:spacing w:after="0" w:line="253" w:lineRule="auto"/>
        <w:tabs>
          <w:tab w:leader="none" w:pos="5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Outstanding restricted stock awards previously granted immediately vested to Mr. Barker upon his retirement on May 4, 2007. For a description of restricted stock award issuances, see “Compensation Discussion and Analysis—2004 Incentive Compensation Plan.”</w:t>
      </w:r>
    </w:p>
    <w:p>
      <w:pPr>
        <w:spacing w:after="0" w:line="65" w:lineRule="exact"/>
        <w:rPr>
          <w:rFonts w:ascii="Arial" w:cs="Arial" w:eastAsia="Arial" w:hAnsi="Arial"/>
          <w:sz w:val="14"/>
          <w:szCs w:val="14"/>
          <w:color w:val="auto"/>
        </w:rPr>
      </w:pPr>
    </w:p>
    <w:p>
      <w:pPr>
        <w:ind w:left="540" w:hanging="478"/>
        <w:spacing w:after="0"/>
        <w:tabs>
          <w:tab w:leader="none" w:pos="540" w:val="left"/>
        </w:tabs>
        <w:numPr>
          <w:ilvl w:val="0"/>
          <w:numId w:val="49"/>
        </w:numPr>
        <w:rPr>
          <w:rFonts w:ascii="Arial" w:cs="Arial" w:eastAsia="Arial" w:hAnsi="Arial"/>
          <w:sz w:val="13"/>
          <w:szCs w:val="13"/>
          <w:color w:val="auto"/>
        </w:rPr>
      </w:pPr>
      <w:r>
        <w:rPr>
          <w:rFonts w:ascii="Arial" w:cs="Arial" w:eastAsia="Arial" w:hAnsi="Arial"/>
          <w:sz w:val="13"/>
          <w:szCs w:val="13"/>
          <w:color w:val="auto"/>
        </w:rPr>
        <w:t>Amount is calculated by multiplying the number of restricted shares vested by the closing market price of the Company’s common stock as quoted on the NYSE on the vesting date.</w:t>
      </w:r>
    </w:p>
    <w:p>
      <w:pPr>
        <w:sectPr>
          <w:pgSz w:w="11900" w:h="16838" w:orient="portrait"/>
          <w:cols w:equalWidth="0" w:num="1">
            <w:col w:w="11380"/>
          </w:cols>
          <w:pgMar w:left="240" w:top="125" w:right="279" w:bottom="167" w:gutter="0" w:footer="0" w:header="0"/>
        </w:sect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N</w:t>
      </w:r>
      <w:r>
        <w:rPr>
          <w:rFonts w:ascii="Arial" w:cs="Arial" w:eastAsia="Arial" w:hAnsi="Arial"/>
          <w:sz w:val="17"/>
          <w:szCs w:val="17"/>
          <w:color w:val="auto"/>
        </w:rPr>
        <w:t>ONQUALIFIED</w:t>
      </w:r>
      <w:r>
        <w:rPr>
          <w:rFonts w:ascii="Arial" w:cs="Arial" w:eastAsia="Arial" w:hAnsi="Arial"/>
          <w:sz w:val="21"/>
          <w:szCs w:val="21"/>
          <w:color w:val="auto"/>
        </w:rPr>
        <w:t xml:space="preserve"> D</w:t>
      </w:r>
      <w:r>
        <w:rPr>
          <w:rFonts w:ascii="Arial" w:cs="Arial" w:eastAsia="Arial" w:hAnsi="Arial"/>
          <w:sz w:val="17"/>
          <w:szCs w:val="17"/>
          <w:color w:val="auto"/>
        </w:rPr>
        <w:t>EFERRED</w:t>
      </w:r>
      <w:r>
        <w:rPr>
          <w:rFonts w:ascii="Arial" w:cs="Arial" w:eastAsia="Arial" w:hAnsi="Arial"/>
          <w:sz w:val="21"/>
          <w:szCs w:val="21"/>
          <w:color w:val="auto"/>
        </w:rPr>
        <w:t xml:space="preserve"> C</w:t>
      </w:r>
      <w:r>
        <w:rPr>
          <w:rFonts w:ascii="Arial" w:cs="Arial" w:eastAsia="Arial" w:hAnsi="Arial"/>
          <w:sz w:val="17"/>
          <w:szCs w:val="17"/>
          <w:color w:val="auto"/>
        </w:rPr>
        <w:t>OMPENSATION</w:t>
      </w:r>
      <w:r>
        <w:rPr>
          <w:rFonts w:ascii="Arial" w:cs="Arial" w:eastAsia="Arial" w:hAnsi="Arial"/>
          <w:sz w:val="21"/>
          <w:szCs w:val="21"/>
          <w:color w:val="auto"/>
        </w:rPr>
        <w:t xml:space="preserve"> T</w:t>
      </w:r>
      <w:r>
        <w:rPr>
          <w:rFonts w:ascii="Arial" w:cs="Arial" w:eastAsia="Arial" w:hAnsi="Arial"/>
          <w:sz w:val="17"/>
          <w:szCs w:val="17"/>
          <w:color w:val="auto"/>
        </w:rPr>
        <w:t>ABLE</w:t>
      </w:r>
    </w:p>
    <w:p>
      <w:pPr>
        <w:sectPr>
          <w:pgSz w:w="11900" w:h="16838" w:orient="portrait"/>
          <w:cols w:equalWidth="0" w:num="1">
            <w:col w:w="11380"/>
          </w:cols>
          <w:pgMar w:left="240" w:top="125" w:right="279" w:bottom="167" w:gutter="0" w:footer="0" w:header="0"/>
          <w:type w:val="continuous"/>
        </w:sectPr>
      </w:pPr>
    </w:p>
    <w:bookmarkStart w:id="27" w:name="page28"/>
    <w:bookmarkEnd w:id="27"/>
    <w:p>
      <w:pPr>
        <w:ind w:right="160" w:firstLine="360"/>
        <w:spacing w:after="0" w:line="257" w:lineRule="auto"/>
        <w:rPr>
          <w:sz w:val="20"/>
          <w:szCs w:val="20"/>
          <w:color w:val="auto"/>
        </w:rPr>
      </w:pPr>
      <w:r>
        <w:rPr>
          <w:rFonts w:ascii="Arial" w:cs="Arial" w:eastAsia="Arial" w:hAnsi="Arial"/>
          <w:sz w:val="18"/>
          <w:szCs w:val="18"/>
          <w:color w:val="auto"/>
        </w:rPr>
        <w:t>The following table discloses contributions, earnings and balances under nonqualified deferred compensation plans for each Named Executive Officer. For fiscal years prior to fiscal 2007, amounts deferred under the Company’s Executive Share Option Program and the Winnebago Industries, Inc. Non-Qualified Deferred Compensation Plan by each Named Executive Officer were not reported separately from such Named Executive Officer’s reported compensation and no above-market earnings were realized or reported, but Company contributions to the plans were included in All Other Compensation in the Summary Compensation Tables for prior fiscal years.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1"/>
              </w:rPr>
              <w:t>Executive</w:t>
            </w: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9"/>
              </w:rPr>
              <w:t>Aggregate</w:t>
            </w:r>
          </w:p>
        </w:tc>
        <w:tc>
          <w:tcPr>
            <w:tcW w:w="120" w:type="dxa"/>
            <w:vAlign w:val="bottom"/>
          </w:tcPr>
          <w:p>
            <w:pPr>
              <w:spacing w:after="0"/>
              <w:rPr>
                <w:sz w:val="16"/>
                <w:szCs w:val="16"/>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Contributions</w:t>
            </w: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jc w:val="center"/>
              <w:ind w:right="560"/>
              <w:spacing w:after="0" w:line="129" w:lineRule="exact"/>
              <w:rPr>
                <w:sz w:val="20"/>
                <w:szCs w:val="20"/>
                <w:color w:val="auto"/>
              </w:rPr>
            </w:pPr>
            <w:r>
              <w:rPr>
                <w:rFonts w:ascii="Arial" w:cs="Arial" w:eastAsia="Arial" w:hAnsi="Arial"/>
                <w:sz w:val="14"/>
                <w:szCs w:val="14"/>
                <w:b w:val="1"/>
                <w:bCs w:val="1"/>
                <w:color w:val="auto"/>
                <w:w w:val="93"/>
              </w:rPr>
              <w:t>Earnings</w:t>
            </w:r>
          </w:p>
        </w:tc>
        <w:tc>
          <w:tcPr>
            <w:tcW w:w="120" w:type="dxa"/>
            <w:vAlign w:val="bottom"/>
          </w:tcPr>
          <w:p>
            <w:pPr>
              <w:spacing w:after="0"/>
              <w:rPr>
                <w:sz w:val="11"/>
                <w:szCs w:val="11"/>
                <w:color w:val="auto"/>
              </w:rPr>
            </w:pPr>
          </w:p>
        </w:tc>
        <w:tc>
          <w:tcPr>
            <w:tcW w:w="1220" w:type="dxa"/>
            <w:vAlign w:val="bottom"/>
            <w:gridSpan w:val="2"/>
          </w:tcPr>
          <w:p>
            <w:pPr>
              <w:jc w:val="center"/>
              <w:ind w:right="440"/>
              <w:spacing w:after="0" w:line="129" w:lineRule="exact"/>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169"/>
        </w:trPr>
        <w:tc>
          <w:tcPr>
            <w:tcW w:w="2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4700" w:type="dxa"/>
            <w:vAlign w:val="bottom"/>
            <w:vMerge w:val="restart"/>
          </w:tcPr>
          <w:p>
            <w:pPr>
              <w:ind w:left="2220"/>
              <w:spacing w:after="0"/>
              <w:rPr>
                <w:sz w:val="20"/>
                <w:szCs w:val="20"/>
                <w:color w:val="auto"/>
              </w:rPr>
            </w:pPr>
            <w:r>
              <w:rPr>
                <w:rFonts w:ascii="Arial" w:cs="Arial" w:eastAsia="Arial" w:hAnsi="Arial"/>
                <w:sz w:val="14"/>
                <w:szCs w:val="14"/>
                <w:b w:val="1"/>
                <w:bCs w:val="1"/>
                <w:color w:val="auto"/>
              </w:rPr>
              <w:t>Plan</w:t>
            </w:r>
          </w:p>
        </w:tc>
        <w:tc>
          <w:tcPr>
            <w:tcW w:w="44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8"/>
              </w:rPr>
              <w:t>in Last FY</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8"/>
              </w:rPr>
              <w:t>in Last FY</w:t>
            </w:r>
          </w:p>
        </w:tc>
        <w:tc>
          <w:tcPr>
            <w:tcW w:w="120" w:type="dxa"/>
            <w:vAlign w:val="bottom"/>
          </w:tcPr>
          <w:p>
            <w:pPr>
              <w:spacing w:after="0"/>
              <w:rPr>
                <w:sz w:val="14"/>
                <w:szCs w:val="14"/>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at Last FYE</w:t>
            </w:r>
          </w:p>
        </w:tc>
        <w:tc>
          <w:tcPr>
            <w:tcW w:w="0" w:type="dxa"/>
            <w:vAlign w:val="bottom"/>
          </w:tcPr>
          <w:p>
            <w:pPr>
              <w:spacing w:after="0"/>
              <w:rPr>
                <w:sz w:val="1"/>
                <w:szCs w:val="1"/>
                <w:color w:val="auto"/>
              </w:rPr>
            </w:pPr>
          </w:p>
        </w:tc>
      </w:tr>
      <w:tr>
        <w:trPr>
          <w:trHeight w:val="149"/>
        </w:trPr>
        <w:tc>
          <w:tcPr>
            <w:tcW w:w="2020" w:type="dxa"/>
            <w:vAlign w:val="bottom"/>
            <w:gridSpan w:val="3"/>
            <w:vMerge w:val="continue"/>
          </w:tcPr>
          <w:p>
            <w:pPr>
              <w:spacing w:after="0"/>
              <w:rPr>
                <w:sz w:val="12"/>
                <w:szCs w:val="12"/>
                <w:color w:val="auto"/>
              </w:rPr>
            </w:pPr>
          </w:p>
        </w:tc>
        <w:tc>
          <w:tcPr>
            <w:tcW w:w="4700" w:type="dxa"/>
            <w:vAlign w:val="bottom"/>
            <w:vMerge w:val="continue"/>
          </w:tcPr>
          <w:p>
            <w:pPr>
              <w:spacing w:after="0"/>
              <w:rPr>
                <w:sz w:val="12"/>
                <w:szCs w:val="12"/>
                <w:color w:val="auto"/>
              </w:rPr>
            </w:pPr>
          </w:p>
        </w:tc>
        <w:tc>
          <w:tcPr>
            <w:tcW w:w="1460" w:type="dxa"/>
            <w:vAlign w:val="bottom"/>
            <w:gridSpan w:val="2"/>
          </w:tcPr>
          <w:p>
            <w:pPr>
              <w:jc w:val="center"/>
              <w:ind w:left="359"/>
              <w:spacing w:after="0" w:line="149" w:lineRule="exact"/>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20" w:type="dxa"/>
            <w:vAlign w:val="bottom"/>
            <w:gridSpan w:val="3"/>
          </w:tcPr>
          <w:p>
            <w:pPr>
              <w:spacing w:after="0" w:line="189" w:lineRule="exact"/>
              <w:rPr>
                <w:sz w:val="20"/>
                <w:szCs w:val="20"/>
                <w:color w:val="auto"/>
              </w:rPr>
            </w:pPr>
            <w:r>
              <w:rPr>
                <w:rFonts w:ascii="Arial" w:cs="Arial" w:eastAsia="Arial" w:hAnsi="Arial"/>
                <w:sz w:val="21"/>
                <w:szCs w:val="21"/>
                <w:b w:val="1"/>
                <w:bCs w:val="1"/>
                <w:color w:val="auto"/>
                <w:vertAlign w:val="subscript"/>
              </w:rPr>
              <w:t>(a)</w:t>
            </w:r>
            <w:r>
              <w:rPr>
                <w:rFonts w:ascii="Arial" w:cs="Arial" w:eastAsia="Arial" w:hAnsi="Arial"/>
                <w:sz w:val="10"/>
                <w:szCs w:val="10"/>
                <w:b w:val="1"/>
                <w:bCs w:val="1"/>
                <w:color w:val="auto"/>
              </w:rPr>
              <w:t>(1)(2)</w:t>
            </w:r>
          </w:p>
        </w:tc>
        <w:tc>
          <w:tcPr>
            <w:tcW w:w="4700" w:type="dxa"/>
            <w:vAlign w:val="bottom"/>
          </w:tcPr>
          <w:p>
            <w:pPr>
              <w:ind w:left="2180"/>
              <w:spacing w:after="0"/>
              <w:rPr>
                <w:sz w:val="20"/>
                <w:szCs w:val="20"/>
                <w:color w:val="auto"/>
              </w:rPr>
            </w:pPr>
            <w:r>
              <w:rPr>
                <w:rFonts w:ascii="Arial" w:cs="Arial" w:eastAsia="Arial" w:hAnsi="Arial"/>
                <w:sz w:val="14"/>
                <w:szCs w:val="14"/>
                <w:b w:val="1"/>
                <w:bCs w:val="1"/>
                <w:color w:val="auto"/>
              </w:rPr>
              <w:t>Name</w:t>
            </w:r>
          </w:p>
        </w:tc>
        <w:tc>
          <w:tcPr>
            <w:tcW w:w="440" w:type="dxa"/>
            <w:vAlign w:val="bottom"/>
          </w:tcPr>
          <w:p>
            <w:pPr>
              <w:spacing w:after="0"/>
              <w:rPr>
                <w:sz w:val="16"/>
                <w:szCs w:val="16"/>
                <w:color w:val="auto"/>
              </w:rPr>
            </w:pPr>
          </w:p>
        </w:tc>
        <w:tc>
          <w:tcPr>
            <w:tcW w:w="1020" w:type="dxa"/>
            <w:vAlign w:val="bottom"/>
          </w:tcPr>
          <w:p>
            <w:pPr>
              <w:jc w:val="center"/>
              <w:spacing w:after="0" w:line="189" w:lineRule="exact"/>
              <w:rPr>
                <w:sz w:val="20"/>
                <w:szCs w:val="20"/>
                <w:color w:val="auto"/>
              </w:rPr>
            </w:pPr>
            <w:r>
              <w:rPr>
                <w:rFonts w:ascii="Arial" w:cs="Arial" w:eastAsia="Arial" w:hAnsi="Arial"/>
                <w:sz w:val="13"/>
                <w:szCs w:val="13"/>
                <w:b w:val="1"/>
                <w:bCs w:val="1"/>
                <w:color w:val="auto"/>
                <w:w w:val="94"/>
              </w:rPr>
              <w:t>(b)</w:t>
            </w:r>
            <w:r>
              <w:rPr>
                <w:rFonts w:ascii="Arial" w:cs="Arial" w:eastAsia="Arial" w:hAnsi="Arial"/>
                <w:sz w:val="21"/>
                <w:szCs w:val="21"/>
                <w:b w:val="1"/>
                <w:bCs w:val="1"/>
                <w:color w:val="auto"/>
                <w:w w:val="94"/>
                <w:vertAlign w:val="superscript"/>
              </w:rPr>
              <w:t>(3)</w:t>
            </w: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580"/>
              <w:spacing w:after="0" w:line="189" w:lineRule="exact"/>
              <w:rPr>
                <w:sz w:val="20"/>
                <w:szCs w:val="20"/>
                <w:color w:val="auto"/>
              </w:rPr>
            </w:pPr>
            <w:r>
              <w:rPr>
                <w:rFonts w:ascii="Arial" w:cs="Arial" w:eastAsia="Arial" w:hAnsi="Arial"/>
                <w:sz w:val="13"/>
                <w:szCs w:val="13"/>
                <w:b w:val="1"/>
                <w:bCs w:val="1"/>
                <w:color w:val="auto"/>
                <w:w w:val="90"/>
              </w:rPr>
              <w:t>(c)</w:t>
            </w:r>
            <w:r>
              <w:rPr>
                <w:rFonts w:ascii="Arial" w:cs="Arial" w:eastAsia="Arial" w:hAnsi="Arial"/>
                <w:sz w:val="21"/>
                <w:szCs w:val="21"/>
                <w:b w:val="1"/>
                <w:bCs w:val="1"/>
                <w:color w:val="auto"/>
                <w:w w:val="90"/>
                <w:vertAlign w:val="superscript"/>
              </w:rPr>
              <w:t>(4)</w:t>
            </w:r>
          </w:p>
        </w:tc>
        <w:tc>
          <w:tcPr>
            <w:tcW w:w="120" w:type="dxa"/>
            <w:vAlign w:val="bottom"/>
          </w:tcPr>
          <w:p>
            <w:pPr>
              <w:spacing w:after="0"/>
              <w:rPr>
                <w:sz w:val="16"/>
                <w:szCs w:val="16"/>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00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Bruce D. Hertzke</w:t>
            </w:r>
          </w:p>
        </w:tc>
        <w:tc>
          <w:tcPr>
            <w:tcW w:w="4700" w:type="dxa"/>
            <w:vAlign w:val="bottom"/>
            <w:shd w:val="clear" w:color="auto" w:fill="D6F3E8"/>
          </w:tcPr>
          <w:p>
            <w:pPr>
              <w:spacing w:after="0"/>
              <w:rPr>
                <w:sz w:val="20"/>
                <w:szCs w:val="20"/>
                <w:color w:val="auto"/>
              </w:rPr>
            </w:pPr>
            <w:r>
              <w:rPr>
                <w:rFonts w:ascii="Arial" w:cs="Arial" w:eastAsia="Arial" w:hAnsi="Arial"/>
                <w:sz w:val="18"/>
                <w:szCs w:val="18"/>
                <w:color w:val="auto"/>
              </w:rPr>
              <w:t>Deferred Compensation Plan (1981)</w:t>
            </w:r>
          </w:p>
        </w:tc>
        <w:tc>
          <w:tcPr>
            <w:tcW w:w="440" w:type="dxa"/>
            <w:vAlign w:val="bottom"/>
            <w:shd w:val="clear" w:color="auto" w:fill="D6F3E8"/>
          </w:tcPr>
          <w:p>
            <w:pPr>
              <w:spacing w:after="0"/>
              <w:rPr>
                <w:sz w:val="18"/>
                <w:szCs w:val="18"/>
                <w:color w:val="auto"/>
              </w:rPr>
            </w:pPr>
          </w:p>
        </w:tc>
        <w:tc>
          <w:tcPr>
            <w:tcW w:w="1020" w:type="dxa"/>
            <w:vAlign w:val="bottom"/>
            <w:shd w:val="clear" w:color="auto" w:fill="D6F3E8"/>
          </w:tcPr>
          <w:p>
            <w:pPr>
              <w:jc w:val="center"/>
              <w:ind w:left="36"/>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D6F3E8"/>
          </w:tcPr>
          <w:p>
            <w:pPr>
              <w:jc w:val="right"/>
              <w:ind w:right="440"/>
              <w:spacing w:after="0"/>
              <w:rPr>
                <w:sz w:val="20"/>
                <w:szCs w:val="20"/>
                <w:color w:val="auto"/>
              </w:rPr>
            </w:pPr>
            <w:r>
              <w:rPr>
                <w:rFonts w:ascii="Arial" w:cs="Arial" w:eastAsia="Arial" w:hAnsi="Arial"/>
                <w:sz w:val="18"/>
                <w:szCs w:val="18"/>
                <w:color w:val="auto"/>
              </w:rPr>
              <w:t>121,575</w:t>
            </w:r>
          </w:p>
        </w:tc>
        <w:tc>
          <w:tcPr>
            <w:tcW w:w="12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2,147,910</w:t>
            </w:r>
          </w:p>
        </w:tc>
        <w:tc>
          <w:tcPr>
            <w:tcW w:w="3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Executive Share Option Program</w:t>
            </w:r>
          </w:p>
        </w:tc>
        <w:tc>
          <w:tcPr>
            <w:tcW w:w="440" w:type="dxa"/>
            <w:vAlign w:val="bottom"/>
          </w:tcPr>
          <w:p>
            <w:pPr>
              <w:spacing w:after="0"/>
              <w:rPr>
                <w:sz w:val="18"/>
                <w:szCs w:val="18"/>
                <w:color w:val="auto"/>
              </w:rPr>
            </w:pPr>
          </w:p>
        </w:tc>
        <w:tc>
          <w:tcPr>
            <w:tcW w:w="1020" w:type="dxa"/>
            <w:vAlign w:val="bottom"/>
          </w:tcPr>
          <w:p>
            <w:pPr>
              <w:jc w:val="center"/>
              <w:ind w:left="36"/>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429,536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2,292,819</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Robert J. Olson</w:t>
            </w:r>
          </w:p>
        </w:tc>
        <w:tc>
          <w:tcPr>
            <w:tcW w:w="4700" w:type="dxa"/>
            <w:vAlign w:val="bottom"/>
            <w:shd w:val="clear" w:color="auto" w:fill="D6F3E8"/>
          </w:tcPr>
          <w:p>
            <w:pPr>
              <w:spacing w:after="0"/>
              <w:rPr>
                <w:sz w:val="20"/>
                <w:szCs w:val="20"/>
                <w:color w:val="auto"/>
              </w:rPr>
            </w:pPr>
            <w:r>
              <w:rPr>
                <w:rFonts w:ascii="Arial" w:cs="Arial" w:eastAsia="Arial" w:hAnsi="Arial"/>
                <w:sz w:val="18"/>
                <w:szCs w:val="18"/>
                <w:color w:val="auto"/>
              </w:rPr>
              <w:t>Deferred Compensation Plan (1981)</w:t>
            </w:r>
          </w:p>
        </w:tc>
        <w:tc>
          <w:tcPr>
            <w:tcW w:w="440" w:type="dxa"/>
            <w:vAlign w:val="bottom"/>
            <w:shd w:val="clear" w:color="auto" w:fill="D6F3E8"/>
          </w:tcPr>
          <w:p>
            <w:pPr>
              <w:spacing w:after="0"/>
              <w:rPr>
                <w:sz w:val="18"/>
                <w:szCs w:val="18"/>
                <w:color w:val="auto"/>
              </w:rPr>
            </w:pPr>
          </w:p>
        </w:tc>
        <w:tc>
          <w:tcPr>
            <w:tcW w:w="1020" w:type="dxa"/>
            <w:vAlign w:val="bottom"/>
            <w:shd w:val="clear" w:color="auto" w:fill="D6F3E8"/>
          </w:tcPr>
          <w:p>
            <w:pPr>
              <w:jc w:val="center"/>
              <w:ind w:left="36"/>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D6F3E8"/>
          </w:tcPr>
          <w:p>
            <w:pPr>
              <w:jc w:val="right"/>
              <w:ind w:right="440"/>
              <w:spacing w:after="0"/>
              <w:rPr>
                <w:sz w:val="20"/>
                <w:szCs w:val="20"/>
                <w:color w:val="auto"/>
              </w:rPr>
            </w:pPr>
            <w:r>
              <w:rPr>
                <w:rFonts w:ascii="Arial" w:cs="Arial" w:eastAsia="Arial" w:hAnsi="Arial"/>
                <w:sz w:val="18"/>
                <w:szCs w:val="18"/>
                <w:color w:val="auto"/>
              </w:rPr>
              <w:t>41,295</w:t>
            </w:r>
          </w:p>
        </w:tc>
        <w:tc>
          <w:tcPr>
            <w:tcW w:w="12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729,600</w:t>
            </w:r>
          </w:p>
        </w:tc>
        <w:tc>
          <w:tcPr>
            <w:tcW w:w="3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Executive Share Option Program</w:t>
            </w:r>
          </w:p>
        </w:tc>
        <w:tc>
          <w:tcPr>
            <w:tcW w:w="440" w:type="dxa"/>
            <w:vAlign w:val="bottom"/>
          </w:tcPr>
          <w:p>
            <w:pPr>
              <w:spacing w:after="0"/>
              <w:rPr>
                <w:sz w:val="18"/>
                <w:szCs w:val="18"/>
                <w:color w:val="auto"/>
              </w:rPr>
            </w:pPr>
          </w:p>
        </w:tc>
        <w:tc>
          <w:tcPr>
            <w:tcW w:w="1020" w:type="dxa"/>
            <w:vAlign w:val="bottom"/>
          </w:tcPr>
          <w:p>
            <w:pPr>
              <w:jc w:val="center"/>
              <w:ind w:left="36"/>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179,614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1,093,464</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Raymond M. Beebe</w:t>
            </w:r>
          </w:p>
        </w:tc>
        <w:tc>
          <w:tcPr>
            <w:tcW w:w="4700" w:type="dxa"/>
            <w:vAlign w:val="bottom"/>
            <w:shd w:val="clear" w:color="auto" w:fill="D6F3E8"/>
          </w:tcPr>
          <w:p>
            <w:pPr>
              <w:spacing w:after="0"/>
              <w:rPr>
                <w:sz w:val="20"/>
                <w:szCs w:val="20"/>
                <w:color w:val="auto"/>
              </w:rPr>
            </w:pPr>
            <w:r>
              <w:rPr>
                <w:rFonts w:ascii="Arial" w:cs="Arial" w:eastAsia="Arial" w:hAnsi="Arial"/>
                <w:sz w:val="18"/>
                <w:szCs w:val="18"/>
                <w:color w:val="auto"/>
              </w:rPr>
              <w:t>Deferred Compensation Plan (1981)</w:t>
            </w:r>
          </w:p>
        </w:tc>
        <w:tc>
          <w:tcPr>
            <w:tcW w:w="440" w:type="dxa"/>
            <w:vAlign w:val="bottom"/>
            <w:shd w:val="clear" w:color="auto" w:fill="D6F3E8"/>
          </w:tcPr>
          <w:p>
            <w:pPr>
              <w:spacing w:after="0"/>
              <w:rPr>
                <w:sz w:val="18"/>
                <w:szCs w:val="18"/>
                <w:color w:val="auto"/>
              </w:rPr>
            </w:pPr>
          </w:p>
        </w:tc>
        <w:tc>
          <w:tcPr>
            <w:tcW w:w="1020" w:type="dxa"/>
            <w:vAlign w:val="bottom"/>
            <w:shd w:val="clear" w:color="auto" w:fill="D6F3E8"/>
          </w:tcPr>
          <w:p>
            <w:pPr>
              <w:jc w:val="center"/>
              <w:ind w:left="36"/>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D6F3E8"/>
          </w:tcPr>
          <w:p>
            <w:pPr>
              <w:jc w:val="right"/>
              <w:ind w:right="440"/>
              <w:spacing w:after="0"/>
              <w:rPr>
                <w:sz w:val="20"/>
                <w:szCs w:val="20"/>
                <w:color w:val="auto"/>
              </w:rPr>
            </w:pPr>
            <w:r>
              <w:rPr>
                <w:rFonts w:ascii="Arial" w:cs="Arial" w:eastAsia="Arial" w:hAnsi="Arial"/>
                <w:sz w:val="18"/>
                <w:szCs w:val="18"/>
                <w:color w:val="auto"/>
              </w:rPr>
              <w:t>138,855</w:t>
            </w:r>
          </w:p>
        </w:tc>
        <w:tc>
          <w:tcPr>
            <w:tcW w:w="12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2,453,175</w:t>
            </w:r>
          </w:p>
        </w:tc>
        <w:tc>
          <w:tcPr>
            <w:tcW w:w="3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Executive Deferred Compensation Plan 2007</w:t>
            </w:r>
          </w:p>
        </w:tc>
        <w:tc>
          <w:tcPr>
            <w:tcW w:w="1460" w:type="dxa"/>
            <w:vAlign w:val="bottom"/>
            <w:gridSpan w:val="2"/>
          </w:tcPr>
          <w:p>
            <w:pPr>
              <w:jc w:val="center"/>
              <w:ind w:left="479"/>
              <w:spacing w:after="0"/>
              <w:rPr>
                <w:sz w:val="20"/>
                <w:szCs w:val="20"/>
                <w:color w:val="auto"/>
              </w:rPr>
            </w:pPr>
            <w:r>
              <w:rPr>
                <w:rFonts w:ascii="Arial" w:cs="Arial" w:eastAsia="Arial" w:hAnsi="Arial"/>
                <w:sz w:val="18"/>
                <w:szCs w:val="18"/>
                <w:color w:val="auto"/>
                <w:w w:val="89"/>
              </w:rPr>
              <w:t>$12,363</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12,363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D6F3E8"/>
          </w:tcPr>
          <w:p>
            <w:pPr>
              <w:spacing w:after="0"/>
              <w:rPr>
                <w:sz w:val="18"/>
                <w:szCs w:val="18"/>
                <w:color w:val="auto"/>
              </w:rPr>
            </w:pPr>
          </w:p>
        </w:tc>
        <w:tc>
          <w:tcPr>
            <w:tcW w:w="1560" w:type="dxa"/>
            <w:vAlign w:val="bottom"/>
            <w:shd w:val="clear" w:color="auto" w:fill="D6F3E8"/>
          </w:tcPr>
          <w:p>
            <w:pPr>
              <w:spacing w:after="0"/>
              <w:rPr>
                <w:sz w:val="18"/>
                <w:szCs w:val="18"/>
                <w:color w:val="auto"/>
              </w:rPr>
            </w:pPr>
          </w:p>
        </w:tc>
        <w:tc>
          <w:tcPr>
            <w:tcW w:w="4700" w:type="dxa"/>
            <w:vAlign w:val="bottom"/>
            <w:shd w:val="clear" w:color="auto" w:fill="D6F3E8"/>
          </w:tcPr>
          <w:p>
            <w:pPr>
              <w:spacing w:after="0"/>
              <w:rPr>
                <w:sz w:val="20"/>
                <w:szCs w:val="20"/>
                <w:color w:val="auto"/>
              </w:rPr>
            </w:pPr>
            <w:r>
              <w:rPr>
                <w:rFonts w:ascii="Arial" w:cs="Arial" w:eastAsia="Arial" w:hAnsi="Arial"/>
                <w:sz w:val="18"/>
                <w:szCs w:val="18"/>
                <w:color w:val="auto"/>
              </w:rPr>
              <w:t>Executive Share Option Program</w:t>
            </w:r>
          </w:p>
        </w:tc>
        <w:tc>
          <w:tcPr>
            <w:tcW w:w="440" w:type="dxa"/>
            <w:vAlign w:val="bottom"/>
            <w:shd w:val="clear" w:color="auto" w:fill="D6F3E8"/>
          </w:tcPr>
          <w:p>
            <w:pPr>
              <w:spacing w:after="0"/>
              <w:rPr>
                <w:sz w:val="18"/>
                <w:szCs w:val="18"/>
                <w:color w:val="auto"/>
              </w:rPr>
            </w:pPr>
          </w:p>
        </w:tc>
        <w:tc>
          <w:tcPr>
            <w:tcW w:w="1020" w:type="dxa"/>
            <w:vAlign w:val="bottom"/>
            <w:shd w:val="clear" w:color="auto" w:fill="D6F3E8"/>
          </w:tcPr>
          <w:p>
            <w:pPr>
              <w:jc w:val="center"/>
              <w:ind w:left="36"/>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D6F3E8"/>
          </w:tcPr>
          <w:p>
            <w:pPr>
              <w:jc w:val="right"/>
              <w:ind w:right="440"/>
              <w:spacing w:after="0"/>
              <w:rPr>
                <w:sz w:val="20"/>
                <w:szCs w:val="20"/>
                <w:color w:val="auto"/>
              </w:rPr>
            </w:pPr>
            <w:r>
              <w:rPr>
                <w:rFonts w:ascii="Arial" w:cs="Arial" w:eastAsia="Arial" w:hAnsi="Arial"/>
                <w:sz w:val="18"/>
                <w:szCs w:val="18"/>
                <w:color w:val="auto"/>
              </w:rPr>
              <w:t>176,323</w:t>
            </w:r>
          </w:p>
        </w:tc>
        <w:tc>
          <w:tcPr>
            <w:tcW w:w="12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1,115,367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gridSpan w:val="2"/>
          </w:tcPr>
          <w:p>
            <w:pPr>
              <w:spacing w:after="0"/>
              <w:rPr>
                <w:sz w:val="20"/>
                <w:szCs w:val="20"/>
                <w:color w:val="auto"/>
              </w:rPr>
            </w:pPr>
            <w:r>
              <w:rPr>
                <w:rFonts w:ascii="Arial" w:cs="Arial" w:eastAsia="Arial" w:hAnsi="Arial"/>
                <w:sz w:val="18"/>
                <w:szCs w:val="18"/>
                <w:color w:val="auto"/>
              </w:rPr>
              <w:t>William J. O’Leary</w:t>
            </w:r>
          </w:p>
        </w:tc>
        <w:tc>
          <w:tcPr>
            <w:tcW w:w="4700" w:type="dxa"/>
            <w:vAlign w:val="bottom"/>
          </w:tcPr>
          <w:p>
            <w:pPr>
              <w:spacing w:after="0"/>
              <w:rPr>
                <w:sz w:val="20"/>
                <w:szCs w:val="20"/>
                <w:color w:val="auto"/>
              </w:rPr>
            </w:pPr>
            <w:r>
              <w:rPr>
                <w:rFonts w:ascii="Arial" w:cs="Arial" w:eastAsia="Arial" w:hAnsi="Arial"/>
                <w:sz w:val="18"/>
                <w:szCs w:val="18"/>
                <w:color w:val="auto"/>
              </w:rPr>
              <w:t>Executive Share Option Program</w:t>
            </w:r>
          </w:p>
        </w:tc>
        <w:tc>
          <w:tcPr>
            <w:tcW w:w="440" w:type="dxa"/>
            <w:vAlign w:val="bottom"/>
          </w:tcPr>
          <w:p>
            <w:pPr>
              <w:spacing w:after="0"/>
              <w:rPr>
                <w:sz w:val="18"/>
                <w:szCs w:val="18"/>
                <w:color w:val="auto"/>
              </w:rPr>
            </w:pPr>
          </w:p>
        </w:tc>
        <w:tc>
          <w:tcPr>
            <w:tcW w:w="1020" w:type="dxa"/>
            <w:vAlign w:val="bottom"/>
          </w:tcPr>
          <w:p>
            <w:pPr>
              <w:jc w:val="center"/>
              <w:ind w:left="36"/>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31,217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184,026</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Edwin F. Barker</w:t>
            </w:r>
          </w:p>
        </w:tc>
        <w:tc>
          <w:tcPr>
            <w:tcW w:w="4700" w:type="dxa"/>
            <w:vAlign w:val="bottom"/>
            <w:shd w:val="clear" w:color="auto" w:fill="D6F3E8"/>
          </w:tcPr>
          <w:p>
            <w:pPr>
              <w:spacing w:after="0"/>
              <w:rPr>
                <w:sz w:val="20"/>
                <w:szCs w:val="20"/>
                <w:color w:val="auto"/>
              </w:rPr>
            </w:pPr>
            <w:r>
              <w:rPr>
                <w:rFonts w:ascii="Arial" w:cs="Arial" w:eastAsia="Arial" w:hAnsi="Arial"/>
                <w:sz w:val="18"/>
                <w:szCs w:val="18"/>
                <w:color w:val="auto"/>
              </w:rPr>
              <w:t>Deferred Compensation Plan (1981)</w:t>
            </w:r>
          </w:p>
        </w:tc>
        <w:tc>
          <w:tcPr>
            <w:tcW w:w="440" w:type="dxa"/>
            <w:vAlign w:val="bottom"/>
            <w:shd w:val="clear" w:color="auto" w:fill="D6F3E8"/>
          </w:tcPr>
          <w:p>
            <w:pPr>
              <w:spacing w:after="0"/>
              <w:rPr>
                <w:sz w:val="18"/>
                <w:szCs w:val="18"/>
                <w:color w:val="auto"/>
              </w:rPr>
            </w:pPr>
          </w:p>
        </w:tc>
        <w:tc>
          <w:tcPr>
            <w:tcW w:w="1020" w:type="dxa"/>
            <w:vAlign w:val="bottom"/>
            <w:shd w:val="clear" w:color="auto" w:fill="D6F3E8"/>
          </w:tcPr>
          <w:p>
            <w:pPr>
              <w:jc w:val="center"/>
              <w:ind w:left="36"/>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D6F3E8"/>
          </w:tcPr>
          <w:p>
            <w:pPr>
              <w:jc w:val="right"/>
              <w:ind w:right="440"/>
              <w:spacing w:after="0"/>
              <w:rPr>
                <w:sz w:val="20"/>
                <w:szCs w:val="20"/>
                <w:color w:val="auto"/>
              </w:rPr>
            </w:pPr>
            <w:r>
              <w:rPr>
                <w:rFonts w:ascii="Arial" w:cs="Arial" w:eastAsia="Arial" w:hAnsi="Arial"/>
                <w:sz w:val="18"/>
                <w:szCs w:val="18"/>
                <w:color w:val="auto"/>
              </w:rPr>
              <w:t>161,310</w:t>
            </w:r>
          </w:p>
        </w:tc>
        <w:tc>
          <w:tcPr>
            <w:tcW w:w="12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2,849,925</w:t>
            </w:r>
          </w:p>
        </w:tc>
        <w:tc>
          <w:tcPr>
            <w:tcW w:w="3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Executive Share Option Program</w:t>
            </w:r>
          </w:p>
        </w:tc>
        <w:tc>
          <w:tcPr>
            <w:tcW w:w="440" w:type="dxa"/>
            <w:vAlign w:val="bottom"/>
          </w:tcPr>
          <w:p>
            <w:pPr>
              <w:spacing w:after="0"/>
              <w:rPr>
                <w:sz w:val="20"/>
                <w:szCs w:val="20"/>
                <w:color w:val="auto"/>
              </w:rPr>
            </w:pPr>
          </w:p>
        </w:tc>
        <w:tc>
          <w:tcPr>
            <w:tcW w:w="1020" w:type="dxa"/>
            <w:vAlign w:val="bottom"/>
          </w:tcPr>
          <w:p>
            <w:pPr>
              <w:jc w:val="center"/>
              <w:ind w:left="36"/>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206,175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1,064,102</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146621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540" w:right="200" w:hanging="478"/>
        <w:spacing w:after="0" w:line="253" w:lineRule="auto"/>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Registrant made no contributions in the last fiscal year to any of these programs. Also, there were no aggregate withdrawals or distributions by the Named Executive Officers during the last fiscal year.</w:t>
      </w:r>
    </w:p>
    <w:p>
      <w:pPr>
        <w:spacing w:after="0" w:line="65" w:lineRule="exact"/>
        <w:rPr>
          <w:rFonts w:ascii="Arial" w:cs="Arial" w:eastAsia="Arial" w:hAnsi="Arial"/>
          <w:sz w:val="14"/>
          <w:szCs w:val="14"/>
          <w:color w:val="auto"/>
        </w:rPr>
      </w:pPr>
    </w:p>
    <w:p>
      <w:pPr>
        <w:ind w:left="540" w:hanging="478"/>
        <w:spacing w:after="0"/>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Sarah N. Nielsen did not participate in these programs</w:t>
      </w:r>
    </w:p>
    <w:p>
      <w:pPr>
        <w:spacing w:after="0" w:line="95" w:lineRule="exact"/>
        <w:rPr>
          <w:rFonts w:ascii="Arial" w:cs="Arial" w:eastAsia="Arial" w:hAnsi="Arial"/>
          <w:sz w:val="14"/>
          <w:szCs w:val="14"/>
          <w:color w:val="auto"/>
        </w:rPr>
      </w:pPr>
    </w:p>
    <w:p>
      <w:pPr>
        <w:ind w:left="540" w:right="100" w:hanging="478"/>
        <w:spacing w:after="0" w:line="253" w:lineRule="auto"/>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Except for contributions by Mr. Beebe pursuant to the Executive Deferred Compensation Plan, no other Named Executive Officer contributions were credited to these plans in fiscal 2007. This amount is also included as “Salary” in column (c) of the Summary Compensation Table.</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81"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540" w:right="100" w:hanging="478"/>
        <w:spacing w:after="0" w:line="253" w:lineRule="auto"/>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dollar amount of aggregate interest accrued during fiscal 2007 under the Winnebago Industries, Inc. Non-Qualified Deferred Compensation Plan and the Executive Share Option Plan, as applicable. Amounts credited do not constitute above-market or preferential earnings and, thus, are not included in the Summary Compensation Table.</w:t>
      </w:r>
    </w:p>
    <w:p>
      <w:pPr>
        <w:spacing w:after="0" w:line="200" w:lineRule="exact"/>
        <w:rPr>
          <w:sz w:val="20"/>
          <w:szCs w:val="20"/>
          <w:color w:val="auto"/>
        </w:rPr>
      </w:pPr>
    </w:p>
    <w:p>
      <w:pPr>
        <w:spacing w:after="0" w:line="235" w:lineRule="exact"/>
        <w:rPr>
          <w:sz w:val="20"/>
          <w:szCs w:val="20"/>
          <w:color w:val="auto"/>
        </w:rPr>
      </w:pPr>
    </w:p>
    <w:p>
      <w:pPr>
        <w:ind w:right="180" w:firstLine="360"/>
        <w:spacing w:after="0" w:line="259" w:lineRule="auto"/>
        <w:rPr>
          <w:sz w:val="20"/>
          <w:szCs w:val="20"/>
          <w:color w:val="auto"/>
        </w:rPr>
      </w:pPr>
      <w:r>
        <w:rPr>
          <w:rFonts w:ascii="Arial" w:cs="Arial" w:eastAsia="Arial" w:hAnsi="Arial"/>
          <w:sz w:val="18"/>
          <w:szCs w:val="18"/>
          <w:color w:val="auto"/>
        </w:rPr>
        <w:t>The Company’s Executive Share Option Program was established in 1997 to provide executives with an opportunity to defer a portion of their compensation in the form of options to purchase mutual funds invested in companies other than the Company. The Executive Share Option Program was frozen effective December 31, 2004. Accordingly, no new deferrals or contributions to the Executive Share Options Program have been made after that date and no new participants will enter the plan.</w:t>
      </w:r>
    </w:p>
    <w:p>
      <w:pPr>
        <w:spacing w:after="0" w:line="146" w:lineRule="exact"/>
        <w:rPr>
          <w:sz w:val="20"/>
          <w:szCs w:val="20"/>
          <w:color w:val="auto"/>
        </w:rPr>
      </w:pPr>
    </w:p>
    <w:p>
      <w:pPr>
        <w:ind w:right="180" w:firstLine="360"/>
        <w:spacing w:after="0" w:line="257" w:lineRule="auto"/>
        <w:rPr>
          <w:sz w:val="20"/>
          <w:szCs w:val="20"/>
          <w:color w:val="auto"/>
        </w:rPr>
      </w:pPr>
      <w:r>
        <w:rPr>
          <w:rFonts w:ascii="Arial" w:cs="Arial" w:eastAsia="Arial" w:hAnsi="Arial"/>
          <w:sz w:val="18"/>
          <w:szCs w:val="18"/>
          <w:color w:val="auto"/>
        </w:rPr>
        <w:t>The Company’s Non-Qualified Deferred Compensation Program (1981) permitted key employees to annually elect (via individual contracts) to defer a portion of their compensation until their retirement. The plan has been closed to any additional deferrals since January 2001. The retirement benefit to be provided is based upon the amount of compensation deferred and the age of the individual at the time of the contracted deferral. To assist in funding the deferred compensation liability, the Company invested in corporate-owned life insurance policies. See “Compensation Discussion and Analysis—Deferred Compensation Plan (1981)” for a description of this plan.</w:t>
      </w:r>
    </w:p>
    <w:p>
      <w:pPr>
        <w:spacing w:after="0" w:line="161" w:lineRule="exact"/>
        <w:rPr>
          <w:sz w:val="20"/>
          <w:szCs w:val="20"/>
          <w:color w:val="auto"/>
        </w:rPr>
      </w:pPr>
    </w:p>
    <w:p>
      <w:pPr>
        <w:ind w:right="140" w:firstLine="360"/>
        <w:spacing w:after="0" w:line="259" w:lineRule="auto"/>
        <w:rPr>
          <w:sz w:val="20"/>
          <w:szCs w:val="20"/>
          <w:color w:val="auto"/>
        </w:rPr>
      </w:pPr>
      <w:r>
        <w:rPr>
          <w:rFonts w:ascii="Arial" w:cs="Arial" w:eastAsia="Arial" w:hAnsi="Arial"/>
          <w:sz w:val="18"/>
          <w:szCs w:val="18"/>
          <w:color w:val="auto"/>
        </w:rPr>
        <w:t>The Company’s Executive Deferred Compensation Plan permits Named Executive Officers to defer a portion of their salary and all or a portion of their cash incentive award compensation. The Executive Deferred Compensation Plan was effective as of January 1, 2007 and will apply to compensation paid to participants on and after such date. See “Compensation Discussion and Analysis—Executive Deferred Compensation Plan 2007 (Non-Qualified Deferred Compensation Plan)” for a description of this plan.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Payments upon Termination or Change of Control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Change of Control Agreements</w:t>
      </w:r>
    </w:p>
    <w:p>
      <w:pPr>
        <w:spacing w:after="0" w:line="198"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During fiscal 2001, the Board of Directors approved Executive Change of Control Agreements (the “Agreements”) for certain executive officers of the Company and, at later dates, approved Agreements for certain other executive officers, including Named Executive Officers not previously a party to an Agreement. The purpose of the Agreements is to reinforce and encourage such executives to maintain objectivity and a high level of attention to their duties without distraction from the possibility of a change of control of the Company. These Agreements provide that in the event of a “Change of Control” of the Company, as that term is defined in the Agreements and summarized below, each such executive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such Change of Control occurs when the executive is in the employ of the Company) would receive, in the event he or she ceases to be employed by the Company within three years following a Change of Control of the Company (for a reason other than death, disability, willful misconduct, normal retirement or under certain circumstances a voluntary termination of employment by the executive), a lump sum equal to three times the average of the aggregate annual compensation paid to the executive during the three fiscal years preceding the Change of Control.</w:t>
      </w:r>
    </w:p>
    <w:p>
      <w:pPr>
        <w:spacing w:after="0" w:line="141" w:lineRule="exact"/>
        <w:rPr>
          <w:sz w:val="20"/>
          <w:szCs w:val="20"/>
          <w:color w:val="auto"/>
        </w:rPr>
      </w:pPr>
    </w:p>
    <w:p>
      <w:pPr>
        <w:ind w:right="60" w:firstLine="360"/>
        <w:spacing w:after="0" w:line="290" w:lineRule="auto"/>
        <w:rPr>
          <w:sz w:val="20"/>
          <w:szCs w:val="20"/>
          <w:color w:val="auto"/>
        </w:rPr>
      </w:pPr>
      <w:r>
        <w:rPr>
          <w:rFonts w:ascii="Arial" w:cs="Arial" w:eastAsia="Arial" w:hAnsi="Arial"/>
          <w:sz w:val="16"/>
          <w:szCs w:val="16"/>
          <w:color w:val="auto"/>
        </w:rPr>
        <w:t>In addition, under the Agreements, if an executive’s employment is terminated (other than as described above) within three years following a Change of Control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the Change of Control occurs when the executive is in the employ of the Company) the executive would be entitled to (i) life, dental, vision, long term disability and health insurance benefits for three years following such “Change of Control”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the dental, vision and health insurance benefits, such benefits shall be extended to the time the executive reaches age 65), (ii) transfer of title to the company car, if any, then utilized by such executive to such executive, (iii) continued coverage, at the Company’s expense, in the Executive Split Dollar Life Insurance Program, under certain circumstances until the later of the time the executive reaches age 55 or three years following the executive’s termination, (iv) immediate vesting under any of the Company’s deferred compensation plans and deferred bonus plans and immediate vesting of all stock options, restricted stock and rights, (v) purchase by the Company, at the option of the executive, of any restricted stock then owned by the executive at the fair market value thereof and (vi) a</w:t>
      </w:r>
    </w:p>
    <w:p>
      <w:pPr>
        <w:sectPr>
          <w:pgSz w:w="11900" w:h="16838" w:orient="portrait"/>
          <w:cols w:equalWidth="0" w:num="1">
            <w:col w:w="11420"/>
          </w:cols>
          <w:pgMar w:left="240" w:top="125" w:right="239" w:bottom="0" w:gutter="0" w:footer="0" w:header="0"/>
        </w:sectPr>
      </w:pPr>
    </w:p>
    <w:bookmarkStart w:id="28" w:name="page29"/>
    <w:bookmarkEnd w:id="28"/>
    <w:p>
      <w:pPr>
        <w:spacing w:after="0" w:line="3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cash payment of the amount necessary to ensure that the payments or value of the benefits listed in this paragraph and the immediately preceding paragraph are not subject to net reduction due to the imposition of federal excise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81"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8"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color w:val="auto"/>
        </w:rPr>
        <w:t xml:space="preserve">Under the Agreements, a “Change of Control” occurs when (i) any person or other entity (except for the Company and certain Hanson family members or certain related persons or entities to the Company or such Hanson family members) acquires 20 percent or more of the outstanding stock of the Company or (ii) individuals who shall qualify as Continuing Directors (as defined below) shall have ceased for any reason to constitute at least a majority of the Board of Directors of the Company;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in the case of either clause (i) or (ii) a Change of Control shall not be deemed to have occurred if the event shall have been approved prior to the occurrence thereof by a majority of the Continuing Directors who shall then be members of such Board of Directors. “Continuing Director” means (i) any member of the Company’s Board of Directors, while such person is a member of the Board, who is not an affiliate or associate of any person or group described in clause (i) of the preceding sentence (an “acquiring person”) or of any such acquiring person’s affiliate or associate and was a member of the Board prior to the time when such acquiring person shall have become an acquiring person and (ii) any successor of a Continuing Director, while such successor is a member of the Board, who is not an acquiring person or any affiliate or associate of any acquiring person or a representative or nominee of an acquiring person or of any affiliate or associate of such acquiring person and is recommended or elected to succeed the Continuing Director by a majority of the Continuing Directors.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Incentive Plan Payments</w:t>
      </w:r>
    </w:p>
    <w:p>
      <w:pPr>
        <w:spacing w:after="0" w:line="185"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In the event of a “Change of Control” (as defined in the Officers Incentive Compensation Plan), participants are entitled to receive awards (including any annual supplementary cash match payment) within 15 days of the effective date of the Change of Control based upon the Committee’s estimate of the Company’s financial performance through the end of the fiscal year in which such Change of Control occurs. A participant must be employed by the Company at the end of the fiscal year to be eligible for any previous quarterly holdback allocations, except for a Change of Control as described above or as waived by the Committee for normal retirement, disability and death.</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Incentive Plan Payments</w:t>
      </w:r>
    </w:p>
    <w:p>
      <w:pPr>
        <w:spacing w:after="0" w:line="185"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color w:val="auto"/>
        </w:rPr>
        <w:t>In the event of a “Change of Control” (as defined in each of the Long-Term Incentive Plans) participants are entitled to receive awards within 15 days of the effective date of the Change of Control based on the Committee’s estimate of the Company’s financial performance through the end of the Long-Term Incentive Plan three-year fiscal period in which such Change of Control occurs. A participant must be employed by the Company at the end of the three-year fiscal period to be eligible for any long-term incentive award, except for a Change of Control as described above or as waived by the Committee for normal retirement, disability and death.</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2004 Incentive Compensation Plan Payments</w:t>
      </w:r>
    </w:p>
    <w:p>
      <w:pPr>
        <w:spacing w:after="0" w:line="198" w:lineRule="exact"/>
        <w:rPr>
          <w:sz w:val="20"/>
          <w:szCs w:val="20"/>
          <w:color w:val="auto"/>
        </w:rPr>
      </w:pPr>
    </w:p>
    <w:p>
      <w:pPr>
        <w:ind w:right="440" w:firstLine="360"/>
        <w:spacing w:after="0" w:line="277" w:lineRule="auto"/>
        <w:rPr>
          <w:sz w:val="20"/>
          <w:szCs w:val="20"/>
          <w:color w:val="auto"/>
        </w:rPr>
      </w:pPr>
      <w:r>
        <w:rPr>
          <w:rFonts w:ascii="Arial" w:cs="Arial" w:eastAsia="Arial" w:hAnsi="Arial"/>
          <w:sz w:val="18"/>
          <w:szCs w:val="18"/>
          <w:i w:val="1"/>
          <w:iCs w:val="1"/>
          <w:color w:val="auto"/>
        </w:rPr>
        <w:t xml:space="preserve">Restricted Stock. </w:t>
      </w:r>
      <w:r>
        <w:rPr>
          <w:rFonts w:ascii="Arial" w:cs="Arial" w:eastAsia="Arial" w:hAnsi="Arial"/>
          <w:sz w:val="18"/>
          <w:szCs w:val="18"/>
          <w:color w:val="auto"/>
        </w:rPr>
        <w:t>Pursuant to restricted award agreements entered into by each Named Executive Officer, unvested awards of restricted stock will</w:t>
      </w:r>
      <w:r>
        <w:rPr>
          <w:rFonts w:ascii="Arial" w:cs="Arial" w:eastAsia="Arial" w:hAnsi="Arial"/>
          <w:sz w:val="18"/>
          <w:szCs w:val="18"/>
          <w:i w:val="1"/>
          <w:iCs w:val="1"/>
          <w:color w:val="auto"/>
        </w:rPr>
        <w:t xml:space="preserve"> </w:t>
      </w:r>
      <w:r>
        <w:rPr>
          <w:rFonts w:ascii="Arial" w:cs="Arial" w:eastAsia="Arial" w:hAnsi="Arial"/>
          <w:sz w:val="18"/>
          <w:szCs w:val="18"/>
          <w:color w:val="auto"/>
        </w:rPr>
        <w:t>immediately vest to Named Executive Officers under the following circumstances:</w:t>
      </w:r>
    </w:p>
    <w:p>
      <w:pPr>
        <w:spacing w:after="0" w:line="184" w:lineRule="exact"/>
        <w:rPr>
          <w:sz w:val="20"/>
          <w:szCs w:val="20"/>
          <w:color w:val="auto"/>
        </w:rPr>
      </w:pPr>
    </w:p>
    <w:p>
      <w:pPr>
        <w:ind w:left="1020" w:right="360" w:hanging="472"/>
        <w:spacing w:after="0" w:line="334" w:lineRule="auto"/>
        <w:tabs>
          <w:tab w:leader="none" w:pos="10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If a Named Executive Officer’s termination of employment is due to his or her retirement and occurs after at least five consecutive years of employment with the Company, any unvested awards of restricted stock immediately vest if the participant is at least 55 years of age;</w:t>
      </w:r>
    </w:p>
    <w:p>
      <w:pPr>
        <w:spacing w:after="0" w:line="1" w:lineRule="exact"/>
        <w:rPr>
          <w:rFonts w:ascii="Arial" w:cs="Arial" w:eastAsia="Arial" w:hAnsi="Arial"/>
          <w:sz w:val="16"/>
          <w:szCs w:val="16"/>
          <w:color w:val="auto"/>
        </w:rPr>
      </w:pPr>
    </w:p>
    <w:p>
      <w:pPr>
        <w:ind w:left="1020" w:right="380" w:hanging="472"/>
        <w:spacing w:after="0" w:line="308" w:lineRule="auto"/>
        <w:tabs>
          <w:tab w:leader="none" w:pos="10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If the Named Executive Officer’s termination of employment is due to his or her disability (as defined in the 2004 Plan) and occurs after at least five consecutive years of employment with the Company, any unvested awards of restricted stock immediately vest; and</w:t>
      </w:r>
    </w:p>
    <w:p>
      <w:pPr>
        <w:spacing w:after="0" w:line="11" w:lineRule="exact"/>
        <w:rPr>
          <w:rFonts w:ascii="Arial" w:cs="Arial" w:eastAsia="Arial" w:hAnsi="Arial"/>
          <w:sz w:val="17"/>
          <w:szCs w:val="17"/>
          <w:color w:val="auto"/>
        </w:rPr>
      </w:pPr>
    </w:p>
    <w:p>
      <w:pPr>
        <w:ind w:left="1020" w:right="560" w:hanging="472"/>
        <w:spacing w:after="0" w:line="308" w:lineRule="auto"/>
        <w:tabs>
          <w:tab w:leader="none" w:pos="10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If the Named Executive Officer’s termination of employment is due to his or her death and occurs after at least five consecutive years of employment with the Company or any subsidiary, any unvested awards of restricted stock shall immediately vest.</w:t>
      </w:r>
    </w:p>
    <w:p>
      <w:pPr>
        <w:spacing w:after="0" w:line="160" w:lineRule="exact"/>
        <w:rPr>
          <w:sz w:val="20"/>
          <w:szCs w:val="20"/>
          <w:color w:val="auto"/>
        </w:rPr>
      </w:pPr>
    </w:p>
    <w:p>
      <w:pPr>
        <w:ind w:right="80" w:firstLine="360"/>
        <w:spacing w:after="0" w:line="264" w:lineRule="auto"/>
        <w:rPr>
          <w:sz w:val="20"/>
          <w:szCs w:val="20"/>
          <w:color w:val="auto"/>
        </w:rPr>
      </w:pPr>
      <w:r>
        <w:rPr>
          <w:rFonts w:ascii="Arial" w:cs="Arial" w:eastAsia="Arial" w:hAnsi="Arial"/>
          <w:sz w:val="18"/>
          <w:szCs w:val="18"/>
          <w:color w:val="auto"/>
        </w:rPr>
        <w:t>In addition, any restricted shares that are not vested under the 2004 Plan will vest upon a “Change of Control” ( as defined in the 2004 Plan) of the Company. In all other circumstances, in the event that a Named Executive Officer ceases to be employed by the Company or any subsidiary, any awards held by such grantee will terminate and thereafter be null and void.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85" w:lineRule="exact"/>
        <w:rPr>
          <w:sz w:val="20"/>
          <w:szCs w:val="20"/>
          <w:color w:val="auto"/>
        </w:rPr>
      </w:pPr>
    </w:p>
    <w:p>
      <w:pPr>
        <w:jc w:val="both"/>
        <w:ind w:right="40" w:firstLine="360"/>
        <w:spacing w:after="0" w:line="264" w:lineRule="auto"/>
        <w:rPr>
          <w:sz w:val="20"/>
          <w:szCs w:val="20"/>
          <w:color w:val="auto"/>
        </w:rPr>
      </w:pPr>
      <w:r>
        <w:rPr>
          <w:rFonts w:ascii="Arial" w:cs="Arial" w:eastAsia="Arial" w:hAnsi="Arial"/>
          <w:sz w:val="18"/>
          <w:szCs w:val="18"/>
          <w:color w:val="auto"/>
        </w:rPr>
        <w:t>Any options not vested under the 2004 Plan will vest upon a “Change of Control” (as defined in the 2004 Plan) of the Company, pursuant to the terms of the 2004 Plan. In the event that a Named Executive Officer ceases to be employed by the Company, stock options held by such Named Executive Officer will vest as follows:</w:t>
      </w:r>
    </w:p>
    <w:p>
      <w:pPr>
        <w:spacing w:after="0" w:line="208" w:lineRule="exact"/>
        <w:rPr>
          <w:sz w:val="20"/>
          <w:szCs w:val="20"/>
          <w:color w:val="auto"/>
        </w:rPr>
      </w:pPr>
    </w:p>
    <w:p>
      <w:pPr>
        <w:ind w:left="1020" w:right="160" w:hanging="472"/>
        <w:spacing w:after="0" w:line="259" w:lineRule="auto"/>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If the Named Executive Officer’s termination of employment is due to his or her retirement, and occurs after at least five consecutive years of employment with the Company, the stock options become vested in full and immediately exercisable for a period of three months following such termination of employment for incentive stock options and for a period of 10 years after any stock option grant date for non-qualified stock options.</w:t>
      </w:r>
    </w:p>
    <w:p>
      <w:pPr>
        <w:spacing w:after="0" w:line="51" w:lineRule="exact"/>
        <w:rPr>
          <w:rFonts w:ascii="Arial" w:cs="Arial" w:eastAsia="Arial" w:hAnsi="Arial"/>
          <w:sz w:val="18"/>
          <w:szCs w:val="18"/>
          <w:color w:val="auto"/>
        </w:rPr>
      </w:pPr>
    </w:p>
    <w:p>
      <w:pPr>
        <w:ind w:left="1020" w:right="260" w:hanging="472"/>
        <w:spacing w:after="0" w:line="259" w:lineRule="auto"/>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If the Named Executive Officer’s termination of employment is due to his or her disability and occurs after at least five consecutive years of employment with the Company, the stock options become vested in full and immediately exercisable for a period of one year following such termination of employment for incentive stock options and for a period of 10 years after any stock option grant date for non-qualified stock options.</w:t>
      </w:r>
    </w:p>
    <w:p>
      <w:pPr>
        <w:sectPr>
          <w:pgSz w:w="11900" w:h="16872" w:orient="portrait"/>
          <w:cols w:equalWidth="0" w:num="1">
            <w:col w:w="11400"/>
          </w:cols>
          <w:pgMar w:left="240" w:top="125" w:right="259" w:bottom="0" w:gutter="0" w:footer="0" w:header="0"/>
        </w:sectPr>
      </w:pPr>
    </w:p>
    <w:bookmarkStart w:id="29" w:name="page30"/>
    <w:bookmarkEnd w:id="29"/>
    <w:p>
      <w:pPr>
        <w:ind w:left="1020" w:right="100" w:hanging="472"/>
        <w:spacing w:after="0" w:line="259" w:lineRule="auto"/>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If the Named Executive Officer’s termination of employment is due to his or her death and occurs after at least five consecutive years of employment with the Company, the options shall become vested in full and immediately exercisable by the Named Executive Officer’s estate or legal representative for a period of one year following such termination of employment and shall thereafter terminate, for both incentive and non-qualified stock options.</w:t>
      </w:r>
    </w:p>
    <w:p>
      <w:pPr>
        <w:spacing w:after="0" w:line="200"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color w:val="auto"/>
        </w:rPr>
        <w:t>In the event that a Named Executive Officer ceases to be employed by the Company other than because of retirement, disability or death or if retirement, disability or death occurs before the Named Executive Officer has completed five consecutive years of employment with the Company, any outstanding stock options held by the Named Executive Officer which have not vested as of the date of termination of employment will terminate and the Named Executive Officer may exercise any options in which he or she is vested at the date of termination of employment for a period of three months following such date of termination of employment.</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E</w:t>
      </w:r>
      <w:r>
        <w:rPr>
          <w:rFonts w:ascii="Arial" w:cs="Arial" w:eastAsia="Arial" w:hAnsi="Arial"/>
          <w:sz w:val="18"/>
          <w:szCs w:val="18"/>
          <w:color w:val="auto"/>
        </w:rPr>
        <w:t>STIMATED</w:t>
      </w:r>
      <w:r>
        <w:rPr>
          <w:rFonts w:ascii="Arial" w:cs="Arial" w:eastAsia="Arial" w:hAnsi="Arial"/>
          <w:sz w:val="22"/>
          <w:szCs w:val="22"/>
          <w:color w:val="auto"/>
        </w:rPr>
        <w:t xml:space="preserve"> C</w:t>
      </w:r>
      <w:r>
        <w:rPr>
          <w:rFonts w:ascii="Arial" w:cs="Arial" w:eastAsia="Arial" w:hAnsi="Arial"/>
          <w:sz w:val="18"/>
          <w:szCs w:val="18"/>
          <w:color w:val="auto"/>
        </w:rPr>
        <w:t>HANGE OF</w:t>
      </w:r>
      <w:r>
        <w:rPr>
          <w:rFonts w:ascii="Arial" w:cs="Arial" w:eastAsia="Arial" w:hAnsi="Arial"/>
          <w:sz w:val="22"/>
          <w:szCs w:val="22"/>
          <w:color w:val="auto"/>
        </w:rPr>
        <w:t xml:space="preserve"> C</w:t>
      </w:r>
      <w:r>
        <w:rPr>
          <w:rFonts w:ascii="Arial" w:cs="Arial" w:eastAsia="Arial" w:hAnsi="Arial"/>
          <w:sz w:val="18"/>
          <w:szCs w:val="18"/>
          <w:color w:val="auto"/>
        </w:rPr>
        <w:t>ONTROL OR</w:t>
      </w:r>
      <w:r>
        <w:rPr>
          <w:rFonts w:ascii="Arial" w:cs="Arial" w:eastAsia="Arial" w:hAnsi="Arial"/>
          <w:sz w:val="22"/>
          <w:szCs w:val="22"/>
          <w:color w:val="auto"/>
        </w:rPr>
        <w:t xml:space="preserve"> T</w:t>
      </w:r>
      <w:r>
        <w:rPr>
          <w:rFonts w:ascii="Arial" w:cs="Arial" w:eastAsia="Arial" w:hAnsi="Arial"/>
          <w:sz w:val="18"/>
          <w:szCs w:val="18"/>
          <w:color w:val="auto"/>
        </w:rPr>
        <w:t>ERMINATION</w:t>
      </w:r>
      <w:r>
        <w:rPr>
          <w:rFonts w:ascii="Arial" w:cs="Arial" w:eastAsia="Arial" w:hAnsi="Arial"/>
          <w:sz w:val="22"/>
          <w:szCs w:val="22"/>
          <w:color w:val="auto"/>
        </w:rPr>
        <w:t xml:space="preserve"> P</w:t>
      </w:r>
      <w:r>
        <w:rPr>
          <w:rFonts w:ascii="Arial" w:cs="Arial" w:eastAsia="Arial" w:hAnsi="Arial"/>
          <w:sz w:val="18"/>
          <w:szCs w:val="18"/>
          <w:color w:val="auto"/>
        </w:rPr>
        <w:t>AYMENTS AND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w:t>
      </w:r>
      <w:r>
        <w:rPr>
          <w:rFonts w:ascii="Arial" w:cs="Arial" w:eastAsia="Arial" w:hAnsi="Arial"/>
          <w:sz w:val="18"/>
          <w:szCs w:val="18"/>
          <w:color w:val="auto"/>
        </w:rPr>
        <w:t>ENEFITS AT THE</w:t>
      </w:r>
      <w:r>
        <w:rPr>
          <w:rFonts w:ascii="Arial" w:cs="Arial" w:eastAsia="Arial" w:hAnsi="Arial"/>
          <w:sz w:val="22"/>
          <w:szCs w:val="22"/>
          <w:color w:val="auto"/>
        </w:rPr>
        <w:t xml:space="preserve"> E</w:t>
      </w:r>
      <w:r>
        <w:rPr>
          <w:rFonts w:ascii="Arial" w:cs="Arial" w:eastAsia="Arial" w:hAnsi="Arial"/>
          <w:sz w:val="18"/>
          <w:szCs w:val="18"/>
          <w:color w:val="auto"/>
        </w:rPr>
        <w:t>ND OF</w:t>
      </w:r>
      <w:r>
        <w:rPr>
          <w:rFonts w:ascii="Arial" w:cs="Arial" w:eastAsia="Arial" w:hAnsi="Arial"/>
          <w:sz w:val="22"/>
          <w:szCs w:val="22"/>
          <w:color w:val="auto"/>
        </w:rPr>
        <w:t xml:space="preserve"> F</w:t>
      </w:r>
      <w:r>
        <w:rPr>
          <w:rFonts w:ascii="Arial" w:cs="Arial" w:eastAsia="Arial" w:hAnsi="Arial"/>
          <w:sz w:val="18"/>
          <w:szCs w:val="18"/>
          <w:color w:val="auto"/>
        </w:rPr>
        <w:t>ISCAL 2007</w:t>
      </w:r>
    </w:p>
    <w:p>
      <w:pPr>
        <w:spacing w:after="0" w:line="195" w:lineRule="exact"/>
        <w:rPr>
          <w:sz w:val="20"/>
          <w:szCs w:val="20"/>
          <w:color w:val="auto"/>
        </w:rPr>
      </w:pPr>
    </w:p>
    <w:p>
      <w:pPr>
        <w:ind w:firstLine="360"/>
        <w:spacing w:after="0" w:line="273" w:lineRule="auto"/>
        <w:rPr>
          <w:sz w:val="20"/>
          <w:szCs w:val="20"/>
          <w:color w:val="auto"/>
        </w:rPr>
      </w:pPr>
      <w:r>
        <w:rPr>
          <w:rFonts w:ascii="Arial" w:cs="Arial" w:eastAsia="Arial" w:hAnsi="Arial"/>
          <w:sz w:val="17"/>
          <w:szCs w:val="17"/>
          <w:color w:val="auto"/>
        </w:rPr>
        <w:t>The tables below reflect the payments and benefits payable to each of the Named Executive Officers (other than Edwin F. Barker) in the event of a termination of the executive’s employment under several different circumstances. The amounts shown assume that termination was effective as of August 25, 2007, at the executive’s compensation and service levels as of that date, and are estimates of the amounts that would be payable to the Named Executive Officers in each situation. The actual amounts to be paid out can only be determined at the time of an executive’s actual separation from the Company. Factors that could affect the nature and amount of the amounts paid on termination of employment, among others, include the timing of event, compensation level, the market price of the Company’s common stock and the executive’s 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81"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N</w:t>
      </w:r>
      <w:r>
        <w:rPr>
          <w:rFonts w:ascii="Arial" w:cs="Arial" w:eastAsia="Arial" w:hAnsi="Arial"/>
          <w:sz w:val="18"/>
          <w:szCs w:val="18"/>
          <w:color w:val="auto"/>
        </w:rPr>
        <w:t>AMED</w:t>
      </w:r>
      <w:r>
        <w:rPr>
          <w:rFonts w:ascii="Arial" w:cs="Arial" w:eastAsia="Arial" w:hAnsi="Arial"/>
          <w:sz w:val="22"/>
          <w:szCs w:val="22"/>
          <w:color w:val="auto"/>
        </w:rPr>
        <w:t xml:space="preserve"> E</w:t>
      </w:r>
      <w:r>
        <w:rPr>
          <w:rFonts w:ascii="Arial" w:cs="Arial" w:eastAsia="Arial" w:hAnsi="Arial"/>
          <w:sz w:val="18"/>
          <w:szCs w:val="18"/>
          <w:color w:val="auto"/>
        </w:rPr>
        <w:t>XECUTIVE</w:t>
      </w:r>
      <w:r>
        <w:rPr>
          <w:rFonts w:ascii="Arial" w:cs="Arial" w:eastAsia="Arial" w:hAnsi="Arial"/>
          <w:sz w:val="22"/>
          <w:szCs w:val="22"/>
          <w:color w:val="auto"/>
        </w:rPr>
        <w:t>: B</w:t>
      </w:r>
      <w:r>
        <w:rPr>
          <w:rFonts w:ascii="Arial" w:cs="Arial" w:eastAsia="Arial" w:hAnsi="Arial"/>
          <w:sz w:val="18"/>
          <w:szCs w:val="18"/>
          <w:color w:val="auto"/>
        </w:rPr>
        <w:t>RUCE</w:t>
      </w:r>
      <w:r>
        <w:rPr>
          <w:rFonts w:ascii="Arial" w:cs="Arial" w:eastAsia="Arial" w:hAnsi="Arial"/>
          <w:sz w:val="22"/>
          <w:szCs w:val="22"/>
          <w:color w:val="auto"/>
        </w:rPr>
        <w:t xml:space="preserve"> D. H</w:t>
      </w:r>
      <w:r>
        <w:rPr>
          <w:rFonts w:ascii="Arial" w:cs="Arial" w:eastAsia="Arial" w:hAnsi="Arial"/>
          <w:sz w:val="18"/>
          <w:szCs w:val="18"/>
          <w:color w:val="auto"/>
        </w:rPr>
        <w:t>ERTZKE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Involuntary</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40" w:type="dxa"/>
            <w:vAlign w:val="bottom"/>
            <w:gridSpan w:val="4"/>
            <w:vMerge w:val="restart"/>
          </w:tcPr>
          <w:p>
            <w:pPr>
              <w:ind w:left="660"/>
              <w:spacing w:after="0"/>
              <w:rPr>
                <w:sz w:val="20"/>
                <w:szCs w:val="20"/>
                <w:color w:val="auto"/>
              </w:rPr>
            </w:pPr>
            <w:r>
              <w:rPr>
                <w:rFonts w:ascii="Arial" w:cs="Arial" w:eastAsia="Arial" w:hAnsi="Arial"/>
                <w:sz w:val="14"/>
                <w:szCs w:val="14"/>
                <w:b w:val="1"/>
                <w:bCs w:val="1"/>
                <w:color w:val="auto"/>
              </w:rPr>
              <w:t>Change of Control</w:t>
            </w: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Termination</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40" w:type="dxa"/>
            <w:vAlign w:val="bottom"/>
            <w:gridSpan w:val="4"/>
            <w:vMerge w:val="continue"/>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Executive Payments and</w:t>
            </w: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vMerge w:val="restart"/>
          </w:tcPr>
          <w:p>
            <w:pPr>
              <w:jc w:val="right"/>
              <w:ind w:right="333"/>
              <w:spacing w:after="0"/>
              <w:rPr>
                <w:sz w:val="20"/>
                <w:szCs w:val="20"/>
                <w:color w:val="auto"/>
              </w:rPr>
            </w:pPr>
            <w:r>
              <w:rPr>
                <w:rFonts w:ascii="Arial" w:cs="Arial" w:eastAsia="Arial" w:hAnsi="Arial"/>
                <w:sz w:val="14"/>
                <w:szCs w:val="14"/>
                <w:b w:val="1"/>
                <w:bCs w:val="1"/>
                <w:color w:val="auto"/>
              </w:rPr>
              <w:t>Without</w:t>
            </w:r>
          </w:p>
        </w:tc>
        <w:tc>
          <w:tcPr>
            <w:tcW w:w="2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center"/>
              <w:ind w:right="13"/>
              <w:spacing w:after="0" w:line="133" w:lineRule="exact"/>
              <w:rPr>
                <w:sz w:val="20"/>
                <w:szCs w:val="20"/>
                <w:color w:val="auto"/>
              </w:rPr>
            </w:pPr>
            <w:r>
              <w:rPr>
                <w:rFonts w:ascii="Arial" w:cs="Arial" w:eastAsia="Arial" w:hAnsi="Arial"/>
                <w:sz w:val="14"/>
                <w:szCs w:val="14"/>
                <w:b w:val="1"/>
                <w:bCs w:val="1"/>
                <w:color w:val="auto"/>
                <w:w w:val="94"/>
              </w:rPr>
              <w:t>Termination</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4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w w:val="87"/>
              </w:rPr>
              <w:t>Retirement</w:t>
            </w:r>
            <w:r>
              <w:rPr>
                <w:rFonts w:ascii="Arial" w:cs="Arial" w:eastAsia="Arial" w:hAnsi="Arial"/>
                <w:sz w:val="23"/>
                <w:szCs w:val="23"/>
                <w:b w:val="1"/>
                <w:bCs w:val="1"/>
                <w:color w:val="auto"/>
                <w:w w:val="87"/>
                <w:vertAlign w:val="superscript"/>
              </w:rPr>
              <w:t>(1)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For Cause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Without Cause /</w:t>
            </w:r>
          </w:p>
        </w:tc>
        <w:tc>
          <w:tcPr>
            <w:tcW w:w="340" w:type="dxa"/>
            <w:vAlign w:val="bottom"/>
          </w:tcPr>
          <w:p>
            <w:pPr>
              <w:spacing w:after="0"/>
              <w:rPr>
                <w:sz w:val="12"/>
                <w:szCs w:val="12"/>
                <w:color w:val="auto"/>
              </w:rPr>
            </w:pPr>
          </w:p>
        </w:tc>
        <w:tc>
          <w:tcPr>
            <w:tcW w:w="98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Death</w:t>
            </w:r>
          </w:p>
        </w:tc>
        <w:tc>
          <w:tcPr>
            <w:tcW w:w="300" w:type="dxa"/>
            <w:vAlign w:val="bottom"/>
          </w:tcPr>
          <w:p>
            <w:pPr>
              <w:spacing w:after="0"/>
              <w:rPr>
                <w:sz w:val="12"/>
                <w:szCs w:val="12"/>
                <w:color w:val="auto"/>
              </w:rPr>
            </w:pPr>
          </w:p>
        </w:tc>
        <w:tc>
          <w:tcPr>
            <w:tcW w:w="9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Disability</w:t>
            </w:r>
          </w:p>
        </w:tc>
        <w:tc>
          <w:tcPr>
            <w:tcW w:w="0" w:type="dxa"/>
            <w:vAlign w:val="bottom"/>
          </w:tcPr>
          <w:p>
            <w:pPr>
              <w:spacing w:after="0"/>
              <w:rPr>
                <w:sz w:val="1"/>
                <w:szCs w:val="1"/>
                <w:color w:val="auto"/>
              </w:rPr>
            </w:pPr>
          </w:p>
        </w:tc>
      </w:tr>
      <w:tr>
        <w:trPr>
          <w:trHeight w:val="178"/>
        </w:trPr>
        <w:tc>
          <w:tcPr>
            <w:tcW w:w="3040" w:type="dxa"/>
            <w:vAlign w:val="bottom"/>
            <w:gridSpan w:val="2"/>
          </w:tcPr>
          <w:p>
            <w:pPr>
              <w:spacing w:after="0"/>
              <w:rPr>
                <w:sz w:val="20"/>
                <w:szCs w:val="20"/>
                <w:color w:val="auto"/>
              </w:rPr>
            </w:pPr>
            <w:r>
              <w:rPr>
                <w:rFonts w:ascii="Arial" w:cs="Arial" w:eastAsia="Arial" w:hAnsi="Arial"/>
                <w:sz w:val="14"/>
                <w:szCs w:val="14"/>
                <w:b w:val="1"/>
                <w:bCs w:val="1"/>
                <w:color w:val="auto"/>
              </w:rPr>
              <w:t>Benefits Upon</w:t>
            </w:r>
          </w:p>
        </w:tc>
        <w:tc>
          <w:tcPr>
            <w:tcW w:w="32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ind w:right="213"/>
              <w:spacing w:after="0"/>
              <w:rPr>
                <w:sz w:val="20"/>
                <w:szCs w:val="20"/>
                <w:color w:val="auto"/>
              </w:rPr>
            </w:pPr>
            <w:r>
              <w:rPr>
                <w:rFonts w:ascii="Arial" w:cs="Arial" w:eastAsia="Arial" w:hAnsi="Arial"/>
                <w:sz w:val="14"/>
                <w:szCs w:val="14"/>
                <w:b w:val="1"/>
                <w:bCs w:val="1"/>
                <w:color w:val="auto"/>
                <w:w w:val="94"/>
              </w:rPr>
              <w:t>Termination</w:t>
            </w:r>
          </w:p>
        </w:tc>
        <w:tc>
          <w:tcPr>
            <w:tcW w:w="260" w:type="dxa"/>
            <w:vAlign w:val="bottom"/>
          </w:tcPr>
          <w:p>
            <w:pPr>
              <w:spacing w:after="0"/>
              <w:rPr>
                <w:sz w:val="15"/>
                <w:szCs w:val="15"/>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Good Reason</w:t>
            </w:r>
          </w:p>
        </w:tc>
        <w:tc>
          <w:tcPr>
            <w:tcW w:w="3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Borders>
              <w:top w:val="single" w:sz="8" w:color="auto"/>
            </w:tcBorders>
            <w:shd w:val="clear" w:color="auto" w:fill="D6F3E8"/>
          </w:tcPr>
          <w:p>
            <w:pPr>
              <w:spacing w:after="0"/>
              <w:rPr>
                <w:sz w:val="20"/>
                <w:szCs w:val="20"/>
                <w:color w:val="auto"/>
              </w:rPr>
            </w:pPr>
            <w:r>
              <w:rPr>
                <w:rFonts w:ascii="Arial" w:cs="Arial" w:eastAsia="Arial" w:hAnsi="Arial"/>
                <w:sz w:val="18"/>
                <w:szCs w:val="18"/>
                <w:color w:val="auto"/>
              </w:rPr>
              <w:t>Compensation:</w:t>
            </w:r>
          </w:p>
        </w:tc>
        <w:tc>
          <w:tcPr>
            <w:tcW w:w="320" w:type="dxa"/>
            <w:vAlign w:val="bottom"/>
            <w:tcBorders>
              <w:top w:val="single" w:sz="8" w:color="auto"/>
            </w:tcBorders>
            <w:shd w:val="clear" w:color="auto" w:fill="D6F3E8"/>
          </w:tcPr>
          <w:p>
            <w:pPr>
              <w:spacing w:after="0"/>
              <w:rPr>
                <w:sz w:val="18"/>
                <w:szCs w:val="18"/>
                <w:color w:val="auto"/>
              </w:rPr>
            </w:pPr>
          </w:p>
        </w:tc>
        <w:tc>
          <w:tcPr>
            <w:tcW w:w="1080" w:type="dxa"/>
            <w:vAlign w:val="bottom"/>
            <w:tcBorders>
              <w:top w:val="single" w:sz="8" w:color="auto"/>
            </w:tcBorders>
            <w:shd w:val="clear" w:color="auto" w:fill="D6F3E8"/>
          </w:tcPr>
          <w:p>
            <w:pPr>
              <w:spacing w:after="0"/>
              <w:rPr>
                <w:sz w:val="18"/>
                <w:szCs w:val="18"/>
                <w:color w:val="auto"/>
              </w:rPr>
            </w:pPr>
          </w:p>
        </w:tc>
        <w:tc>
          <w:tcPr>
            <w:tcW w:w="160" w:type="dxa"/>
            <w:vAlign w:val="bottom"/>
            <w:tcBorders>
              <w:top w:val="single" w:sz="8" w:color="auto"/>
            </w:tcBorders>
            <w:shd w:val="clear" w:color="auto" w:fill="D6F3E8"/>
          </w:tcPr>
          <w:p>
            <w:pPr>
              <w:spacing w:after="0"/>
              <w:rPr>
                <w:sz w:val="18"/>
                <w:szCs w:val="18"/>
                <w:color w:val="auto"/>
              </w:rPr>
            </w:pPr>
          </w:p>
        </w:tc>
        <w:tc>
          <w:tcPr>
            <w:tcW w:w="100" w:type="dxa"/>
            <w:vAlign w:val="bottom"/>
            <w:tcBorders>
              <w:top w:val="single" w:sz="8" w:color="auto"/>
            </w:tcBorders>
            <w:shd w:val="clear" w:color="auto" w:fill="D6F3E8"/>
          </w:tcPr>
          <w:p>
            <w:pPr>
              <w:spacing w:after="0"/>
              <w:rPr>
                <w:sz w:val="18"/>
                <w:szCs w:val="18"/>
                <w:color w:val="auto"/>
              </w:rPr>
            </w:pPr>
          </w:p>
        </w:tc>
        <w:tc>
          <w:tcPr>
            <w:tcW w:w="920" w:type="dxa"/>
            <w:vAlign w:val="bottom"/>
            <w:tcBorders>
              <w:top w:val="single" w:sz="8" w:color="auto"/>
            </w:tcBorders>
            <w:shd w:val="clear" w:color="auto" w:fill="D6F3E8"/>
          </w:tcPr>
          <w:p>
            <w:pPr>
              <w:spacing w:after="0"/>
              <w:rPr>
                <w:sz w:val="18"/>
                <w:szCs w:val="18"/>
                <w:color w:val="auto"/>
              </w:rPr>
            </w:pPr>
          </w:p>
        </w:tc>
        <w:tc>
          <w:tcPr>
            <w:tcW w:w="160" w:type="dxa"/>
            <w:vAlign w:val="bottom"/>
            <w:tcBorders>
              <w:top w:val="single" w:sz="8" w:color="auto"/>
            </w:tcBorders>
            <w:shd w:val="clear" w:color="auto" w:fill="D6F3E8"/>
          </w:tcPr>
          <w:p>
            <w:pPr>
              <w:spacing w:after="0"/>
              <w:rPr>
                <w:sz w:val="18"/>
                <w:szCs w:val="18"/>
                <w:color w:val="auto"/>
              </w:rPr>
            </w:pPr>
          </w:p>
        </w:tc>
        <w:tc>
          <w:tcPr>
            <w:tcW w:w="160" w:type="dxa"/>
            <w:vAlign w:val="bottom"/>
            <w:tcBorders>
              <w:top w:val="single" w:sz="8" w:color="auto"/>
            </w:tcBorders>
            <w:shd w:val="clear" w:color="auto" w:fill="D6F3E8"/>
          </w:tcPr>
          <w:p>
            <w:pPr>
              <w:spacing w:after="0"/>
              <w:rPr>
                <w:sz w:val="18"/>
                <w:szCs w:val="18"/>
                <w:color w:val="auto"/>
              </w:rPr>
            </w:pPr>
          </w:p>
        </w:tc>
        <w:tc>
          <w:tcPr>
            <w:tcW w:w="100" w:type="dxa"/>
            <w:vAlign w:val="bottom"/>
            <w:tcBorders>
              <w:top w:val="single" w:sz="8" w:color="auto"/>
            </w:tcBorders>
            <w:shd w:val="clear" w:color="auto" w:fill="D6F3E8"/>
          </w:tcPr>
          <w:p>
            <w:pPr>
              <w:spacing w:after="0"/>
              <w:rPr>
                <w:sz w:val="18"/>
                <w:szCs w:val="18"/>
                <w:color w:val="auto"/>
              </w:rPr>
            </w:pPr>
          </w:p>
        </w:tc>
        <w:tc>
          <w:tcPr>
            <w:tcW w:w="1080" w:type="dxa"/>
            <w:vAlign w:val="bottom"/>
            <w:tcBorders>
              <w:top w:val="single" w:sz="8" w:color="auto"/>
            </w:tcBorders>
            <w:shd w:val="clear" w:color="auto" w:fill="D6F3E8"/>
          </w:tcPr>
          <w:p>
            <w:pPr>
              <w:spacing w:after="0"/>
              <w:rPr>
                <w:sz w:val="18"/>
                <w:szCs w:val="18"/>
                <w:color w:val="auto"/>
              </w:rPr>
            </w:pPr>
          </w:p>
        </w:tc>
        <w:tc>
          <w:tcPr>
            <w:tcW w:w="260" w:type="dxa"/>
            <w:vAlign w:val="bottom"/>
            <w:tcBorders>
              <w:top w:val="single" w:sz="8" w:color="auto"/>
            </w:tcBorders>
            <w:shd w:val="clear" w:color="auto" w:fill="D6F3E8"/>
          </w:tcPr>
          <w:p>
            <w:pPr>
              <w:spacing w:after="0"/>
              <w:rPr>
                <w:sz w:val="18"/>
                <w:szCs w:val="18"/>
                <w:color w:val="auto"/>
              </w:rPr>
            </w:pPr>
          </w:p>
        </w:tc>
        <w:tc>
          <w:tcPr>
            <w:tcW w:w="1220" w:type="dxa"/>
            <w:vAlign w:val="bottom"/>
            <w:tcBorders>
              <w:top w:val="single" w:sz="8" w:color="auto"/>
            </w:tcBorders>
            <w:shd w:val="clear" w:color="auto" w:fill="D6F3E8"/>
          </w:tcPr>
          <w:p>
            <w:pPr>
              <w:spacing w:after="0"/>
              <w:rPr>
                <w:sz w:val="18"/>
                <w:szCs w:val="18"/>
                <w:color w:val="auto"/>
              </w:rPr>
            </w:pPr>
          </w:p>
        </w:tc>
        <w:tc>
          <w:tcPr>
            <w:tcW w:w="180" w:type="dxa"/>
            <w:vAlign w:val="bottom"/>
            <w:tcBorders>
              <w:top w:val="single" w:sz="8" w:color="auto"/>
            </w:tcBorders>
            <w:shd w:val="clear" w:color="auto" w:fill="D6F3E8"/>
          </w:tcPr>
          <w:p>
            <w:pPr>
              <w:spacing w:after="0"/>
              <w:rPr>
                <w:sz w:val="18"/>
                <w:szCs w:val="18"/>
                <w:color w:val="auto"/>
              </w:rPr>
            </w:pPr>
          </w:p>
        </w:tc>
        <w:tc>
          <w:tcPr>
            <w:tcW w:w="340" w:type="dxa"/>
            <w:vAlign w:val="bottom"/>
            <w:tcBorders>
              <w:top w:val="single" w:sz="8" w:color="auto"/>
            </w:tcBorders>
            <w:shd w:val="clear" w:color="auto" w:fill="D6F3E8"/>
          </w:tcPr>
          <w:p>
            <w:pPr>
              <w:spacing w:after="0"/>
              <w:rPr>
                <w:sz w:val="18"/>
                <w:szCs w:val="18"/>
                <w:color w:val="auto"/>
              </w:rPr>
            </w:pPr>
          </w:p>
        </w:tc>
        <w:tc>
          <w:tcPr>
            <w:tcW w:w="980" w:type="dxa"/>
            <w:vAlign w:val="bottom"/>
            <w:tcBorders>
              <w:top w:val="single" w:sz="8" w:color="auto"/>
            </w:tcBorders>
            <w:shd w:val="clear" w:color="auto" w:fill="D6F3E8"/>
          </w:tcPr>
          <w:p>
            <w:pPr>
              <w:spacing w:after="0"/>
              <w:rPr>
                <w:sz w:val="18"/>
                <w:szCs w:val="18"/>
                <w:color w:val="auto"/>
              </w:rPr>
            </w:pPr>
          </w:p>
        </w:tc>
        <w:tc>
          <w:tcPr>
            <w:tcW w:w="300" w:type="dxa"/>
            <w:vAlign w:val="bottom"/>
            <w:tcBorders>
              <w:top w:val="single" w:sz="8" w:color="auto"/>
            </w:tcBorders>
            <w:shd w:val="clear" w:color="auto" w:fill="D6F3E8"/>
          </w:tcPr>
          <w:p>
            <w:pPr>
              <w:spacing w:after="0"/>
              <w:rPr>
                <w:sz w:val="18"/>
                <w:szCs w:val="18"/>
                <w:color w:val="auto"/>
              </w:rPr>
            </w:pPr>
          </w:p>
        </w:tc>
        <w:tc>
          <w:tcPr>
            <w:tcW w:w="880" w:type="dxa"/>
            <w:vAlign w:val="bottom"/>
            <w:tcBorders>
              <w:top w:val="single" w:sz="8" w:color="auto"/>
            </w:tcBorders>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020" w:type="dxa"/>
            <w:vAlign w:val="bottom"/>
          </w:tcPr>
          <w:p>
            <w:pPr>
              <w:ind w:left="160"/>
              <w:spacing w:after="0" w:line="206" w:lineRule="exact"/>
              <w:rPr>
                <w:sz w:val="20"/>
                <w:szCs w:val="20"/>
                <w:color w:val="auto"/>
              </w:rPr>
            </w:pPr>
            <w:r>
              <w:rPr>
                <w:rFonts w:ascii="Arial" w:cs="Arial" w:eastAsia="Arial" w:hAnsi="Arial"/>
                <w:sz w:val="18"/>
                <w:szCs w:val="18"/>
                <w:color w:val="auto"/>
              </w:rPr>
              <w:t>Severance Benefit (Change of</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3020" w:type="dxa"/>
            <w:vAlign w:val="bottom"/>
          </w:tcPr>
          <w:p>
            <w:pPr>
              <w:ind w:left="260"/>
              <w:spacing w:after="0" w:line="266" w:lineRule="exact"/>
              <w:rPr>
                <w:sz w:val="20"/>
                <w:szCs w:val="20"/>
                <w:color w:val="auto"/>
              </w:rPr>
            </w:pPr>
            <w:r>
              <w:rPr>
                <w:rFonts w:ascii="Arial" w:cs="Arial" w:eastAsia="Arial" w:hAnsi="Arial"/>
                <w:sz w:val="18"/>
                <w:szCs w:val="18"/>
                <w:color w:val="auto"/>
              </w:rPr>
              <w:t>Control)</w:t>
            </w:r>
            <w:r>
              <w:rPr>
                <w:rFonts w:ascii="Arial" w:cs="Arial" w:eastAsia="Arial" w:hAnsi="Arial"/>
                <w:sz w:val="30"/>
                <w:szCs w:val="30"/>
                <w:color w:val="auto"/>
                <w:vertAlign w:val="superscript"/>
              </w:rPr>
              <w:t>(2)</w:t>
            </w:r>
          </w:p>
        </w:tc>
        <w:tc>
          <w:tcPr>
            <w:tcW w:w="320" w:type="dxa"/>
            <w:vAlign w:val="bottom"/>
          </w:tcPr>
          <w:p>
            <w:pPr>
              <w:spacing w:after="0"/>
              <w:rPr>
                <w:sz w:val="23"/>
                <w:szCs w:val="23"/>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3,217,423</w:t>
            </w:r>
          </w:p>
        </w:tc>
        <w:tc>
          <w:tcPr>
            <w:tcW w:w="34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D6F3E8"/>
          </w:tcPr>
          <w:p>
            <w:pPr>
              <w:ind w:left="160"/>
              <w:spacing w:after="0"/>
              <w:rPr>
                <w:sz w:val="20"/>
                <w:szCs w:val="20"/>
                <w:color w:val="auto"/>
              </w:rPr>
            </w:pPr>
            <w:r>
              <w:rPr>
                <w:rFonts w:ascii="Arial" w:cs="Arial" w:eastAsia="Arial" w:hAnsi="Arial"/>
                <w:sz w:val="18"/>
                <w:szCs w:val="18"/>
                <w:color w:val="auto"/>
              </w:rPr>
              <w:t>Tax Gross Up</w:t>
            </w:r>
          </w:p>
        </w:tc>
        <w:tc>
          <w:tcPr>
            <w:tcW w:w="320" w:type="dxa"/>
            <w:vAlign w:val="bottom"/>
            <w:shd w:val="clear" w:color="auto" w:fill="D6F3E8"/>
          </w:tcPr>
          <w:p>
            <w:pPr>
              <w:spacing w:after="0"/>
              <w:rPr>
                <w:sz w:val="18"/>
                <w:szCs w:val="18"/>
                <w:color w:val="auto"/>
              </w:rPr>
            </w:pPr>
          </w:p>
        </w:tc>
        <w:tc>
          <w:tcPr>
            <w:tcW w:w="1080" w:type="dxa"/>
            <w:vAlign w:val="bottom"/>
            <w:shd w:val="clear" w:color="auto" w:fill="D6F3E8"/>
          </w:tcPr>
          <w:p>
            <w:pPr>
              <w:jc w:val="right"/>
              <w:ind w:right="71"/>
              <w:spacing w:after="0"/>
              <w:rPr>
                <w:sz w:val="20"/>
                <w:szCs w:val="20"/>
                <w:color w:val="auto"/>
              </w:rPr>
            </w:pPr>
            <w:r>
              <w:rPr>
                <w:rFonts w:ascii="Arial" w:cs="Arial" w:eastAsia="Arial" w:hAnsi="Arial"/>
                <w:sz w:val="18"/>
                <w:szCs w:val="18"/>
                <w:color w:val="auto"/>
              </w:rPr>
              <w:t>—</w:t>
            </w:r>
          </w:p>
        </w:tc>
        <w:tc>
          <w:tcPr>
            <w:tcW w:w="16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108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1080" w:type="dxa"/>
            <w:vAlign w:val="bottom"/>
            <w:shd w:val="clear" w:color="auto" w:fill="D6F3E8"/>
          </w:tcPr>
          <w:p>
            <w:pPr>
              <w:jc w:val="right"/>
              <w:ind w:right="93"/>
              <w:spacing w:after="0"/>
              <w:rPr>
                <w:sz w:val="20"/>
                <w:szCs w:val="20"/>
                <w:color w:val="auto"/>
              </w:rPr>
            </w:pPr>
            <w:r>
              <w:rPr>
                <w:rFonts w:ascii="Arial" w:cs="Arial" w:eastAsia="Arial" w:hAnsi="Arial"/>
                <w:sz w:val="18"/>
                <w:szCs w:val="18"/>
                <w:color w:val="auto"/>
              </w:rPr>
              <w:t>—</w:t>
            </w:r>
          </w:p>
        </w:tc>
        <w:tc>
          <w:tcPr>
            <w:tcW w:w="260" w:type="dxa"/>
            <w:vAlign w:val="bottom"/>
            <w:shd w:val="clear" w:color="auto" w:fill="D6F3E8"/>
          </w:tcPr>
          <w:p>
            <w:pPr>
              <w:spacing w:after="0"/>
              <w:rPr>
                <w:sz w:val="18"/>
                <w:szCs w:val="18"/>
                <w:color w:val="auto"/>
              </w:rPr>
            </w:pPr>
          </w:p>
        </w:tc>
        <w:tc>
          <w:tcPr>
            <w:tcW w:w="140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D6F3E8"/>
          </w:tcPr>
          <w:p>
            <w:pPr>
              <w:spacing w:after="0"/>
              <w:rPr>
                <w:sz w:val="18"/>
                <w:szCs w:val="18"/>
                <w:color w:val="auto"/>
              </w:rPr>
            </w:pPr>
          </w:p>
        </w:tc>
        <w:tc>
          <w:tcPr>
            <w:tcW w:w="980" w:type="dxa"/>
            <w:vAlign w:val="bottom"/>
            <w:shd w:val="clear" w:color="auto" w:fill="D6F3E8"/>
          </w:tcPr>
          <w:p>
            <w:pPr>
              <w:jc w:val="right"/>
              <w:ind w:right="71"/>
              <w:spacing w:after="0"/>
              <w:rPr>
                <w:sz w:val="20"/>
                <w:szCs w:val="20"/>
                <w:color w:val="auto"/>
              </w:rPr>
            </w:pPr>
            <w:r>
              <w:rPr>
                <w:rFonts w:ascii="Arial" w:cs="Arial" w:eastAsia="Arial" w:hAnsi="Arial"/>
                <w:sz w:val="18"/>
                <w:szCs w:val="18"/>
                <w:color w:val="auto"/>
              </w:rPr>
              <w:t>—</w:t>
            </w:r>
          </w:p>
        </w:tc>
        <w:tc>
          <w:tcPr>
            <w:tcW w:w="300" w:type="dxa"/>
            <w:vAlign w:val="bottom"/>
            <w:shd w:val="clear" w:color="auto" w:fill="D6F3E8"/>
          </w:tcPr>
          <w:p>
            <w:pPr>
              <w:spacing w:after="0"/>
              <w:rPr>
                <w:sz w:val="18"/>
                <w:szCs w:val="18"/>
                <w:color w:val="auto"/>
              </w:rPr>
            </w:pPr>
          </w:p>
        </w:tc>
        <w:tc>
          <w:tcPr>
            <w:tcW w:w="98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Annual Incentives:</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20" w:type="dxa"/>
            <w:vAlign w:val="bottom"/>
            <w:shd w:val="clear" w:color="auto" w:fill="D6F3E8"/>
          </w:tcPr>
          <w:p>
            <w:pPr>
              <w:ind w:left="160"/>
              <w:spacing w:after="0" w:line="256" w:lineRule="exact"/>
              <w:rPr>
                <w:sz w:val="20"/>
                <w:szCs w:val="20"/>
                <w:color w:val="auto"/>
              </w:rPr>
            </w:pPr>
            <w:r>
              <w:rPr>
                <w:rFonts w:ascii="Arial" w:cs="Arial" w:eastAsia="Arial" w:hAnsi="Arial"/>
                <w:sz w:val="18"/>
                <w:szCs w:val="18"/>
                <w:color w:val="auto"/>
              </w:rPr>
              <w:t>Annual Incentive Plan</w:t>
            </w:r>
            <w:r>
              <w:rPr>
                <w:rFonts w:ascii="Arial" w:cs="Arial" w:eastAsia="Arial" w:hAnsi="Arial"/>
                <w:sz w:val="29"/>
                <w:szCs w:val="29"/>
                <w:color w:val="auto"/>
                <w:vertAlign w:val="superscript"/>
              </w:rPr>
              <w:t>(3)</w:t>
            </w:r>
          </w:p>
        </w:tc>
        <w:tc>
          <w:tcPr>
            <w:tcW w:w="3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D6F3E8"/>
          </w:tcPr>
          <w:p>
            <w:pPr>
              <w:jc w:val="right"/>
              <w:ind w:right="71"/>
              <w:spacing w:after="0"/>
              <w:rPr>
                <w:sz w:val="20"/>
                <w:szCs w:val="20"/>
                <w:color w:val="auto"/>
              </w:rPr>
            </w:pPr>
            <w:r>
              <w:rPr>
                <w:rFonts w:ascii="Arial" w:cs="Arial" w:eastAsia="Arial" w:hAnsi="Arial"/>
                <w:sz w:val="18"/>
                <w:szCs w:val="18"/>
                <w:color w:val="auto"/>
              </w:rPr>
              <w:t>643,298</w:t>
            </w:r>
          </w:p>
        </w:tc>
        <w:tc>
          <w:tcPr>
            <w:tcW w:w="26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643,298</w:t>
            </w:r>
          </w:p>
        </w:tc>
        <w:tc>
          <w:tcPr>
            <w:tcW w:w="26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6F3E8"/>
          </w:tcPr>
          <w:p>
            <w:pPr>
              <w:jc w:val="right"/>
              <w:ind w:right="93"/>
              <w:spacing w:after="0"/>
              <w:rPr>
                <w:sz w:val="20"/>
                <w:szCs w:val="20"/>
                <w:color w:val="auto"/>
              </w:rPr>
            </w:pPr>
            <w:r>
              <w:rPr>
                <w:rFonts w:ascii="Arial" w:cs="Arial" w:eastAsia="Arial" w:hAnsi="Arial"/>
                <w:sz w:val="18"/>
                <w:szCs w:val="18"/>
                <w:color w:val="auto"/>
              </w:rPr>
              <w:t>643,298</w:t>
            </w:r>
          </w:p>
        </w:tc>
        <w:tc>
          <w:tcPr>
            <w:tcW w:w="260" w:type="dxa"/>
            <w:vAlign w:val="bottom"/>
            <w:shd w:val="clear" w:color="auto" w:fill="D6F3E8"/>
          </w:tcPr>
          <w:p>
            <w:pPr>
              <w:spacing w:after="0"/>
              <w:rPr>
                <w:sz w:val="22"/>
                <w:szCs w:val="22"/>
                <w:color w:val="auto"/>
              </w:rPr>
            </w:pPr>
          </w:p>
        </w:tc>
        <w:tc>
          <w:tcPr>
            <w:tcW w:w="1400" w:type="dxa"/>
            <w:vAlign w:val="bottom"/>
            <w:gridSpan w:val="2"/>
            <w:shd w:val="clear" w:color="auto" w:fill="D6F3E8"/>
          </w:tcPr>
          <w:p>
            <w:pPr>
              <w:ind w:left="20"/>
              <w:spacing w:after="0"/>
              <w:rPr>
                <w:sz w:val="20"/>
                <w:szCs w:val="20"/>
                <w:color w:val="auto"/>
              </w:rPr>
            </w:pPr>
            <w:r>
              <w:rPr>
                <w:rFonts w:ascii="Arial" w:cs="Arial" w:eastAsia="Arial" w:hAnsi="Arial"/>
                <w:sz w:val="18"/>
                <w:szCs w:val="18"/>
                <w:color w:val="auto"/>
                <w:w w:val="99"/>
              </w:rPr>
              <w:t>(Included Above)</w:t>
            </w:r>
          </w:p>
        </w:tc>
        <w:tc>
          <w:tcPr>
            <w:tcW w:w="340" w:type="dxa"/>
            <w:vAlign w:val="bottom"/>
            <w:shd w:val="clear" w:color="auto" w:fill="D6F3E8"/>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D6F3E8"/>
          </w:tcPr>
          <w:p>
            <w:pPr>
              <w:jc w:val="right"/>
              <w:ind w:right="71"/>
              <w:spacing w:after="0"/>
              <w:rPr>
                <w:sz w:val="20"/>
                <w:szCs w:val="20"/>
                <w:color w:val="auto"/>
              </w:rPr>
            </w:pPr>
            <w:r>
              <w:rPr>
                <w:rFonts w:ascii="Arial" w:cs="Arial" w:eastAsia="Arial" w:hAnsi="Arial"/>
                <w:sz w:val="18"/>
                <w:szCs w:val="18"/>
                <w:color w:val="auto"/>
              </w:rPr>
              <w:t>643,298</w:t>
            </w:r>
          </w:p>
        </w:tc>
        <w:tc>
          <w:tcPr>
            <w:tcW w:w="3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643,298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Long-Term Incentives:</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20" w:type="dxa"/>
            <w:vAlign w:val="bottom"/>
            <w:shd w:val="clear" w:color="auto" w:fill="D6F3E8"/>
          </w:tcPr>
          <w:p>
            <w:pPr>
              <w:ind w:left="160"/>
              <w:spacing w:after="0" w:line="256" w:lineRule="exact"/>
              <w:rPr>
                <w:sz w:val="20"/>
                <w:szCs w:val="20"/>
                <w:color w:val="auto"/>
              </w:rPr>
            </w:pPr>
            <w:r>
              <w:rPr>
                <w:rFonts w:ascii="Arial" w:cs="Arial" w:eastAsia="Arial" w:hAnsi="Arial"/>
                <w:sz w:val="18"/>
                <w:szCs w:val="18"/>
                <w:color w:val="auto"/>
              </w:rPr>
              <w:t>LTIP</w:t>
            </w:r>
            <w:r>
              <w:rPr>
                <w:rFonts w:ascii="Arial" w:cs="Arial" w:eastAsia="Arial" w:hAnsi="Arial"/>
                <w:sz w:val="29"/>
                <w:szCs w:val="29"/>
                <w:color w:val="auto"/>
                <w:vertAlign w:val="superscript"/>
              </w:rPr>
              <w:t>(4)</w:t>
            </w:r>
          </w:p>
        </w:tc>
        <w:tc>
          <w:tcPr>
            <w:tcW w:w="3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D6F3E8"/>
          </w:tcPr>
          <w:p>
            <w:pPr>
              <w:jc w:val="right"/>
              <w:ind w:right="71"/>
              <w:spacing w:after="0"/>
              <w:rPr>
                <w:sz w:val="20"/>
                <w:szCs w:val="20"/>
                <w:color w:val="auto"/>
              </w:rPr>
            </w:pPr>
            <w:r>
              <w:rPr>
                <w:rFonts w:ascii="Arial" w:cs="Arial" w:eastAsia="Arial" w:hAnsi="Arial"/>
                <w:sz w:val="18"/>
                <w:szCs w:val="18"/>
                <w:color w:val="auto"/>
              </w:rPr>
              <w:t>52,839</w:t>
            </w:r>
          </w:p>
        </w:tc>
        <w:tc>
          <w:tcPr>
            <w:tcW w:w="160" w:type="dxa"/>
            <w:vAlign w:val="bottom"/>
            <w:shd w:val="clear" w:color="auto" w:fill="D6F3E8"/>
          </w:tcPr>
          <w:p>
            <w:pPr>
              <w:spacing w:after="0"/>
              <w:rPr>
                <w:sz w:val="22"/>
                <w:szCs w:val="22"/>
                <w:color w:val="auto"/>
              </w:rPr>
            </w:pPr>
          </w:p>
        </w:tc>
        <w:tc>
          <w:tcPr>
            <w:tcW w:w="100" w:type="dxa"/>
            <w:vAlign w:val="bottom"/>
            <w:shd w:val="clear" w:color="auto" w:fill="D6F3E8"/>
          </w:tcPr>
          <w:p>
            <w:pPr>
              <w:spacing w:after="0"/>
              <w:rPr>
                <w:sz w:val="22"/>
                <w:szCs w:val="22"/>
                <w:color w:val="auto"/>
              </w:rPr>
            </w:pPr>
          </w:p>
        </w:tc>
        <w:tc>
          <w:tcPr>
            <w:tcW w:w="108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D6F3E8"/>
          </w:tcPr>
          <w:p>
            <w:pPr>
              <w:spacing w:after="0"/>
              <w:rPr>
                <w:sz w:val="22"/>
                <w:szCs w:val="22"/>
                <w:color w:val="auto"/>
              </w:rPr>
            </w:pPr>
          </w:p>
        </w:tc>
        <w:tc>
          <w:tcPr>
            <w:tcW w:w="100" w:type="dxa"/>
            <w:vAlign w:val="bottom"/>
            <w:shd w:val="clear" w:color="auto" w:fill="D6F3E8"/>
          </w:tcPr>
          <w:p>
            <w:pPr>
              <w:spacing w:after="0"/>
              <w:rPr>
                <w:sz w:val="22"/>
                <w:szCs w:val="22"/>
                <w:color w:val="auto"/>
              </w:rPr>
            </w:pPr>
          </w:p>
        </w:tc>
        <w:tc>
          <w:tcPr>
            <w:tcW w:w="1080" w:type="dxa"/>
            <w:vAlign w:val="bottom"/>
            <w:shd w:val="clear" w:color="auto" w:fill="D6F3E8"/>
          </w:tcPr>
          <w:p>
            <w:pPr>
              <w:jc w:val="right"/>
              <w:ind w:right="93"/>
              <w:spacing w:after="0"/>
              <w:rPr>
                <w:sz w:val="20"/>
                <w:szCs w:val="20"/>
                <w:color w:val="auto"/>
              </w:rPr>
            </w:pPr>
            <w:r>
              <w:rPr>
                <w:rFonts w:ascii="Arial" w:cs="Arial" w:eastAsia="Arial" w:hAnsi="Arial"/>
                <w:sz w:val="18"/>
                <w:szCs w:val="18"/>
                <w:color w:val="auto"/>
              </w:rPr>
              <w:t>—</w:t>
            </w:r>
          </w:p>
        </w:tc>
        <w:tc>
          <w:tcPr>
            <w:tcW w:w="2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158,518</w:t>
            </w:r>
          </w:p>
        </w:tc>
        <w:tc>
          <w:tcPr>
            <w:tcW w:w="340" w:type="dxa"/>
            <w:vAlign w:val="bottom"/>
            <w:shd w:val="clear" w:color="auto" w:fill="D6F3E8"/>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D6F3E8"/>
          </w:tcPr>
          <w:p>
            <w:pPr>
              <w:jc w:val="right"/>
              <w:ind w:right="71"/>
              <w:spacing w:after="0"/>
              <w:rPr>
                <w:sz w:val="20"/>
                <w:szCs w:val="20"/>
                <w:color w:val="auto"/>
              </w:rPr>
            </w:pPr>
            <w:r>
              <w:rPr>
                <w:rFonts w:ascii="Arial" w:cs="Arial" w:eastAsia="Arial" w:hAnsi="Arial"/>
                <w:sz w:val="18"/>
                <w:szCs w:val="18"/>
                <w:color w:val="auto"/>
              </w:rPr>
              <w:t>52,829</w:t>
            </w:r>
          </w:p>
        </w:tc>
        <w:tc>
          <w:tcPr>
            <w:tcW w:w="3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52,829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20" w:type="dxa"/>
            <w:vAlign w:val="bottom"/>
          </w:tcPr>
          <w:p>
            <w:pPr>
              <w:ind w:left="160"/>
              <w:spacing w:after="0" w:line="256" w:lineRule="exact"/>
              <w:rPr>
                <w:sz w:val="20"/>
                <w:szCs w:val="20"/>
                <w:color w:val="auto"/>
              </w:rPr>
            </w:pPr>
            <w:r>
              <w:rPr>
                <w:rFonts w:ascii="Arial" w:cs="Arial" w:eastAsia="Arial" w:hAnsi="Arial"/>
                <w:sz w:val="18"/>
                <w:szCs w:val="18"/>
                <w:color w:val="auto"/>
              </w:rPr>
              <w:t xml:space="preserve">Restricted Stock: </w:t>
            </w:r>
            <w:r>
              <w:rPr>
                <w:rFonts w:ascii="Arial" w:cs="Arial" w:eastAsia="Arial" w:hAnsi="Arial"/>
                <w:sz w:val="29"/>
                <w:szCs w:val="29"/>
                <w:color w:val="auto"/>
                <w:vertAlign w:val="superscript"/>
              </w:rPr>
              <w:t>(5)(6)</w:t>
            </w: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D6F3E8"/>
          </w:tcPr>
          <w:p>
            <w:pPr>
              <w:ind w:left="340"/>
              <w:spacing w:after="0"/>
              <w:rPr>
                <w:sz w:val="20"/>
                <w:szCs w:val="20"/>
                <w:color w:val="auto"/>
              </w:rPr>
            </w:pPr>
            <w:r>
              <w:rPr>
                <w:rFonts w:ascii="Arial" w:cs="Arial" w:eastAsia="Arial" w:hAnsi="Arial"/>
                <w:sz w:val="18"/>
                <w:szCs w:val="18"/>
                <w:color w:val="auto"/>
              </w:rPr>
              <w:t>Accelerated Vesting</w:t>
            </w:r>
          </w:p>
        </w:tc>
        <w:tc>
          <w:tcPr>
            <w:tcW w:w="3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D6F3E8"/>
          </w:tcPr>
          <w:p>
            <w:pPr>
              <w:jc w:val="right"/>
              <w:ind w:right="71"/>
              <w:spacing w:after="0"/>
              <w:rPr>
                <w:sz w:val="20"/>
                <w:szCs w:val="20"/>
                <w:color w:val="auto"/>
              </w:rPr>
            </w:pPr>
            <w:r>
              <w:rPr>
                <w:rFonts w:ascii="Arial" w:cs="Arial" w:eastAsia="Arial" w:hAnsi="Arial"/>
                <w:sz w:val="18"/>
                <w:szCs w:val="18"/>
                <w:color w:val="auto"/>
              </w:rPr>
              <w:t>416,100</w:t>
            </w:r>
          </w:p>
        </w:tc>
        <w:tc>
          <w:tcPr>
            <w:tcW w:w="26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416,100</w:t>
            </w:r>
          </w:p>
        </w:tc>
        <w:tc>
          <w:tcPr>
            <w:tcW w:w="16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1080" w:type="dxa"/>
            <w:vAlign w:val="bottom"/>
            <w:shd w:val="clear" w:color="auto" w:fill="D6F3E8"/>
          </w:tcPr>
          <w:p>
            <w:pPr>
              <w:jc w:val="right"/>
              <w:ind w:right="93"/>
              <w:spacing w:after="0"/>
              <w:rPr>
                <w:sz w:val="20"/>
                <w:szCs w:val="20"/>
                <w:color w:val="auto"/>
              </w:rPr>
            </w:pPr>
            <w:r>
              <w:rPr>
                <w:rFonts w:ascii="Arial" w:cs="Arial" w:eastAsia="Arial" w:hAnsi="Arial"/>
                <w:sz w:val="18"/>
                <w:szCs w:val="18"/>
                <w:color w:val="auto"/>
              </w:rPr>
              <w:t>—</w:t>
            </w:r>
          </w:p>
        </w:tc>
        <w:tc>
          <w:tcPr>
            <w:tcW w:w="2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416,100</w:t>
            </w:r>
          </w:p>
        </w:tc>
        <w:tc>
          <w:tcPr>
            <w:tcW w:w="340" w:type="dxa"/>
            <w:vAlign w:val="bottom"/>
            <w:shd w:val="clear" w:color="auto" w:fill="D6F3E8"/>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D6F3E8"/>
          </w:tcPr>
          <w:p>
            <w:pPr>
              <w:jc w:val="right"/>
              <w:ind w:right="71"/>
              <w:spacing w:after="0"/>
              <w:rPr>
                <w:sz w:val="20"/>
                <w:szCs w:val="20"/>
                <w:color w:val="auto"/>
              </w:rPr>
            </w:pPr>
            <w:r>
              <w:rPr>
                <w:rFonts w:ascii="Arial" w:cs="Arial" w:eastAsia="Arial" w:hAnsi="Arial"/>
                <w:sz w:val="18"/>
                <w:szCs w:val="18"/>
                <w:color w:val="auto"/>
              </w:rPr>
              <w:t>416,100</w:t>
            </w:r>
          </w:p>
        </w:tc>
        <w:tc>
          <w:tcPr>
            <w:tcW w:w="3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416,100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20" w:type="dxa"/>
            <w:vAlign w:val="bottom"/>
          </w:tcPr>
          <w:p>
            <w:pPr>
              <w:ind w:left="160"/>
              <w:spacing w:after="0" w:line="256" w:lineRule="exact"/>
              <w:rPr>
                <w:sz w:val="20"/>
                <w:szCs w:val="20"/>
                <w:color w:val="auto"/>
              </w:rPr>
            </w:pPr>
            <w:r>
              <w:rPr>
                <w:rFonts w:ascii="Arial" w:cs="Arial" w:eastAsia="Arial" w:hAnsi="Arial"/>
                <w:sz w:val="18"/>
                <w:szCs w:val="18"/>
                <w:color w:val="auto"/>
              </w:rPr>
              <w:t xml:space="preserve">Options: </w:t>
            </w:r>
            <w:r>
              <w:rPr>
                <w:rFonts w:ascii="Arial" w:cs="Arial" w:eastAsia="Arial" w:hAnsi="Arial"/>
                <w:sz w:val="29"/>
                <w:szCs w:val="29"/>
                <w:color w:val="auto"/>
                <w:vertAlign w:val="superscript"/>
              </w:rPr>
              <w:t>(5)(6)</w:t>
            </w: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D6F3E8"/>
          </w:tcPr>
          <w:p>
            <w:pPr>
              <w:ind w:left="340"/>
              <w:spacing w:after="0"/>
              <w:rPr>
                <w:sz w:val="20"/>
                <w:szCs w:val="20"/>
                <w:color w:val="auto"/>
              </w:rPr>
            </w:pPr>
            <w:r>
              <w:rPr>
                <w:rFonts w:ascii="Arial" w:cs="Arial" w:eastAsia="Arial" w:hAnsi="Arial"/>
                <w:sz w:val="18"/>
                <w:szCs w:val="18"/>
                <w:color w:val="auto"/>
              </w:rPr>
              <w:t>Vested</w:t>
            </w:r>
          </w:p>
        </w:tc>
        <w:tc>
          <w:tcPr>
            <w:tcW w:w="3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D6F3E8"/>
          </w:tcPr>
          <w:p>
            <w:pPr>
              <w:jc w:val="right"/>
              <w:ind w:right="71"/>
              <w:spacing w:after="0"/>
              <w:rPr>
                <w:sz w:val="20"/>
                <w:szCs w:val="20"/>
                <w:color w:val="auto"/>
              </w:rPr>
            </w:pPr>
            <w:r>
              <w:rPr>
                <w:rFonts w:ascii="Arial" w:cs="Arial" w:eastAsia="Arial" w:hAnsi="Arial"/>
                <w:sz w:val="18"/>
                <w:szCs w:val="18"/>
                <w:color w:val="auto"/>
              </w:rPr>
              <w:t>1,469,020</w:t>
            </w:r>
          </w:p>
        </w:tc>
        <w:tc>
          <w:tcPr>
            <w:tcW w:w="26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1,469,020</w:t>
            </w:r>
          </w:p>
        </w:tc>
        <w:tc>
          <w:tcPr>
            <w:tcW w:w="26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6F3E8"/>
          </w:tcPr>
          <w:p>
            <w:pPr>
              <w:jc w:val="right"/>
              <w:ind w:right="93"/>
              <w:spacing w:after="0"/>
              <w:rPr>
                <w:sz w:val="20"/>
                <w:szCs w:val="20"/>
                <w:color w:val="auto"/>
              </w:rPr>
            </w:pPr>
            <w:r>
              <w:rPr>
                <w:rFonts w:ascii="Arial" w:cs="Arial" w:eastAsia="Arial" w:hAnsi="Arial"/>
                <w:sz w:val="18"/>
                <w:szCs w:val="18"/>
                <w:color w:val="auto"/>
              </w:rPr>
              <w:t>1,469,020</w:t>
            </w:r>
          </w:p>
        </w:tc>
        <w:tc>
          <w:tcPr>
            <w:tcW w:w="2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1,469,020</w:t>
            </w:r>
          </w:p>
        </w:tc>
        <w:tc>
          <w:tcPr>
            <w:tcW w:w="340" w:type="dxa"/>
            <w:vAlign w:val="bottom"/>
            <w:shd w:val="clear" w:color="auto" w:fill="D6F3E8"/>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D6F3E8"/>
          </w:tcPr>
          <w:p>
            <w:pPr>
              <w:jc w:val="right"/>
              <w:ind w:right="71"/>
              <w:spacing w:after="0"/>
              <w:rPr>
                <w:sz w:val="20"/>
                <w:szCs w:val="20"/>
                <w:color w:val="auto"/>
              </w:rPr>
            </w:pPr>
            <w:r>
              <w:rPr>
                <w:rFonts w:ascii="Arial" w:cs="Arial" w:eastAsia="Arial" w:hAnsi="Arial"/>
                <w:sz w:val="18"/>
                <w:szCs w:val="18"/>
                <w:color w:val="auto"/>
                <w:w w:val="99"/>
              </w:rPr>
              <w:t>1,469,020</w:t>
            </w:r>
          </w:p>
        </w:tc>
        <w:tc>
          <w:tcPr>
            <w:tcW w:w="3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1,469,020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340"/>
              <w:spacing w:after="0"/>
              <w:rPr>
                <w:sz w:val="20"/>
                <w:szCs w:val="20"/>
                <w:color w:val="auto"/>
              </w:rPr>
            </w:pPr>
            <w:r>
              <w:rPr>
                <w:rFonts w:ascii="Arial" w:cs="Arial" w:eastAsia="Arial" w:hAnsi="Arial"/>
                <w:sz w:val="18"/>
                <w:szCs w:val="18"/>
                <w:color w:val="auto"/>
              </w:rPr>
              <w:t>Accelerated Vesting</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28,667</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28,667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28,667</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28,667</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28,667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D6F3E8"/>
          </w:tcPr>
          <w:p>
            <w:pPr>
              <w:spacing w:after="0"/>
              <w:rPr>
                <w:sz w:val="20"/>
                <w:szCs w:val="20"/>
                <w:color w:val="auto"/>
              </w:rPr>
            </w:pPr>
            <w:r>
              <w:rPr>
                <w:rFonts w:ascii="Arial" w:cs="Arial" w:eastAsia="Arial" w:hAnsi="Arial"/>
                <w:sz w:val="18"/>
                <w:szCs w:val="18"/>
                <w:color w:val="auto"/>
              </w:rPr>
              <w:t>Deferred Compensation Plans:</w:t>
            </w:r>
          </w:p>
        </w:tc>
        <w:tc>
          <w:tcPr>
            <w:tcW w:w="320" w:type="dxa"/>
            <w:vAlign w:val="bottom"/>
            <w:shd w:val="clear" w:color="auto" w:fill="D6F3E8"/>
          </w:tcPr>
          <w:p>
            <w:pPr>
              <w:spacing w:after="0"/>
              <w:rPr>
                <w:sz w:val="18"/>
                <w:szCs w:val="18"/>
                <w:color w:val="auto"/>
              </w:rPr>
            </w:pPr>
          </w:p>
        </w:tc>
        <w:tc>
          <w:tcPr>
            <w:tcW w:w="108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92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1080" w:type="dxa"/>
            <w:vAlign w:val="bottom"/>
            <w:shd w:val="clear" w:color="auto" w:fill="D6F3E8"/>
          </w:tcPr>
          <w:p>
            <w:pPr>
              <w:spacing w:after="0"/>
              <w:rPr>
                <w:sz w:val="18"/>
                <w:szCs w:val="18"/>
                <w:color w:val="auto"/>
              </w:rPr>
            </w:pPr>
          </w:p>
        </w:tc>
        <w:tc>
          <w:tcPr>
            <w:tcW w:w="260" w:type="dxa"/>
            <w:vAlign w:val="bottom"/>
            <w:shd w:val="clear" w:color="auto" w:fill="D6F3E8"/>
          </w:tcPr>
          <w:p>
            <w:pPr>
              <w:spacing w:after="0"/>
              <w:rPr>
                <w:sz w:val="18"/>
                <w:szCs w:val="18"/>
                <w:color w:val="auto"/>
              </w:rPr>
            </w:pPr>
          </w:p>
        </w:tc>
        <w:tc>
          <w:tcPr>
            <w:tcW w:w="122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980" w:type="dxa"/>
            <w:vAlign w:val="bottom"/>
            <w:shd w:val="clear" w:color="auto" w:fill="D6F3E8"/>
          </w:tcPr>
          <w:p>
            <w:pPr>
              <w:spacing w:after="0"/>
              <w:rPr>
                <w:sz w:val="18"/>
                <w:szCs w:val="18"/>
                <w:color w:val="auto"/>
              </w:rPr>
            </w:pPr>
          </w:p>
        </w:tc>
        <w:tc>
          <w:tcPr>
            <w:tcW w:w="300" w:type="dxa"/>
            <w:vAlign w:val="bottom"/>
            <w:shd w:val="clear" w:color="auto" w:fill="D6F3E8"/>
          </w:tcPr>
          <w:p>
            <w:pPr>
              <w:spacing w:after="0"/>
              <w:rPr>
                <w:sz w:val="18"/>
                <w:szCs w:val="18"/>
                <w:color w:val="auto"/>
              </w:rPr>
            </w:pPr>
          </w:p>
        </w:tc>
        <w:tc>
          <w:tcPr>
            <w:tcW w:w="88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020" w:type="dxa"/>
            <w:vAlign w:val="bottom"/>
          </w:tcPr>
          <w:p>
            <w:pPr>
              <w:ind w:left="160"/>
              <w:spacing w:after="0" w:line="206" w:lineRule="exact"/>
              <w:rPr>
                <w:sz w:val="20"/>
                <w:szCs w:val="20"/>
                <w:color w:val="auto"/>
              </w:rPr>
            </w:pPr>
            <w:r>
              <w:rPr>
                <w:rFonts w:ascii="Arial" w:cs="Arial" w:eastAsia="Arial" w:hAnsi="Arial"/>
                <w:sz w:val="18"/>
                <w:szCs w:val="18"/>
                <w:color w:val="auto"/>
                <w:w w:val="98"/>
              </w:rPr>
              <w:t>Deferred Compensation Plan (1981)</w:t>
            </w: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80" w:type="dxa"/>
            <w:vAlign w:val="bottom"/>
            <w:vMerge w:val="restart"/>
          </w:tcPr>
          <w:p>
            <w:pPr>
              <w:jc w:val="right"/>
              <w:ind w:right="71"/>
              <w:spacing w:after="0"/>
              <w:rPr>
                <w:sz w:val="20"/>
                <w:szCs w:val="20"/>
                <w:color w:val="auto"/>
              </w:rPr>
            </w:pPr>
            <w:r>
              <w:rPr>
                <w:rFonts w:ascii="Arial" w:cs="Arial" w:eastAsia="Arial" w:hAnsi="Arial"/>
                <w:sz w:val="18"/>
                <w:szCs w:val="18"/>
                <w:color w:val="auto"/>
              </w:rPr>
              <w:t>2,147,905</w:t>
            </w:r>
          </w:p>
        </w:tc>
        <w:tc>
          <w:tcPr>
            <w:tcW w:w="2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2,147,905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vMerge w:val="restart"/>
          </w:tcPr>
          <w:p>
            <w:pPr>
              <w:jc w:val="right"/>
              <w:ind w:right="93"/>
              <w:spacing w:after="0"/>
              <w:rPr>
                <w:sz w:val="20"/>
                <w:szCs w:val="20"/>
                <w:color w:val="auto"/>
              </w:rPr>
            </w:pPr>
            <w:r>
              <w:rPr>
                <w:rFonts w:ascii="Arial" w:cs="Arial" w:eastAsia="Arial" w:hAnsi="Arial"/>
                <w:sz w:val="18"/>
                <w:szCs w:val="18"/>
                <w:color w:val="auto"/>
              </w:rPr>
              <w:t>—</w:t>
            </w: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2,147,905</w:t>
            </w:r>
          </w:p>
        </w:tc>
        <w:tc>
          <w:tcPr>
            <w:tcW w:w="34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ind w:right="71"/>
              <w:spacing w:after="0"/>
              <w:rPr>
                <w:sz w:val="20"/>
                <w:szCs w:val="20"/>
                <w:color w:val="auto"/>
              </w:rPr>
            </w:pPr>
            <w:r>
              <w:rPr>
                <w:rFonts w:ascii="Arial" w:cs="Arial" w:eastAsia="Arial" w:hAnsi="Arial"/>
                <w:sz w:val="18"/>
                <w:szCs w:val="18"/>
                <w:color w:val="auto"/>
                <w:w w:val="99"/>
              </w:rPr>
              <w:t>2,147,905</w:t>
            </w: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2,147,905</w:t>
            </w:r>
          </w:p>
        </w:tc>
        <w:tc>
          <w:tcPr>
            <w:tcW w:w="0" w:type="dxa"/>
            <w:vAlign w:val="bottom"/>
          </w:tcPr>
          <w:p>
            <w:pPr>
              <w:spacing w:after="0"/>
              <w:rPr>
                <w:sz w:val="1"/>
                <w:szCs w:val="1"/>
                <w:color w:val="auto"/>
              </w:rPr>
            </w:pPr>
          </w:p>
        </w:tc>
      </w:tr>
      <w:tr>
        <w:trPr>
          <w:trHeight w:val="213"/>
        </w:trPr>
        <w:tc>
          <w:tcPr>
            <w:tcW w:w="3040" w:type="dxa"/>
            <w:vAlign w:val="bottom"/>
            <w:gridSpan w:val="2"/>
          </w:tcPr>
          <w:p>
            <w:pPr>
              <w:ind w:left="280"/>
              <w:spacing w:after="0"/>
              <w:rPr>
                <w:sz w:val="20"/>
                <w:szCs w:val="20"/>
                <w:color w:val="auto"/>
              </w:rPr>
            </w:pPr>
            <w:r>
              <w:rPr>
                <w:rFonts w:ascii="Arial" w:cs="Arial" w:eastAsia="Arial" w:hAnsi="Arial"/>
                <w:sz w:val="15"/>
                <w:szCs w:val="15"/>
                <w:color w:val="auto"/>
              </w:rPr>
              <w:t>(7)</w:t>
            </w:r>
          </w:p>
        </w:tc>
        <w:tc>
          <w:tcPr>
            <w:tcW w:w="320" w:type="dxa"/>
            <w:vAlign w:val="bottom"/>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34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020" w:type="dxa"/>
            <w:vAlign w:val="bottom"/>
            <w:shd w:val="clear" w:color="auto" w:fill="D6F3E8"/>
          </w:tcPr>
          <w:p>
            <w:pPr>
              <w:ind w:left="160"/>
              <w:spacing w:after="0" w:line="206" w:lineRule="exact"/>
              <w:rPr>
                <w:sz w:val="20"/>
                <w:szCs w:val="20"/>
                <w:color w:val="auto"/>
              </w:rPr>
            </w:pPr>
            <w:r>
              <w:rPr>
                <w:rFonts w:ascii="Arial" w:cs="Arial" w:eastAsia="Arial" w:hAnsi="Arial"/>
                <w:sz w:val="18"/>
                <w:szCs w:val="18"/>
                <w:color w:val="auto"/>
              </w:rPr>
              <w:t>Split Dollar Life Insurance</w:t>
            </w:r>
          </w:p>
        </w:tc>
        <w:tc>
          <w:tcPr>
            <w:tcW w:w="320" w:type="dxa"/>
            <w:vAlign w:val="bottom"/>
            <w:shd w:val="clear" w:color="auto" w:fill="D6F3E8"/>
          </w:tcPr>
          <w:p>
            <w:pPr>
              <w:spacing w:after="0"/>
              <w:rPr>
                <w:sz w:val="17"/>
                <w:szCs w:val="17"/>
                <w:color w:val="auto"/>
              </w:rPr>
            </w:pPr>
          </w:p>
        </w:tc>
        <w:tc>
          <w:tcPr>
            <w:tcW w:w="1080" w:type="dxa"/>
            <w:vAlign w:val="bottom"/>
            <w:shd w:val="clear" w:color="auto" w:fill="D6F3E8"/>
          </w:tcPr>
          <w:p>
            <w:pPr>
              <w:spacing w:after="0"/>
              <w:rPr>
                <w:sz w:val="17"/>
                <w:szCs w:val="17"/>
                <w:color w:val="auto"/>
              </w:rPr>
            </w:pPr>
          </w:p>
        </w:tc>
        <w:tc>
          <w:tcPr>
            <w:tcW w:w="160" w:type="dxa"/>
            <w:vAlign w:val="bottom"/>
            <w:shd w:val="clear" w:color="auto" w:fill="D6F3E8"/>
          </w:tcPr>
          <w:p>
            <w:pPr>
              <w:spacing w:after="0"/>
              <w:rPr>
                <w:sz w:val="17"/>
                <w:szCs w:val="17"/>
                <w:color w:val="auto"/>
              </w:rPr>
            </w:pPr>
          </w:p>
        </w:tc>
        <w:tc>
          <w:tcPr>
            <w:tcW w:w="100" w:type="dxa"/>
            <w:vAlign w:val="bottom"/>
            <w:shd w:val="clear" w:color="auto" w:fill="D6F3E8"/>
          </w:tcPr>
          <w:p>
            <w:pPr>
              <w:spacing w:after="0"/>
              <w:rPr>
                <w:sz w:val="17"/>
                <w:szCs w:val="17"/>
                <w:color w:val="auto"/>
              </w:rPr>
            </w:pPr>
          </w:p>
        </w:tc>
        <w:tc>
          <w:tcPr>
            <w:tcW w:w="920" w:type="dxa"/>
            <w:vAlign w:val="bottom"/>
            <w:shd w:val="clear" w:color="auto" w:fill="D6F3E8"/>
          </w:tcPr>
          <w:p>
            <w:pPr>
              <w:spacing w:after="0"/>
              <w:rPr>
                <w:sz w:val="17"/>
                <w:szCs w:val="17"/>
                <w:color w:val="auto"/>
              </w:rPr>
            </w:pPr>
          </w:p>
        </w:tc>
        <w:tc>
          <w:tcPr>
            <w:tcW w:w="160" w:type="dxa"/>
            <w:vAlign w:val="bottom"/>
            <w:shd w:val="clear" w:color="auto" w:fill="D6F3E8"/>
          </w:tcPr>
          <w:p>
            <w:pPr>
              <w:spacing w:after="0"/>
              <w:rPr>
                <w:sz w:val="17"/>
                <w:szCs w:val="17"/>
                <w:color w:val="auto"/>
              </w:rPr>
            </w:pPr>
          </w:p>
        </w:tc>
        <w:tc>
          <w:tcPr>
            <w:tcW w:w="160" w:type="dxa"/>
            <w:vAlign w:val="bottom"/>
            <w:shd w:val="clear" w:color="auto" w:fill="D6F3E8"/>
          </w:tcPr>
          <w:p>
            <w:pPr>
              <w:spacing w:after="0"/>
              <w:rPr>
                <w:sz w:val="17"/>
                <w:szCs w:val="17"/>
                <w:color w:val="auto"/>
              </w:rPr>
            </w:pPr>
          </w:p>
        </w:tc>
        <w:tc>
          <w:tcPr>
            <w:tcW w:w="100" w:type="dxa"/>
            <w:vAlign w:val="bottom"/>
            <w:shd w:val="clear" w:color="auto" w:fill="D6F3E8"/>
          </w:tcPr>
          <w:p>
            <w:pPr>
              <w:spacing w:after="0"/>
              <w:rPr>
                <w:sz w:val="17"/>
                <w:szCs w:val="17"/>
                <w:color w:val="auto"/>
              </w:rPr>
            </w:pPr>
          </w:p>
        </w:tc>
        <w:tc>
          <w:tcPr>
            <w:tcW w:w="1080" w:type="dxa"/>
            <w:vAlign w:val="bottom"/>
            <w:shd w:val="clear" w:color="auto" w:fill="D6F3E8"/>
          </w:tcPr>
          <w:p>
            <w:pPr>
              <w:spacing w:after="0"/>
              <w:rPr>
                <w:sz w:val="17"/>
                <w:szCs w:val="17"/>
                <w:color w:val="auto"/>
              </w:rPr>
            </w:pPr>
          </w:p>
        </w:tc>
        <w:tc>
          <w:tcPr>
            <w:tcW w:w="260" w:type="dxa"/>
            <w:vAlign w:val="bottom"/>
            <w:shd w:val="clear" w:color="auto" w:fill="D6F3E8"/>
          </w:tcPr>
          <w:p>
            <w:pPr>
              <w:spacing w:after="0"/>
              <w:rPr>
                <w:sz w:val="17"/>
                <w:szCs w:val="17"/>
                <w:color w:val="auto"/>
              </w:rPr>
            </w:pPr>
          </w:p>
        </w:tc>
        <w:tc>
          <w:tcPr>
            <w:tcW w:w="1220" w:type="dxa"/>
            <w:vAlign w:val="bottom"/>
            <w:shd w:val="clear" w:color="auto" w:fill="D6F3E8"/>
          </w:tcPr>
          <w:p>
            <w:pPr>
              <w:spacing w:after="0"/>
              <w:rPr>
                <w:sz w:val="17"/>
                <w:szCs w:val="17"/>
                <w:color w:val="auto"/>
              </w:rPr>
            </w:pPr>
          </w:p>
        </w:tc>
        <w:tc>
          <w:tcPr>
            <w:tcW w:w="180" w:type="dxa"/>
            <w:vAlign w:val="bottom"/>
            <w:shd w:val="clear" w:color="auto" w:fill="D6F3E8"/>
          </w:tcPr>
          <w:p>
            <w:pPr>
              <w:spacing w:after="0"/>
              <w:rPr>
                <w:sz w:val="17"/>
                <w:szCs w:val="17"/>
                <w:color w:val="auto"/>
              </w:rPr>
            </w:pPr>
          </w:p>
        </w:tc>
        <w:tc>
          <w:tcPr>
            <w:tcW w:w="340" w:type="dxa"/>
            <w:vAlign w:val="bottom"/>
            <w:shd w:val="clear" w:color="auto" w:fill="D6F3E8"/>
          </w:tcPr>
          <w:p>
            <w:pPr>
              <w:spacing w:after="0"/>
              <w:rPr>
                <w:sz w:val="17"/>
                <w:szCs w:val="17"/>
                <w:color w:val="auto"/>
              </w:rPr>
            </w:pPr>
          </w:p>
        </w:tc>
        <w:tc>
          <w:tcPr>
            <w:tcW w:w="980" w:type="dxa"/>
            <w:vAlign w:val="bottom"/>
            <w:shd w:val="clear" w:color="auto" w:fill="D6F3E8"/>
          </w:tcPr>
          <w:p>
            <w:pPr>
              <w:spacing w:after="0"/>
              <w:rPr>
                <w:sz w:val="17"/>
                <w:szCs w:val="17"/>
                <w:color w:val="auto"/>
              </w:rPr>
            </w:pPr>
          </w:p>
        </w:tc>
        <w:tc>
          <w:tcPr>
            <w:tcW w:w="300" w:type="dxa"/>
            <w:vAlign w:val="bottom"/>
            <w:shd w:val="clear" w:color="auto" w:fill="D6F3E8"/>
          </w:tcPr>
          <w:p>
            <w:pPr>
              <w:spacing w:after="0"/>
              <w:rPr>
                <w:sz w:val="17"/>
                <w:szCs w:val="17"/>
                <w:color w:val="auto"/>
              </w:rPr>
            </w:pPr>
          </w:p>
        </w:tc>
        <w:tc>
          <w:tcPr>
            <w:tcW w:w="880" w:type="dxa"/>
            <w:vAlign w:val="bottom"/>
            <w:shd w:val="clear" w:color="auto" w:fill="D6F3E8"/>
          </w:tcPr>
          <w:p>
            <w:pPr>
              <w:spacing w:after="0"/>
              <w:rPr>
                <w:sz w:val="17"/>
                <w:szCs w:val="17"/>
                <w:color w:val="auto"/>
              </w:rPr>
            </w:pPr>
          </w:p>
        </w:tc>
        <w:tc>
          <w:tcPr>
            <w:tcW w:w="100" w:type="dxa"/>
            <w:vAlign w:val="bottom"/>
            <w:shd w:val="clear" w:color="auto" w:fill="D6F3E8"/>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3020" w:type="dxa"/>
            <w:vAlign w:val="bottom"/>
            <w:shd w:val="clear" w:color="auto" w:fill="D6F3E8"/>
          </w:tcPr>
          <w:p>
            <w:pPr>
              <w:ind w:left="260"/>
              <w:spacing w:after="0" w:line="266" w:lineRule="exact"/>
              <w:rPr>
                <w:sz w:val="20"/>
                <w:szCs w:val="20"/>
                <w:color w:val="auto"/>
              </w:rPr>
            </w:pPr>
            <w:r>
              <w:rPr>
                <w:rFonts w:ascii="Arial" w:cs="Arial" w:eastAsia="Arial" w:hAnsi="Arial"/>
                <w:sz w:val="18"/>
                <w:szCs w:val="18"/>
                <w:color w:val="auto"/>
              </w:rPr>
              <w:t>Program</w:t>
            </w:r>
            <w:r>
              <w:rPr>
                <w:rFonts w:ascii="Arial" w:cs="Arial" w:eastAsia="Arial" w:hAnsi="Arial"/>
                <w:sz w:val="30"/>
                <w:szCs w:val="30"/>
                <w:color w:val="auto"/>
                <w:vertAlign w:val="superscript"/>
              </w:rPr>
              <w:t>(8)</w:t>
            </w:r>
          </w:p>
        </w:tc>
        <w:tc>
          <w:tcPr>
            <w:tcW w:w="3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D6F3E8"/>
          </w:tcPr>
          <w:p>
            <w:pPr>
              <w:jc w:val="right"/>
              <w:ind w:right="71"/>
              <w:spacing w:after="0"/>
              <w:rPr>
                <w:sz w:val="20"/>
                <w:szCs w:val="20"/>
                <w:color w:val="auto"/>
              </w:rPr>
            </w:pPr>
            <w:r>
              <w:rPr>
                <w:rFonts w:ascii="Arial" w:cs="Arial" w:eastAsia="Arial" w:hAnsi="Arial"/>
                <w:sz w:val="18"/>
                <w:szCs w:val="18"/>
                <w:color w:val="auto"/>
              </w:rPr>
              <w:t>720,000</w:t>
            </w:r>
          </w:p>
        </w:tc>
        <w:tc>
          <w:tcPr>
            <w:tcW w:w="26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720,000</w:t>
            </w:r>
          </w:p>
        </w:tc>
        <w:tc>
          <w:tcPr>
            <w:tcW w:w="160" w:type="dxa"/>
            <w:vAlign w:val="bottom"/>
            <w:shd w:val="clear" w:color="auto" w:fill="D6F3E8"/>
          </w:tcPr>
          <w:p>
            <w:pPr>
              <w:spacing w:after="0"/>
              <w:rPr>
                <w:sz w:val="23"/>
                <w:szCs w:val="23"/>
                <w:color w:val="auto"/>
              </w:rPr>
            </w:pPr>
          </w:p>
        </w:tc>
        <w:tc>
          <w:tcPr>
            <w:tcW w:w="100" w:type="dxa"/>
            <w:vAlign w:val="bottom"/>
            <w:shd w:val="clear" w:color="auto" w:fill="D6F3E8"/>
          </w:tcPr>
          <w:p>
            <w:pPr>
              <w:spacing w:after="0"/>
              <w:rPr>
                <w:sz w:val="23"/>
                <w:szCs w:val="23"/>
                <w:color w:val="auto"/>
              </w:rPr>
            </w:pPr>
          </w:p>
        </w:tc>
        <w:tc>
          <w:tcPr>
            <w:tcW w:w="1080" w:type="dxa"/>
            <w:vAlign w:val="bottom"/>
            <w:shd w:val="clear" w:color="auto" w:fill="D6F3E8"/>
          </w:tcPr>
          <w:p>
            <w:pPr>
              <w:jc w:val="right"/>
              <w:ind w:right="93"/>
              <w:spacing w:after="0"/>
              <w:rPr>
                <w:sz w:val="20"/>
                <w:szCs w:val="20"/>
                <w:color w:val="auto"/>
              </w:rPr>
            </w:pPr>
            <w:r>
              <w:rPr>
                <w:rFonts w:ascii="Arial" w:cs="Arial" w:eastAsia="Arial" w:hAnsi="Arial"/>
                <w:sz w:val="18"/>
                <w:szCs w:val="18"/>
                <w:color w:val="auto"/>
              </w:rPr>
              <w:t>—</w:t>
            </w:r>
          </w:p>
        </w:tc>
        <w:tc>
          <w:tcPr>
            <w:tcW w:w="2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720,000</w:t>
            </w:r>
          </w:p>
        </w:tc>
        <w:tc>
          <w:tcPr>
            <w:tcW w:w="340" w:type="dxa"/>
            <w:vAlign w:val="bottom"/>
            <w:shd w:val="clear" w:color="auto" w:fill="D6F3E8"/>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D6F3E8"/>
          </w:tcPr>
          <w:p>
            <w:pPr>
              <w:jc w:val="right"/>
              <w:ind w:right="71"/>
              <w:spacing w:after="0"/>
              <w:rPr>
                <w:sz w:val="20"/>
                <w:szCs w:val="20"/>
                <w:color w:val="auto"/>
              </w:rPr>
            </w:pPr>
            <w:r>
              <w:rPr>
                <w:rFonts w:ascii="Arial" w:cs="Arial" w:eastAsia="Arial" w:hAnsi="Arial"/>
                <w:sz w:val="18"/>
                <w:szCs w:val="18"/>
                <w:color w:val="auto"/>
              </w:rPr>
              <w:t>720,000</w:t>
            </w:r>
          </w:p>
        </w:tc>
        <w:tc>
          <w:tcPr>
            <w:tcW w:w="3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720,000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20" w:type="dxa"/>
            <w:vAlign w:val="bottom"/>
          </w:tcPr>
          <w:p>
            <w:pPr>
              <w:ind w:left="160"/>
              <w:spacing w:after="0" w:line="256" w:lineRule="exact"/>
              <w:rPr>
                <w:sz w:val="20"/>
                <w:szCs w:val="20"/>
                <w:color w:val="auto"/>
              </w:rPr>
            </w:pPr>
            <w:r>
              <w:rPr>
                <w:rFonts w:ascii="Arial" w:cs="Arial" w:eastAsia="Arial" w:hAnsi="Arial"/>
                <w:sz w:val="18"/>
                <w:szCs w:val="18"/>
                <w:color w:val="auto"/>
                <w:w w:val="97"/>
              </w:rPr>
              <w:t xml:space="preserve">Executive Share Option Program </w:t>
            </w:r>
            <w:r>
              <w:rPr>
                <w:rFonts w:ascii="Arial" w:cs="Arial" w:eastAsia="Arial" w:hAnsi="Arial"/>
                <w:sz w:val="29"/>
                <w:szCs w:val="29"/>
                <w:color w:val="auto"/>
                <w:w w:val="97"/>
                <w:vertAlign w:val="superscript"/>
              </w:rPr>
              <w:t>(9)</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2,292,819</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2,292,819</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2,292,819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2,292,819</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w w:val="99"/>
              </w:rPr>
              <w:t>2,292,819</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2,292,819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D6F3E8"/>
          </w:tcPr>
          <w:p>
            <w:pPr>
              <w:spacing w:after="0"/>
              <w:rPr>
                <w:sz w:val="20"/>
                <w:szCs w:val="20"/>
                <w:color w:val="auto"/>
              </w:rPr>
            </w:pPr>
            <w:r>
              <w:rPr>
                <w:rFonts w:ascii="Arial" w:cs="Arial" w:eastAsia="Arial" w:hAnsi="Arial"/>
                <w:sz w:val="18"/>
                <w:szCs w:val="18"/>
                <w:color w:val="auto"/>
              </w:rPr>
              <w:t>Other Benefits:</w:t>
            </w:r>
          </w:p>
        </w:tc>
        <w:tc>
          <w:tcPr>
            <w:tcW w:w="320" w:type="dxa"/>
            <w:vAlign w:val="bottom"/>
            <w:shd w:val="clear" w:color="auto" w:fill="D6F3E8"/>
          </w:tcPr>
          <w:p>
            <w:pPr>
              <w:spacing w:after="0"/>
              <w:rPr>
                <w:sz w:val="18"/>
                <w:szCs w:val="18"/>
                <w:color w:val="auto"/>
              </w:rPr>
            </w:pPr>
          </w:p>
        </w:tc>
        <w:tc>
          <w:tcPr>
            <w:tcW w:w="108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92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1080" w:type="dxa"/>
            <w:vAlign w:val="bottom"/>
            <w:shd w:val="clear" w:color="auto" w:fill="D6F3E8"/>
          </w:tcPr>
          <w:p>
            <w:pPr>
              <w:spacing w:after="0"/>
              <w:rPr>
                <w:sz w:val="18"/>
                <w:szCs w:val="18"/>
                <w:color w:val="auto"/>
              </w:rPr>
            </w:pPr>
          </w:p>
        </w:tc>
        <w:tc>
          <w:tcPr>
            <w:tcW w:w="260" w:type="dxa"/>
            <w:vAlign w:val="bottom"/>
            <w:shd w:val="clear" w:color="auto" w:fill="D6F3E8"/>
          </w:tcPr>
          <w:p>
            <w:pPr>
              <w:spacing w:after="0"/>
              <w:rPr>
                <w:sz w:val="18"/>
                <w:szCs w:val="18"/>
                <w:color w:val="auto"/>
              </w:rPr>
            </w:pPr>
          </w:p>
        </w:tc>
        <w:tc>
          <w:tcPr>
            <w:tcW w:w="122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980" w:type="dxa"/>
            <w:vAlign w:val="bottom"/>
            <w:shd w:val="clear" w:color="auto" w:fill="D6F3E8"/>
          </w:tcPr>
          <w:p>
            <w:pPr>
              <w:spacing w:after="0"/>
              <w:rPr>
                <w:sz w:val="18"/>
                <w:szCs w:val="18"/>
                <w:color w:val="auto"/>
              </w:rPr>
            </w:pPr>
          </w:p>
        </w:tc>
        <w:tc>
          <w:tcPr>
            <w:tcW w:w="300" w:type="dxa"/>
            <w:vAlign w:val="bottom"/>
            <w:shd w:val="clear" w:color="auto" w:fill="D6F3E8"/>
          </w:tcPr>
          <w:p>
            <w:pPr>
              <w:spacing w:after="0"/>
              <w:rPr>
                <w:sz w:val="18"/>
                <w:szCs w:val="18"/>
                <w:color w:val="auto"/>
              </w:rPr>
            </w:pPr>
          </w:p>
        </w:tc>
        <w:tc>
          <w:tcPr>
            <w:tcW w:w="88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20" w:type="dxa"/>
            <w:vAlign w:val="bottom"/>
          </w:tcPr>
          <w:p>
            <w:pPr>
              <w:ind w:left="160"/>
              <w:spacing w:after="0" w:line="256" w:lineRule="exact"/>
              <w:rPr>
                <w:sz w:val="20"/>
                <w:szCs w:val="20"/>
                <w:color w:val="auto"/>
              </w:rPr>
            </w:pPr>
            <w:r>
              <w:rPr>
                <w:rFonts w:ascii="Arial" w:cs="Arial" w:eastAsia="Arial" w:hAnsi="Arial"/>
                <w:sz w:val="18"/>
                <w:szCs w:val="18"/>
                <w:color w:val="auto"/>
              </w:rPr>
              <w:t xml:space="preserve">Health and Welfare </w:t>
            </w:r>
            <w:r>
              <w:rPr>
                <w:rFonts w:ascii="Arial" w:cs="Arial" w:eastAsia="Arial" w:hAnsi="Arial"/>
                <w:sz w:val="29"/>
                <w:szCs w:val="29"/>
                <w:color w:val="auto"/>
                <w:vertAlign w:val="superscript"/>
              </w:rPr>
              <w:t>(10)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9,000</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17,472</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4,500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20" w:type="dxa"/>
            <w:vAlign w:val="bottom"/>
            <w:shd w:val="clear" w:color="auto" w:fill="D6F3E8"/>
          </w:tcPr>
          <w:p>
            <w:pPr>
              <w:ind w:left="160"/>
              <w:spacing w:after="0" w:line="256"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9"/>
                <w:szCs w:val="29"/>
                <w:color w:val="auto"/>
                <w:vertAlign w:val="superscript"/>
              </w:rPr>
              <w:t>(11)</w:t>
            </w:r>
          </w:p>
        </w:tc>
        <w:tc>
          <w:tcPr>
            <w:tcW w:w="320" w:type="dxa"/>
            <w:vAlign w:val="bottom"/>
            <w:shd w:val="clear" w:color="auto" w:fill="D6F3E8"/>
          </w:tcPr>
          <w:p>
            <w:pPr>
              <w:spacing w:after="0"/>
              <w:rPr>
                <w:sz w:val="22"/>
                <w:szCs w:val="22"/>
                <w:color w:val="auto"/>
              </w:rPr>
            </w:pPr>
          </w:p>
        </w:tc>
        <w:tc>
          <w:tcPr>
            <w:tcW w:w="1080" w:type="dxa"/>
            <w:vAlign w:val="bottom"/>
            <w:shd w:val="clear" w:color="auto" w:fill="D6F3E8"/>
          </w:tcPr>
          <w:p>
            <w:pPr>
              <w:jc w:val="right"/>
              <w:ind w:right="71"/>
              <w:spacing w:after="0"/>
              <w:rPr>
                <w:sz w:val="20"/>
                <w:szCs w:val="20"/>
                <w:color w:val="auto"/>
              </w:rPr>
            </w:pPr>
            <w:r>
              <w:rPr>
                <w:rFonts w:ascii="Arial" w:cs="Arial" w:eastAsia="Arial" w:hAnsi="Arial"/>
                <w:sz w:val="18"/>
                <w:szCs w:val="18"/>
                <w:color w:val="auto"/>
              </w:rPr>
              <w:t>—</w:t>
            </w:r>
          </w:p>
        </w:tc>
        <w:tc>
          <w:tcPr>
            <w:tcW w:w="160" w:type="dxa"/>
            <w:vAlign w:val="bottom"/>
            <w:shd w:val="clear" w:color="auto" w:fill="D6F3E8"/>
          </w:tcPr>
          <w:p>
            <w:pPr>
              <w:spacing w:after="0"/>
              <w:rPr>
                <w:sz w:val="22"/>
                <w:szCs w:val="22"/>
                <w:color w:val="auto"/>
              </w:rPr>
            </w:pPr>
          </w:p>
        </w:tc>
        <w:tc>
          <w:tcPr>
            <w:tcW w:w="100" w:type="dxa"/>
            <w:vAlign w:val="bottom"/>
            <w:shd w:val="clear" w:color="auto" w:fill="D6F3E8"/>
          </w:tcPr>
          <w:p>
            <w:pPr>
              <w:spacing w:after="0"/>
              <w:rPr>
                <w:sz w:val="22"/>
                <w:szCs w:val="22"/>
                <w:color w:val="auto"/>
              </w:rPr>
            </w:pPr>
          </w:p>
        </w:tc>
        <w:tc>
          <w:tcPr>
            <w:tcW w:w="108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D6F3E8"/>
          </w:tcPr>
          <w:p>
            <w:pPr>
              <w:spacing w:after="0"/>
              <w:rPr>
                <w:sz w:val="22"/>
                <w:szCs w:val="22"/>
                <w:color w:val="auto"/>
              </w:rPr>
            </w:pPr>
          </w:p>
        </w:tc>
        <w:tc>
          <w:tcPr>
            <w:tcW w:w="100" w:type="dxa"/>
            <w:vAlign w:val="bottom"/>
            <w:shd w:val="clear" w:color="auto" w:fill="D6F3E8"/>
          </w:tcPr>
          <w:p>
            <w:pPr>
              <w:spacing w:after="0"/>
              <w:rPr>
                <w:sz w:val="22"/>
                <w:szCs w:val="22"/>
                <w:color w:val="auto"/>
              </w:rPr>
            </w:pPr>
          </w:p>
        </w:tc>
        <w:tc>
          <w:tcPr>
            <w:tcW w:w="1080" w:type="dxa"/>
            <w:vAlign w:val="bottom"/>
            <w:shd w:val="clear" w:color="auto" w:fill="D6F3E8"/>
          </w:tcPr>
          <w:p>
            <w:pPr>
              <w:jc w:val="right"/>
              <w:ind w:right="93"/>
              <w:spacing w:after="0"/>
              <w:rPr>
                <w:sz w:val="20"/>
                <w:szCs w:val="20"/>
                <w:color w:val="auto"/>
              </w:rPr>
            </w:pPr>
            <w:r>
              <w:rPr>
                <w:rFonts w:ascii="Arial" w:cs="Arial" w:eastAsia="Arial" w:hAnsi="Arial"/>
                <w:sz w:val="18"/>
                <w:szCs w:val="18"/>
                <w:color w:val="auto"/>
              </w:rPr>
              <w:t>—</w:t>
            </w:r>
          </w:p>
        </w:tc>
        <w:tc>
          <w:tcPr>
            <w:tcW w:w="2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23,860</w:t>
            </w:r>
          </w:p>
        </w:tc>
        <w:tc>
          <w:tcPr>
            <w:tcW w:w="340" w:type="dxa"/>
            <w:vAlign w:val="bottom"/>
            <w:shd w:val="clear" w:color="auto" w:fill="D6F3E8"/>
          </w:tcPr>
          <w:p>
            <w:pPr>
              <w:spacing w:after="0"/>
              <w:rPr>
                <w:sz w:val="22"/>
                <w:szCs w:val="22"/>
                <w:color w:val="auto"/>
              </w:rPr>
            </w:pPr>
          </w:p>
        </w:tc>
        <w:tc>
          <w:tcPr>
            <w:tcW w:w="980" w:type="dxa"/>
            <w:vAlign w:val="bottom"/>
            <w:shd w:val="clear" w:color="auto" w:fill="D6F3E8"/>
          </w:tcPr>
          <w:p>
            <w:pPr>
              <w:jc w:val="right"/>
              <w:ind w:right="71"/>
              <w:spacing w:after="0"/>
              <w:rPr>
                <w:sz w:val="20"/>
                <w:szCs w:val="20"/>
                <w:color w:val="auto"/>
              </w:rPr>
            </w:pPr>
            <w:r>
              <w:rPr>
                <w:rFonts w:ascii="Arial" w:cs="Arial" w:eastAsia="Arial" w:hAnsi="Arial"/>
                <w:sz w:val="18"/>
                <w:szCs w:val="18"/>
                <w:color w:val="auto"/>
              </w:rPr>
              <w:t>—</w:t>
            </w:r>
          </w:p>
        </w:tc>
        <w:tc>
          <w:tcPr>
            <w:tcW w:w="300" w:type="dxa"/>
            <w:vAlign w:val="bottom"/>
            <w:shd w:val="clear" w:color="auto" w:fill="D6F3E8"/>
          </w:tcPr>
          <w:p>
            <w:pPr>
              <w:spacing w:after="0"/>
              <w:rPr>
                <w:sz w:val="22"/>
                <w:szCs w:val="22"/>
                <w:color w:val="auto"/>
              </w:rPr>
            </w:pPr>
          </w:p>
        </w:tc>
        <w:tc>
          <w:tcPr>
            <w:tcW w:w="98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Total Benefits</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7,779,648</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7,717,809</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4,405,137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10,491,784</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w w:val="99"/>
              </w:rPr>
              <w:t>7,775,138</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7,779,638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146621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540" w:hanging="478"/>
        <w:spacing w:after="0"/>
        <w:tabs>
          <w:tab w:leader="none" w:pos="5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As of August 25, 2007, Mr. Hertzke is of retirement age.</w:t>
      </w:r>
    </w:p>
    <w:p>
      <w:pPr>
        <w:spacing w:after="0" w:line="95" w:lineRule="exact"/>
        <w:rPr>
          <w:rFonts w:ascii="Arial" w:cs="Arial" w:eastAsia="Arial" w:hAnsi="Arial"/>
          <w:sz w:val="14"/>
          <w:szCs w:val="14"/>
          <w:color w:val="auto"/>
        </w:rPr>
      </w:pPr>
    </w:p>
    <w:p>
      <w:pPr>
        <w:ind w:left="540" w:right="100" w:hanging="478"/>
        <w:spacing w:after="0" w:line="253" w:lineRule="auto"/>
        <w:tabs>
          <w:tab w:leader="none" w:pos="5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Severance upon a Change of Control for Mr. Hertzke under the Executive Change of Control Agreement equals severance pay in lump sum, an amount equal to three (3) times the average of the aggregate annual compensation paid during the three (3) fiscal years of the Company immediately preceding the Change of Control.</w:t>
      </w:r>
    </w:p>
    <w:p>
      <w:pPr>
        <w:spacing w:after="0" w:line="65" w:lineRule="exact"/>
        <w:rPr>
          <w:rFonts w:ascii="Arial" w:cs="Arial" w:eastAsia="Arial" w:hAnsi="Arial"/>
          <w:sz w:val="14"/>
          <w:szCs w:val="14"/>
          <w:color w:val="auto"/>
        </w:rPr>
      </w:pPr>
    </w:p>
    <w:p>
      <w:pPr>
        <w:ind w:left="540" w:hanging="478"/>
        <w:spacing w:after="0"/>
        <w:tabs>
          <w:tab w:leader="none" w:pos="5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Represents the annual incentive eligibility pursuant to the Officers Incentive Compensation Plan.</w:t>
      </w:r>
    </w:p>
    <w:p>
      <w:pPr>
        <w:spacing w:after="0" w:line="95" w:lineRule="exact"/>
        <w:rPr>
          <w:rFonts w:ascii="Arial" w:cs="Arial" w:eastAsia="Arial" w:hAnsi="Arial"/>
          <w:sz w:val="14"/>
          <w:szCs w:val="14"/>
          <w:color w:val="auto"/>
        </w:rPr>
      </w:pPr>
    </w:p>
    <w:p>
      <w:pPr>
        <w:ind w:left="540" w:right="240" w:hanging="478"/>
        <w:spacing w:after="0" w:line="253" w:lineRule="auto"/>
        <w:tabs>
          <w:tab w:leader="none" w:pos="5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Represents the pro-rata portion of any long-term incentive eligibility pursuant to the Officers Long-Term Incentive Plan, except by a termination pursuant to a Change of Control, which includes the full amount payable.</w:t>
      </w:r>
    </w:p>
    <w:p>
      <w:pPr>
        <w:spacing w:after="0" w:line="65" w:lineRule="exact"/>
        <w:rPr>
          <w:rFonts w:ascii="Arial" w:cs="Arial" w:eastAsia="Arial" w:hAnsi="Arial"/>
          <w:sz w:val="14"/>
          <w:szCs w:val="14"/>
          <w:color w:val="auto"/>
        </w:rPr>
      </w:pPr>
    </w:p>
    <w:p>
      <w:pPr>
        <w:ind w:left="540" w:hanging="478"/>
        <w:spacing w:after="0"/>
        <w:tabs>
          <w:tab w:leader="none" w:pos="540" w:val="left"/>
        </w:tabs>
        <w:numPr>
          <w:ilvl w:val="0"/>
          <w:numId w:val="55"/>
        </w:numPr>
        <w:rPr>
          <w:rFonts w:ascii="Arial" w:cs="Arial" w:eastAsia="Arial" w:hAnsi="Arial"/>
          <w:sz w:val="13"/>
          <w:szCs w:val="13"/>
          <w:color w:val="auto"/>
        </w:rPr>
      </w:pPr>
      <w:r>
        <w:rPr>
          <w:rFonts w:ascii="Arial" w:cs="Arial" w:eastAsia="Arial" w:hAnsi="Arial"/>
          <w:sz w:val="13"/>
          <w:szCs w:val="13"/>
          <w:color w:val="auto"/>
        </w:rPr>
        <w:t>Represents the intrinsic value of stock options and or stock grants based on the Company’s closing stock price of $27.79 per share on August 24, 2007, the last trading day of fiscal 2007.</w:t>
      </w:r>
    </w:p>
    <w:p>
      <w:pPr>
        <w:sectPr>
          <w:pgSz w:w="11900" w:h="16838" w:orient="portrait"/>
          <w:cols w:equalWidth="0" w:num="1">
            <w:col w:w="11420"/>
          </w:cols>
          <w:pgMar w:left="240" w:top="152" w:right="239" w:bottom="0" w:gutter="0" w:footer="0" w:header="0"/>
        </w:sectPr>
      </w:pPr>
    </w:p>
    <w:bookmarkStart w:id="30" w:name="page31"/>
    <w:bookmarkEnd w:id="30"/>
    <w:p>
      <w:pPr>
        <w:ind w:left="540" w:hanging="478"/>
        <w:spacing w:after="0"/>
        <w:tabs>
          <w:tab w:leader="none" w:pos="5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Stock Options and Stock Grants under the 2004 Plan provide for acceleration of unvested options in the event of Change of Control, retirement, death or disability.</w:t>
      </w:r>
    </w:p>
    <w:p>
      <w:pPr>
        <w:spacing w:after="0" w:line="94" w:lineRule="exact"/>
        <w:rPr>
          <w:rFonts w:ascii="Arial" w:cs="Arial" w:eastAsia="Arial" w:hAnsi="Arial"/>
          <w:sz w:val="14"/>
          <w:szCs w:val="14"/>
          <w:color w:val="auto"/>
        </w:rPr>
      </w:pPr>
    </w:p>
    <w:p>
      <w:pPr>
        <w:ind w:left="540" w:hanging="478"/>
        <w:spacing w:after="0"/>
        <w:tabs>
          <w:tab w:leader="none" w:pos="5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This plan was frozen as of 2001. This amount reflects the total of the 15 years of payout based on Company retirement benefits.</w:t>
      </w:r>
    </w:p>
    <w:p>
      <w:pPr>
        <w:spacing w:after="0" w:line="95" w:lineRule="exact"/>
        <w:rPr>
          <w:rFonts w:ascii="Arial" w:cs="Arial" w:eastAsia="Arial" w:hAnsi="Arial"/>
          <w:sz w:val="14"/>
          <w:szCs w:val="14"/>
          <w:color w:val="auto"/>
        </w:rPr>
      </w:pPr>
    </w:p>
    <w:p>
      <w:pPr>
        <w:ind w:left="540" w:hanging="478"/>
        <w:spacing w:after="0"/>
        <w:tabs>
          <w:tab w:leader="none" w:pos="5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Represents the present value of benefits as of August 24, 2007 under the policy.</w:t>
      </w:r>
    </w:p>
    <w:p>
      <w:pPr>
        <w:spacing w:after="0" w:line="95" w:lineRule="exact"/>
        <w:rPr>
          <w:rFonts w:ascii="Arial" w:cs="Arial" w:eastAsia="Arial" w:hAnsi="Arial"/>
          <w:sz w:val="14"/>
          <w:szCs w:val="14"/>
          <w:color w:val="auto"/>
        </w:rPr>
      </w:pPr>
    </w:p>
    <w:p>
      <w:pPr>
        <w:ind w:left="540" w:hanging="478"/>
        <w:spacing w:after="0"/>
        <w:tabs>
          <w:tab w:leader="none" w:pos="5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Represents market value balance as of August 24, 2007 for the Executive Share Option Program reduced by the exercise price.</w:t>
      </w:r>
    </w:p>
    <w:p>
      <w:pPr>
        <w:spacing w:after="0" w:line="95" w:lineRule="exact"/>
        <w:rPr>
          <w:rFonts w:ascii="Arial" w:cs="Arial" w:eastAsia="Arial" w:hAnsi="Arial"/>
          <w:sz w:val="14"/>
          <w:szCs w:val="14"/>
          <w:color w:val="auto"/>
        </w:rPr>
      </w:pPr>
    </w:p>
    <w:p>
      <w:pPr>
        <w:ind w:left="540" w:hanging="478"/>
        <w:spacing w:after="0"/>
        <w:tabs>
          <w:tab w:leader="none" w:pos="5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Extension of benefits under retirement, death, disability and Change of Control, including health, dental, life insurance and long-term disability.</w:t>
      </w:r>
    </w:p>
    <w:p>
      <w:pPr>
        <w:spacing w:after="0" w:line="95" w:lineRule="exact"/>
        <w:rPr>
          <w:rFonts w:ascii="Arial" w:cs="Arial" w:eastAsia="Arial" w:hAnsi="Arial"/>
          <w:sz w:val="14"/>
          <w:szCs w:val="14"/>
          <w:color w:val="auto"/>
        </w:rPr>
      </w:pPr>
    </w:p>
    <w:p>
      <w:pPr>
        <w:ind w:left="540" w:hanging="478"/>
        <w:spacing w:after="0"/>
        <w:tabs>
          <w:tab w:leader="none" w:pos="5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Extension of benefits under Change of Control for the transfer of the Company automobile title to Mr. Hertzke at the Company’s net book value.</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81"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N</w:t>
      </w:r>
      <w:r>
        <w:rPr>
          <w:rFonts w:ascii="Arial" w:cs="Arial" w:eastAsia="Arial" w:hAnsi="Arial"/>
          <w:sz w:val="18"/>
          <w:szCs w:val="18"/>
          <w:color w:val="auto"/>
        </w:rPr>
        <w:t>AMED</w:t>
      </w:r>
      <w:r>
        <w:rPr>
          <w:rFonts w:ascii="Arial" w:cs="Arial" w:eastAsia="Arial" w:hAnsi="Arial"/>
          <w:sz w:val="22"/>
          <w:szCs w:val="22"/>
          <w:color w:val="auto"/>
        </w:rPr>
        <w:t xml:space="preserve"> E</w:t>
      </w:r>
      <w:r>
        <w:rPr>
          <w:rFonts w:ascii="Arial" w:cs="Arial" w:eastAsia="Arial" w:hAnsi="Arial"/>
          <w:sz w:val="18"/>
          <w:szCs w:val="18"/>
          <w:color w:val="auto"/>
        </w:rPr>
        <w:t>XECUTIVE</w:t>
      </w:r>
      <w:r>
        <w:rPr>
          <w:rFonts w:ascii="Arial" w:cs="Arial" w:eastAsia="Arial" w:hAnsi="Arial"/>
          <w:sz w:val="22"/>
          <w:szCs w:val="22"/>
          <w:color w:val="auto"/>
        </w:rPr>
        <w:t>: R</w:t>
      </w:r>
      <w:r>
        <w:rPr>
          <w:rFonts w:ascii="Arial" w:cs="Arial" w:eastAsia="Arial" w:hAnsi="Arial"/>
          <w:sz w:val="18"/>
          <w:szCs w:val="18"/>
          <w:color w:val="auto"/>
        </w:rPr>
        <w:t>OBERT</w:t>
      </w:r>
      <w:r>
        <w:rPr>
          <w:rFonts w:ascii="Arial" w:cs="Arial" w:eastAsia="Arial" w:hAnsi="Arial"/>
          <w:sz w:val="22"/>
          <w:szCs w:val="22"/>
          <w:color w:val="auto"/>
        </w:rPr>
        <w:t xml:space="preserve"> J. O</w:t>
      </w:r>
      <w:r>
        <w:rPr>
          <w:rFonts w:ascii="Arial" w:cs="Arial" w:eastAsia="Arial" w:hAnsi="Arial"/>
          <w:sz w:val="18"/>
          <w:szCs w:val="18"/>
          <w:color w:val="auto"/>
        </w:rPr>
        <w:t>LSON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ind w:right="13"/>
              <w:spacing w:after="0"/>
              <w:rPr>
                <w:sz w:val="20"/>
                <w:szCs w:val="20"/>
                <w:color w:val="auto"/>
              </w:rPr>
            </w:pPr>
            <w:r>
              <w:rPr>
                <w:rFonts w:ascii="Arial" w:cs="Arial" w:eastAsia="Arial" w:hAnsi="Arial"/>
                <w:sz w:val="14"/>
                <w:szCs w:val="14"/>
                <w:b w:val="1"/>
                <w:bCs w:val="1"/>
                <w:color w:val="auto"/>
                <w:w w:val="98"/>
              </w:rPr>
              <w:t>Involuntary</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00" w:type="dxa"/>
            <w:vAlign w:val="bottom"/>
            <w:gridSpan w:val="4"/>
            <w:vMerge w:val="restart"/>
          </w:tcPr>
          <w:p>
            <w:pPr>
              <w:ind w:left="640"/>
              <w:spacing w:after="0"/>
              <w:rPr>
                <w:sz w:val="20"/>
                <w:szCs w:val="20"/>
                <w:color w:val="auto"/>
              </w:rPr>
            </w:pPr>
            <w:r>
              <w:rPr>
                <w:rFonts w:ascii="Arial" w:cs="Arial" w:eastAsia="Arial" w:hAnsi="Arial"/>
                <w:sz w:val="14"/>
                <w:szCs w:val="14"/>
                <w:b w:val="1"/>
                <w:bCs w:val="1"/>
                <w:color w:val="auto"/>
              </w:rPr>
              <w:t>Change of Control</w:t>
            </w: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ind w:right="33"/>
              <w:spacing w:after="0"/>
              <w:rPr>
                <w:sz w:val="20"/>
                <w:szCs w:val="20"/>
                <w:color w:val="auto"/>
              </w:rPr>
            </w:pPr>
            <w:r>
              <w:rPr>
                <w:rFonts w:ascii="Arial" w:cs="Arial" w:eastAsia="Arial" w:hAnsi="Arial"/>
                <w:sz w:val="14"/>
                <w:szCs w:val="14"/>
                <w:b w:val="1"/>
                <w:bCs w:val="1"/>
                <w:color w:val="auto"/>
                <w:w w:val="94"/>
              </w:rPr>
              <w:t>Termination</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00" w:type="dxa"/>
            <w:vAlign w:val="bottom"/>
            <w:gridSpan w:val="4"/>
            <w:vMerge w:val="continue"/>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Executive Payments and</w:t>
            </w:r>
          </w:p>
        </w:tc>
        <w:tc>
          <w:tcPr>
            <w:tcW w:w="3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vMerge w:val="restart"/>
          </w:tcPr>
          <w:p>
            <w:pPr>
              <w:jc w:val="right"/>
              <w:ind w:right="333"/>
              <w:spacing w:after="0"/>
              <w:rPr>
                <w:sz w:val="20"/>
                <w:szCs w:val="20"/>
                <w:color w:val="auto"/>
              </w:rPr>
            </w:pPr>
            <w:r>
              <w:rPr>
                <w:rFonts w:ascii="Arial" w:cs="Arial" w:eastAsia="Arial" w:hAnsi="Arial"/>
                <w:sz w:val="14"/>
                <w:szCs w:val="14"/>
                <w:b w:val="1"/>
                <w:bCs w:val="1"/>
                <w:color w:val="auto"/>
              </w:rPr>
              <w:t>Without</w:t>
            </w:r>
          </w:p>
        </w:tc>
        <w:tc>
          <w:tcPr>
            <w:tcW w:w="26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13"/>
              <w:spacing w:after="0" w:line="133" w:lineRule="exact"/>
              <w:rPr>
                <w:sz w:val="20"/>
                <w:szCs w:val="20"/>
                <w:color w:val="auto"/>
              </w:rPr>
            </w:pPr>
            <w:r>
              <w:rPr>
                <w:rFonts w:ascii="Arial" w:cs="Arial" w:eastAsia="Arial" w:hAnsi="Arial"/>
                <w:sz w:val="14"/>
                <w:szCs w:val="14"/>
                <w:b w:val="1"/>
                <w:bCs w:val="1"/>
                <w:color w:val="auto"/>
                <w:w w:val="94"/>
              </w:rPr>
              <w:t>Termination</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6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w w:val="87"/>
              </w:rPr>
              <w:t>Retirement</w:t>
            </w:r>
            <w:r>
              <w:rPr>
                <w:rFonts w:ascii="Arial" w:cs="Arial" w:eastAsia="Arial" w:hAnsi="Arial"/>
                <w:sz w:val="23"/>
                <w:szCs w:val="23"/>
                <w:b w:val="1"/>
                <w:bCs w:val="1"/>
                <w:color w:val="auto"/>
                <w:w w:val="87"/>
                <w:vertAlign w:val="superscript"/>
              </w:rPr>
              <w:t>(1)</w:t>
            </w:r>
          </w:p>
        </w:tc>
        <w:tc>
          <w:tcPr>
            <w:tcW w:w="100" w:type="dxa"/>
            <w:vAlign w:val="bottom"/>
          </w:tcPr>
          <w:p>
            <w:pPr>
              <w:spacing w:after="0"/>
              <w:rPr>
                <w:sz w:val="12"/>
                <w:szCs w:val="12"/>
                <w:color w:val="auto"/>
              </w:rPr>
            </w:pPr>
          </w:p>
        </w:tc>
        <w:tc>
          <w:tcPr>
            <w:tcW w:w="920" w:type="dxa"/>
            <w:vAlign w:val="bottom"/>
            <w:vMerge w:val="restart"/>
          </w:tcPr>
          <w:p>
            <w:pPr>
              <w:jc w:val="center"/>
              <w:ind w:right="33"/>
              <w:spacing w:after="0"/>
              <w:rPr>
                <w:sz w:val="20"/>
                <w:szCs w:val="20"/>
                <w:color w:val="auto"/>
              </w:rPr>
            </w:pPr>
            <w:r>
              <w:rPr>
                <w:rFonts w:ascii="Arial" w:cs="Arial" w:eastAsia="Arial" w:hAnsi="Arial"/>
                <w:sz w:val="14"/>
                <w:szCs w:val="14"/>
                <w:b w:val="1"/>
                <w:bCs w:val="1"/>
                <w:color w:val="auto"/>
                <w:w w:val="93"/>
              </w:rPr>
              <w:t>For Cause</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Without Cause /</w:t>
            </w:r>
          </w:p>
        </w:tc>
        <w:tc>
          <w:tcPr>
            <w:tcW w:w="340" w:type="dxa"/>
            <w:vAlign w:val="bottom"/>
          </w:tcPr>
          <w:p>
            <w:pPr>
              <w:spacing w:after="0"/>
              <w:rPr>
                <w:sz w:val="12"/>
                <w:szCs w:val="12"/>
                <w:color w:val="auto"/>
              </w:rPr>
            </w:pPr>
          </w:p>
        </w:tc>
        <w:tc>
          <w:tcPr>
            <w:tcW w:w="98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Death</w:t>
            </w:r>
          </w:p>
        </w:tc>
        <w:tc>
          <w:tcPr>
            <w:tcW w:w="300" w:type="dxa"/>
            <w:vAlign w:val="bottom"/>
          </w:tcPr>
          <w:p>
            <w:pPr>
              <w:spacing w:after="0"/>
              <w:rPr>
                <w:sz w:val="12"/>
                <w:szCs w:val="12"/>
                <w:color w:val="auto"/>
              </w:rPr>
            </w:pPr>
          </w:p>
        </w:tc>
        <w:tc>
          <w:tcPr>
            <w:tcW w:w="9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Disability</w:t>
            </w:r>
          </w:p>
        </w:tc>
        <w:tc>
          <w:tcPr>
            <w:tcW w:w="0" w:type="dxa"/>
            <w:vAlign w:val="bottom"/>
          </w:tcPr>
          <w:p>
            <w:pPr>
              <w:spacing w:after="0"/>
              <w:rPr>
                <w:sz w:val="1"/>
                <w:szCs w:val="1"/>
                <w:color w:val="auto"/>
              </w:rPr>
            </w:pPr>
          </w:p>
        </w:tc>
      </w:tr>
      <w:tr>
        <w:trPr>
          <w:trHeight w:val="178"/>
        </w:trPr>
        <w:tc>
          <w:tcPr>
            <w:tcW w:w="3060" w:type="dxa"/>
            <w:vAlign w:val="bottom"/>
            <w:gridSpan w:val="2"/>
          </w:tcPr>
          <w:p>
            <w:pPr>
              <w:spacing w:after="0"/>
              <w:rPr>
                <w:sz w:val="20"/>
                <w:szCs w:val="20"/>
                <w:color w:val="auto"/>
              </w:rPr>
            </w:pPr>
            <w:r>
              <w:rPr>
                <w:rFonts w:ascii="Arial" w:cs="Arial" w:eastAsia="Arial" w:hAnsi="Arial"/>
                <w:sz w:val="14"/>
                <w:szCs w:val="14"/>
                <w:b w:val="1"/>
                <w:bCs w:val="1"/>
                <w:color w:val="auto"/>
              </w:rPr>
              <w:t>Benefits Upon</w:t>
            </w:r>
          </w:p>
        </w:tc>
        <w:tc>
          <w:tcPr>
            <w:tcW w:w="34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ind w:right="213"/>
              <w:spacing w:after="0"/>
              <w:rPr>
                <w:sz w:val="20"/>
                <w:szCs w:val="20"/>
                <w:color w:val="auto"/>
              </w:rPr>
            </w:pPr>
            <w:r>
              <w:rPr>
                <w:rFonts w:ascii="Arial" w:cs="Arial" w:eastAsia="Arial" w:hAnsi="Arial"/>
                <w:sz w:val="14"/>
                <w:szCs w:val="14"/>
                <w:b w:val="1"/>
                <w:bCs w:val="1"/>
                <w:color w:val="auto"/>
                <w:w w:val="94"/>
              </w:rPr>
              <w:t>Termination</w:t>
            </w:r>
          </w:p>
        </w:tc>
        <w:tc>
          <w:tcPr>
            <w:tcW w:w="260" w:type="dxa"/>
            <w:vAlign w:val="bottom"/>
          </w:tcPr>
          <w:p>
            <w:pPr>
              <w:spacing w:after="0"/>
              <w:rPr>
                <w:sz w:val="15"/>
                <w:szCs w:val="15"/>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Good Reason</w:t>
            </w:r>
          </w:p>
        </w:tc>
        <w:tc>
          <w:tcPr>
            <w:tcW w:w="3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Borders>
              <w:top w:val="single" w:sz="8" w:color="auto"/>
            </w:tcBorders>
            <w:shd w:val="clear" w:color="auto" w:fill="D6F3E8"/>
          </w:tcPr>
          <w:p>
            <w:pPr>
              <w:spacing w:after="0"/>
              <w:rPr>
                <w:sz w:val="20"/>
                <w:szCs w:val="20"/>
                <w:color w:val="auto"/>
              </w:rPr>
            </w:pPr>
            <w:r>
              <w:rPr>
                <w:rFonts w:ascii="Arial" w:cs="Arial" w:eastAsia="Arial" w:hAnsi="Arial"/>
                <w:sz w:val="18"/>
                <w:szCs w:val="18"/>
                <w:color w:val="auto"/>
              </w:rPr>
              <w:t>Compensation:</w:t>
            </w:r>
          </w:p>
        </w:tc>
        <w:tc>
          <w:tcPr>
            <w:tcW w:w="340" w:type="dxa"/>
            <w:vAlign w:val="bottom"/>
            <w:tcBorders>
              <w:top w:val="single" w:sz="8" w:color="auto"/>
            </w:tcBorders>
            <w:shd w:val="clear" w:color="auto" w:fill="D6F3E8"/>
          </w:tcPr>
          <w:p>
            <w:pPr>
              <w:spacing w:after="0"/>
              <w:rPr>
                <w:sz w:val="18"/>
                <w:szCs w:val="18"/>
                <w:color w:val="auto"/>
              </w:rPr>
            </w:pPr>
          </w:p>
        </w:tc>
        <w:tc>
          <w:tcPr>
            <w:tcW w:w="1240" w:type="dxa"/>
            <w:vAlign w:val="bottom"/>
            <w:tcBorders>
              <w:top w:val="single" w:sz="8" w:color="auto"/>
            </w:tcBorders>
            <w:shd w:val="clear" w:color="auto" w:fill="D6F3E8"/>
          </w:tcPr>
          <w:p>
            <w:pPr>
              <w:spacing w:after="0"/>
              <w:rPr>
                <w:sz w:val="18"/>
                <w:szCs w:val="18"/>
                <w:color w:val="auto"/>
              </w:rPr>
            </w:pPr>
          </w:p>
        </w:tc>
        <w:tc>
          <w:tcPr>
            <w:tcW w:w="100" w:type="dxa"/>
            <w:vAlign w:val="bottom"/>
            <w:tcBorders>
              <w:top w:val="single" w:sz="8" w:color="auto"/>
            </w:tcBorders>
            <w:shd w:val="clear" w:color="auto" w:fill="D6F3E8"/>
          </w:tcPr>
          <w:p>
            <w:pPr>
              <w:spacing w:after="0"/>
              <w:rPr>
                <w:sz w:val="18"/>
                <w:szCs w:val="18"/>
                <w:color w:val="auto"/>
              </w:rPr>
            </w:pPr>
          </w:p>
        </w:tc>
        <w:tc>
          <w:tcPr>
            <w:tcW w:w="920" w:type="dxa"/>
            <w:vAlign w:val="bottom"/>
            <w:tcBorders>
              <w:top w:val="single" w:sz="8" w:color="auto"/>
            </w:tcBorders>
            <w:shd w:val="clear" w:color="auto" w:fill="D6F3E8"/>
          </w:tcPr>
          <w:p>
            <w:pPr>
              <w:spacing w:after="0"/>
              <w:rPr>
                <w:sz w:val="18"/>
                <w:szCs w:val="18"/>
                <w:color w:val="auto"/>
              </w:rPr>
            </w:pPr>
          </w:p>
        </w:tc>
        <w:tc>
          <w:tcPr>
            <w:tcW w:w="320" w:type="dxa"/>
            <w:vAlign w:val="bottom"/>
            <w:tcBorders>
              <w:top w:val="single" w:sz="8" w:color="auto"/>
            </w:tcBorders>
            <w:shd w:val="clear" w:color="auto" w:fill="D6F3E8"/>
          </w:tcPr>
          <w:p>
            <w:pPr>
              <w:spacing w:after="0"/>
              <w:rPr>
                <w:sz w:val="18"/>
                <w:szCs w:val="18"/>
                <w:color w:val="auto"/>
              </w:rPr>
            </w:pPr>
          </w:p>
        </w:tc>
        <w:tc>
          <w:tcPr>
            <w:tcW w:w="100" w:type="dxa"/>
            <w:vAlign w:val="bottom"/>
            <w:tcBorders>
              <w:top w:val="single" w:sz="8" w:color="auto"/>
            </w:tcBorders>
            <w:shd w:val="clear" w:color="auto" w:fill="D6F3E8"/>
          </w:tcPr>
          <w:p>
            <w:pPr>
              <w:spacing w:after="0"/>
              <w:rPr>
                <w:sz w:val="18"/>
                <w:szCs w:val="18"/>
                <w:color w:val="auto"/>
              </w:rPr>
            </w:pPr>
          </w:p>
        </w:tc>
        <w:tc>
          <w:tcPr>
            <w:tcW w:w="1080" w:type="dxa"/>
            <w:vAlign w:val="bottom"/>
            <w:tcBorders>
              <w:top w:val="single" w:sz="8" w:color="auto"/>
            </w:tcBorders>
            <w:shd w:val="clear" w:color="auto" w:fill="D6F3E8"/>
          </w:tcPr>
          <w:p>
            <w:pPr>
              <w:spacing w:after="0"/>
              <w:rPr>
                <w:sz w:val="18"/>
                <w:szCs w:val="18"/>
                <w:color w:val="auto"/>
              </w:rPr>
            </w:pPr>
          </w:p>
        </w:tc>
        <w:tc>
          <w:tcPr>
            <w:tcW w:w="260" w:type="dxa"/>
            <w:vAlign w:val="bottom"/>
            <w:tcBorders>
              <w:top w:val="single" w:sz="8" w:color="auto"/>
            </w:tcBorders>
            <w:shd w:val="clear" w:color="auto" w:fill="D6F3E8"/>
          </w:tcPr>
          <w:p>
            <w:pPr>
              <w:spacing w:after="0"/>
              <w:rPr>
                <w:sz w:val="18"/>
                <w:szCs w:val="18"/>
                <w:color w:val="auto"/>
              </w:rPr>
            </w:pPr>
          </w:p>
        </w:tc>
        <w:tc>
          <w:tcPr>
            <w:tcW w:w="1180" w:type="dxa"/>
            <w:vAlign w:val="bottom"/>
            <w:tcBorders>
              <w:top w:val="single" w:sz="8" w:color="auto"/>
            </w:tcBorders>
            <w:shd w:val="clear" w:color="auto" w:fill="D6F3E8"/>
          </w:tcPr>
          <w:p>
            <w:pPr>
              <w:spacing w:after="0"/>
              <w:rPr>
                <w:sz w:val="18"/>
                <w:szCs w:val="18"/>
                <w:color w:val="auto"/>
              </w:rPr>
            </w:pPr>
          </w:p>
        </w:tc>
        <w:tc>
          <w:tcPr>
            <w:tcW w:w="180" w:type="dxa"/>
            <w:vAlign w:val="bottom"/>
            <w:tcBorders>
              <w:top w:val="single" w:sz="8" w:color="auto"/>
            </w:tcBorders>
            <w:shd w:val="clear" w:color="auto" w:fill="D6F3E8"/>
          </w:tcPr>
          <w:p>
            <w:pPr>
              <w:spacing w:after="0"/>
              <w:rPr>
                <w:sz w:val="18"/>
                <w:szCs w:val="18"/>
                <w:color w:val="auto"/>
              </w:rPr>
            </w:pPr>
          </w:p>
        </w:tc>
        <w:tc>
          <w:tcPr>
            <w:tcW w:w="340" w:type="dxa"/>
            <w:vAlign w:val="bottom"/>
            <w:tcBorders>
              <w:top w:val="single" w:sz="8" w:color="auto"/>
            </w:tcBorders>
            <w:shd w:val="clear" w:color="auto" w:fill="D6F3E8"/>
          </w:tcPr>
          <w:p>
            <w:pPr>
              <w:spacing w:after="0"/>
              <w:rPr>
                <w:sz w:val="18"/>
                <w:szCs w:val="18"/>
                <w:color w:val="auto"/>
              </w:rPr>
            </w:pPr>
          </w:p>
        </w:tc>
        <w:tc>
          <w:tcPr>
            <w:tcW w:w="980" w:type="dxa"/>
            <w:vAlign w:val="bottom"/>
            <w:tcBorders>
              <w:top w:val="single" w:sz="8" w:color="auto"/>
            </w:tcBorders>
            <w:shd w:val="clear" w:color="auto" w:fill="D6F3E8"/>
          </w:tcPr>
          <w:p>
            <w:pPr>
              <w:spacing w:after="0"/>
              <w:rPr>
                <w:sz w:val="18"/>
                <w:szCs w:val="18"/>
                <w:color w:val="auto"/>
              </w:rPr>
            </w:pPr>
          </w:p>
        </w:tc>
        <w:tc>
          <w:tcPr>
            <w:tcW w:w="300" w:type="dxa"/>
            <w:vAlign w:val="bottom"/>
            <w:tcBorders>
              <w:top w:val="single" w:sz="8" w:color="auto"/>
            </w:tcBorders>
            <w:shd w:val="clear" w:color="auto" w:fill="D6F3E8"/>
          </w:tcPr>
          <w:p>
            <w:pPr>
              <w:spacing w:after="0"/>
              <w:rPr>
                <w:sz w:val="18"/>
                <w:szCs w:val="18"/>
                <w:color w:val="auto"/>
              </w:rPr>
            </w:pPr>
          </w:p>
        </w:tc>
        <w:tc>
          <w:tcPr>
            <w:tcW w:w="880" w:type="dxa"/>
            <w:vAlign w:val="bottom"/>
            <w:tcBorders>
              <w:top w:val="single" w:sz="8" w:color="auto"/>
            </w:tcBorders>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040" w:type="dxa"/>
            <w:vAlign w:val="bottom"/>
          </w:tcPr>
          <w:p>
            <w:pPr>
              <w:ind w:left="160"/>
              <w:spacing w:after="0" w:line="206" w:lineRule="exact"/>
              <w:rPr>
                <w:sz w:val="20"/>
                <w:szCs w:val="20"/>
                <w:color w:val="auto"/>
              </w:rPr>
            </w:pPr>
            <w:r>
              <w:rPr>
                <w:rFonts w:ascii="Arial" w:cs="Arial" w:eastAsia="Arial" w:hAnsi="Arial"/>
                <w:sz w:val="18"/>
                <w:szCs w:val="18"/>
                <w:color w:val="auto"/>
              </w:rPr>
              <w:t>Severance Benefit (Change of</w:t>
            </w: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3040" w:type="dxa"/>
            <w:vAlign w:val="bottom"/>
          </w:tcPr>
          <w:p>
            <w:pPr>
              <w:ind w:left="260"/>
              <w:spacing w:after="0" w:line="266" w:lineRule="exact"/>
              <w:rPr>
                <w:sz w:val="20"/>
                <w:szCs w:val="20"/>
                <w:color w:val="auto"/>
              </w:rPr>
            </w:pPr>
            <w:r>
              <w:rPr>
                <w:rFonts w:ascii="Arial" w:cs="Arial" w:eastAsia="Arial" w:hAnsi="Arial"/>
                <w:sz w:val="18"/>
                <w:szCs w:val="18"/>
                <w:color w:val="auto"/>
              </w:rPr>
              <w:t>Control)</w:t>
            </w:r>
            <w:r>
              <w:rPr>
                <w:rFonts w:ascii="Arial" w:cs="Arial" w:eastAsia="Arial" w:hAnsi="Arial"/>
                <w:sz w:val="30"/>
                <w:szCs w:val="30"/>
                <w:color w:val="auto"/>
                <w:vertAlign w:val="superscript"/>
              </w:rPr>
              <w:t>(2)</w:t>
            </w:r>
          </w:p>
        </w:tc>
        <w:tc>
          <w:tcPr>
            <w:tcW w:w="340" w:type="dxa"/>
            <w:vAlign w:val="bottom"/>
          </w:tcPr>
          <w:p>
            <w:pPr>
              <w:spacing w:after="0"/>
              <w:rPr>
                <w:sz w:val="23"/>
                <w:szCs w:val="23"/>
                <w:color w:val="auto"/>
              </w:rPr>
            </w:pPr>
          </w:p>
        </w:tc>
        <w:tc>
          <w:tcPr>
            <w:tcW w:w="1240" w:type="dxa"/>
            <w:vAlign w:val="bottom"/>
          </w:tcPr>
          <w:p>
            <w:pPr>
              <w:jc w:val="right"/>
              <w:ind w:right="2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1,352,883</w:t>
            </w:r>
          </w:p>
        </w:tc>
        <w:tc>
          <w:tcPr>
            <w:tcW w:w="34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D6F3E8"/>
          </w:tcPr>
          <w:p>
            <w:pPr>
              <w:ind w:left="160"/>
              <w:spacing w:after="0"/>
              <w:rPr>
                <w:sz w:val="20"/>
                <w:szCs w:val="20"/>
                <w:color w:val="auto"/>
              </w:rPr>
            </w:pPr>
            <w:r>
              <w:rPr>
                <w:rFonts w:ascii="Arial" w:cs="Arial" w:eastAsia="Arial" w:hAnsi="Arial"/>
                <w:sz w:val="18"/>
                <w:szCs w:val="18"/>
                <w:color w:val="auto"/>
              </w:rPr>
              <w:t>Tax Gross Up</w:t>
            </w:r>
          </w:p>
        </w:tc>
        <w:tc>
          <w:tcPr>
            <w:tcW w:w="340" w:type="dxa"/>
            <w:vAlign w:val="bottom"/>
            <w:shd w:val="clear" w:color="auto" w:fill="D6F3E8"/>
          </w:tcPr>
          <w:p>
            <w:pPr>
              <w:spacing w:after="0"/>
              <w:rPr>
                <w:sz w:val="18"/>
                <w:szCs w:val="18"/>
                <w:color w:val="auto"/>
              </w:rPr>
            </w:pPr>
          </w:p>
        </w:tc>
        <w:tc>
          <w:tcPr>
            <w:tcW w:w="1240" w:type="dxa"/>
            <w:vAlign w:val="bottom"/>
            <w:shd w:val="clear" w:color="auto" w:fill="D6F3E8"/>
          </w:tcPr>
          <w:p>
            <w:pPr>
              <w:jc w:val="right"/>
              <w:ind w:right="231"/>
              <w:spacing w:after="0"/>
              <w:rPr>
                <w:sz w:val="20"/>
                <w:szCs w:val="20"/>
                <w:color w:val="auto"/>
              </w:rPr>
            </w:pPr>
            <w:r>
              <w:rPr>
                <w:rFonts w:ascii="Arial" w:cs="Arial" w:eastAsia="Arial" w:hAnsi="Arial"/>
                <w:sz w:val="18"/>
                <w:szCs w:val="18"/>
                <w:color w:val="auto"/>
              </w:rPr>
              <w:t>—</w:t>
            </w:r>
          </w:p>
        </w:tc>
        <w:tc>
          <w:tcPr>
            <w:tcW w:w="100" w:type="dxa"/>
            <w:vAlign w:val="bottom"/>
            <w:shd w:val="clear" w:color="auto" w:fill="D6F3E8"/>
          </w:tcPr>
          <w:p>
            <w:pPr>
              <w:spacing w:after="0"/>
              <w:rPr>
                <w:sz w:val="18"/>
                <w:szCs w:val="18"/>
                <w:color w:val="auto"/>
              </w:rPr>
            </w:pP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1080" w:type="dxa"/>
            <w:vAlign w:val="bottom"/>
            <w:shd w:val="clear" w:color="auto" w:fill="D6F3E8"/>
          </w:tcPr>
          <w:p>
            <w:pPr>
              <w:jc w:val="right"/>
              <w:ind w:right="73"/>
              <w:spacing w:after="0"/>
              <w:rPr>
                <w:sz w:val="20"/>
                <w:szCs w:val="20"/>
                <w:color w:val="auto"/>
              </w:rPr>
            </w:pPr>
            <w:r>
              <w:rPr>
                <w:rFonts w:ascii="Arial" w:cs="Arial" w:eastAsia="Arial" w:hAnsi="Arial"/>
                <w:sz w:val="18"/>
                <w:szCs w:val="18"/>
                <w:color w:val="auto"/>
              </w:rPr>
              <w:t>—</w:t>
            </w:r>
          </w:p>
        </w:tc>
        <w:tc>
          <w:tcPr>
            <w:tcW w:w="260" w:type="dxa"/>
            <w:vAlign w:val="bottom"/>
            <w:shd w:val="clear" w:color="auto" w:fill="D6F3E8"/>
          </w:tcPr>
          <w:p>
            <w:pPr>
              <w:spacing w:after="0"/>
              <w:rPr>
                <w:sz w:val="18"/>
                <w:szCs w:val="18"/>
                <w:color w:val="auto"/>
              </w:rPr>
            </w:pPr>
          </w:p>
        </w:tc>
        <w:tc>
          <w:tcPr>
            <w:tcW w:w="136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D6F3E8"/>
          </w:tcPr>
          <w:p>
            <w:pPr>
              <w:spacing w:after="0"/>
              <w:rPr>
                <w:sz w:val="18"/>
                <w:szCs w:val="18"/>
                <w:color w:val="auto"/>
              </w:rPr>
            </w:pPr>
          </w:p>
        </w:tc>
        <w:tc>
          <w:tcPr>
            <w:tcW w:w="980" w:type="dxa"/>
            <w:vAlign w:val="bottom"/>
            <w:shd w:val="clear" w:color="auto" w:fill="D6F3E8"/>
          </w:tcPr>
          <w:p>
            <w:pPr>
              <w:jc w:val="right"/>
              <w:ind w:right="71"/>
              <w:spacing w:after="0"/>
              <w:rPr>
                <w:sz w:val="20"/>
                <w:szCs w:val="20"/>
                <w:color w:val="auto"/>
              </w:rPr>
            </w:pPr>
            <w:r>
              <w:rPr>
                <w:rFonts w:ascii="Arial" w:cs="Arial" w:eastAsia="Arial" w:hAnsi="Arial"/>
                <w:sz w:val="18"/>
                <w:szCs w:val="18"/>
                <w:color w:val="auto"/>
              </w:rPr>
              <w:t>—</w:t>
            </w:r>
          </w:p>
        </w:tc>
        <w:tc>
          <w:tcPr>
            <w:tcW w:w="300" w:type="dxa"/>
            <w:vAlign w:val="bottom"/>
            <w:shd w:val="clear" w:color="auto" w:fill="D6F3E8"/>
          </w:tcPr>
          <w:p>
            <w:pPr>
              <w:spacing w:after="0"/>
              <w:rPr>
                <w:sz w:val="18"/>
                <w:szCs w:val="18"/>
                <w:color w:val="auto"/>
              </w:rPr>
            </w:pPr>
          </w:p>
        </w:tc>
        <w:tc>
          <w:tcPr>
            <w:tcW w:w="98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Annual Incentives:</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40" w:type="dxa"/>
            <w:vAlign w:val="bottom"/>
            <w:shd w:val="clear" w:color="auto" w:fill="D6F3E8"/>
          </w:tcPr>
          <w:p>
            <w:pPr>
              <w:ind w:left="160"/>
              <w:spacing w:after="0" w:line="256" w:lineRule="exact"/>
              <w:rPr>
                <w:sz w:val="20"/>
                <w:szCs w:val="20"/>
                <w:color w:val="auto"/>
              </w:rPr>
            </w:pPr>
            <w:r>
              <w:rPr>
                <w:rFonts w:ascii="Arial" w:cs="Arial" w:eastAsia="Arial" w:hAnsi="Arial"/>
                <w:sz w:val="18"/>
                <w:szCs w:val="18"/>
                <w:color w:val="auto"/>
              </w:rPr>
              <w:t>Annual Incentive Plan</w:t>
            </w:r>
            <w:r>
              <w:rPr>
                <w:rFonts w:ascii="Arial" w:cs="Arial" w:eastAsia="Arial" w:hAnsi="Arial"/>
                <w:sz w:val="29"/>
                <w:szCs w:val="29"/>
                <w:color w:val="auto"/>
                <w:vertAlign w:val="superscript"/>
              </w:rPr>
              <w:t>(3)</w:t>
            </w:r>
          </w:p>
        </w:tc>
        <w:tc>
          <w:tcPr>
            <w:tcW w:w="3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D6F3E8"/>
          </w:tcPr>
          <w:p>
            <w:pPr>
              <w:jc w:val="right"/>
              <w:ind w:right="231"/>
              <w:spacing w:after="0"/>
              <w:rPr>
                <w:sz w:val="20"/>
                <w:szCs w:val="20"/>
                <w:color w:val="auto"/>
              </w:rPr>
            </w:pPr>
            <w:r>
              <w:rPr>
                <w:rFonts w:ascii="Arial" w:cs="Arial" w:eastAsia="Arial" w:hAnsi="Arial"/>
                <w:sz w:val="18"/>
                <w:szCs w:val="18"/>
                <w:color w:val="auto"/>
              </w:rPr>
              <w:t>197,337</w:t>
            </w:r>
          </w:p>
        </w:tc>
        <w:tc>
          <w:tcPr>
            <w:tcW w:w="10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197,337</w:t>
            </w:r>
          </w:p>
        </w:tc>
        <w:tc>
          <w:tcPr>
            <w:tcW w:w="42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6F3E8"/>
          </w:tcPr>
          <w:p>
            <w:pPr>
              <w:jc w:val="right"/>
              <w:ind w:right="73"/>
              <w:spacing w:after="0"/>
              <w:rPr>
                <w:sz w:val="20"/>
                <w:szCs w:val="20"/>
                <w:color w:val="auto"/>
              </w:rPr>
            </w:pPr>
            <w:r>
              <w:rPr>
                <w:rFonts w:ascii="Arial" w:cs="Arial" w:eastAsia="Arial" w:hAnsi="Arial"/>
                <w:sz w:val="18"/>
                <w:szCs w:val="18"/>
                <w:color w:val="auto"/>
              </w:rPr>
              <w:t>197,337</w:t>
            </w:r>
          </w:p>
        </w:tc>
        <w:tc>
          <w:tcPr>
            <w:tcW w:w="260" w:type="dxa"/>
            <w:vAlign w:val="bottom"/>
            <w:shd w:val="clear" w:color="auto" w:fill="D6F3E8"/>
          </w:tcPr>
          <w:p>
            <w:pPr>
              <w:spacing w:after="0"/>
              <w:rPr>
                <w:sz w:val="22"/>
                <w:szCs w:val="22"/>
                <w:color w:val="auto"/>
              </w:rPr>
            </w:pPr>
          </w:p>
        </w:tc>
        <w:tc>
          <w:tcPr>
            <w:tcW w:w="136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(IncludedAbove)</w:t>
            </w:r>
          </w:p>
        </w:tc>
        <w:tc>
          <w:tcPr>
            <w:tcW w:w="340" w:type="dxa"/>
            <w:vAlign w:val="bottom"/>
            <w:shd w:val="clear" w:color="auto" w:fill="D6F3E8"/>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D6F3E8"/>
          </w:tcPr>
          <w:p>
            <w:pPr>
              <w:jc w:val="right"/>
              <w:ind w:right="71"/>
              <w:spacing w:after="0"/>
              <w:rPr>
                <w:sz w:val="20"/>
                <w:szCs w:val="20"/>
                <w:color w:val="auto"/>
              </w:rPr>
            </w:pPr>
            <w:r>
              <w:rPr>
                <w:rFonts w:ascii="Arial" w:cs="Arial" w:eastAsia="Arial" w:hAnsi="Arial"/>
                <w:sz w:val="18"/>
                <w:szCs w:val="18"/>
                <w:color w:val="auto"/>
              </w:rPr>
              <w:t>197,337</w:t>
            </w:r>
          </w:p>
        </w:tc>
        <w:tc>
          <w:tcPr>
            <w:tcW w:w="3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197,337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Long-Term Incentives:</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40" w:type="dxa"/>
            <w:vAlign w:val="bottom"/>
            <w:shd w:val="clear" w:color="auto" w:fill="D6F3E8"/>
          </w:tcPr>
          <w:p>
            <w:pPr>
              <w:ind w:left="160"/>
              <w:spacing w:after="0" w:line="256" w:lineRule="exact"/>
              <w:rPr>
                <w:sz w:val="20"/>
                <w:szCs w:val="20"/>
                <w:color w:val="auto"/>
              </w:rPr>
            </w:pPr>
            <w:r>
              <w:rPr>
                <w:rFonts w:ascii="Arial" w:cs="Arial" w:eastAsia="Arial" w:hAnsi="Arial"/>
                <w:sz w:val="18"/>
                <w:szCs w:val="18"/>
                <w:color w:val="auto"/>
              </w:rPr>
              <w:t>LTIP</w:t>
            </w:r>
            <w:r>
              <w:rPr>
                <w:rFonts w:ascii="Arial" w:cs="Arial" w:eastAsia="Arial" w:hAnsi="Arial"/>
                <w:sz w:val="29"/>
                <w:szCs w:val="29"/>
                <w:color w:val="auto"/>
                <w:vertAlign w:val="superscript"/>
              </w:rPr>
              <w:t>(4)</w:t>
            </w:r>
          </w:p>
        </w:tc>
        <w:tc>
          <w:tcPr>
            <w:tcW w:w="3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D6F3E8"/>
          </w:tcPr>
          <w:p>
            <w:pPr>
              <w:jc w:val="right"/>
              <w:ind w:right="231"/>
              <w:spacing w:after="0"/>
              <w:rPr>
                <w:sz w:val="20"/>
                <w:szCs w:val="20"/>
                <w:color w:val="auto"/>
              </w:rPr>
            </w:pPr>
            <w:r>
              <w:rPr>
                <w:rFonts w:ascii="Arial" w:cs="Arial" w:eastAsia="Arial" w:hAnsi="Arial"/>
                <w:sz w:val="18"/>
                <w:szCs w:val="18"/>
                <w:color w:val="auto"/>
              </w:rPr>
              <w:t>26,160</w:t>
            </w:r>
          </w:p>
        </w:tc>
        <w:tc>
          <w:tcPr>
            <w:tcW w:w="100" w:type="dxa"/>
            <w:vAlign w:val="bottom"/>
            <w:shd w:val="clear" w:color="auto" w:fill="D6F3E8"/>
          </w:tcPr>
          <w:p>
            <w:pPr>
              <w:spacing w:after="0"/>
              <w:rPr>
                <w:sz w:val="22"/>
                <w:szCs w:val="22"/>
                <w:color w:val="auto"/>
              </w:rPr>
            </w:pP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D6F3E8"/>
          </w:tcPr>
          <w:p>
            <w:pPr>
              <w:spacing w:after="0"/>
              <w:rPr>
                <w:sz w:val="22"/>
                <w:szCs w:val="22"/>
                <w:color w:val="auto"/>
              </w:rPr>
            </w:pPr>
          </w:p>
        </w:tc>
        <w:tc>
          <w:tcPr>
            <w:tcW w:w="100" w:type="dxa"/>
            <w:vAlign w:val="bottom"/>
            <w:shd w:val="clear" w:color="auto" w:fill="D6F3E8"/>
          </w:tcPr>
          <w:p>
            <w:pPr>
              <w:spacing w:after="0"/>
              <w:rPr>
                <w:sz w:val="22"/>
                <w:szCs w:val="22"/>
                <w:color w:val="auto"/>
              </w:rPr>
            </w:pPr>
          </w:p>
        </w:tc>
        <w:tc>
          <w:tcPr>
            <w:tcW w:w="1080" w:type="dxa"/>
            <w:vAlign w:val="bottom"/>
            <w:shd w:val="clear" w:color="auto" w:fill="D6F3E8"/>
          </w:tcPr>
          <w:p>
            <w:pPr>
              <w:jc w:val="right"/>
              <w:ind w:right="73"/>
              <w:spacing w:after="0"/>
              <w:rPr>
                <w:sz w:val="20"/>
                <w:szCs w:val="20"/>
                <w:color w:val="auto"/>
              </w:rPr>
            </w:pPr>
            <w:r>
              <w:rPr>
                <w:rFonts w:ascii="Arial" w:cs="Arial" w:eastAsia="Arial" w:hAnsi="Arial"/>
                <w:sz w:val="18"/>
                <w:szCs w:val="18"/>
                <w:color w:val="auto"/>
              </w:rPr>
              <w:t>—</w:t>
            </w:r>
          </w:p>
        </w:tc>
        <w:tc>
          <w:tcPr>
            <w:tcW w:w="2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78,481</w:t>
            </w:r>
          </w:p>
        </w:tc>
        <w:tc>
          <w:tcPr>
            <w:tcW w:w="340" w:type="dxa"/>
            <w:vAlign w:val="bottom"/>
            <w:shd w:val="clear" w:color="auto" w:fill="D6F3E8"/>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D6F3E8"/>
          </w:tcPr>
          <w:p>
            <w:pPr>
              <w:jc w:val="right"/>
              <w:ind w:right="71"/>
              <w:spacing w:after="0"/>
              <w:rPr>
                <w:sz w:val="20"/>
                <w:szCs w:val="20"/>
                <w:color w:val="auto"/>
              </w:rPr>
            </w:pPr>
            <w:r>
              <w:rPr>
                <w:rFonts w:ascii="Arial" w:cs="Arial" w:eastAsia="Arial" w:hAnsi="Arial"/>
                <w:sz w:val="18"/>
                <w:szCs w:val="18"/>
                <w:color w:val="auto"/>
              </w:rPr>
              <w:t>26,160</w:t>
            </w:r>
          </w:p>
        </w:tc>
        <w:tc>
          <w:tcPr>
            <w:tcW w:w="3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26,160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40" w:type="dxa"/>
            <w:vAlign w:val="bottom"/>
          </w:tcPr>
          <w:p>
            <w:pPr>
              <w:ind w:left="160"/>
              <w:spacing w:after="0" w:line="256" w:lineRule="exact"/>
              <w:rPr>
                <w:sz w:val="20"/>
                <w:szCs w:val="20"/>
                <w:color w:val="auto"/>
              </w:rPr>
            </w:pPr>
            <w:r>
              <w:rPr>
                <w:rFonts w:ascii="Arial" w:cs="Arial" w:eastAsia="Arial" w:hAnsi="Arial"/>
                <w:sz w:val="18"/>
                <w:szCs w:val="18"/>
                <w:color w:val="auto"/>
              </w:rPr>
              <w:t xml:space="preserve">Restricted Stock: </w:t>
            </w:r>
            <w:r>
              <w:rPr>
                <w:rFonts w:ascii="Arial" w:cs="Arial" w:eastAsia="Arial" w:hAnsi="Arial"/>
                <w:sz w:val="29"/>
                <w:szCs w:val="29"/>
                <w:color w:val="auto"/>
                <w:vertAlign w:val="superscript"/>
              </w:rPr>
              <w:t>(5)(6)</w:t>
            </w:r>
          </w:p>
        </w:tc>
        <w:tc>
          <w:tcPr>
            <w:tcW w:w="3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D6F3E8"/>
          </w:tcPr>
          <w:p>
            <w:pPr>
              <w:ind w:left="340"/>
              <w:spacing w:after="0"/>
              <w:rPr>
                <w:sz w:val="20"/>
                <w:szCs w:val="20"/>
                <w:color w:val="auto"/>
              </w:rPr>
            </w:pPr>
            <w:r>
              <w:rPr>
                <w:rFonts w:ascii="Arial" w:cs="Arial" w:eastAsia="Arial" w:hAnsi="Arial"/>
                <w:sz w:val="18"/>
                <w:szCs w:val="18"/>
                <w:color w:val="auto"/>
              </w:rPr>
              <w:t>Accelerated Vesting</w:t>
            </w:r>
          </w:p>
        </w:tc>
        <w:tc>
          <w:tcPr>
            <w:tcW w:w="3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D6F3E8"/>
          </w:tcPr>
          <w:p>
            <w:pPr>
              <w:jc w:val="right"/>
              <w:ind w:right="231"/>
              <w:spacing w:after="0"/>
              <w:rPr>
                <w:sz w:val="20"/>
                <w:szCs w:val="20"/>
                <w:color w:val="auto"/>
              </w:rPr>
            </w:pPr>
            <w:r>
              <w:rPr>
                <w:rFonts w:ascii="Arial" w:cs="Arial" w:eastAsia="Arial" w:hAnsi="Arial"/>
                <w:sz w:val="18"/>
                <w:szCs w:val="18"/>
                <w:color w:val="auto"/>
              </w:rPr>
              <w:t>166,440</w:t>
            </w:r>
          </w:p>
        </w:tc>
        <w:tc>
          <w:tcPr>
            <w:tcW w:w="10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166,440</w:t>
            </w:r>
          </w:p>
        </w:tc>
        <w:tc>
          <w:tcPr>
            <w:tcW w:w="32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1080" w:type="dxa"/>
            <w:vAlign w:val="bottom"/>
            <w:shd w:val="clear" w:color="auto" w:fill="D6F3E8"/>
          </w:tcPr>
          <w:p>
            <w:pPr>
              <w:jc w:val="right"/>
              <w:ind w:right="73"/>
              <w:spacing w:after="0"/>
              <w:rPr>
                <w:sz w:val="20"/>
                <w:szCs w:val="20"/>
                <w:color w:val="auto"/>
              </w:rPr>
            </w:pPr>
            <w:r>
              <w:rPr>
                <w:rFonts w:ascii="Arial" w:cs="Arial" w:eastAsia="Arial" w:hAnsi="Arial"/>
                <w:sz w:val="18"/>
                <w:szCs w:val="18"/>
                <w:color w:val="auto"/>
              </w:rPr>
              <w:t>—</w:t>
            </w:r>
          </w:p>
        </w:tc>
        <w:tc>
          <w:tcPr>
            <w:tcW w:w="2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166,440</w:t>
            </w:r>
          </w:p>
        </w:tc>
        <w:tc>
          <w:tcPr>
            <w:tcW w:w="340" w:type="dxa"/>
            <w:vAlign w:val="bottom"/>
            <w:shd w:val="clear" w:color="auto" w:fill="D6F3E8"/>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D6F3E8"/>
          </w:tcPr>
          <w:p>
            <w:pPr>
              <w:jc w:val="right"/>
              <w:ind w:right="71"/>
              <w:spacing w:after="0"/>
              <w:rPr>
                <w:sz w:val="20"/>
                <w:szCs w:val="20"/>
                <w:color w:val="auto"/>
              </w:rPr>
            </w:pPr>
            <w:r>
              <w:rPr>
                <w:rFonts w:ascii="Arial" w:cs="Arial" w:eastAsia="Arial" w:hAnsi="Arial"/>
                <w:sz w:val="18"/>
                <w:szCs w:val="18"/>
                <w:color w:val="auto"/>
              </w:rPr>
              <w:t>166,440</w:t>
            </w:r>
          </w:p>
        </w:tc>
        <w:tc>
          <w:tcPr>
            <w:tcW w:w="3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166,440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40" w:type="dxa"/>
            <w:vAlign w:val="bottom"/>
          </w:tcPr>
          <w:p>
            <w:pPr>
              <w:ind w:left="160"/>
              <w:spacing w:after="0" w:line="256" w:lineRule="exact"/>
              <w:rPr>
                <w:sz w:val="20"/>
                <w:szCs w:val="20"/>
                <w:color w:val="auto"/>
              </w:rPr>
            </w:pPr>
            <w:r>
              <w:rPr>
                <w:rFonts w:ascii="Arial" w:cs="Arial" w:eastAsia="Arial" w:hAnsi="Arial"/>
                <w:sz w:val="18"/>
                <w:szCs w:val="18"/>
                <w:color w:val="auto"/>
              </w:rPr>
              <w:t xml:space="preserve">Options: </w:t>
            </w:r>
            <w:r>
              <w:rPr>
                <w:rFonts w:ascii="Arial" w:cs="Arial" w:eastAsia="Arial" w:hAnsi="Arial"/>
                <w:sz w:val="29"/>
                <w:szCs w:val="29"/>
                <w:color w:val="auto"/>
                <w:vertAlign w:val="superscript"/>
              </w:rPr>
              <w:t>(5)(6)</w:t>
            </w:r>
          </w:p>
        </w:tc>
        <w:tc>
          <w:tcPr>
            <w:tcW w:w="3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D6F3E8"/>
          </w:tcPr>
          <w:p>
            <w:pPr>
              <w:ind w:left="340"/>
              <w:spacing w:after="0"/>
              <w:rPr>
                <w:sz w:val="20"/>
                <w:szCs w:val="20"/>
                <w:color w:val="auto"/>
              </w:rPr>
            </w:pPr>
            <w:r>
              <w:rPr>
                <w:rFonts w:ascii="Arial" w:cs="Arial" w:eastAsia="Arial" w:hAnsi="Arial"/>
                <w:sz w:val="18"/>
                <w:szCs w:val="18"/>
                <w:color w:val="auto"/>
              </w:rPr>
              <w:t>Vested</w:t>
            </w:r>
          </w:p>
        </w:tc>
        <w:tc>
          <w:tcPr>
            <w:tcW w:w="3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D6F3E8"/>
          </w:tcPr>
          <w:p>
            <w:pPr>
              <w:jc w:val="right"/>
              <w:ind w:right="231"/>
              <w:spacing w:after="0"/>
              <w:rPr>
                <w:sz w:val="20"/>
                <w:szCs w:val="20"/>
                <w:color w:val="auto"/>
              </w:rPr>
            </w:pPr>
            <w:r>
              <w:rPr>
                <w:rFonts w:ascii="Arial" w:cs="Arial" w:eastAsia="Arial" w:hAnsi="Arial"/>
                <w:sz w:val="18"/>
                <w:szCs w:val="18"/>
                <w:color w:val="auto"/>
              </w:rPr>
              <w:t>106,445</w:t>
            </w:r>
          </w:p>
        </w:tc>
        <w:tc>
          <w:tcPr>
            <w:tcW w:w="10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106,445</w:t>
            </w:r>
          </w:p>
        </w:tc>
        <w:tc>
          <w:tcPr>
            <w:tcW w:w="42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6F3E8"/>
          </w:tcPr>
          <w:p>
            <w:pPr>
              <w:jc w:val="right"/>
              <w:ind w:right="73"/>
              <w:spacing w:after="0"/>
              <w:rPr>
                <w:sz w:val="20"/>
                <w:szCs w:val="20"/>
                <w:color w:val="auto"/>
              </w:rPr>
            </w:pPr>
            <w:r>
              <w:rPr>
                <w:rFonts w:ascii="Arial" w:cs="Arial" w:eastAsia="Arial" w:hAnsi="Arial"/>
                <w:sz w:val="18"/>
                <w:szCs w:val="18"/>
                <w:color w:val="auto"/>
              </w:rPr>
              <w:t>106,445</w:t>
            </w:r>
          </w:p>
        </w:tc>
        <w:tc>
          <w:tcPr>
            <w:tcW w:w="2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106,445</w:t>
            </w:r>
          </w:p>
        </w:tc>
        <w:tc>
          <w:tcPr>
            <w:tcW w:w="340" w:type="dxa"/>
            <w:vAlign w:val="bottom"/>
            <w:shd w:val="clear" w:color="auto" w:fill="D6F3E8"/>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D6F3E8"/>
          </w:tcPr>
          <w:p>
            <w:pPr>
              <w:jc w:val="right"/>
              <w:ind w:right="71"/>
              <w:spacing w:after="0"/>
              <w:rPr>
                <w:sz w:val="20"/>
                <w:szCs w:val="20"/>
                <w:color w:val="auto"/>
              </w:rPr>
            </w:pPr>
            <w:r>
              <w:rPr>
                <w:rFonts w:ascii="Arial" w:cs="Arial" w:eastAsia="Arial" w:hAnsi="Arial"/>
                <w:sz w:val="18"/>
                <w:szCs w:val="18"/>
                <w:color w:val="auto"/>
              </w:rPr>
              <w:t>106,445</w:t>
            </w:r>
          </w:p>
        </w:tc>
        <w:tc>
          <w:tcPr>
            <w:tcW w:w="3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106,445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340"/>
              <w:spacing w:after="0"/>
              <w:rPr>
                <w:sz w:val="20"/>
                <w:szCs w:val="20"/>
                <w:color w:val="auto"/>
              </w:rPr>
            </w:pPr>
            <w:r>
              <w:rPr>
                <w:rFonts w:ascii="Arial" w:cs="Arial" w:eastAsia="Arial" w:hAnsi="Arial"/>
                <w:sz w:val="18"/>
                <w:szCs w:val="18"/>
                <w:color w:val="auto"/>
              </w:rPr>
              <w:t>Accelerated Vesting</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31"/>
              <w:spacing w:after="0"/>
              <w:rPr>
                <w:sz w:val="20"/>
                <w:szCs w:val="20"/>
                <w:color w:val="auto"/>
              </w:rPr>
            </w:pPr>
            <w:r>
              <w:rPr>
                <w:rFonts w:ascii="Arial" w:cs="Arial" w:eastAsia="Arial" w:hAnsi="Arial"/>
                <w:sz w:val="18"/>
                <w:szCs w:val="18"/>
                <w:color w:val="auto"/>
              </w:rPr>
              <w:t>7,167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7,167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7,167</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7,167</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D6F3E8"/>
          </w:tcPr>
          <w:p>
            <w:pPr>
              <w:spacing w:after="0"/>
              <w:rPr>
                <w:sz w:val="20"/>
                <w:szCs w:val="20"/>
                <w:color w:val="auto"/>
              </w:rPr>
            </w:pPr>
            <w:r>
              <w:rPr>
                <w:rFonts w:ascii="Arial" w:cs="Arial" w:eastAsia="Arial" w:hAnsi="Arial"/>
                <w:sz w:val="18"/>
                <w:szCs w:val="18"/>
                <w:color w:val="auto"/>
              </w:rPr>
              <w:t>Deferred Comp Plans:</w:t>
            </w:r>
          </w:p>
        </w:tc>
        <w:tc>
          <w:tcPr>
            <w:tcW w:w="340" w:type="dxa"/>
            <w:vAlign w:val="bottom"/>
            <w:shd w:val="clear" w:color="auto" w:fill="D6F3E8"/>
          </w:tcPr>
          <w:p>
            <w:pPr>
              <w:spacing w:after="0"/>
              <w:rPr>
                <w:sz w:val="18"/>
                <w:szCs w:val="18"/>
                <w:color w:val="auto"/>
              </w:rPr>
            </w:pPr>
          </w:p>
        </w:tc>
        <w:tc>
          <w:tcPr>
            <w:tcW w:w="124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92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1080" w:type="dxa"/>
            <w:vAlign w:val="bottom"/>
            <w:shd w:val="clear" w:color="auto" w:fill="D6F3E8"/>
          </w:tcPr>
          <w:p>
            <w:pPr>
              <w:spacing w:after="0"/>
              <w:rPr>
                <w:sz w:val="18"/>
                <w:szCs w:val="18"/>
                <w:color w:val="auto"/>
              </w:rPr>
            </w:pPr>
          </w:p>
        </w:tc>
        <w:tc>
          <w:tcPr>
            <w:tcW w:w="260" w:type="dxa"/>
            <w:vAlign w:val="bottom"/>
            <w:shd w:val="clear" w:color="auto" w:fill="D6F3E8"/>
          </w:tcPr>
          <w:p>
            <w:pPr>
              <w:spacing w:after="0"/>
              <w:rPr>
                <w:sz w:val="18"/>
                <w:szCs w:val="18"/>
                <w:color w:val="auto"/>
              </w:rPr>
            </w:pPr>
          </w:p>
        </w:tc>
        <w:tc>
          <w:tcPr>
            <w:tcW w:w="118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980" w:type="dxa"/>
            <w:vAlign w:val="bottom"/>
            <w:shd w:val="clear" w:color="auto" w:fill="D6F3E8"/>
          </w:tcPr>
          <w:p>
            <w:pPr>
              <w:spacing w:after="0"/>
              <w:rPr>
                <w:sz w:val="18"/>
                <w:szCs w:val="18"/>
                <w:color w:val="auto"/>
              </w:rPr>
            </w:pPr>
          </w:p>
        </w:tc>
        <w:tc>
          <w:tcPr>
            <w:tcW w:w="300" w:type="dxa"/>
            <w:vAlign w:val="bottom"/>
            <w:shd w:val="clear" w:color="auto" w:fill="D6F3E8"/>
          </w:tcPr>
          <w:p>
            <w:pPr>
              <w:spacing w:after="0"/>
              <w:rPr>
                <w:sz w:val="18"/>
                <w:szCs w:val="18"/>
                <w:color w:val="auto"/>
              </w:rPr>
            </w:pPr>
          </w:p>
        </w:tc>
        <w:tc>
          <w:tcPr>
            <w:tcW w:w="88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040" w:type="dxa"/>
            <w:vAlign w:val="bottom"/>
          </w:tcPr>
          <w:p>
            <w:pPr>
              <w:ind w:left="160"/>
              <w:spacing w:after="0" w:line="206" w:lineRule="exact"/>
              <w:rPr>
                <w:sz w:val="20"/>
                <w:szCs w:val="20"/>
                <w:color w:val="auto"/>
              </w:rPr>
            </w:pPr>
            <w:r>
              <w:rPr>
                <w:rFonts w:ascii="Arial" w:cs="Arial" w:eastAsia="Arial" w:hAnsi="Arial"/>
                <w:sz w:val="18"/>
                <w:szCs w:val="18"/>
                <w:color w:val="auto"/>
                <w:w w:val="98"/>
              </w:rPr>
              <w:t>Deferred Compensation Plan (1981)</w:t>
            </w: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40" w:type="dxa"/>
            <w:vAlign w:val="bottom"/>
            <w:vMerge w:val="restart"/>
          </w:tcPr>
          <w:p>
            <w:pPr>
              <w:jc w:val="right"/>
              <w:ind w:right="231"/>
              <w:spacing w:after="0"/>
              <w:rPr>
                <w:sz w:val="20"/>
                <w:szCs w:val="20"/>
                <w:color w:val="auto"/>
              </w:rPr>
            </w:pPr>
            <w:r>
              <w:rPr>
                <w:rFonts w:ascii="Arial" w:cs="Arial" w:eastAsia="Arial" w:hAnsi="Arial"/>
                <w:sz w:val="18"/>
                <w:szCs w:val="18"/>
                <w:color w:val="auto"/>
              </w:rPr>
              <w:t>729,600</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729,600</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vMerge w:val="restart"/>
          </w:tcPr>
          <w:p>
            <w:pPr>
              <w:jc w:val="right"/>
              <w:ind w:right="73"/>
              <w:spacing w:after="0"/>
              <w:rPr>
                <w:sz w:val="20"/>
                <w:szCs w:val="20"/>
                <w:color w:val="auto"/>
              </w:rPr>
            </w:pPr>
            <w:r>
              <w:rPr>
                <w:rFonts w:ascii="Arial" w:cs="Arial" w:eastAsia="Arial" w:hAnsi="Arial"/>
                <w:sz w:val="18"/>
                <w:szCs w:val="18"/>
                <w:color w:val="auto"/>
              </w:rPr>
              <w:t>—</w:t>
            </w: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729,600</w:t>
            </w:r>
          </w:p>
        </w:tc>
        <w:tc>
          <w:tcPr>
            <w:tcW w:w="34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ind w:right="71"/>
              <w:spacing w:after="0"/>
              <w:rPr>
                <w:sz w:val="20"/>
                <w:szCs w:val="20"/>
                <w:color w:val="auto"/>
              </w:rPr>
            </w:pPr>
            <w:r>
              <w:rPr>
                <w:rFonts w:ascii="Arial" w:cs="Arial" w:eastAsia="Arial" w:hAnsi="Arial"/>
                <w:sz w:val="18"/>
                <w:szCs w:val="18"/>
                <w:color w:val="auto"/>
              </w:rPr>
              <w:t>729,600</w:t>
            </w: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729,600</w:t>
            </w:r>
          </w:p>
        </w:tc>
        <w:tc>
          <w:tcPr>
            <w:tcW w:w="0" w:type="dxa"/>
            <w:vAlign w:val="bottom"/>
          </w:tcPr>
          <w:p>
            <w:pPr>
              <w:spacing w:after="0"/>
              <w:rPr>
                <w:sz w:val="1"/>
                <w:szCs w:val="1"/>
                <w:color w:val="auto"/>
              </w:rPr>
            </w:pPr>
          </w:p>
        </w:tc>
      </w:tr>
      <w:tr>
        <w:trPr>
          <w:trHeight w:val="213"/>
        </w:trPr>
        <w:tc>
          <w:tcPr>
            <w:tcW w:w="3060" w:type="dxa"/>
            <w:vAlign w:val="bottom"/>
            <w:gridSpan w:val="2"/>
          </w:tcPr>
          <w:p>
            <w:pPr>
              <w:ind w:left="280"/>
              <w:spacing w:after="0"/>
              <w:rPr>
                <w:sz w:val="20"/>
                <w:szCs w:val="20"/>
                <w:color w:val="auto"/>
              </w:rPr>
            </w:pPr>
            <w:r>
              <w:rPr>
                <w:rFonts w:ascii="Arial" w:cs="Arial" w:eastAsia="Arial" w:hAnsi="Arial"/>
                <w:sz w:val="15"/>
                <w:szCs w:val="15"/>
                <w:color w:val="auto"/>
              </w:rPr>
              <w:t>(7)</w:t>
            </w:r>
          </w:p>
        </w:tc>
        <w:tc>
          <w:tcPr>
            <w:tcW w:w="340" w:type="dxa"/>
            <w:vAlign w:val="bottom"/>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34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040" w:type="dxa"/>
            <w:vAlign w:val="bottom"/>
            <w:shd w:val="clear" w:color="auto" w:fill="D6F3E8"/>
          </w:tcPr>
          <w:p>
            <w:pPr>
              <w:ind w:left="160"/>
              <w:spacing w:after="0" w:line="206" w:lineRule="exact"/>
              <w:rPr>
                <w:sz w:val="20"/>
                <w:szCs w:val="20"/>
                <w:color w:val="auto"/>
              </w:rPr>
            </w:pPr>
            <w:r>
              <w:rPr>
                <w:rFonts w:ascii="Arial" w:cs="Arial" w:eastAsia="Arial" w:hAnsi="Arial"/>
                <w:sz w:val="18"/>
                <w:szCs w:val="18"/>
                <w:color w:val="auto"/>
              </w:rPr>
              <w:t>Split Dollar Life Insurance Program</w:t>
            </w:r>
          </w:p>
        </w:tc>
        <w:tc>
          <w:tcPr>
            <w:tcW w:w="340" w:type="dxa"/>
            <w:vAlign w:val="bottom"/>
            <w:vMerge w:val="restart"/>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240" w:type="dxa"/>
            <w:vAlign w:val="bottom"/>
            <w:vMerge w:val="restart"/>
            <w:shd w:val="clear" w:color="auto" w:fill="D6F3E8"/>
          </w:tcPr>
          <w:p>
            <w:pPr>
              <w:jc w:val="right"/>
              <w:ind w:right="231"/>
              <w:spacing w:after="0"/>
              <w:rPr>
                <w:sz w:val="20"/>
                <w:szCs w:val="20"/>
                <w:color w:val="auto"/>
              </w:rPr>
            </w:pPr>
            <w:r>
              <w:rPr>
                <w:rFonts w:ascii="Arial" w:cs="Arial" w:eastAsia="Arial" w:hAnsi="Arial"/>
                <w:sz w:val="18"/>
                <w:szCs w:val="18"/>
                <w:color w:val="auto"/>
              </w:rPr>
              <w:t>355,500</w:t>
            </w:r>
          </w:p>
        </w:tc>
        <w:tc>
          <w:tcPr>
            <w:tcW w:w="100" w:type="dxa"/>
            <w:vAlign w:val="bottom"/>
            <w:vMerge w:val="restart"/>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D6F3E8"/>
          </w:tcPr>
          <w:p>
            <w:pPr>
              <w:jc w:val="right"/>
              <w:spacing w:after="0"/>
              <w:rPr>
                <w:sz w:val="20"/>
                <w:szCs w:val="20"/>
                <w:color w:val="auto"/>
              </w:rPr>
            </w:pPr>
            <w:r>
              <w:rPr>
                <w:rFonts w:ascii="Arial" w:cs="Arial" w:eastAsia="Arial" w:hAnsi="Arial"/>
                <w:sz w:val="18"/>
                <w:szCs w:val="18"/>
                <w:color w:val="auto"/>
              </w:rPr>
              <w:t>355,500</w:t>
            </w:r>
          </w:p>
        </w:tc>
        <w:tc>
          <w:tcPr>
            <w:tcW w:w="320" w:type="dxa"/>
            <w:vAlign w:val="bottom"/>
            <w:shd w:val="clear" w:color="auto" w:fill="D6F3E8"/>
          </w:tcPr>
          <w:p>
            <w:pPr>
              <w:spacing w:after="0"/>
              <w:rPr>
                <w:sz w:val="17"/>
                <w:szCs w:val="17"/>
                <w:color w:val="auto"/>
              </w:rPr>
            </w:pPr>
          </w:p>
        </w:tc>
        <w:tc>
          <w:tcPr>
            <w:tcW w:w="100" w:type="dxa"/>
            <w:vAlign w:val="bottom"/>
            <w:shd w:val="clear" w:color="auto" w:fill="D6F3E8"/>
          </w:tcPr>
          <w:p>
            <w:pPr>
              <w:spacing w:after="0"/>
              <w:rPr>
                <w:sz w:val="17"/>
                <w:szCs w:val="17"/>
                <w:color w:val="auto"/>
              </w:rPr>
            </w:pPr>
          </w:p>
        </w:tc>
        <w:tc>
          <w:tcPr>
            <w:tcW w:w="1080" w:type="dxa"/>
            <w:vAlign w:val="bottom"/>
            <w:vMerge w:val="restart"/>
            <w:shd w:val="clear" w:color="auto" w:fill="D6F3E8"/>
          </w:tcPr>
          <w:p>
            <w:pPr>
              <w:jc w:val="right"/>
              <w:ind w:right="73"/>
              <w:spacing w:after="0"/>
              <w:rPr>
                <w:sz w:val="20"/>
                <w:szCs w:val="20"/>
                <w:color w:val="auto"/>
              </w:rPr>
            </w:pPr>
            <w:r>
              <w:rPr>
                <w:rFonts w:ascii="Arial" w:cs="Arial" w:eastAsia="Arial" w:hAnsi="Arial"/>
                <w:sz w:val="18"/>
                <w:szCs w:val="18"/>
                <w:color w:val="auto"/>
              </w:rPr>
              <w:t>—</w:t>
            </w:r>
          </w:p>
        </w:tc>
        <w:tc>
          <w:tcPr>
            <w:tcW w:w="260" w:type="dxa"/>
            <w:vAlign w:val="bottom"/>
            <w:vMerge w:val="restart"/>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vMerge w:val="restart"/>
            <w:shd w:val="clear" w:color="auto" w:fill="D6F3E8"/>
          </w:tcPr>
          <w:p>
            <w:pPr>
              <w:jc w:val="right"/>
              <w:ind w:right="180"/>
              <w:spacing w:after="0"/>
              <w:rPr>
                <w:sz w:val="20"/>
                <w:szCs w:val="20"/>
                <w:color w:val="auto"/>
              </w:rPr>
            </w:pPr>
            <w:r>
              <w:rPr>
                <w:rFonts w:ascii="Arial" w:cs="Arial" w:eastAsia="Arial" w:hAnsi="Arial"/>
                <w:sz w:val="18"/>
                <w:szCs w:val="18"/>
                <w:color w:val="auto"/>
              </w:rPr>
              <w:t>355,500</w:t>
            </w:r>
          </w:p>
        </w:tc>
        <w:tc>
          <w:tcPr>
            <w:tcW w:w="340" w:type="dxa"/>
            <w:vAlign w:val="bottom"/>
            <w:vMerge w:val="restart"/>
            <w:shd w:val="clear" w:color="auto" w:fill="D6F3E8"/>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D6F3E8"/>
          </w:tcPr>
          <w:p>
            <w:pPr>
              <w:jc w:val="right"/>
              <w:ind w:right="71"/>
              <w:spacing w:after="0"/>
              <w:rPr>
                <w:sz w:val="20"/>
                <w:szCs w:val="20"/>
                <w:color w:val="auto"/>
              </w:rPr>
            </w:pPr>
            <w:r>
              <w:rPr>
                <w:rFonts w:ascii="Arial" w:cs="Arial" w:eastAsia="Arial" w:hAnsi="Arial"/>
                <w:sz w:val="18"/>
                <w:szCs w:val="18"/>
                <w:color w:val="auto"/>
              </w:rPr>
              <w:t>355,500</w:t>
            </w:r>
          </w:p>
        </w:tc>
        <w:tc>
          <w:tcPr>
            <w:tcW w:w="300" w:type="dxa"/>
            <w:vAlign w:val="bottom"/>
            <w:vMerge w:val="restart"/>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vMerge w:val="restart"/>
            <w:shd w:val="clear" w:color="auto" w:fill="D6F3E8"/>
          </w:tcPr>
          <w:p>
            <w:pPr>
              <w:jc w:val="right"/>
              <w:ind w:right="100"/>
              <w:spacing w:after="0"/>
              <w:rPr>
                <w:sz w:val="20"/>
                <w:szCs w:val="20"/>
                <w:color w:val="auto"/>
              </w:rPr>
            </w:pPr>
            <w:r>
              <w:rPr>
                <w:rFonts w:ascii="Arial" w:cs="Arial" w:eastAsia="Arial" w:hAnsi="Arial"/>
                <w:sz w:val="18"/>
                <w:szCs w:val="18"/>
                <w:color w:val="auto"/>
              </w:rPr>
              <w:t>355,500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040" w:type="dxa"/>
            <w:vAlign w:val="bottom"/>
            <w:shd w:val="clear" w:color="auto" w:fill="D6F3E8"/>
          </w:tcPr>
          <w:p>
            <w:pPr>
              <w:ind w:left="260"/>
              <w:spacing w:after="0"/>
              <w:rPr>
                <w:sz w:val="20"/>
                <w:szCs w:val="20"/>
                <w:color w:val="auto"/>
              </w:rPr>
            </w:pPr>
            <w:r>
              <w:rPr>
                <w:rFonts w:ascii="Arial" w:cs="Arial" w:eastAsia="Arial" w:hAnsi="Arial"/>
                <w:sz w:val="15"/>
                <w:szCs w:val="15"/>
                <w:color w:val="auto"/>
              </w:rPr>
              <w:t>(8)</w:t>
            </w:r>
          </w:p>
        </w:tc>
        <w:tc>
          <w:tcPr>
            <w:tcW w:w="340" w:type="dxa"/>
            <w:vAlign w:val="bottom"/>
            <w:vMerge w:val="continue"/>
            <w:shd w:val="clear" w:color="auto" w:fill="D6F3E8"/>
          </w:tcPr>
          <w:p>
            <w:pPr>
              <w:spacing w:after="0"/>
              <w:rPr>
                <w:sz w:val="18"/>
                <w:szCs w:val="18"/>
                <w:color w:val="auto"/>
              </w:rPr>
            </w:pPr>
          </w:p>
        </w:tc>
        <w:tc>
          <w:tcPr>
            <w:tcW w:w="1240" w:type="dxa"/>
            <w:vAlign w:val="bottom"/>
            <w:vMerge w:val="continue"/>
            <w:shd w:val="clear" w:color="auto" w:fill="D6F3E8"/>
          </w:tcPr>
          <w:p>
            <w:pPr>
              <w:spacing w:after="0"/>
              <w:rPr>
                <w:sz w:val="18"/>
                <w:szCs w:val="18"/>
                <w:color w:val="auto"/>
              </w:rPr>
            </w:pPr>
          </w:p>
        </w:tc>
        <w:tc>
          <w:tcPr>
            <w:tcW w:w="100" w:type="dxa"/>
            <w:vAlign w:val="bottom"/>
            <w:vMerge w:val="continue"/>
            <w:shd w:val="clear" w:color="auto" w:fill="D6F3E8"/>
          </w:tcPr>
          <w:p>
            <w:pPr>
              <w:spacing w:after="0"/>
              <w:rPr>
                <w:sz w:val="18"/>
                <w:szCs w:val="18"/>
                <w:color w:val="auto"/>
              </w:rPr>
            </w:pPr>
          </w:p>
        </w:tc>
        <w:tc>
          <w:tcPr>
            <w:tcW w:w="920" w:type="dxa"/>
            <w:vAlign w:val="bottom"/>
            <w:vMerge w:val="continue"/>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1080" w:type="dxa"/>
            <w:vAlign w:val="bottom"/>
            <w:vMerge w:val="continue"/>
            <w:shd w:val="clear" w:color="auto" w:fill="D6F3E8"/>
          </w:tcPr>
          <w:p>
            <w:pPr>
              <w:spacing w:after="0"/>
              <w:rPr>
                <w:sz w:val="18"/>
                <w:szCs w:val="18"/>
                <w:color w:val="auto"/>
              </w:rPr>
            </w:pPr>
          </w:p>
        </w:tc>
        <w:tc>
          <w:tcPr>
            <w:tcW w:w="260" w:type="dxa"/>
            <w:vAlign w:val="bottom"/>
            <w:vMerge w:val="continue"/>
            <w:shd w:val="clear" w:color="auto" w:fill="D6F3E8"/>
          </w:tcPr>
          <w:p>
            <w:pPr>
              <w:spacing w:after="0"/>
              <w:rPr>
                <w:sz w:val="18"/>
                <w:szCs w:val="18"/>
                <w:color w:val="auto"/>
              </w:rPr>
            </w:pPr>
          </w:p>
        </w:tc>
        <w:tc>
          <w:tcPr>
            <w:tcW w:w="1360" w:type="dxa"/>
            <w:vAlign w:val="bottom"/>
            <w:gridSpan w:val="2"/>
            <w:vMerge w:val="continue"/>
            <w:shd w:val="clear" w:color="auto" w:fill="D6F3E8"/>
          </w:tcPr>
          <w:p>
            <w:pPr>
              <w:spacing w:after="0"/>
              <w:rPr>
                <w:sz w:val="18"/>
                <w:szCs w:val="18"/>
                <w:color w:val="auto"/>
              </w:rPr>
            </w:pPr>
          </w:p>
        </w:tc>
        <w:tc>
          <w:tcPr>
            <w:tcW w:w="340" w:type="dxa"/>
            <w:vAlign w:val="bottom"/>
            <w:vMerge w:val="continue"/>
            <w:shd w:val="clear" w:color="auto" w:fill="D6F3E8"/>
          </w:tcPr>
          <w:p>
            <w:pPr>
              <w:spacing w:after="0"/>
              <w:rPr>
                <w:sz w:val="18"/>
                <w:szCs w:val="18"/>
                <w:color w:val="auto"/>
              </w:rPr>
            </w:pPr>
          </w:p>
        </w:tc>
        <w:tc>
          <w:tcPr>
            <w:tcW w:w="980" w:type="dxa"/>
            <w:vAlign w:val="bottom"/>
            <w:vMerge w:val="continue"/>
            <w:shd w:val="clear" w:color="auto" w:fill="D6F3E8"/>
          </w:tcPr>
          <w:p>
            <w:pPr>
              <w:spacing w:after="0"/>
              <w:rPr>
                <w:sz w:val="18"/>
                <w:szCs w:val="18"/>
                <w:color w:val="auto"/>
              </w:rPr>
            </w:pPr>
          </w:p>
        </w:tc>
        <w:tc>
          <w:tcPr>
            <w:tcW w:w="300" w:type="dxa"/>
            <w:vAlign w:val="bottom"/>
            <w:vMerge w:val="continue"/>
            <w:shd w:val="clear" w:color="auto" w:fill="D6F3E8"/>
          </w:tcPr>
          <w:p>
            <w:pPr>
              <w:spacing w:after="0"/>
              <w:rPr>
                <w:sz w:val="18"/>
                <w:szCs w:val="18"/>
                <w:color w:val="auto"/>
              </w:rPr>
            </w:pPr>
          </w:p>
        </w:tc>
        <w:tc>
          <w:tcPr>
            <w:tcW w:w="980" w:type="dxa"/>
            <w:vAlign w:val="bottom"/>
            <w:gridSpan w:val="2"/>
            <w:vMerge w:val="continue"/>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40" w:type="dxa"/>
            <w:vAlign w:val="bottom"/>
          </w:tcPr>
          <w:p>
            <w:pPr>
              <w:ind w:left="160"/>
              <w:spacing w:after="0" w:line="256" w:lineRule="exact"/>
              <w:rPr>
                <w:sz w:val="20"/>
                <w:szCs w:val="20"/>
                <w:color w:val="auto"/>
              </w:rPr>
            </w:pPr>
            <w:r>
              <w:rPr>
                <w:rFonts w:ascii="Arial" w:cs="Arial" w:eastAsia="Arial" w:hAnsi="Arial"/>
                <w:sz w:val="18"/>
                <w:szCs w:val="18"/>
                <w:color w:val="auto"/>
                <w:w w:val="98"/>
              </w:rPr>
              <w:t xml:space="preserve">Executive Share Option Program </w:t>
            </w:r>
            <w:r>
              <w:rPr>
                <w:rFonts w:ascii="Arial" w:cs="Arial" w:eastAsia="Arial" w:hAnsi="Arial"/>
                <w:sz w:val="29"/>
                <w:szCs w:val="29"/>
                <w:color w:val="auto"/>
                <w:w w:val="98"/>
                <w:vertAlign w:val="superscript"/>
              </w:rPr>
              <w:t>(9)</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31"/>
              <w:spacing w:after="0"/>
              <w:rPr>
                <w:sz w:val="20"/>
                <w:szCs w:val="20"/>
                <w:color w:val="auto"/>
              </w:rPr>
            </w:pPr>
            <w:r>
              <w:rPr>
                <w:rFonts w:ascii="Arial" w:cs="Arial" w:eastAsia="Arial" w:hAnsi="Arial"/>
                <w:sz w:val="18"/>
                <w:szCs w:val="18"/>
                <w:color w:val="auto"/>
              </w:rPr>
              <w:t>1,093,464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1,093,464</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1,093,464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1,093,464</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w w:val="99"/>
              </w:rPr>
              <w:t>1,093,464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1,093,464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D6F3E8"/>
          </w:tcPr>
          <w:p>
            <w:pPr>
              <w:spacing w:after="0"/>
              <w:rPr>
                <w:sz w:val="20"/>
                <w:szCs w:val="20"/>
                <w:color w:val="auto"/>
              </w:rPr>
            </w:pPr>
            <w:r>
              <w:rPr>
                <w:rFonts w:ascii="Arial" w:cs="Arial" w:eastAsia="Arial" w:hAnsi="Arial"/>
                <w:sz w:val="18"/>
                <w:szCs w:val="18"/>
                <w:color w:val="auto"/>
              </w:rPr>
              <w:t>Other Benefits:</w:t>
            </w:r>
          </w:p>
        </w:tc>
        <w:tc>
          <w:tcPr>
            <w:tcW w:w="340" w:type="dxa"/>
            <w:vAlign w:val="bottom"/>
            <w:shd w:val="clear" w:color="auto" w:fill="D6F3E8"/>
          </w:tcPr>
          <w:p>
            <w:pPr>
              <w:spacing w:after="0"/>
              <w:rPr>
                <w:sz w:val="18"/>
                <w:szCs w:val="18"/>
                <w:color w:val="auto"/>
              </w:rPr>
            </w:pPr>
          </w:p>
        </w:tc>
        <w:tc>
          <w:tcPr>
            <w:tcW w:w="124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92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1080" w:type="dxa"/>
            <w:vAlign w:val="bottom"/>
            <w:shd w:val="clear" w:color="auto" w:fill="D6F3E8"/>
          </w:tcPr>
          <w:p>
            <w:pPr>
              <w:spacing w:after="0"/>
              <w:rPr>
                <w:sz w:val="18"/>
                <w:szCs w:val="18"/>
                <w:color w:val="auto"/>
              </w:rPr>
            </w:pPr>
          </w:p>
        </w:tc>
        <w:tc>
          <w:tcPr>
            <w:tcW w:w="260" w:type="dxa"/>
            <w:vAlign w:val="bottom"/>
            <w:shd w:val="clear" w:color="auto" w:fill="D6F3E8"/>
          </w:tcPr>
          <w:p>
            <w:pPr>
              <w:spacing w:after="0"/>
              <w:rPr>
                <w:sz w:val="18"/>
                <w:szCs w:val="18"/>
                <w:color w:val="auto"/>
              </w:rPr>
            </w:pPr>
          </w:p>
        </w:tc>
        <w:tc>
          <w:tcPr>
            <w:tcW w:w="118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980" w:type="dxa"/>
            <w:vAlign w:val="bottom"/>
            <w:shd w:val="clear" w:color="auto" w:fill="D6F3E8"/>
          </w:tcPr>
          <w:p>
            <w:pPr>
              <w:spacing w:after="0"/>
              <w:rPr>
                <w:sz w:val="18"/>
                <w:szCs w:val="18"/>
                <w:color w:val="auto"/>
              </w:rPr>
            </w:pPr>
          </w:p>
        </w:tc>
        <w:tc>
          <w:tcPr>
            <w:tcW w:w="300" w:type="dxa"/>
            <w:vAlign w:val="bottom"/>
            <w:shd w:val="clear" w:color="auto" w:fill="D6F3E8"/>
          </w:tcPr>
          <w:p>
            <w:pPr>
              <w:spacing w:after="0"/>
              <w:rPr>
                <w:sz w:val="18"/>
                <w:szCs w:val="18"/>
                <w:color w:val="auto"/>
              </w:rPr>
            </w:pPr>
          </w:p>
        </w:tc>
        <w:tc>
          <w:tcPr>
            <w:tcW w:w="88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40" w:type="dxa"/>
            <w:vAlign w:val="bottom"/>
          </w:tcPr>
          <w:p>
            <w:pPr>
              <w:ind w:left="160"/>
              <w:spacing w:after="0" w:line="256" w:lineRule="exact"/>
              <w:rPr>
                <w:sz w:val="20"/>
                <w:szCs w:val="20"/>
                <w:color w:val="auto"/>
              </w:rPr>
            </w:pPr>
            <w:r>
              <w:rPr>
                <w:rFonts w:ascii="Arial" w:cs="Arial" w:eastAsia="Arial" w:hAnsi="Arial"/>
                <w:sz w:val="18"/>
                <w:szCs w:val="18"/>
                <w:color w:val="auto"/>
              </w:rPr>
              <w:t xml:space="preserve">Health and Welfare </w:t>
            </w:r>
            <w:r>
              <w:rPr>
                <w:rFonts w:ascii="Arial" w:cs="Arial" w:eastAsia="Arial" w:hAnsi="Arial"/>
                <w:sz w:val="29"/>
                <w:szCs w:val="29"/>
                <w:color w:val="auto"/>
                <w:vertAlign w:val="superscript"/>
              </w:rPr>
              <w:t>(10)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31"/>
              <w:spacing w:after="0"/>
              <w:rPr>
                <w:sz w:val="20"/>
                <w:szCs w:val="20"/>
                <w:color w:val="auto"/>
              </w:rPr>
            </w:pPr>
            <w:r>
              <w:rPr>
                <w:rFonts w:ascii="Arial" w:cs="Arial" w:eastAsia="Arial" w:hAnsi="Arial"/>
                <w:sz w:val="18"/>
                <w:szCs w:val="18"/>
                <w:color w:val="auto"/>
              </w:rPr>
              <w:t>9,000</w:t>
            </w:r>
          </w:p>
        </w:tc>
        <w:tc>
          <w:tcPr>
            <w:tcW w:w="1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17,472</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4,500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40" w:type="dxa"/>
            <w:vAlign w:val="bottom"/>
            <w:shd w:val="clear" w:color="auto" w:fill="D6F3E8"/>
          </w:tcPr>
          <w:p>
            <w:pPr>
              <w:ind w:left="160"/>
              <w:spacing w:after="0" w:line="256"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9"/>
                <w:szCs w:val="29"/>
                <w:color w:val="auto"/>
                <w:vertAlign w:val="superscript"/>
              </w:rPr>
              <w:t>(11)</w:t>
            </w:r>
          </w:p>
        </w:tc>
        <w:tc>
          <w:tcPr>
            <w:tcW w:w="340" w:type="dxa"/>
            <w:vAlign w:val="bottom"/>
            <w:shd w:val="clear" w:color="auto" w:fill="D6F3E8"/>
          </w:tcPr>
          <w:p>
            <w:pPr>
              <w:spacing w:after="0"/>
              <w:rPr>
                <w:sz w:val="22"/>
                <w:szCs w:val="22"/>
                <w:color w:val="auto"/>
              </w:rPr>
            </w:pPr>
          </w:p>
        </w:tc>
        <w:tc>
          <w:tcPr>
            <w:tcW w:w="1240" w:type="dxa"/>
            <w:vAlign w:val="bottom"/>
            <w:shd w:val="clear" w:color="auto" w:fill="D6F3E8"/>
          </w:tcPr>
          <w:p>
            <w:pPr>
              <w:jc w:val="right"/>
              <w:ind w:right="231"/>
              <w:spacing w:after="0"/>
              <w:rPr>
                <w:sz w:val="20"/>
                <w:szCs w:val="20"/>
                <w:color w:val="auto"/>
              </w:rPr>
            </w:pPr>
            <w:r>
              <w:rPr>
                <w:rFonts w:ascii="Arial" w:cs="Arial" w:eastAsia="Arial" w:hAnsi="Arial"/>
                <w:sz w:val="18"/>
                <w:szCs w:val="18"/>
                <w:color w:val="auto"/>
              </w:rPr>
              <w:t>—</w:t>
            </w:r>
          </w:p>
        </w:tc>
        <w:tc>
          <w:tcPr>
            <w:tcW w:w="100" w:type="dxa"/>
            <w:vAlign w:val="bottom"/>
            <w:shd w:val="clear" w:color="auto" w:fill="D6F3E8"/>
          </w:tcPr>
          <w:p>
            <w:pPr>
              <w:spacing w:after="0"/>
              <w:rPr>
                <w:sz w:val="22"/>
                <w:szCs w:val="22"/>
                <w:color w:val="auto"/>
              </w:rPr>
            </w:pP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D6F3E8"/>
          </w:tcPr>
          <w:p>
            <w:pPr>
              <w:spacing w:after="0"/>
              <w:rPr>
                <w:sz w:val="22"/>
                <w:szCs w:val="22"/>
                <w:color w:val="auto"/>
              </w:rPr>
            </w:pPr>
          </w:p>
        </w:tc>
        <w:tc>
          <w:tcPr>
            <w:tcW w:w="100" w:type="dxa"/>
            <w:vAlign w:val="bottom"/>
            <w:shd w:val="clear" w:color="auto" w:fill="D6F3E8"/>
          </w:tcPr>
          <w:p>
            <w:pPr>
              <w:spacing w:after="0"/>
              <w:rPr>
                <w:sz w:val="22"/>
                <w:szCs w:val="22"/>
                <w:color w:val="auto"/>
              </w:rPr>
            </w:pPr>
          </w:p>
        </w:tc>
        <w:tc>
          <w:tcPr>
            <w:tcW w:w="1080" w:type="dxa"/>
            <w:vAlign w:val="bottom"/>
            <w:shd w:val="clear" w:color="auto" w:fill="D6F3E8"/>
          </w:tcPr>
          <w:p>
            <w:pPr>
              <w:jc w:val="right"/>
              <w:ind w:right="73"/>
              <w:spacing w:after="0"/>
              <w:rPr>
                <w:sz w:val="20"/>
                <w:szCs w:val="20"/>
                <w:color w:val="auto"/>
              </w:rPr>
            </w:pPr>
            <w:r>
              <w:rPr>
                <w:rFonts w:ascii="Arial" w:cs="Arial" w:eastAsia="Arial" w:hAnsi="Arial"/>
                <w:sz w:val="18"/>
                <w:szCs w:val="18"/>
                <w:color w:val="auto"/>
              </w:rPr>
              <w:t>—</w:t>
            </w:r>
          </w:p>
        </w:tc>
        <w:tc>
          <w:tcPr>
            <w:tcW w:w="2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25,480</w:t>
            </w:r>
          </w:p>
        </w:tc>
        <w:tc>
          <w:tcPr>
            <w:tcW w:w="340" w:type="dxa"/>
            <w:vAlign w:val="bottom"/>
            <w:shd w:val="clear" w:color="auto" w:fill="D6F3E8"/>
          </w:tcPr>
          <w:p>
            <w:pPr>
              <w:spacing w:after="0"/>
              <w:rPr>
                <w:sz w:val="22"/>
                <w:szCs w:val="22"/>
                <w:color w:val="auto"/>
              </w:rPr>
            </w:pPr>
          </w:p>
        </w:tc>
        <w:tc>
          <w:tcPr>
            <w:tcW w:w="980" w:type="dxa"/>
            <w:vAlign w:val="bottom"/>
            <w:shd w:val="clear" w:color="auto" w:fill="D6F3E8"/>
          </w:tcPr>
          <w:p>
            <w:pPr>
              <w:jc w:val="right"/>
              <w:ind w:right="71"/>
              <w:spacing w:after="0"/>
              <w:rPr>
                <w:sz w:val="20"/>
                <w:szCs w:val="20"/>
                <w:color w:val="auto"/>
              </w:rPr>
            </w:pPr>
            <w:r>
              <w:rPr>
                <w:rFonts w:ascii="Arial" w:cs="Arial" w:eastAsia="Arial" w:hAnsi="Arial"/>
                <w:sz w:val="18"/>
                <w:szCs w:val="18"/>
                <w:color w:val="auto"/>
              </w:rPr>
              <w:t>—</w:t>
            </w:r>
          </w:p>
        </w:tc>
        <w:tc>
          <w:tcPr>
            <w:tcW w:w="300" w:type="dxa"/>
            <w:vAlign w:val="bottom"/>
            <w:shd w:val="clear" w:color="auto" w:fill="D6F3E8"/>
          </w:tcPr>
          <w:p>
            <w:pPr>
              <w:spacing w:after="0"/>
              <w:rPr>
                <w:sz w:val="22"/>
                <w:szCs w:val="22"/>
                <w:color w:val="auto"/>
              </w:rPr>
            </w:pPr>
          </w:p>
        </w:tc>
        <w:tc>
          <w:tcPr>
            <w:tcW w:w="98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Total Benefits</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31"/>
              <w:spacing w:after="0"/>
              <w:rPr>
                <w:sz w:val="20"/>
                <w:szCs w:val="20"/>
                <w:color w:val="auto"/>
              </w:rPr>
            </w:pPr>
            <w:r>
              <w:rPr>
                <w:rFonts w:ascii="Arial" w:cs="Arial" w:eastAsia="Arial" w:hAnsi="Arial"/>
                <w:sz w:val="18"/>
                <w:szCs w:val="18"/>
                <w:color w:val="auto"/>
              </w:rPr>
              <w:t>2,691,113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2,655,953</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1,397,246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3,932,932</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w w:val="99"/>
              </w:rPr>
              <w:t>2,686,613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2,691,113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146621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540" w:hanging="478"/>
        <w:spacing w:after="0"/>
        <w:tabs>
          <w:tab w:leader="none" w:pos="5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As of August 25, 2007, Mr. Olson is of retirement age.</w:t>
      </w:r>
    </w:p>
    <w:p>
      <w:pPr>
        <w:spacing w:after="0" w:line="95" w:lineRule="exact"/>
        <w:rPr>
          <w:rFonts w:ascii="Arial" w:cs="Arial" w:eastAsia="Arial" w:hAnsi="Arial"/>
          <w:sz w:val="14"/>
          <w:szCs w:val="14"/>
          <w:color w:val="auto"/>
        </w:rPr>
      </w:pPr>
    </w:p>
    <w:p>
      <w:pPr>
        <w:ind w:left="540" w:right="160" w:hanging="478"/>
        <w:spacing w:after="0" w:line="253" w:lineRule="auto"/>
        <w:tabs>
          <w:tab w:leader="none" w:pos="5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Severance upon a Change of Control for Mr. Olson under the Executive Change of Control Agreement equals severance pay in lump sum, an amount equal to three (3) times the average of the aggregate annual compensation paid during the three (3) fiscal years of the Company immediately preceding the Change of Control.</w:t>
      </w:r>
    </w:p>
    <w:p>
      <w:pPr>
        <w:spacing w:after="0" w:line="65" w:lineRule="exact"/>
        <w:rPr>
          <w:rFonts w:ascii="Arial" w:cs="Arial" w:eastAsia="Arial" w:hAnsi="Arial"/>
          <w:sz w:val="14"/>
          <w:szCs w:val="14"/>
          <w:color w:val="auto"/>
        </w:rPr>
      </w:pPr>
    </w:p>
    <w:p>
      <w:pPr>
        <w:ind w:left="540" w:hanging="478"/>
        <w:spacing w:after="0"/>
        <w:tabs>
          <w:tab w:leader="none" w:pos="5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Represents the annual incentive eligibility pursuant to the Officers Incentive Compensation Plan.</w:t>
      </w:r>
    </w:p>
    <w:p>
      <w:pPr>
        <w:spacing w:after="0" w:line="95" w:lineRule="exact"/>
        <w:rPr>
          <w:rFonts w:ascii="Arial" w:cs="Arial" w:eastAsia="Arial" w:hAnsi="Arial"/>
          <w:sz w:val="14"/>
          <w:szCs w:val="14"/>
          <w:color w:val="auto"/>
        </w:rPr>
      </w:pPr>
    </w:p>
    <w:p>
      <w:pPr>
        <w:ind w:left="540" w:right="460" w:hanging="478"/>
        <w:spacing w:after="0" w:line="253" w:lineRule="auto"/>
        <w:tabs>
          <w:tab w:leader="none" w:pos="5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Represents the pro-rata portion of any LTIP incentive eligibility pursuant to the Officers Long-Term Incentive Plan, except for a termination pursuant to a Change of Control, which includes the full amount payable.</w:t>
      </w:r>
    </w:p>
    <w:p>
      <w:pPr>
        <w:spacing w:after="0" w:line="65" w:lineRule="exact"/>
        <w:rPr>
          <w:rFonts w:ascii="Arial" w:cs="Arial" w:eastAsia="Arial" w:hAnsi="Arial"/>
          <w:sz w:val="14"/>
          <w:szCs w:val="14"/>
          <w:color w:val="auto"/>
        </w:rPr>
      </w:pPr>
    </w:p>
    <w:p>
      <w:pPr>
        <w:ind w:left="540" w:hanging="478"/>
        <w:spacing w:after="0"/>
        <w:tabs>
          <w:tab w:leader="none" w:pos="540" w:val="left"/>
        </w:tabs>
        <w:numPr>
          <w:ilvl w:val="0"/>
          <w:numId w:val="57"/>
        </w:numPr>
        <w:rPr>
          <w:rFonts w:ascii="Arial" w:cs="Arial" w:eastAsia="Arial" w:hAnsi="Arial"/>
          <w:sz w:val="13"/>
          <w:szCs w:val="13"/>
          <w:color w:val="auto"/>
        </w:rPr>
      </w:pPr>
      <w:r>
        <w:rPr>
          <w:rFonts w:ascii="Arial" w:cs="Arial" w:eastAsia="Arial" w:hAnsi="Arial"/>
          <w:sz w:val="13"/>
          <w:szCs w:val="13"/>
          <w:color w:val="auto"/>
        </w:rPr>
        <w:t>Represents the intrinsic value of stock options and or stock grants based on the Company’s closing stock price of $27.79 per share on August 24, 2007, the last trading day of fiscal 2007.</w:t>
      </w:r>
    </w:p>
    <w:p>
      <w:pPr>
        <w:spacing w:after="0" w:line="107" w:lineRule="exact"/>
        <w:rPr>
          <w:rFonts w:ascii="Arial" w:cs="Arial" w:eastAsia="Arial" w:hAnsi="Arial"/>
          <w:sz w:val="13"/>
          <w:szCs w:val="13"/>
          <w:color w:val="auto"/>
        </w:rPr>
      </w:pPr>
    </w:p>
    <w:p>
      <w:pPr>
        <w:ind w:left="540" w:hanging="478"/>
        <w:spacing w:after="0"/>
        <w:tabs>
          <w:tab w:leader="none" w:pos="5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Stock Options and Stock Grants under the 2004 Plan provide for acceleration of unvested options in the event of Change of Control, retirement, death or disability.</w:t>
      </w:r>
    </w:p>
    <w:p>
      <w:pPr>
        <w:spacing w:after="0" w:line="95" w:lineRule="exact"/>
        <w:rPr>
          <w:rFonts w:ascii="Arial" w:cs="Arial" w:eastAsia="Arial" w:hAnsi="Arial"/>
          <w:sz w:val="14"/>
          <w:szCs w:val="14"/>
          <w:color w:val="auto"/>
        </w:rPr>
      </w:pPr>
    </w:p>
    <w:p>
      <w:pPr>
        <w:ind w:left="540" w:hanging="478"/>
        <w:spacing w:after="0"/>
        <w:tabs>
          <w:tab w:leader="none" w:pos="5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This plan was frozen as of 2001. This amount reflects the total of the 15 years of payout based on Company retirement benefits.</w:t>
      </w:r>
    </w:p>
    <w:p>
      <w:pPr>
        <w:spacing w:after="0" w:line="95" w:lineRule="exact"/>
        <w:rPr>
          <w:rFonts w:ascii="Arial" w:cs="Arial" w:eastAsia="Arial" w:hAnsi="Arial"/>
          <w:sz w:val="14"/>
          <w:szCs w:val="14"/>
          <w:color w:val="auto"/>
        </w:rPr>
      </w:pPr>
    </w:p>
    <w:p>
      <w:pPr>
        <w:ind w:left="540" w:hanging="478"/>
        <w:spacing w:after="0"/>
        <w:tabs>
          <w:tab w:leader="none" w:pos="5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Represents the present value of benefits as of August 24, 2007 under the policy.</w:t>
      </w:r>
    </w:p>
    <w:p>
      <w:pPr>
        <w:spacing w:after="0" w:line="95" w:lineRule="exact"/>
        <w:rPr>
          <w:rFonts w:ascii="Arial" w:cs="Arial" w:eastAsia="Arial" w:hAnsi="Arial"/>
          <w:sz w:val="14"/>
          <w:szCs w:val="14"/>
          <w:color w:val="auto"/>
        </w:rPr>
      </w:pPr>
    </w:p>
    <w:p>
      <w:pPr>
        <w:ind w:left="540" w:hanging="478"/>
        <w:spacing w:after="0"/>
        <w:tabs>
          <w:tab w:leader="none" w:pos="5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Represents market value balance as of August 24, 2007 for the Executive Share Option Program reduced by the exercise price.</w:t>
      </w:r>
    </w:p>
    <w:p>
      <w:pPr>
        <w:spacing w:after="0" w:line="95" w:lineRule="exact"/>
        <w:rPr>
          <w:rFonts w:ascii="Arial" w:cs="Arial" w:eastAsia="Arial" w:hAnsi="Arial"/>
          <w:sz w:val="14"/>
          <w:szCs w:val="14"/>
          <w:color w:val="auto"/>
        </w:rPr>
      </w:pPr>
    </w:p>
    <w:p>
      <w:pPr>
        <w:ind w:left="540" w:hanging="478"/>
        <w:spacing w:after="0"/>
        <w:tabs>
          <w:tab w:leader="none" w:pos="5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Extension of benefits under retirement, death, disability and Change of Control, including health, dental, life insurance and long-term disability.</w:t>
      </w:r>
    </w:p>
    <w:p>
      <w:pPr>
        <w:spacing w:after="0" w:line="95" w:lineRule="exact"/>
        <w:rPr>
          <w:rFonts w:ascii="Arial" w:cs="Arial" w:eastAsia="Arial" w:hAnsi="Arial"/>
          <w:sz w:val="14"/>
          <w:szCs w:val="14"/>
          <w:color w:val="auto"/>
        </w:rPr>
      </w:pPr>
    </w:p>
    <w:p>
      <w:pPr>
        <w:ind w:left="540" w:hanging="478"/>
        <w:spacing w:after="0"/>
        <w:tabs>
          <w:tab w:leader="none" w:pos="5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Extension of benefits under Change of Control for the transfer of the Company automobile title to Mr. Olson at the Company’s net book value.</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81"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N</w:t>
      </w:r>
      <w:r>
        <w:rPr>
          <w:rFonts w:ascii="Arial" w:cs="Arial" w:eastAsia="Arial" w:hAnsi="Arial"/>
          <w:sz w:val="18"/>
          <w:szCs w:val="18"/>
          <w:color w:val="auto"/>
        </w:rPr>
        <w:t>AMED</w:t>
      </w:r>
      <w:r>
        <w:rPr>
          <w:rFonts w:ascii="Arial" w:cs="Arial" w:eastAsia="Arial" w:hAnsi="Arial"/>
          <w:sz w:val="22"/>
          <w:szCs w:val="22"/>
          <w:color w:val="auto"/>
        </w:rPr>
        <w:t xml:space="preserve"> E</w:t>
      </w:r>
      <w:r>
        <w:rPr>
          <w:rFonts w:ascii="Arial" w:cs="Arial" w:eastAsia="Arial" w:hAnsi="Arial"/>
          <w:sz w:val="18"/>
          <w:szCs w:val="18"/>
          <w:color w:val="auto"/>
        </w:rPr>
        <w:t>XECUTIVE</w:t>
      </w:r>
      <w:r>
        <w:rPr>
          <w:rFonts w:ascii="Arial" w:cs="Arial" w:eastAsia="Arial" w:hAnsi="Arial"/>
          <w:sz w:val="22"/>
          <w:szCs w:val="22"/>
          <w:color w:val="auto"/>
        </w:rPr>
        <w:t>: R</w:t>
      </w:r>
      <w:r>
        <w:rPr>
          <w:rFonts w:ascii="Arial" w:cs="Arial" w:eastAsia="Arial" w:hAnsi="Arial"/>
          <w:sz w:val="18"/>
          <w:szCs w:val="18"/>
          <w:color w:val="auto"/>
        </w:rPr>
        <w:t>AYMOND</w:t>
      </w:r>
      <w:r>
        <w:rPr>
          <w:rFonts w:ascii="Arial" w:cs="Arial" w:eastAsia="Arial" w:hAnsi="Arial"/>
          <w:sz w:val="22"/>
          <w:szCs w:val="22"/>
          <w:color w:val="auto"/>
        </w:rPr>
        <w:t xml:space="preserve"> M. B</w:t>
      </w:r>
      <w:r>
        <w:rPr>
          <w:rFonts w:ascii="Arial" w:cs="Arial" w:eastAsia="Arial" w:hAnsi="Arial"/>
          <w:sz w:val="18"/>
          <w:szCs w:val="18"/>
          <w:color w:val="auto"/>
        </w:rPr>
        <w:t>EEBE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8"/>
              </w:rPr>
              <w:t>Involuntary</w:t>
            </w:r>
          </w:p>
        </w:tc>
        <w:tc>
          <w:tcPr>
            <w:tcW w:w="320" w:type="dxa"/>
            <w:vAlign w:val="bottom"/>
          </w:tcPr>
          <w:p>
            <w:pPr>
              <w:spacing w:after="0"/>
              <w:rPr>
                <w:sz w:val="13"/>
                <w:szCs w:val="13"/>
                <w:color w:val="auto"/>
              </w:rPr>
            </w:pPr>
          </w:p>
        </w:tc>
        <w:tc>
          <w:tcPr>
            <w:tcW w:w="2620" w:type="dxa"/>
            <w:vAlign w:val="bottom"/>
            <w:gridSpan w:val="2"/>
            <w:vMerge w:val="restart"/>
          </w:tcPr>
          <w:p>
            <w:pPr>
              <w:ind w:left="740"/>
              <w:spacing w:after="0"/>
              <w:rPr>
                <w:sz w:val="20"/>
                <w:szCs w:val="20"/>
                <w:color w:val="auto"/>
              </w:rPr>
            </w:pPr>
            <w:r>
              <w:rPr>
                <w:rFonts w:ascii="Arial" w:cs="Arial" w:eastAsia="Arial" w:hAnsi="Arial"/>
                <w:sz w:val="14"/>
                <w:szCs w:val="14"/>
                <w:b w:val="1"/>
                <w:bCs w:val="1"/>
                <w:color w:val="auto"/>
              </w:rPr>
              <w:t>Change of Control</w:t>
            </w:r>
          </w:p>
        </w:tc>
        <w:tc>
          <w:tcPr>
            <w:tcW w:w="14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4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Termination</w:t>
            </w:r>
          </w:p>
        </w:tc>
        <w:tc>
          <w:tcPr>
            <w:tcW w:w="320" w:type="dxa"/>
            <w:vAlign w:val="bottom"/>
          </w:tcPr>
          <w:p>
            <w:pPr>
              <w:spacing w:after="0"/>
              <w:rPr>
                <w:sz w:val="14"/>
                <w:szCs w:val="14"/>
                <w:color w:val="auto"/>
              </w:rPr>
            </w:pPr>
          </w:p>
        </w:tc>
        <w:tc>
          <w:tcPr>
            <w:tcW w:w="2620" w:type="dxa"/>
            <w:vAlign w:val="bottom"/>
            <w:tcBorders>
              <w:bottom w:val="single" w:sz="8" w:color="auto"/>
            </w:tcBorders>
            <w:gridSpan w:val="2"/>
            <w:vMerge w:val="continue"/>
          </w:tcPr>
          <w:p>
            <w:pPr>
              <w:spacing w:after="0"/>
              <w:rPr>
                <w:sz w:val="14"/>
                <w:szCs w:val="14"/>
                <w:color w:val="auto"/>
              </w:rPr>
            </w:pP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460" w:type="dxa"/>
            <w:vAlign w:val="bottom"/>
            <w:vMerge w:val="restart"/>
          </w:tcPr>
          <w:p>
            <w:pPr>
              <w:spacing w:after="0"/>
              <w:rPr>
                <w:sz w:val="20"/>
                <w:szCs w:val="20"/>
                <w:color w:val="auto"/>
              </w:rPr>
            </w:pPr>
            <w:r>
              <w:rPr>
                <w:rFonts w:ascii="Arial" w:cs="Arial" w:eastAsia="Arial" w:hAnsi="Arial"/>
                <w:sz w:val="14"/>
                <w:szCs w:val="14"/>
                <w:b w:val="1"/>
                <w:bCs w:val="1"/>
                <w:color w:val="auto"/>
              </w:rPr>
              <w:t>Executive Payments and</w:t>
            </w:r>
          </w:p>
        </w:tc>
        <w:tc>
          <w:tcPr>
            <w:tcW w:w="2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8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w w:val="99"/>
              </w:rPr>
              <w:t>Without</w:t>
            </w:r>
          </w:p>
        </w:tc>
        <w:tc>
          <w:tcPr>
            <w:tcW w:w="1440" w:type="dxa"/>
            <w:vAlign w:val="bottom"/>
          </w:tcPr>
          <w:p>
            <w:pPr>
              <w:jc w:val="center"/>
              <w:ind w:left="88"/>
              <w:spacing w:after="0" w:line="133" w:lineRule="exact"/>
              <w:rPr>
                <w:sz w:val="20"/>
                <w:szCs w:val="20"/>
                <w:color w:val="auto"/>
              </w:rPr>
            </w:pPr>
            <w:r>
              <w:rPr>
                <w:rFonts w:ascii="Arial" w:cs="Arial" w:eastAsia="Arial" w:hAnsi="Arial"/>
                <w:sz w:val="14"/>
                <w:szCs w:val="14"/>
                <w:b w:val="1"/>
                <w:bCs w:val="1"/>
                <w:color w:val="auto"/>
                <w:w w:val="94"/>
              </w:rPr>
              <w:t>Termination</w:t>
            </w:r>
          </w:p>
        </w:tc>
        <w:tc>
          <w:tcPr>
            <w:tcW w:w="14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60" w:type="dxa"/>
            <w:vAlign w:val="bottom"/>
            <w:vMerge w:val="continue"/>
          </w:tcPr>
          <w:p>
            <w:pPr>
              <w:spacing w:after="0"/>
              <w:rPr>
                <w:sz w:val="12"/>
                <w:szCs w:val="12"/>
                <w:color w:val="auto"/>
              </w:rPr>
            </w:pPr>
          </w:p>
        </w:tc>
        <w:tc>
          <w:tcPr>
            <w:tcW w:w="2180" w:type="dxa"/>
            <w:vAlign w:val="bottom"/>
            <w:vMerge w:val="restart"/>
          </w:tcPr>
          <w:p>
            <w:pPr>
              <w:ind w:left="940"/>
              <w:spacing w:after="0"/>
              <w:rPr>
                <w:sz w:val="20"/>
                <w:szCs w:val="20"/>
                <w:color w:val="auto"/>
              </w:rPr>
            </w:pPr>
            <w:r>
              <w:rPr>
                <w:rFonts w:ascii="Arial" w:cs="Arial" w:eastAsia="Arial" w:hAnsi="Arial"/>
                <w:sz w:val="14"/>
                <w:szCs w:val="14"/>
                <w:b w:val="1"/>
                <w:bCs w:val="1"/>
                <w:color w:val="auto"/>
              </w:rPr>
              <w:t>Retirement</w:t>
            </w:r>
            <w:r>
              <w:rPr>
                <w:rFonts w:ascii="Arial" w:cs="Arial" w:eastAsia="Arial" w:hAnsi="Arial"/>
                <w:sz w:val="23"/>
                <w:szCs w:val="23"/>
                <w:b w:val="1"/>
                <w:bCs w:val="1"/>
                <w:color w:val="auto"/>
                <w:vertAlign w:val="superscript"/>
              </w:rPr>
              <w:t>(1)</w:t>
            </w: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For Cause</w:t>
            </w:r>
          </w:p>
        </w:tc>
        <w:tc>
          <w:tcPr>
            <w:tcW w:w="32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440" w:type="dxa"/>
            <w:vAlign w:val="bottom"/>
          </w:tcPr>
          <w:p>
            <w:pPr>
              <w:jc w:val="center"/>
              <w:ind w:left="88"/>
              <w:spacing w:after="0" w:line="149" w:lineRule="exact"/>
              <w:rPr>
                <w:sz w:val="20"/>
                <w:szCs w:val="20"/>
                <w:color w:val="auto"/>
              </w:rPr>
            </w:pPr>
            <w:r>
              <w:rPr>
                <w:rFonts w:ascii="Arial" w:cs="Arial" w:eastAsia="Arial" w:hAnsi="Arial"/>
                <w:sz w:val="14"/>
                <w:szCs w:val="14"/>
                <w:b w:val="1"/>
                <w:bCs w:val="1"/>
                <w:color w:val="auto"/>
                <w:w w:val="94"/>
              </w:rPr>
              <w:t>Without Cause /</w:t>
            </w:r>
          </w:p>
        </w:tc>
        <w:tc>
          <w:tcPr>
            <w:tcW w:w="1440" w:type="dxa"/>
            <w:vAlign w:val="bottom"/>
            <w:vMerge w:val="restart"/>
          </w:tcPr>
          <w:p>
            <w:pPr>
              <w:ind w:left="640"/>
              <w:spacing w:after="0"/>
              <w:rPr>
                <w:sz w:val="20"/>
                <w:szCs w:val="20"/>
                <w:color w:val="auto"/>
              </w:rPr>
            </w:pPr>
            <w:r>
              <w:rPr>
                <w:rFonts w:ascii="Arial" w:cs="Arial" w:eastAsia="Arial" w:hAnsi="Arial"/>
                <w:sz w:val="14"/>
                <w:szCs w:val="14"/>
                <w:b w:val="1"/>
                <w:bCs w:val="1"/>
                <w:color w:val="auto"/>
              </w:rPr>
              <w:t>Death</w:t>
            </w:r>
          </w:p>
        </w:tc>
        <w:tc>
          <w:tcPr>
            <w:tcW w:w="124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Disability</w:t>
            </w:r>
          </w:p>
        </w:tc>
        <w:tc>
          <w:tcPr>
            <w:tcW w:w="0" w:type="dxa"/>
            <w:vAlign w:val="bottom"/>
          </w:tcPr>
          <w:p>
            <w:pPr>
              <w:spacing w:after="0"/>
              <w:rPr>
                <w:sz w:val="1"/>
                <w:szCs w:val="1"/>
                <w:color w:val="auto"/>
              </w:rPr>
            </w:pPr>
          </w:p>
        </w:tc>
      </w:tr>
      <w:tr>
        <w:trPr>
          <w:trHeight w:val="171"/>
        </w:trPr>
        <w:tc>
          <w:tcPr>
            <w:tcW w:w="2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Benefits Upon</w:t>
            </w:r>
          </w:p>
        </w:tc>
        <w:tc>
          <w:tcPr>
            <w:tcW w:w="2180" w:type="dxa"/>
            <w:vAlign w:val="bottom"/>
            <w:tcBorders>
              <w:bottom w:val="single" w:sz="8" w:color="auto"/>
            </w:tcBorders>
            <w:vMerge w:val="continue"/>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4"/>
              </w:rPr>
              <w:t>Termination</w:t>
            </w:r>
          </w:p>
        </w:tc>
        <w:tc>
          <w:tcPr>
            <w:tcW w:w="1440" w:type="dxa"/>
            <w:vAlign w:val="bottom"/>
            <w:tcBorders>
              <w:bottom w:val="single" w:sz="8" w:color="auto"/>
            </w:tcBorders>
          </w:tcPr>
          <w:p>
            <w:pPr>
              <w:jc w:val="center"/>
              <w:ind w:left="68"/>
              <w:spacing w:after="0"/>
              <w:rPr>
                <w:sz w:val="20"/>
                <w:szCs w:val="20"/>
                <w:color w:val="auto"/>
              </w:rPr>
            </w:pPr>
            <w:r>
              <w:rPr>
                <w:rFonts w:ascii="Arial" w:cs="Arial" w:eastAsia="Arial" w:hAnsi="Arial"/>
                <w:sz w:val="14"/>
                <w:szCs w:val="14"/>
                <w:b w:val="1"/>
                <w:bCs w:val="1"/>
                <w:color w:val="auto"/>
                <w:w w:val="90"/>
              </w:rPr>
              <w:t>Good Reason</w:t>
            </w:r>
          </w:p>
        </w:tc>
        <w:tc>
          <w:tcPr>
            <w:tcW w:w="1440" w:type="dxa"/>
            <w:vAlign w:val="bottom"/>
            <w:tcBorders>
              <w:bottom w:val="single" w:sz="8" w:color="auto"/>
            </w:tcBorders>
            <w:vMerge w:val="continue"/>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380"/>
          </w:cols>
          <w:pgMar w:left="240" w:top="121" w:right="279" w:bottom="0" w:gutter="0" w:footer="0" w:header="0"/>
        </w:sectPr>
      </w:pPr>
    </w:p>
    <w:p>
      <w:pPr>
        <w:spacing w:after="0"/>
        <w:rPr>
          <w:sz w:val="20"/>
          <w:szCs w:val="20"/>
          <w:color w:val="auto"/>
        </w:rPr>
      </w:pPr>
      <w:r>
        <w:rPr>
          <w:rFonts w:ascii="Arial" w:cs="Arial" w:eastAsia="Arial" w:hAnsi="Arial"/>
          <w:sz w:val="16"/>
          <w:szCs w:val="16"/>
          <w:color w:val="auto"/>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20585"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20585" cy="137160"/>
                    </a:xfrm>
                    <a:prstGeom prst="rect">
                      <a:avLst/>
                    </a:prstGeom>
                    <a:noFill/>
                  </pic:spPr>
                </pic:pic>
              </a:graphicData>
            </a:graphic>
          </wp:anchor>
        </w:drawing>
      </w:r>
    </w:p>
    <w:p>
      <w:pPr>
        <w:sectPr>
          <w:pgSz w:w="11900" w:h="16838" w:orient="portrait"/>
          <w:cols w:equalWidth="0" w:num="1">
            <w:col w:w="11380"/>
          </w:cols>
          <w:pgMar w:left="240" w:top="121" w:right="279" w:bottom="0" w:gutter="0" w:footer="0" w:header="0"/>
          <w:type w:val="continuous"/>
        </w:sectPr>
      </w:pPr>
    </w:p>
    <w:bookmarkStart w:id="31" w:name="page32"/>
    <w:bookmarkEnd w:id="31"/>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060" w:type="dxa"/>
            <w:vAlign w:val="bottom"/>
          </w:tcPr>
          <w:p>
            <w:pPr>
              <w:ind w:left="180"/>
              <w:spacing w:after="0"/>
              <w:rPr>
                <w:sz w:val="20"/>
                <w:szCs w:val="20"/>
                <w:color w:val="auto"/>
              </w:rPr>
            </w:pPr>
            <w:r>
              <w:rPr>
                <w:rFonts w:ascii="Arial" w:cs="Arial" w:eastAsia="Arial" w:hAnsi="Arial"/>
                <w:sz w:val="18"/>
                <w:szCs w:val="18"/>
                <w:color w:val="auto"/>
              </w:rPr>
              <w:t>Severance Benefit (Change of</w:t>
            </w:r>
          </w:p>
        </w:tc>
        <w:tc>
          <w:tcPr>
            <w:tcW w:w="440" w:type="dxa"/>
            <w:vAlign w:val="bottom"/>
          </w:tcPr>
          <w:p>
            <w:pPr>
              <w:spacing w:after="0"/>
              <w:rPr>
                <w:sz w:val="19"/>
                <w:szCs w:val="19"/>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1,313,068</w:t>
            </w:r>
          </w:p>
        </w:tc>
        <w:tc>
          <w:tcPr>
            <w:tcW w:w="340" w:type="dxa"/>
            <w:vAlign w:val="bottom"/>
          </w:tcPr>
          <w:p>
            <w:pPr>
              <w:spacing w:after="0"/>
              <w:rPr>
                <w:sz w:val="19"/>
                <w:szCs w:val="19"/>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7"/>
        </w:trPr>
        <w:tc>
          <w:tcPr>
            <w:tcW w:w="3060" w:type="dxa"/>
            <w:vAlign w:val="bottom"/>
          </w:tcPr>
          <w:p>
            <w:pPr>
              <w:ind w:left="280"/>
              <w:spacing w:after="0" w:line="266" w:lineRule="exact"/>
              <w:rPr>
                <w:sz w:val="20"/>
                <w:szCs w:val="20"/>
                <w:color w:val="auto"/>
              </w:rPr>
            </w:pPr>
            <w:r>
              <w:rPr>
                <w:rFonts w:ascii="Arial" w:cs="Arial" w:eastAsia="Arial" w:hAnsi="Arial"/>
                <w:sz w:val="18"/>
                <w:szCs w:val="18"/>
                <w:color w:val="auto"/>
              </w:rPr>
              <w:t>Control)</w:t>
            </w:r>
            <w:r>
              <w:rPr>
                <w:rFonts w:ascii="Arial" w:cs="Arial" w:eastAsia="Arial" w:hAnsi="Arial"/>
                <w:sz w:val="30"/>
                <w:szCs w:val="30"/>
                <w:color w:val="auto"/>
                <w:vertAlign w:val="superscript"/>
              </w:rPr>
              <w:t>(2)</w:t>
            </w:r>
          </w:p>
        </w:tc>
        <w:tc>
          <w:tcPr>
            <w:tcW w:w="4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D6F3E8"/>
          </w:tcPr>
          <w:p>
            <w:pPr>
              <w:ind w:left="180"/>
              <w:spacing w:after="0"/>
              <w:rPr>
                <w:sz w:val="20"/>
                <w:szCs w:val="20"/>
                <w:color w:val="auto"/>
              </w:rPr>
            </w:pPr>
            <w:r>
              <w:rPr>
                <w:rFonts w:ascii="Arial" w:cs="Arial" w:eastAsia="Arial" w:hAnsi="Arial"/>
                <w:sz w:val="18"/>
                <w:szCs w:val="18"/>
                <w:color w:val="auto"/>
              </w:rPr>
              <w:t>Tax Gross Up</w:t>
            </w:r>
          </w:p>
        </w:tc>
        <w:tc>
          <w:tcPr>
            <w:tcW w:w="440" w:type="dxa"/>
            <w:vAlign w:val="bottom"/>
            <w:shd w:val="clear" w:color="auto" w:fill="D6F3E8"/>
          </w:tcPr>
          <w:p>
            <w:pPr>
              <w:spacing w:after="0"/>
              <w:rPr>
                <w:sz w:val="18"/>
                <w:szCs w:val="18"/>
                <w:color w:val="auto"/>
              </w:rPr>
            </w:pPr>
          </w:p>
        </w:tc>
        <w:tc>
          <w:tcPr>
            <w:tcW w:w="980" w:type="dxa"/>
            <w:vAlign w:val="bottom"/>
            <w:shd w:val="clear" w:color="auto" w:fill="D6F3E8"/>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shd w:val="clear" w:color="auto" w:fill="D6F3E8"/>
          </w:tcPr>
          <w:p>
            <w:pPr>
              <w:spacing w:after="0"/>
              <w:rPr>
                <w:sz w:val="18"/>
                <w:szCs w:val="18"/>
                <w:color w:val="auto"/>
              </w:rPr>
            </w:pPr>
          </w:p>
        </w:tc>
        <w:tc>
          <w:tcPr>
            <w:tcW w:w="980" w:type="dxa"/>
            <w:vAlign w:val="bottom"/>
            <w:shd w:val="clear" w:color="auto" w:fill="D6F3E8"/>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shd w:val="clear" w:color="auto" w:fill="D6F3E8"/>
          </w:tcPr>
          <w:p>
            <w:pPr>
              <w:spacing w:after="0"/>
              <w:rPr>
                <w:sz w:val="18"/>
                <w:szCs w:val="18"/>
                <w:color w:val="auto"/>
              </w:rPr>
            </w:pPr>
          </w:p>
        </w:tc>
        <w:tc>
          <w:tcPr>
            <w:tcW w:w="1000" w:type="dxa"/>
            <w:vAlign w:val="bottom"/>
            <w:shd w:val="clear" w:color="auto" w:fill="D6F3E8"/>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shd w:val="clear" w:color="auto" w:fill="D6F3E8"/>
          </w:tcPr>
          <w:p>
            <w:pPr>
              <w:spacing w:after="0"/>
              <w:rPr>
                <w:sz w:val="18"/>
                <w:szCs w:val="18"/>
                <w:color w:val="auto"/>
              </w:rPr>
            </w:pPr>
          </w:p>
        </w:tc>
        <w:tc>
          <w:tcPr>
            <w:tcW w:w="1360" w:type="dxa"/>
            <w:vAlign w:val="bottom"/>
            <w:shd w:val="clear" w:color="auto" w:fill="D6F3E8"/>
          </w:tcPr>
          <w:p>
            <w:pPr>
              <w:jc w:val="right"/>
              <w:ind w:right="90"/>
              <w:spacing w:after="0"/>
              <w:rPr>
                <w:sz w:val="20"/>
                <w:szCs w:val="20"/>
                <w:color w:val="auto"/>
              </w:rPr>
            </w:pPr>
            <w:r>
              <w:rPr>
                <w:rFonts w:ascii="Arial" w:cs="Arial" w:eastAsia="Arial" w:hAnsi="Arial"/>
                <w:sz w:val="18"/>
                <w:szCs w:val="18"/>
                <w:color w:val="auto"/>
              </w:rPr>
              <w:t>—</w:t>
            </w:r>
          </w:p>
        </w:tc>
        <w:tc>
          <w:tcPr>
            <w:tcW w:w="340" w:type="dxa"/>
            <w:vAlign w:val="bottom"/>
            <w:shd w:val="clear" w:color="auto" w:fill="D6F3E8"/>
          </w:tcPr>
          <w:p>
            <w:pPr>
              <w:spacing w:after="0"/>
              <w:rPr>
                <w:sz w:val="18"/>
                <w:szCs w:val="18"/>
                <w:color w:val="auto"/>
              </w:rPr>
            </w:pPr>
          </w:p>
        </w:tc>
        <w:tc>
          <w:tcPr>
            <w:tcW w:w="980" w:type="dxa"/>
            <w:vAlign w:val="bottom"/>
            <w:shd w:val="clear" w:color="auto" w:fill="D6F3E8"/>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shd w:val="clear" w:color="auto" w:fill="D6F3E8"/>
          </w:tcPr>
          <w:p>
            <w:pPr>
              <w:spacing w:after="0"/>
              <w:rPr>
                <w:sz w:val="18"/>
                <w:szCs w:val="18"/>
                <w:color w:val="auto"/>
              </w:rPr>
            </w:pPr>
          </w:p>
        </w:tc>
        <w:tc>
          <w:tcPr>
            <w:tcW w:w="920" w:type="dxa"/>
            <w:vAlign w:val="bottom"/>
            <w:shd w:val="clear" w:color="auto" w:fill="D6F3E8"/>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Annual Incentives:</w:t>
            </w: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060" w:type="dxa"/>
            <w:vAlign w:val="bottom"/>
            <w:shd w:val="clear" w:color="auto" w:fill="D6F3E8"/>
          </w:tcPr>
          <w:p>
            <w:pPr>
              <w:ind w:left="180"/>
              <w:spacing w:after="0" w:line="256" w:lineRule="exact"/>
              <w:rPr>
                <w:sz w:val="20"/>
                <w:szCs w:val="20"/>
                <w:color w:val="auto"/>
              </w:rPr>
            </w:pPr>
            <w:r>
              <w:rPr>
                <w:rFonts w:ascii="Arial" w:cs="Arial" w:eastAsia="Arial" w:hAnsi="Arial"/>
                <w:sz w:val="18"/>
                <w:szCs w:val="18"/>
                <w:color w:val="auto"/>
              </w:rPr>
              <w:t>Annual Incentive Plan</w:t>
            </w:r>
            <w:r>
              <w:rPr>
                <w:rFonts w:ascii="Arial" w:cs="Arial" w:eastAsia="Arial" w:hAnsi="Arial"/>
                <w:sz w:val="29"/>
                <w:szCs w:val="29"/>
                <w:color w:val="auto"/>
                <w:vertAlign w:val="superscript"/>
              </w:rPr>
              <w:t>(3)</w:t>
            </w:r>
          </w:p>
        </w:tc>
        <w:tc>
          <w:tcPr>
            <w:tcW w:w="440" w:type="dxa"/>
            <w:vAlign w:val="bottom"/>
            <w:shd w:val="clear" w:color="auto" w:fill="D6F3E8"/>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D6F3E8"/>
          </w:tcPr>
          <w:p>
            <w:pPr>
              <w:jc w:val="right"/>
              <w:ind w:right="70"/>
              <w:spacing w:after="0"/>
              <w:rPr>
                <w:sz w:val="20"/>
                <w:szCs w:val="20"/>
                <w:color w:val="auto"/>
              </w:rPr>
            </w:pPr>
            <w:r>
              <w:rPr>
                <w:rFonts w:ascii="Arial" w:cs="Arial" w:eastAsia="Arial" w:hAnsi="Arial"/>
                <w:sz w:val="18"/>
                <w:szCs w:val="18"/>
                <w:color w:val="auto"/>
              </w:rPr>
              <w:t>183,746</w:t>
            </w:r>
          </w:p>
        </w:tc>
        <w:tc>
          <w:tcPr>
            <w:tcW w:w="360" w:type="dxa"/>
            <w:vAlign w:val="bottom"/>
            <w:shd w:val="clear" w:color="auto" w:fill="D6F3E8"/>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D6F3E8"/>
          </w:tcPr>
          <w:p>
            <w:pPr>
              <w:jc w:val="right"/>
              <w:ind w:right="70"/>
              <w:spacing w:after="0"/>
              <w:rPr>
                <w:sz w:val="20"/>
                <w:szCs w:val="20"/>
                <w:color w:val="auto"/>
              </w:rPr>
            </w:pPr>
            <w:r>
              <w:rPr>
                <w:rFonts w:ascii="Arial" w:cs="Arial" w:eastAsia="Arial" w:hAnsi="Arial"/>
                <w:sz w:val="18"/>
                <w:szCs w:val="18"/>
                <w:color w:val="auto"/>
              </w:rPr>
              <w:t>183,746</w:t>
            </w:r>
          </w:p>
        </w:tc>
        <w:tc>
          <w:tcPr>
            <w:tcW w:w="340" w:type="dxa"/>
            <w:vAlign w:val="bottom"/>
            <w:shd w:val="clear" w:color="auto" w:fill="D6F3E8"/>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D6F3E8"/>
          </w:tcPr>
          <w:p>
            <w:pPr>
              <w:jc w:val="right"/>
              <w:ind w:right="70"/>
              <w:spacing w:after="0"/>
              <w:rPr>
                <w:sz w:val="20"/>
                <w:szCs w:val="20"/>
                <w:color w:val="auto"/>
              </w:rPr>
            </w:pPr>
            <w:r>
              <w:rPr>
                <w:rFonts w:ascii="Arial" w:cs="Arial" w:eastAsia="Arial" w:hAnsi="Arial"/>
                <w:sz w:val="18"/>
                <w:szCs w:val="18"/>
                <w:color w:val="auto"/>
              </w:rPr>
              <w:t>183,746</w:t>
            </w:r>
          </w:p>
        </w:tc>
        <w:tc>
          <w:tcPr>
            <w:tcW w:w="260" w:type="dxa"/>
            <w:vAlign w:val="bottom"/>
            <w:shd w:val="clear" w:color="auto" w:fill="D6F3E8"/>
          </w:tcPr>
          <w:p>
            <w:pPr>
              <w:spacing w:after="0"/>
              <w:rPr>
                <w:sz w:val="22"/>
                <w:szCs w:val="22"/>
                <w:color w:val="auto"/>
              </w:rPr>
            </w:pPr>
          </w:p>
        </w:tc>
        <w:tc>
          <w:tcPr>
            <w:tcW w:w="1360" w:type="dxa"/>
            <w:vAlign w:val="bottom"/>
            <w:shd w:val="clear" w:color="auto" w:fill="D6F3E8"/>
          </w:tcPr>
          <w:p>
            <w:pPr>
              <w:jc w:val="right"/>
              <w:ind w:right="30"/>
              <w:spacing w:after="0"/>
              <w:rPr>
                <w:sz w:val="20"/>
                <w:szCs w:val="20"/>
                <w:color w:val="auto"/>
              </w:rPr>
            </w:pPr>
            <w:r>
              <w:rPr>
                <w:rFonts w:ascii="Arial" w:cs="Arial" w:eastAsia="Arial" w:hAnsi="Arial"/>
                <w:sz w:val="18"/>
                <w:szCs w:val="18"/>
                <w:color w:val="auto"/>
                <w:w w:val="93"/>
              </w:rPr>
              <w:t>(IncludedAbove)</w:t>
            </w:r>
          </w:p>
        </w:tc>
        <w:tc>
          <w:tcPr>
            <w:tcW w:w="340" w:type="dxa"/>
            <w:vAlign w:val="bottom"/>
            <w:shd w:val="clear" w:color="auto" w:fill="D6F3E8"/>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D6F3E8"/>
          </w:tcPr>
          <w:p>
            <w:pPr>
              <w:jc w:val="right"/>
              <w:ind w:right="70"/>
              <w:spacing w:after="0"/>
              <w:rPr>
                <w:sz w:val="20"/>
                <w:szCs w:val="20"/>
                <w:color w:val="auto"/>
              </w:rPr>
            </w:pPr>
            <w:r>
              <w:rPr>
                <w:rFonts w:ascii="Arial" w:cs="Arial" w:eastAsia="Arial" w:hAnsi="Arial"/>
                <w:sz w:val="18"/>
                <w:szCs w:val="18"/>
                <w:color w:val="auto"/>
              </w:rPr>
              <w:t>183,746</w:t>
            </w:r>
          </w:p>
        </w:tc>
        <w:tc>
          <w:tcPr>
            <w:tcW w:w="360" w:type="dxa"/>
            <w:vAlign w:val="bottom"/>
            <w:shd w:val="clear" w:color="auto" w:fill="D6F3E8"/>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shd w:val="clear" w:color="auto" w:fill="D6F3E8"/>
          </w:tcPr>
          <w:p>
            <w:pPr>
              <w:jc w:val="right"/>
              <w:ind w:right="10"/>
              <w:spacing w:after="0"/>
              <w:rPr>
                <w:sz w:val="20"/>
                <w:szCs w:val="20"/>
                <w:color w:val="auto"/>
              </w:rPr>
            </w:pPr>
            <w:r>
              <w:rPr>
                <w:rFonts w:ascii="Arial" w:cs="Arial" w:eastAsia="Arial" w:hAnsi="Arial"/>
                <w:sz w:val="18"/>
                <w:szCs w:val="18"/>
                <w:color w:val="auto"/>
              </w:rPr>
              <w:t>183,746</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Long-Term Incentives:</w:t>
            </w: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060" w:type="dxa"/>
            <w:vAlign w:val="bottom"/>
            <w:shd w:val="clear" w:color="auto" w:fill="D6F3E8"/>
          </w:tcPr>
          <w:p>
            <w:pPr>
              <w:ind w:left="180"/>
              <w:spacing w:after="0" w:line="256" w:lineRule="exact"/>
              <w:rPr>
                <w:sz w:val="20"/>
                <w:szCs w:val="20"/>
                <w:color w:val="auto"/>
              </w:rPr>
            </w:pPr>
            <w:r>
              <w:rPr>
                <w:rFonts w:ascii="Arial" w:cs="Arial" w:eastAsia="Arial" w:hAnsi="Arial"/>
                <w:sz w:val="18"/>
                <w:szCs w:val="18"/>
                <w:color w:val="auto"/>
              </w:rPr>
              <w:t>LTIP</w:t>
            </w:r>
            <w:r>
              <w:rPr>
                <w:rFonts w:ascii="Arial" w:cs="Arial" w:eastAsia="Arial" w:hAnsi="Arial"/>
                <w:sz w:val="29"/>
                <w:szCs w:val="29"/>
                <w:color w:val="auto"/>
                <w:vertAlign w:val="superscript"/>
              </w:rPr>
              <w:t>(4)</w:t>
            </w:r>
          </w:p>
        </w:tc>
        <w:tc>
          <w:tcPr>
            <w:tcW w:w="440" w:type="dxa"/>
            <w:vAlign w:val="bottom"/>
            <w:shd w:val="clear" w:color="auto" w:fill="D6F3E8"/>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D6F3E8"/>
          </w:tcPr>
          <w:p>
            <w:pPr>
              <w:jc w:val="right"/>
              <w:ind w:right="70"/>
              <w:spacing w:after="0"/>
              <w:rPr>
                <w:sz w:val="20"/>
                <w:szCs w:val="20"/>
                <w:color w:val="auto"/>
              </w:rPr>
            </w:pPr>
            <w:r>
              <w:rPr>
                <w:rFonts w:ascii="Arial" w:cs="Arial" w:eastAsia="Arial" w:hAnsi="Arial"/>
                <w:sz w:val="18"/>
                <w:szCs w:val="18"/>
                <w:color w:val="auto"/>
              </w:rPr>
              <w:t>24,496</w:t>
            </w:r>
          </w:p>
        </w:tc>
        <w:tc>
          <w:tcPr>
            <w:tcW w:w="360" w:type="dxa"/>
            <w:vAlign w:val="bottom"/>
            <w:shd w:val="clear" w:color="auto" w:fill="D6F3E8"/>
          </w:tcPr>
          <w:p>
            <w:pPr>
              <w:spacing w:after="0"/>
              <w:rPr>
                <w:sz w:val="22"/>
                <w:szCs w:val="22"/>
                <w:color w:val="auto"/>
              </w:rPr>
            </w:pPr>
          </w:p>
        </w:tc>
        <w:tc>
          <w:tcPr>
            <w:tcW w:w="980" w:type="dxa"/>
            <w:vAlign w:val="bottom"/>
            <w:shd w:val="clear" w:color="auto" w:fill="D6F3E8"/>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shd w:val="clear" w:color="auto" w:fill="D6F3E8"/>
          </w:tcPr>
          <w:p>
            <w:pPr>
              <w:spacing w:after="0"/>
              <w:rPr>
                <w:sz w:val="22"/>
                <w:szCs w:val="22"/>
                <w:color w:val="auto"/>
              </w:rPr>
            </w:pPr>
          </w:p>
        </w:tc>
        <w:tc>
          <w:tcPr>
            <w:tcW w:w="1000" w:type="dxa"/>
            <w:vAlign w:val="bottom"/>
            <w:shd w:val="clear" w:color="auto" w:fill="D6F3E8"/>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D6F3E8"/>
          </w:tcPr>
          <w:p>
            <w:pPr>
              <w:jc w:val="right"/>
              <w:ind w:right="90"/>
              <w:spacing w:after="0"/>
              <w:rPr>
                <w:sz w:val="20"/>
                <w:szCs w:val="20"/>
                <w:color w:val="auto"/>
              </w:rPr>
            </w:pPr>
            <w:r>
              <w:rPr>
                <w:rFonts w:ascii="Arial" w:cs="Arial" w:eastAsia="Arial" w:hAnsi="Arial"/>
                <w:sz w:val="18"/>
                <w:szCs w:val="18"/>
                <w:color w:val="auto"/>
              </w:rPr>
              <w:t>73,487</w:t>
            </w:r>
          </w:p>
        </w:tc>
        <w:tc>
          <w:tcPr>
            <w:tcW w:w="340" w:type="dxa"/>
            <w:vAlign w:val="bottom"/>
            <w:shd w:val="clear" w:color="auto" w:fill="D6F3E8"/>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D6F3E8"/>
          </w:tcPr>
          <w:p>
            <w:pPr>
              <w:jc w:val="right"/>
              <w:ind w:right="70"/>
              <w:spacing w:after="0"/>
              <w:rPr>
                <w:sz w:val="20"/>
                <w:szCs w:val="20"/>
                <w:color w:val="auto"/>
              </w:rPr>
            </w:pPr>
            <w:r>
              <w:rPr>
                <w:rFonts w:ascii="Arial" w:cs="Arial" w:eastAsia="Arial" w:hAnsi="Arial"/>
                <w:sz w:val="18"/>
                <w:szCs w:val="18"/>
                <w:color w:val="auto"/>
              </w:rPr>
              <w:t>24,496</w:t>
            </w:r>
          </w:p>
        </w:tc>
        <w:tc>
          <w:tcPr>
            <w:tcW w:w="360" w:type="dxa"/>
            <w:vAlign w:val="bottom"/>
            <w:shd w:val="clear" w:color="auto" w:fill="D6F3E8"/>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shd w:val="clear" w:color="auto" w:fill="D6F3E8"/>
          </w:tcPr>
          <w:p>
            <w:pPr>
              <w:jc w:val="right"/>
              <w:ind w:right="10"/>
              <w:spacing w:after="0"/>
              <w:rPr>
                <w:sz w:val="20"/>
                <w:szCs w:val="20"/>
                <w:color w:val="auto"/>
              </w:rPr>
            </w:pPr>
            <w:r>
              <w:rPr>
                <w:rFonts w:ascii="Arial" w:cs="Arial" w:eastAsia="Arial" w:hAnsi="Arial"/>
                <w:sz w:val="18"/>
                <w:szCs w:val="18"/>
                <w:color w:val="auto"/>
              </w:rPr>
              <w:t>24,496</w:t>
            </w:r>
          </w:p>
        </w:tc>
        <w:tc>
          <w:tcPr>
            <w:tcW w:w="0" w:type="dxa"/>
            <w:vAlign w:val="bottom"/>
          </w:tcPr>
          <w:p>
            <w:pPr>
              <w:spacing w:after="0"/>
              <w:rPr>
                <w:sz w:val="1"/>
                <w:szCs w:val="1"/>
                <w:color w:val="auto"/>
              </w:rPr>
            </w:pPr>
          </w:p>
        </w:tc>
      </w:tr>
      <w:tr>
        <w:trPr>
          <w:trHeight w:val="257"/>
        </w:trPr>
        <w:tc>
          <w:tcPr>
            <w:tcW w:w="3060" w:type="dxa"/>
            <w:vAlign w:val="bottom"/>
          </w:tcPr>
          <w:p>
            <w:pPr>
              <w:ind w:left="180"/>
              <w:spacing w:after="0" w:line="256" w:lineRule="exact"/>
              <w:rPr>
                <w:sz w:val="20"/>
                <w:szCs w:val="20"/>
                <w:color w:val="auto"/>
              </w:rPr>
            </w:pPr>
            <w:r>
              <w:rPr>
                <w:rFonts w:ascii="Arial" w:cs="Arial" w:eastAsia="Arial" w:hAnsi="Arial"/>
                <w:sz w:val="18"/>
                <w:szCs w:val="18"/>
                <w:color w:val="auto"/>
              </w:rPr>
              <w:t xml:space="preserve">Restricted Stock: </w:t>
            </w:r>
            <w:r>
              <w:rPr>
                <w:rFonts w:ascii="Arial" w:cs="Arial" w:eastAsia="Arial" w:hAnsi="Arial"/>
                <w:sz w:val="29"/>
                <w:szCs w:val="29"/>
                <w:color w:val="auto"/>
                <w:vertAlign w:val="superscript"/>
              </w:rPr>
              <w:t>(5)(6)</w:t>
            </w:r>
          </w:p>
        </w:tc>
        <w:tc>
          <w:tcPr>
            <w:tcW w:w="4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D6F3E8"/>
          </w:tcPr>
          <w:p>
            <w:pPr>
              <w:ind w:left="360"/>
              <w:spacing w:after="0"/>
              <w:rPr>
                <w:sz w:val="20"/>
                <w:szCs w:val="20"/>
                <w:color w:val="auto"/>
              </w:rPr>
            </w:pPr>
            <w:r>
              <w:rPr>
                <w:rFonts w:ascii="Arial" w:cs="Arial" w:eastAsia="Arial" w:hAnsi="Arial"/>
                <w:sz w:val="18"/>
                <w:szCs w:val="18"/>
                <w:color w:val="auto"/>
              </w:rPr>
              <w:t>Accelerated Vesting</w:t>
            </w:r>
          </w:p>
        </w:tc>
        <w:tc>
          <w:tcPr>
            <w:tcW w:w="440" w:type="dxa"/>
            <w:vAlign w:val="bottom"/>
            <w:shd w:val="clear" w:color="auto" w:fill="D6F3E8"/>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D6F3E8"/>
          </w:tcPr>
          <w:p>
            <w:pPr>
              <w:jc w:val="right"/>
              <w:ind w:right="70"/>
              <w:spacing w:after="0"/>
              <w:rPr>
                <w:sz w:val="20"/>
                <w:szCs w:val="20"/>
                <w:color w:val="auto"/>
              </w:rPr>
            </w:pPr>
            <w:r>
              <w:rPr>
                <w:rFonts w:ascii="Arial" w:cs="Arial" w:eastAsia="Arial" w:hAnsi="Arial"/>
                <w:sz w:val="18"/>
                <w:szCs w:val="18"/>
                <w:color w:val="auto"/>
              </w:rPr>
              <w:t>110,960</w:t>
            </w:r>
          </w:p>
        </w:tc>
        <w:tc>
          <w:tcPr>
            <w:tcW w:w="360" w:type="dxa"/>
            <w:vAlign w:val="bottom"/>
            <w:shd w:val="clear" w:color="auto" w:fill="D6F3E8"/>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D6F3E8"/>
          </w:tcPr>
          <w:p>
            <w:pPr>
              <w:jc w:val="right"/>
              <w:ind w:right="70"/>
              <w:spacing w:after="0"/>
              <w:rPr>
                <w:sz w:val="20"/>
                <w:szCs w:val="20"/>
                <w:color w:val="auto"/>
              </w:rPr>
            </w:pPr>
            <w:r>
              <w:rPr>
                <w:rFonts w:ascii="Arial" w:cs="Arial" w:eastAsia="Arial" w:hAnsi="Arial"/>
                <w:sz w:val="18"/>
                <w:szCs w:val="18"/>
                <w:color w:val="auto"/>
              </w:rPr>
              <w:t>110,960</w:t>
            </w:r>
          </w:p>
        </w:tc>
        <w:tc>
          <w:tcPr>
            <w:tcW w:w="340" w:type="dxa"/>
            <w:vAlign w:val="bottom"/>
            <w:shd w:val="clear" w:color="auto" w:fill="D6F3E8"/>
          </w:tcPr>
          <w:p>
            <w:pPr>
              <w:spacing w:after="0"/>
              <w:rPr>
                <w:sz w:val="18"/>
                <w:szCs w:val="18"/>
                <w:color w:val="auto"/>
              </w:rPr>
            </w:pPr>
          </w:p>
        </w:tc>
        <w:tc>
          <w:tcPr>
            <w:tcW w:w="1000" w:type="dxa"/>
            <w:vAlign w:val="bottom"/>
            <w:shd w:val="clear" w:color="auto" w:fill="D6F3E8"/>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D6F3E8"/>
          </w:tcPr>
          <w:p>
            <w:pPr>
              <w:jc w:val="right"/>
              <w:ind w:right="90"/>
              <w:spacing w:after="0"/>
              <w:rPr>
                <w:sz w:val="20"/>
                <w:szCs w:val="20"/>
                <w:color w:val="auto"/>
              </w:rPr>
            </w:pPr>
            <w:r>
              <w:rPr>
                <w:rFonts w:ascii="Arial" w:cs="Arial" w:eastAsia="Arial" w:hAnsi="Arial"/>
                <w:sz w:val="18"/>
                <w:szCs w:val="18"/>
                <w:color w:val="auto"/>
              </w:rPr>
              <w:t>110,960</w:t>
            </w:r>
          </w:p>
        </w:tc>
        <w:tc>
          <w:tcPr>
            <w:tcW w:w="340" w:type="dxa"/>
            <w:vAlign w:val="bottom"/>
            <w:shd w:val="clear" w:color="auto" w:fill="D6F3E8"/>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D6F3E8"/>
          </w:tcPr>
          <w:p>
            <w:pPr>
              <w:jc w:val="right"/>
              <w:ind w:right="70"/>
              <w:spacing w:after="0"/>
              <w:rPr>
                <w:sz w:val="20"/>
                <w:szCs w:val="20"/>
                <w:color w:val="auto"/>
              </w:rPr>
            </w:pPr>
            <w:r>
              <w:rPr>
                <w:rFonts w:ascii="Arial" w:cs="Arial" w:eastAsia="Arial" w:hAnsi="Arial"/>
                <w:sz w:val="18"/>
                <w:szCs w:val="18"/>
                <w:color w:val="auto"/>
              </w:rPr>
              <w:t>110,960</w:t>
            </w:r>
          </w:p>
        </w:tc>
        <w:tc>
          <w:tcPr>
            <w:tcW w:w="360" w:type="dxa"/>
            <w:vAlign w:val="bottom"/>
            <w:shd w:val="clear" w:color="auto" w:fill="D6F3E8"/>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shd w:val="clear" w:color="auto" w:fill="D6F3E8"/>
          </w:tcPr>
          <w:p>
            <w:pPr>
              <w:jc w:val="right"/>
              <w:ind w:right="10"/>
              <w:spacing w:after="0"/>
              <w:rPr>
                <w:sz w:val="20"/>
                <w:szCs w:val="20"/>
                <w:color w:val="auto"/>
              </w:rPr>
            </w:pPr>
            <w:r>
              <w:rPr>
                <w:rFonts w:ascii="Arial" w:cs="Arial" w:eastAsia="Arial" w:hAnsi="Arial"/>
                <w:sz w:val="18"/>
                <w:szCs w:val="18"/>
                <w:color w:val="auto"/>
              </w:rPr>
              <w:t>110,960</w:t>
            </w:r>
          </w:p>
        </w:tc>
        <w:tc>
          <w:tcPr>
            <w:tcW w:w="0" w:type="dxa"/>
            <w:vAlign w:val="bottom"/>
          </w:tcPr>
          <w:p>
            <w:pPr>
              <w:spacing w:after="0"/>
              <w:rPr>
                <w:sz w:val="1"/>
                <w:szCs w:val="1"/>
                <w:color w:val="auto"/>
              </w:rPr>
            </w:pPr>
          </w:p>
        </w:tc>
      </w:tr>
      <w:tr>
        <w:trPr>
          <w:trHeight w:val="257"/>
        </w:trPr>
        <w:tc>
          <w:tcPr>
            <w:tcW w:w="3060" w:type="dxa"/>
            <w:vAlign w:val="bottom"/>
          </w:tcPr>
          <w:p>
            <w:pPr>
              <w:ind w:left="180"/>
              <w:spacing w:after="0" w:line="256" w:lineRule="exact"/>
              <w:rPr>
                <w:sz w:val="20"/>
                <w:szCs w:val="20"/>
                <w:color w:val="auto"/>
              </w:rPr>
            </w:pPr>
            <w:r>
              <w:rPr>
                <w:rFonts w:ascii="Arial" w:cs="Arial" w:eastAsia="Arial" w:hAnsi="Arial"/>
                <w:sz w:val="18"/>
                <w:szCs w:val="18"/>
                <w:color w:val="auto"/>
              </w:rPr>
              <w:t xml:space="preserve">Options: </w:t>
            </w:r>
            <w:r>
              <w:rPr>
                <w:rFonts w:ascii="Arial" w:cs="Arial" w:eastAsia="Arial" w:hAnsi="Arial"/>
                <w:sz w:val="29"/>
                <w:szCs w:val="29"/>
                <w:color w:val="auto"/>
                <w:vertAlign w:val="superscript"/>
              </w:rPr>
              <w:t>(5)(6)</w:t>
            </w:r>
          </w:p>
        </w:tc>
        <w:tc>
          <w:tcPr>
            <w:tcW w:w="4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D6F3E8"/>
          </w:tcPr>
          <w:p>
            <w:pPr>
              <w:ind w:left="360"/>
              <w:spacing w:after="0"/>
              <w:rPr>
                <w:sz w:val="20"/>
                <w:szCs w:val="20"/>
                <w:color w:val="auto"/>
              </w:rPr>
            </w:pPr>
            <w:r>
              <w:rPr>
                <w:rFonts w:ascii="Arial" w:cs="Arial" w:eastAsia="Arial" w:hAnsi="Arial"/>
                <w:sz w:val="18"/>
                <w:szCs w:val="18"/>
                <w:color w:val="auto"/>
              </w:rPr>
              <w:t>Vested</w:t>
            </w:r>
          </w:p>
        </w:tc>
        <w:tc>
          <w:tcPr>
            <w:tcW w:w="440" w:type="dxa"/>
            <w:vAlign w:val="bottom"/>
            <w:shd w:val="clear" w:color="auto" w:fill="D6F3E8"/>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D6F3E8"/>
          </w:tcPr>
          <w:p>
            <w:pPr>
              <w:jc w:val="right"/>
              <w:ind w:right="70"/>
              <w:spacing w:after="0"/>
              <w:rPr>
                <w:sz w:val="20"/>
                <w:szCs w:val="20"/>
                <w:color w:val="auto"/>
              </w:rPr>
            </w:pPr>
            <w:r>
              <w:rPr>
                <w:rFonts w:ascii="Arial" w:cs="Arial" w:eastAsia="Arial" w:hAnsi="Arial"/>
                <w:sz w:val="18"/>
                <w:szCs w:val="18"/>
                <w:color w:val="auto"/>
              </w:rPr>
              <w:t>23,008</w:t>
            </w:r>
          </w:p>
        </w:tc>
        <w:tc>
          <w:tcPr>
            <w:tcW w:w="360" w:type="dxa"/>
            <w:vAlign w:val="bottom"/>
            <w:shd w:val="clear" w:color="auto" w:fill="D6F3E8"/>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D6F3E8"/>
          </w:tcPr>
          <w:p>
            <w:pPr>
              <w:jc w:val="right"/>
              <w:ind w:right="70"/>
              <w:spacing w:after="0"/>
              <w:rPr>
                <w:sz w:val="20"/>
                <w:szCs w:val="20"/>
                <w:color w:val="auto"/>
              </w:rPr>
            </w:pPr>
            <w:r>
              <w:rPr>
                <w:rFonts w:ascii="Arial" w:cs="Arial" w:eastAsia="Arial" w:hAnsi="Arial"/>
                <w:sz w:val="18"/>
                <w:szCs w:val="18"/>
                <w:color w:val="auto"/>
              </w:rPr>
              <w:t>23,008</w:t>
            </w:r>
          </w:p>
        </w:tc>
        <w:tc>
          <w:tcPr>
            <w:tcW w:w="340" w:type="dxa"/>
            <w:vAlign w:val="bottom"/>
            <w:shd w:val="clear" w:color="auto" w:fill="D6F3E8"/>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D6F3E8"/>
          </w:tcPr>
          <w:p>
            <w:pPr>
              <w:jc w:val="right"/>
              <w:ind w:right="70"/>
              <w:spacing w:after="0"/>
              <w:rPr>
                <w:sz w:val="20"/>
                <w:szCs w:val="20"/>
                <w:color w:val="auto"/>
              </w:rPr>
            </w:pPr>
            <w:r>
              <w:rPr>
                <w:rFonts w:ascii="Arial" w:cs="Arial" w:eastAsia="Arial" w:hAnsi="Arial"/>
                <w:sz w:val="18"/>
                <w:szCs w:val="18"/>
                <w:color w:val="auto"/>
              </w:rPr>
              <w:t>23,008</w:t>
            </w:r>
          </w:p>
        </w:tc>
        <w:tc>
          <w:tcPr>
            <w:tcW w:w="2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D6F3E8"/>
          </w:tcPr>
          <w:p>
            <w:pPr>
              <w:jc w:val="right"/>
              <w:ind w:right="90"/>
              <w:spacing w:after="0"/>
              <w:rPr>
                <w:sz w:val="20"/>
                <w:szCs w:val="20"/>
                <w:color w:val="auto"/>
              </w:rPr>
            </w:pPr>
            <w:r>
              <w:rPr>
                <w:rFonts w:ascii="Arial" w:cs="Arial" w:eastAsia="Arial" w:hAnsi="Arial"/>
                <w:sz w:val="18"/>
                <w:szCs w:val="18"/>
                <w:color w:val="auto"/>
              </w:rPr>
              <w:t>23,008</w:t>
            </w:r>
          </w:p>
        </w:tc>
        <w:tc>
          <w:tcPr>
            <w:tcW w:w="340" w:type="dxa"/>
            <w:vAlign w:val="bottom"/>
            <w:shd w:val="clear" w:color="auto" w:fill="D6F3E8"/>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D6F3E8"/>
          </w:tcPr>
          <w:p>
            <w:pPr>
              <w:jc w:val="right"/>
              <w:ind w:right="70"/>
              <w:spacing w:after="0"/>
              <w:rPr>
                <w:sz w:val="20"/>
                <w:szCs w:val="20"/>
                <w:color w:val="auto"/>
              </w:rPr>
            </w:pPr>
            <w:r>
              <w:rPr>
                <w:rFonts w:ascii="Arial" w:cs="Arial" w:eastAsia="Arial" w:hAnsi="Arial"/>
                <w:sz w:val="18"/>
                <w:szCs w:val="18"/>
                <w:color w:val="auto"/>
              </w:rPr>
              <w:t>23,008</w:t>
            </w:r>
          </w:p>
        </w:tc>
        <w:tc>
          <w:tcPr>
            <w:tcW w:w="360" w:type="dxa"/>
            <w:vAlign w:val="bottom"/>
            <w:shd w:val="clear" w:color="auto" w:fill="D6F3E8"/>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shd w:val="clear" w:color="auto" w:fill="D6F3E8"/>
          </w:tcPr>
          <w:p>
            <w:pPr>
              <w:jc w:val="right"/>
              <w:ind w:right="10"/>
              <w:spacing w:after="0"/>
              <w:rPr>
                <w:sz w:val="20"/>
                <w:szCs w:val="20"/>
                <w:color w:val="auto"/>
              </w:rPr>
            </w:pPr>
            <w:r>
              <w:rPr>
                <w:rFonts w:ascii="Arial" w:cs="Arial" w:eastAsia="Arial" w:hAnsi="Arial"/>
                <w:sz w:val="18"/>
                <w:szCs w:val="18"/>
                <w:color w:val="auto"/>
              </w:rPr>
              <w:t>23,008</w:t>
            </w:r>
          </w:p>
        </w:tc>
        <w:tc>
          <w:tcPr>
            <w:tcW w:w="0" w:type="dxa"/>
            <w:vAlign w:val="bottom"/>
          </w:tcPr>
          <w:p>
            <w:pPr>
              <w:spacing w:after="0"/>
              <w:rPr>
                <w:sz w:val="1"/>
                <w:szCs w:val="1"/>
                <w:color w:val="auto"/>
              </w:rPr>
            </w:pPr>
          </w:p>
        </w:tc>
      </w:tr>
      <w:tr>
        <w:trPr>
          <w:trHeight w:val="216"/>
        </w:trPr>
        <w:tc>
          <w:tcPr>
            <w:tcW w:w="3060" w:type="dxa"/>
            <w:vAlign w:val="bottom"/>
          </w:tcPr>
          <w:p>
            <w:pPr>
              <w:ind w:left="360"/>
              <w:spacing w:after="0"/>
              <w:rPr>
                <w:sz w:val="20"/>
                <w:szCs w:val="20"/>
                <w:color w:val="auto"/>
              </w:rPr>
            </w:pPr>
            <w:r>
              <w:rPr>
                <w:rFonts w:ascii="Arial" w:cs="Arial" w:eastAsia="Arial" w:hAnsi="Arial"/>
                <w:sz w:val="18"/>
                <w:szCs w:val="18"/>
                <w:color w:val="auto"/>
              </w:rPr>
              <w:t>Accelerated Vesting</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7,167</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7,167</w:t>
            </w:r>
          </w:p>
        </w:tc>
        <w:tc>
          <w:tcPr>
            <w:tcW w:w="340" w:type="dxa"/>
            <w:vAlign w:val="bottom"/>
          </w:tcPr>
          <w:p>
            <w:pPr>
              <w:spacing w:after="0"/>
              <w:rPr>
                <w:sz w:val="18"/>
                <w:szCs w:val="18"/>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7,167</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7,167</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7,167</w:t>
            </w:r>
          </w:p>
        </w:tc>
        <w:tc>
          <w:tcPr>
            <w:tcW w:w="0" w:type="dxa"/>
            <w:vAlign w:val="bottom"/>
          </w:tcPr>
          <w:p>
            <w:pPr>
              <w:spacing w:after="0"/>
              <w:rPr>
                <w:sz w:val="1"/>
                <w:szCs w:val="1"/>
                <w:color w:val="auto"/>
              </w:rPr>
            </w:pPr>
          </w:p>
        </w:tc>
      </w:tr>
      <w:tr>
        <w:trPr>
          <w:trHeight w:val="216"/>
        </w:trPr>
        <w:tc>
          <w:tcPr>
            <w:tcW w:w="3060" w:type="dxa"/>
            <w:vAlign w:val="bottom"/>
            <w:shd w:val="clear" w:color="auto" w:fill="D6F3E8"/>
          </w:tcPr>
          <w:p>
            <w:pPr>
              <w:spacing w:after="0"/>
              <w:rPr>
                <w:sz w:val="20"/>
                <w:szCs w:val="20"/>
                <w:color w:val="auto"/>
              </w:rPr>
            </w:pPr>
            <w:r>
              <w:rPr>
                <w:rFonts w:ascii="Arial" w:cs="Arial" w:eastAsia="Arial" w:hAnsi="Arial"/>
                <w:sz w:val="18"/>
                <w:szCs w:val="18"/>
                <w:color w:val="auto"/>
              </w:rPr>
              <w:t>Deferred Comp Plans:</w:t>
            </w:r>
          </w:p>
        </w:tc>
        <w:tc>
          <w:tcPr>
            <w:tcW w:w="440" w:type="dxa"/>
            <w:vAlign w:val="bottom"/>
            <w:shd w:val="clear" w:color="auto" w:fill="D6F3E8"/>
          </w:tcPr>
          <w:p>
            <w:pPr>
              <w:spacing w:after="0"/>
              <w:rPr>
                <w:sz w:val="18"/>
                <w:szCs w:val="18"/>
                <w:color w:val="auto"/>
              </w:rPr>
            </w:pPr>
          </w:p>
        </w:tc>
        <w:tc>
          <w:tcPr>
            <w:tcW w:w="980" w:type="dxa"/>
            <w:vAlign w:val="bottom"/>
            <w:shd w:val="clear" w:color="auto" w:fill="D6F3E8"/>
          </w:tcPr>
          <w:p>
            <w:pPr>
              <w:spacing w:after="0"/>
              <w:rPr>
                <w:sz w:val="18"/>
                <w:szCs w:val="18"/>
                <w:color w:val="auto"/>
              </w:rPr>
            </w:pPr>
          </w:p>
        </w:tc>
        <w:tc>
          <w:tcPr>
            <w:tcW w:w="360" w:type="dxa"/>
            <w:vAlign w:val="bottom"/>
            <w:shd w:val="clear" w:color="auto" w:fill="D6F3E8"/>
          </w:tcPr>
          <w:p>
            <w:pPr>
              <w:spacing w:after="0"/>
              <w:rPr>
                <w:sz w:val="18"/>
                <w:szCs w:val="18"/>
                <w:color w:val="auto"/>
              </w:rPr>
            </w:pPr>
          </w:p>
        </w:tc>
        <w:tc>
          <w:tcPr>
            <w:tcW w:w="98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1000" w:type="dxa"/>
            <w:vAlign w:val="bottom"/>
            <w:shd w:val="clear" w:color="auto" w:fill="D6F3E8"/>
          </w:tcPr>
          <w:p>
            <w:pPr>
              <w:spacing w:after="0"/>
              <w:rPr>
                <w:sz w:val="18"/>
                <w:szCs w:val="18"/>
                <w:color w:val="auto"/>
              </w:rPr>
            </w:pPr>
          </w:p>
        </w:tc>
        <w:tc>
          <w:tcPr>
            <w:tcW w:w="260" w:type="dxa"/>
            <w:vAlign w:val="bottom"/>
            <w:shd w:val="clear" w:color="auto" w:fill="D6F3E8"/>
          </w:tcPr>
          <w:p>
            <w:pPr>
              <w:spacing w:after="0"/>
              <w:rPr>
                <w:sz w:val="18"/>
                <w:szCs w:val="18"/>
                <w:color w:val="auto"/>
              </w:rPr>
            </w:pPr>
          </w:p>
        </w:tc>
        <w:tc>
          <w:tcPr>
            <w:tcW w:w="136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980" w:type="dxa"/>
            <w:vAlign w:val="bottom"/>
            <w:shd w:val="clear" w:color="auto" w:fill="D6F3E8"/>
          </w:tcPr>
          <w:p>
            <w:pPr>
              <w:spacing w:after="0"/>
              <w:rPr>
                <w:sz w:val="18"/>
                <w:szCs w:val="18"/>
                <w:color w:val="auto"/>
              </w:rPr>
            </w:pPr>
          </w:p>
        </w:tc>
        <w:tc>
          <w:tcPr>
            <w:tcW w:w="360" w:type="dxa"/>
            <w:vAlign w:val="bottom"/>
            <w:shd w:val="clear" w:color="auto" w:fill="D6F3E8"/>
          </w:tcPr>
          <w:p>
            <w:pPr>
              <w:spacing w:after="0"/>
              <w:rPr>
                <w:sz w:val="18"/>
                <w:szCs w:val="18"/>
                <w:color w:val="auto"/>
              </w:rPr>
            </w:pPr>
          </w:p>
        </w:tc>
        <w:tc>
          <w:tcPr>
            <w:tcW w:w="9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060" w:type="dxa"/>
            <w:vAlign w:val="bottom"/>
          </w:tcPr>
          <w:p>
            <w:pPr>
              <w:ind w:left="180"/>
              <w:spacing w:after="0" w:line="206" w:lineRule="exact"/>
              <w:rPr>
                <w:sz w:val="20"/>
                <w:szCs w:val="20"/>
                <w:color w:val="auto"/>
              </w:rPr>
            </w:pPr>
            <w:r>
              <w:rPr>
                <w:rFonts w:ascii="Arial" w:cs="Arial" w:eastAsia="Arial" w:hAnsi="Arial"/>
                <w:sz w:val="18"/>
                <w:szCs w:val="18"/>
                <w:color w:val="auto"/>
                <w:w w:val="98"/>
              </w:rPr>
              <w:t>Deferred Compensation Plan (1981)</w:t>
            </w:r>
          </w:p>
        </w:tc>
        <w:tc>
          <w:tcPr>
            <w:tcW w:w="44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2,453,175</w:t>
            </w:r>
          </w:p>
        </w:tc>
        <w:tc>
          <w:tcPr>
            <w:tcW w:w="36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2,453,175</w:t>
            </w:r>
          </w:p>
        </w:tc>
        <w:tc>
          <w:tcPr>
            <w:tcW w:w="340" w:type="dxa"/>
            <w:vAlign w:val="bottom"/>
          </w:tcPr>
          <w:p>
            <w:pPr>
              <w:spacing w:after="0"/>
              <w:rPr>
                <w:sz w:val="17"/>
                <w:szCs w:val="17"/>
                <w:color w:val="auto"/>
              </w:rPr>
            </w:pPr>
          </w:p>
        </w:tc>
        <w:tc>
          <w:tcPr>
            <w:tcW w:w="1000" w:type="dxa"/>
            <w:vAlign w:val="bottom"/>
            <w:vMerge w:val="restart"/>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360" w:type="dxa"/>
            <w:vAlign w:val="bottom"/>
            <w:vMerge w:val="restart"/>
          </w:tcPr>
          <w:p>
            <w:pPr>
              <w:jc w:val="right"/>
              <w:ind w:right="90"/>
              <w:spacing w:after="0"/>
              <w:rPr>
                <w:sz w:val="20"/>
                <w:szCs w:val="20"/>
                <w:color w:val="auto"/>
              </w:rPr>
            </w:pPr>
            <w:r>
              <w:rPr>
                <w:rFonts w:ascii="Arial" w:cs="Arial" w:eastAsia="Arial" w:hAnsi="Arial"/>
                <w:sz w:val="18"/>
                <w:szCs w:val="18"/>
                <w:color w:val="auto"/>
              </w:rPr>
              <w:t>2,453,175</w:t>
            </w:r>
          </w:p>
        </w:tc>
        <w:tc>
          <w:tcPr>
            <w:tcW w:w="34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2,453,175</w:t>
            </w:r>
          </w:p>
        </w:tc>
        <w:tc>
          <w:tcPr>
            <w:tcW w:w="36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2,453,175</w:t>
            </w:r>
          </w:p>
        </w:tc>
        <w:tc>
          <w:tcPr>
            <w:tcW w:w="0" w:type="dxa"/>
            <w:vAlign w:val="bottom"/>
          </w:tcPr>
          <w:p>
            <w:pPr>
              <w:spacing w:after="0"/>
              <w:rPr>
                <w:sz w:val="1"/>
                <w:szCs w:val="1"/>
                <w:color w:val="auto"/>
              </w:rPr>
            </w:pPr>
          </w:p>
        </w:tc>
      </w:tr>
      <w:tr>
        <w:trPr>
          <w:trHeight w:val="213"/>
        </w:trPr>
        <w:tc>
          <w:tcPr>
            <w:tcW w:w="3060" w:type="dxa"/>
            <w:vAlign w:val="bottom"/>
          </w:tcPr>
          <w:p>
            <w:pPr>
              <w:ind w:left="280"/>
              <w:spacing w:after="0"/>
              <w:rPr>
                <w:sz w:val="20"/>
                <w:szCs w:val="20"/>
                <w:color w:val="auto"/>
              </w:rPr>
            </w:pPr>
            <w:r>
              <w:rPr>
                <w:rFonts w:ascii="Arial" w:cs="Arial" w:eastAsia="Arial" w:hAnsi="Arial"/>
                <w:sz w:val="15"/>
                <w:szCs w:val="15"/>
                <w:color w:val="auto"/>
              </w:rPr>
              <w:t>(7)</w:t>
            </w:r>
          </w:p>
        </w:tc>
        <w:tc>
          <w:tcPr>
            <w:tcW w:w="44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36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1360" w:type="dxa"/>
            <w:vAlign w:val="bottom"/>
            <w:vMerge w:val="continue"/>
          </w:tcPr>
          <w:p>
            <w:pPr>
              <w:spacing w:after="0"/>
              <w:rPr>
                <w:sz w:val="18"/>
                <w:szCs w:val="18"/>
                <w:color w:val="auto"/>
              </w:rPr>
            </w:pPr>
          </w:p>
        </w:tc>
        <w:tc>
          <w:tcPr>
            <w:tcW w:w="34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36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060" w:type="dxa"/>
            <w:vAlign w:val="bottom"/>
            <w:shd w:val="clear" w:color="auto" w:fill="D6F3E8"/>
          </w:tcPr>
          <w:p>
            <w:pPr>
              <w:ind w:left="180"/>
              <w:spacing w:after="0" w:line="206" w:lineRule="exact"/>
              <w:rPr>
                <w:sz w:val="20"/>
                <w:szCs w:val="20"/>
                <w:color w:val="auto"/>
              </w:rPr>
            </w:pPr>
            <w:r>
              <w:rPr>
                <w:rFonts w:ascii="Arial" w:cs="Arial" w:eastAsia="Arial" w:hAnsi="Arial"/>
                <w:sz w:val="18"/>
                <w:szCs w:val="18"/>
                <w:color w:val="auto"/>
              </w:rPr>
              <w:t>Split Dollar Life Insurance Program</w:t>
            </w:r>
          </w:p>
        </w:tc>
        <w:tc>
          <w:tcPr>
            <w:tcW w:w="440" w:type="dxa"/>
            <w:vAlign w:val="bottom"/>
            <w:vMerge w:val="restart"/>
            <w:shd w:val="clear" w:color="auto" w:fill="D6F3E8"/>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D6F3E8"/>
          </w:tcPr>
          <w:p>
            <w:pPr>
              <w:jc w:val="right"/>
              <w:ind w:right="70"/>
              <w:spacing w:after="0"/>
              <w:rPr>
                <w:sz w:val="20"/>
                <w:szCs w:val="20"/>
                <w:color w:val="auto"/>
              </w:rPr>
            </w:pPr>
            <w:r>
              <w:rPr>
                <w:rFonts w:ascii="Arial" w:cs="Arial" w:eastAsia="Arial" w:hAnsi="Arial"/>
                <w:sz w:val="18"/>
                <w:szCs w:val="18"/>
                <w:color w:val="auto"/>
              </w:rPr>
              <w:t>637,500</w:t>
            </w:r>
          </w:p>
        </w:tc>
        <w:tc>
          <w:tcPr>
            <w:tcW w:w="360" w:type="dxa"/>
            <w:vAlign w:val="bottom"/>
            <w:vMerge w:val="restart"/>
            <w:shd w:val="clear" w:color="auto" w:fill="D6F3E8"/>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D6F3E8"/>
          </w:tcPr>
          <w:p>
            <w:pPr>
              <w:jc w:val="right"/>
              <w:ind w:right="70"/>
              <w:spacing w:after="0"/>
              <w:rPr>
                <w:sz w:val="20"/>
                <w:szCs w:val="20"/>
                <w:color w:val="auto"/>
              </w:rPr>
            </w:pPr>
            <w:r>
              <w:rPr>
                <w:rFonts w:ascii="Arial" w:cs="Arial" w:eastAsia="Arial" w:hAnsi="Arial"/>
                <w:sz w:val="18"/>
                <w:szCs w:val="18"/>
                <w:color w:val="auto"/>
              </w:rPr>
              <w:t>637,500</w:t>
            </w:r>
          </w:p>
        </w:tc>
        <w:tc>
          <w:tcPr>
            <w:tcW w:w="340" w:type="dxa"/>
            <w:vAlign w:val="bottom"/>
            <w:shd w:val="clear" w:color="auto" w:fill="D6F3E8"/>
          </w:tcPr>
          <w:p>
            <w:pPr>
              <w:spacing w:after="0"/>
              <w:rPr>
                <w:sz w:val="17"/>
                <w:szCs w:val="17"/>
                <w:color w:val="auto"/>
              </w:rPr>
            </w:pPr>
          </w:p>
        </w:tc>
        <w:tc>
          <w:tcPr>
            <w:tcW w:w="1000" w:type="dxa"/>
            <w:vAlign w:val="bottom"/>
            <w:vMerge w:val="restart"/>
            <w:shd w:val="clear" w:color="auto" w:fill="D6F3E8"/>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vMerge w:val="restart"/>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360" w:type="dxa"/>
            <w:vAlign w:val="bottom"/>
            <w:vMerge w:val="restart"/>
            <w:shd w:val="clear" w:color="auto" w:fill="D6F3E8"/>
          </w:tcPr>
          <w:p>
            <w:pPr>
              <w:jc w:val="right"/>
              <w:ind w:right="90"/>
              <w:spacing w:after="0"/>
              <w:rPr>
                <w:sz w:val="20"/>
                <w:szCs w:val="20"/>
                <w:color w:val="auto"/>
              </w:rPr>
            </w:pPr>
            <w:r>
              <w:rPr>
                <w:rFonts w:ascii="Arial" w:cs="Arial" w:eastAsia="Arial" w:hAnsi="Arial"/>
                <w:sz w:val="18"/>
                <w:szCs w:val="18"/>
                <w:color w:val="auto"/>
              </w:rPr>
              <w:t>637,500</w:t>
            </w:r>
          </w:p>
        </w:tc>
        <w:tc>
          <w:tcPr>
            <w:tcW w:w="340" w:type="dxa"/>
            <w:vAlign w:val="bottom"/>
            <w:vMerge w:val="restart"/>
            <w:shd w:val="clear" w:color="auto" w:fill="D6F3E8"/>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D6F3E8"/>
          </w:tcPr>
          <w:p>
            <w:pPr>
              <w:jc w:val="right"/>
              <w:ind w:right="70"/>
              <w:spacing w:after="0"/>
              <w:rPr>
                <w:sz w:val="20"/>
                <w:szCs w:val="20"/>
                <w:color w:val="auto"/>
              </w:rPr>
            </w:pPr>
            <w:r>
              <w:rPr>
                <w:rFonts w:ascii="Arial" w:cs="Arial" w:eastAsia="Arial" w:hAnsi="Arial"/>
                <w:sz w:val="18"/>
                <w:szCs w:val="18"/>
                <w:color w:val="auto"/>
              </w:rPr>
              <w:t>637,500</w:t>
            </w:r>
          </w:p>
        </w:tc>
        <w:tc>
          <w:tcPr>
            <w:tcW w:w="360" w:type="dxa"/>
            <w:vAlign w:val="bottom"/>
            <w:vMerge w:val="restart"/>
            <w:shd w:val="clear" w:color="auto" w:fill="D6F3E8"/>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D6F3E8"/>
          </w:tcPr>
          <w:p>
            <w:pPr>
              <w:jc w:val="right"/>
              <w:ind w:right="10"/>
              <w:spacing w:after="0"/>
              <w:rPr>
                <w:sz w:val="20"/>
                <w:szCs w:val="20"/>
                <w:color w:val="auto"/>
              </w:rPr>
            </w:pPr>
            <w:r>
              <w:rPr>
                <w:rFonts w:ascii="Arial" w:cs="Arial" w:eastAsia="Arial" w:hAnsi="Arial"/>
                <w:sz w:val="18"/>
                <w:szCs w:val="18"/>
                <w:color w:val="auto"/>
              </w:rPr>
              <w:t>637,500</w:t>
            </w:r>
          </w:p>
        </w:tc>
        <w:tc>
          <w:tcPr>
            <w:tcW w:w="0" w:type="dxa"/>
            <w:vAlign w:val="bottom"/>
          </w:tcPr>
          <w:p>
            <w:pPr>
              <w:spacing w:after="0"/>
              <w:rPr>
                <w:sz w:val="1"/>
                <w:szCs w:val="1"/>
                <w:color w:val="auto"/>
              </w:rPr>
            </w:pPr>
          </w:p>
        </w:tc>
      </w:tr>
      <w:tr>
        <w:trPr>
          <w:trHeight w:val="213"/>
        </w:trPr>
        <w:tc>
          <w:tcPr>
            <w:tcW w:w="3060" w:type="dxa"/>
            <w:vAlign w:val="bottom"/>
            <w:shd w:val="clear" w:color="auto" w:fill="D6F3E8"/>
          </w:tcPr>
          <w:p>
            <w:pPr>
              <w:ind w:left="280"/>
              <w:spacing w:after="0"/>
              <w:rPr>
                <w:sz w:val="20"/>
                <w:szCs w:val="20"/>
                <w:color w:val="auto"/>
              </w:rPr>
            </w:pPr>
            <w:r>
              <w:rPr>
                <w:rFonts w:ascii="Arial" w:cs="Arial" w:eastAsia="Arial" w:hAnsi="Arial"/>
                <w:sz w:val="15"/>
                <w:szCs w:val="15"/>
                <w:color w:val="auto"/>
              </w:rPr>
              <w:t>(8)</w:t>
            </w:r>
          </w:p>
        </w:tc>
        <w:tc>
          <w:tcPr>
            <w:tcW w:w="440" w:type="dxa"/>
            <w:vAlign w:val="bottom"/>
            <w:vMerge w:val="continue"/>
            <w:shd w:val="clear" w:color="auto" w:fill="D6F3E8"/>
          </w:tcPr>
          <w:p>
            <w:pPr>
              <w:spacing w:after="0"/>
              <w:rPr>
                <w:sz w:val="18"/>
                <w:szCs w:val="18"/>
                <w:color w:val="auto"/>
              </w:rPr>
            </w:pPr>
          </w:p>
        </w:tc>
        <w:tc>
          <w:tcPr>
            <w:tcW w:w="980" w:type="dxa"/>
            <w:vAlign w:val="bottom"/>
            <w:vMerge w:val="continue"/>
            <w:shd w:val="clear" w:color="auto" w:fill="D6F3E8"/>
          </w:tcPr>
          <w:p>
            <w:pPr>
              <w:spacing w:after="0"/>
              <w:rPr>
                <w:sz w:val="18"/>
                <w:szCs w:val="18"/>
                <w:color w:val="auto"/>
              </w:rPr>
            </w:pPr>
          </w:p>
        </w:tc>
        <w:tc>
          <w:tcPr>
            <w:tcW w:w="360" w:type="dxa"/>
            <w:vAlign w:val="bottom"/>
            <w:vMerge w:val="continue"/>
            <w:shd w:val="clear" w:color="auto" w:fill="D6F3E8"/>
          </w:tcPr>
          <w:p>
            <w:pPr>
              <w:spacing w:after="0"/>
              <w:rPr>
                <w:sz w:val="18"/>
                <w:szCs w:val="18"/>
                <w:color w:val="auto"/>
              </w:rPr>
            </w:pPr>
          </w:p>
        </w:tc>
        <w:tc>
          <w:tcPr>
            <w:tcW w:w="980" w:type="dxa"/>
            <w:vAlign w:val="bottom"/>
            <w:vMerge w:val="continue"/>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1000" w:type="dxa"/>
            <w:vAlign w:val="bottom"/>
            <w:vMerge w:val="continue"/>
            <w:shd w:val="clear" w:color="auto" w:fill="D6F3E8"/>
          </w:tcPr>
          <w:p>
            <w:pPr>
              <w:spacing w:after="0"/>
              <w:rPr>
                <w:sz w:val="18"/>
                <w:szCs w:val="18"/>
                <w:color w:val="auto"/>
              </w:rPr>
            </w:pPr>
          </w:p>
        </w:tc>
        <w:tc>
          <w:tcPr>
            <w:tcW w:w="260" w:type="dxa"/>
            <w:vAlign w:val="bottom"/>
            <w:vMerge w:val="continue"/>
            <w:shd w:val="clear" w:color="auto" w:fill="D6F3E8"/>
          </w:tcPr>
          <w:p>
            <w:pPr>
              <w:spacing w:after="0"/>
              <w:rPr>
                <w:sz w:val="18"/>
                <w:szCs w:val="18"/>
                <w:color w:val="auto"/>
              </w:rPr>
            </w:pPr>
          </w:p>
        </w:tc>
        <w:tc>
          <w:tcPr>
            <w:tcW w:w="1360" w:type="dxa"/>
            <w:vAlign w:val="bottom"/>
            <w:vMerge w:val="continue"/>
            <w:shd w:val="clear" w:color="auto" w:fill="D6F3E8"/>
          </w:tcPr>
          <w:p>
            <w:pPr>
              <w:spacing w:after="0"/>
              <w:rPr>
                <w:sz w:val="18"/>
                <w:szCs w:val="18"/>
                <w:color w:val="auto"/>
              </w:rPr>
            </w:pPr>
          </w:p>
        </w:tc>
        <w:tc>
          <w:tcPr>
            <w:tcW w:w="340" w:type="dxa"/>
            <w:vAlign w:val="bottom"/>
            <w:vMerge w:val="continue"/>
            <w:shd w:val="clear" w:color="auto" w:fill="D6F3E8"/>
          </w:tcPr>
          <w:p>
            <w:pPr>
              <w:spacing w:after="0"/>
              <w:rPr>
                <w:sz w:val="18"/>
                <w:szCs w:val="18"/>
                <w:color w:val="auto"/>
              </w:rPr>
            </w:pPr>
          </w:p>
        </w:tc>
        <w:tc>
          <w:tcPr>
            <w:tcW w:w="980" w:type="dxa"/>
            <w:vAlign w:val="bottom"/>
            <w:vMerge w:val="continue"/>
            <w:shd w:val="clear" w:color="auto" w:fill="D6F3E8"/>
          </w:tcPr>
          <w:p>
            <w:pPr>
              <w:spacing w:after="0"/>
              <w:rPr>
                <w:sz w:val="18"/>
                <w:szCs w:val="18"/>
                <w:color w:val="auto"/>
              </w:rPr>
            </w:pPr>
          </w:p>
        </w:tc>
        <w:tc>
          <w:tcPr>
            <w:tcW w:w="360" w:type="dxa"/>
            <w:vAlign w:val="bottom"/>
            <w:vMerge w:val="continue"/>
            <w:shd w:val="clear" w:color="auto" w:fill="D6F3E8"/>
          </w:tcPr>
          <w:p>
            <w:pPr>
              <w:spacing w:after="0"/>
              <w:rPr>
                <w:sz w:val="18"/>
                <w:szCs w:val="18"/>
                <w:color w:val="auto"/>
              </w:rPr>
            </w:pPr>
          </w:p>
        </w:tc>
        <w:tc>
          <w:tcPr>
            <w:tcW w:w="920" w:type="dxa"/>
            <w:vAlign w:val="bottom"/>
            <w:vMerge w:val="continue"/>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060" w:type="dxa"/>
            <w:vAlign w:val="bottom"/>
          </w:tcPr>
          <w:p>
            <w:pPr>
              <w:ind w:left="180"/>
              <w:spacing w:after="0" w:line="256" w:lineRule="exact"/>
              <w:rPr>
                <w:sz w:val="20"/>
                <w:szCs w:val="20"/>
                <w:color w:val="auto"/>
              </w:rPr>
            </w:pPr>
            <w:r>
              <w:rPr>
                <w:rFonts w:ascii="Arial" w:cs="Arial" w:eastAsia="Arial" w:hAnsi="Arial"/>
                <w:sz w:val="18"/>
                <w:szCs w:val="18"/>
                <w:color w:val="auto"/>
                <w:w w:val="98"/>
              </w:rPr>
              <w:t xml:space="preserve">Executive Share Option Program </w:t>
            </w:r>
            <w:r>
              <w:rPr>
                <w:rFonts w:ascii="Arial" w:cs="Arial" w:eastAsia="Arial" w:hAnsi="Arial"/>
                <w:sz w:val="29"/>
                <w:szCs w:val="29"/>
                <w:color w:val="auto"/>
                <w:w w:val="98"/>
                <w:vertAlign w:val="superscript"/>
              </w:rPr>
              <w:t>(9)</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w w:val="99"/>
              </w:rPr>
              <w:t>1,115,367</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w w:val="99"/>
              </w:rPr>
              <w:t>1,115,367</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1,115,367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1,115,367</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w w:val="99"/>
              </w:rPr>
              <w:t>1,115,367</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1,115,367</w:t>
            </w:r>
          </w:p>
        </w:tc>
        <w:tc>
          <w:tcPr>
            <w:tcW w:w="0" w:type="dxa"/>
            <w:vAlign w:val="bottom"/>
          </w:tcPr>
          <w:p>
            <w:pPr>
              <w:spacing w:after="0"/>
              <w:rPr>
                <w:sz w:val="1"/>
                <w:szCs w:val="1"/>
                <w:color w:val="auto"/>
              </w:rPr>
            </w:pPr>
          </w:p>
        </w:tc>
      </w:tr>
      <w:tr>
        <w:trPr>
          <w:trHeight w:val="205"/>
        </w:trPr>
        <w:tc>
          <w:tcPr>
            <w:tcW w:w="3060" w:type="dxa"/>
            <w:vAlign w:val="bottom"/>
            <w:shd w:val="clear" w:color="auto" w:fill="D6F3E8"/>
          </w:tcPr>
          <w:p>
            <w:pPr>
              <w:ind w:left="180"/>
              <w:spacing w:after="0" w:line="206" w:lineRule="exact"/>
              <w:rPr>
                <w:sz w:val="20"/>
                <w:szCs w:val="20"/>
                <w:color w:val="auto"/>
              </w:rPr>
            </w:pPr>
            <w:r>
              <w:rPr>
                <w:rFonts w:ascii="Arial" w:cs="Arial" w:eastAsia="Arial" w:hAnsi="Arial"/>
                <w:sz w:val="18"/>
                <w:szCs w:val="18"/>
                <w:color w:val="auto"/>
              </w:rPr>
              <w:t>Executive Deferred Compensation</w:t>
            </w:r>
          </w:p>
        </w:tc>
        <w:tc>
          <w:tcPr>
            <w:tcW w:w="440" w:type="dxa"/>
            <w:vAlign w:val="bottom"/>
            <w:shd w:val="clear" w:color="auto" w:fill="D6F3E8"/>
          </w:tcPr>
          <w:p>
            <w:pPr>
              <w:spacing w:after="0"/>
              <w:rPr>
                <w:sz w:val="17"/>
                <w:szCs w:val="17"/>
                <w:color w:val="auto"/>
              </w:rPr>
            </w:pPr>
          </w:p>
        </w:tc>
        <w:tc>
          <w:tcPr>
            <w:tcW w:w="980" w:type="dxa"/>
            <w:vAlign w:val="bottom"/>
            <w:shd w:val="clear" w:color="auto" w:fill="D6F3E8"/>
          </w:tcPr>
          <w:p>
            <w:pPr>
              <w:spacing w:after="0"/>
              <w:rPr>
                <w:sz w:val="17"/>
                <w:szCs w:val="17"/>
                <w:color w:val="auto"/>
              </w:rPr>
            </w:pPr>
          </w:p>
        </w:tc>
        <w:tc>
          <w:tcPr>
            <w:tcW w:w="360" w:type="dxa"/>
            <w:vAlign w:val="bottom"/>
            <w:shd w:val="clear" w:color="auto" w:fill="D6F3E8"/>
          </w:tcPr>
          <w:p>
            <w:pPr>
              <w:spacing w:after="0"/>
              <w:rPr>
                <w:sz w:val="17"/>
                <w:szCs w:val="17"/>
                <w:color w:val="auto"/>
              </w:rPr>
            </w:pPr>
          </w:p>
        </w:tc>
        <w:tc>
          <w:tcPr>
            <w:tcW w:w="980" w:type="dxa"/>
            <w:vAlign w:val="bottom"/>
            <w:shd w:val="clear" w:color="auto" w:fill="D6F3E8"/>
          </w:tcPr>
          <w:p>
            <w:pPr>
              <w:spacing w:after="0"/>
              <w:rPr>
                <w:sz w:val="17"/>
                <w:szCs w:val="17"/>
                <w:color w:val="auto"/>
              </w:rPr>
            </w:pPr>
          </w:p>
        </w:tc>
        <w:tc>
          <w:tcPr>
            <w:tcW w:w="340" w:type="dxa"/>
            <w:vAlign w:val="bottom"/>
            <w:shd w:val="clear" w:color="auto" w:fill="D6F3E8"/>
          </w:tcPr>
          <w:p>
            <w:pPr>
              <w:spacing w:after="0"/>
              <w:rPr>
                <w:sz w:val="17"/>
                <w:szCs w:val="17"/>
                <w:color w:val="auto"/>
              </w:rPr>
            </w:pPr>
          </w:p>
        </w:tc>
        <w:tc>
          <w:tcPr>
            <w:tcW w:w="1000" w:type="dxa"/>
            <w:vAlign w:val="bottom"/>
            <w:shd w:val="clear" w:color="auto" w:fill="D6F3E8"/>
          </w:tcPr>
          <w:p>
            <w:pPr>
              <w:spacing w:after="0"/>
              <w:rPr>
                <w:sz w:val="17"/>
                <w:szCs w:val="17"/>
                <w:color w:val="auto"/>
              </w:rPr>
            </w:pPr>
          </w:p>
        </w:tc>
        <w:tc>
          <w:tcPr>
            <w:tcW w:w="260" w:type="dxa"/>
            <w:vAlign w:val="bottom"/>
            <w:shd w:val="clear" w:color="auto" w:fill="D6F3E8"/>
          </w:tcPr>
          <w:p>
            <w:pPr>
              <w:spacing w:after="0"/>
              <w:rPr>
                <w:sz w:val="17"/>
                <w:szCs w:val="17"/>
                <w:color w:val="auto"/>
              </w:rPr>
            </w:pPr>
          </w:p>
        </w:tc>
        <w:tc>
          <w:tcPr>
            <w:tcW w:w="1360" w:type="dxa"/>
            <w:vAlign w:val="bottom"/>
            <w:shd w:val="clear" w:color="auto" w:fill="D6F3E8"/>
          </w:tcPr>
          <w:p>
            <w:pPr>
              <w:spacing w:after="0"/>
              <w:rPr>
                <w:sz w:val="17"/>
                <w:szCs w:val="17"/>
                <w:color w:val="auto"/>
              </w:rPr>
            </w:pPr>
          </w:p>
        </w:tc>
        <w:tc>
          <w:tcPr>
            <w:tcW w:w="340" w:type="dxa"/>
            <w:vAlign w:val="bottom"/>
            <w:shd w:val="clear" w:color="auto" w:fill="D6F3E8"/>
          </w:tcPr>
          <w:p>
            <w:pPr>
              <w:spacing w:after="0"/>
              <w:rPr>
                <w:sz w:val="17"/>
                <w:szCs w:val="17"/>
                <w:color w:val="auto"/>
              </w:rPr>
            </w:pPr>
          </w:p>
        </w:tc>
        <w:tc>
          <w:tcPr>
            <w:tcW w:w="980" w:type="dxa"/>
            <w:vAlign w:val="bottom"/>
            <w:shd w:val="clear" w:color="auto" w:fill="D6F3E8"/>
          </w:tcPr>
          <w:p>
            <w:pPr>
              <w:spacing w:after="0"/>
              <w:rPr>
                <w:sz w:val="17"/>
                <w:szCs w:val="17"/>
                <w:color w:val="auto"/>
              </w:rPr>
            </w:pPr>
          </w:p>
        </w:tc>
        <w:tc>
          <w:tcPr>
            <w:tcW w:w="360" w:type="dxa"/>
            <w:vAlign w:val="bottom"/>
            <w:shd w:val="clear" w:color="auto" w:fill="D6F3E8"/>
          </w:tcPr>
          <w:p>
            <w:pPr>
              <w:spacing w:after="0"/>
              <w:rPr>
                <w:sz w:val="17"/>
                <w:szCs w:val="17"/>
                <w:color w:val="auto"/>
              </w:rPr>
            </w:pPr>
          </w:p>
        </w:tc>
        <w:tc>
          <w:tcPr>
            <w:tcW w:w="920" w:type="dxa"/>
            <w:vAlign w:val="bottom"/>
            <w:shd w:val="clear" w:color="auto" w:fill="D6F3E8"/>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3060" w:type="dxa"/>
            <w:vAlign w:val="bottom"/>
            <w:shd w:val="clear" w:color="auto" w:fill="D6F3E8"/>
          </w:tcPr>
          <w:p>
            <w:pPr>
              <w:ind w:left="280"/>
              <w:spacing w:after="0" w:line="266" w:lineRule="exact"/>
              <w:rPr>
                <w:sz w:val="20"/>
                <w:szCs w:val="20"/>
                <w:color w:val="auto"/>
              </w:rPr>
            </w:pPr>
            <w:r>
              <w:rPr>
                <w:rFonts w:ascii="Arial" w:cs="Arial" w:eastAsia="Arial" w:hAnsi="Arial"/>
                <w:sz w:val="18"/>
                <w:szCs w:val="18"/>
                <w:color w:val="auto"/>
              </w:rPr>
              <w:t xml:space="preserve">Plan 2007 </w:t>
            </w:r>
            <w:r>
              <w:rPr>
                <w:rFonts w:ascii="Arial" w:cs="Arial" w:eastAsia="Arial" w:hAnsi="Arial"/>
                <w:sz w:val="30"/>
                <w:szCs w:val="30"/>
                <w:color w:val="auto"/>
                <w:vertAlign w:val="superscript"/>
              </w:rPr>
              <w:t>(10)</w:t>
            </w:r>
          </w:p>
        </w:tc>
        <w:tc>
          <w:tcPr>
            <w:tcW w:w="440" w:type="dxa"/>
            <w:vAlign w:val="bottom"/>
            <w:shd w:val="clear" w:color="auto" w:fill="D6F3E8"/>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D6F3E8"/>
          </w:tcPr>
          <w:p>
            <w:pPr>
              <w:jc w:val="right"/>
              <w:ind w:right="70"/>
              <w:spacing w:after="0"/>
              <w:rPr>
                <w:sz w:val="20"/>
                <w:szCs w:val="20"/>
                <w:color w:val="auto"/>
              </w:rPr>
            </w:pPr>
            <w:r>
              <w:rPr>
                <w:rFonts w:ascii="Arial" w:cs="Arial" w:eastAsia="Arial" w:hAnsi="Arial"/>
                <w:sz w:val="18"/>
                <w:szCs w:val="18"/>
                <w:color w:val="auto"/>
              </w:rPr>
              <w:t>12,363</w:t>
            </w:r>
          </w:p>
        </w:tc>
        <w:tc>
          <w:tcPr>
            <w:tcW w:w="360" w:type="dxa"/>
            <w:vAlign w:val="bottom"/>
            <w:shd w:val="clear" w:color="auto" w:fill="D6F3E8"/>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D6F3E8"/>
          </w:tcPr>
          <w:p>
            <w:pPr>
              <w:jc w:val="right"/>
              <w:ind w:right="70"/>
              <w:spacing w:after="0"/>
              <w:rPr>
                <w:sz w:val="20"/>
                <w:szCs w:val="20"/>
                <w:color w:val="auto"/>
              </w:rPr>
            </w:pPr>
            <w:r>
              <w:rPr>
                <w:rFonts w:ascii="Arial" w:cs="Arial" w:eastAsia="Arial" w:hAnsi="Arial"/>
                <w:sz w:val="18"/>
                <w:szCs w:val="18"/>
                <w:color w:val="auto"/>
              </w:rPr>
              <w:t>12,363</w:t>
            </w:r>
          </w:p>
        </w:tc>
        <w:tc>
          <w:tcPr>
            <w:tcW w:w="340" w:type="dxa"/>
            <w:vAlign w:val="bottom"/>
            <w:shd w:val="clear" w:color="auto" w:fill="D6F3E8"/>
          </w:tcPr>
          <w:p>
            <w:pPr>
              <w:spacing w:after="0"/>
              <w:rPr>
                <w:sz w:val="23"/>
                <w:szCs w:val="23"/>
                <w:color w:val="auto"/>
              </w:rPr>
            </w:pPr>
          </w:p>
        </w:tc>
        <w:tc>
          <w:tcPr>
            <w:tcW w:w="1000" w:type="dxa"/>
            <w:vAlign w:val="bottom"/>
            <w:shd w:val="clear" w:color="auto" w:fill="D6F3E8"/>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D6F3E8"/>
          </w:tcPr>
          <w:p>
            <w:pPr>
              <w:jc w:val="right"/>
              <w:ind w:right="90"/>
              <w:spacing w:after="0"/>
              <w:rPr>
                <w:sz w:val="20"/>
                <w:szCs w:val="20"/>
                <w:color w:val="auto"/>
              </w:rPr>
            </w:pPr>
            <w:r>
              <w:rPr>
                <w:rFonts w:ascii="Arial" w:cs="Arial" w:eastAsia="Arial" w:hAnsi="Arial"/>
                <w:sz w:val="18"/>
                <w:szCs w:val="18"/>
                <w:color w:val="auto"/>
              </w:rPr>
              <w:t>12,363</w:t>
            </w:r>
          </w:p>
        </w:tc>
        <w:tc>
          <w:tcPr>
            <w:tcW w:w="340" w:type="dxa"/>
            <w:vAlign w:val="bottom"/>
            <w:shd w:val="clear" w:color="auto" w:fill="D6F3E8"/>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D6F3E8"/>
          </w:tcPr>
          <w:p>
            <w:pPr>
              <w:jc w:val="right"/>
              <w:ind w:right="70"/>
              <w:spacing w:after="0"/>
              <w:rPr>
                <w:sz w:val="20"/>
                <w:szCs w:val="20"/>
                <w:color w:val="auto"/>
              </w:rPr>
            </w:pPr>
            <w:r>
              <w:rPr>
                <w:rFonts w:ascii="Arial" w:cs="Arial" w:eastAsia="Arial" w:hAnsi="Arial"/>
                <w:sz w:val="18"/>
                <w:szCs w:val="18"/>
                <w:color w:val="auto"/>
              </w:rPr>
              <w:t>12,363</w:t>
            </w:r>
          </w:p>
        </w:tc>
        <w:tc>
          <w:tcPr>
            <w:tcW w:w="360" w:type="dxa"/>
            <w:vAlign w:val="bottom"/>
            <w:shd w:val="clear" w:color="auto" w:fill="D6F3E8"/>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shd w:val="clear" w:color="auto" w:fill="D6F3E8"/>
          </w:tcPr>
          <w:p>
            <w:pPr>
              <w:jc w:val="right"/>
              <w:ind w:right="10"/>
              <w:spacing w:after="0"/>
              <w:rPr>
                <w:sz w:val="20"/>
                <w:szCs w:val="20"/>
                <w:color w:val="auto"/>
              </w:rPr>
            </w:pPr>
            <w:r>
              <w:rPr>
                <w:rFonts w:ascii="Arial" w:cs="Arial" w:eastAsia="Arial" w:hAnsi="Arial"/>
                <w:sz w:val="18"/>
                <w:szCs w:val="18"/>
                <w:color w:val="auto"/>
              </w:rPr>
              <w:t>12,363</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Other Benefits:</w:t>
            </w: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060" w:type="dxa"/>
            <w:vAlign w:val="bottom"/>
            <w:shd w:val="clear" w:color="auto" w:fill="D6F3E8"/>
          </w:tcPr>
          <w:p>
            <w:pPr>
              <w:ind w:left="180"/>
              <w:spacing w:after="0" w:line="256" w:lineRule="exact"/>
              <w:rPr>
                <w:sz w:val="20"/>
                <w:szCs w:val="20"/>
                <w:color w:val="auto"/>
              </w:rPr>
            </w:pPr>
            <w:r>
              <w:rPr>
                <w:rFonts w:ascii="Arial" w:cs="Arial" w:eastAsia="Arial" w:hAnsi="Arial"/>
                <w:sz w:val="18"/>
                <w:szCs w:val="18"/>
                <w:color w:val="auto"/>
              </w:rPr>
              <w:t xml:space="preserve">Health and Welfare </w:t>
            </w:r>
            <w:r>
              <w:rPr>
                <w:rFonts w:ascii="Arial" w:cs="Arial" w:eastAsia="Arial" w:hAnsi="Arial"/>
                <w:sz w:val="29"/>
                <w:szCs w:val="29"/>
                <w:color w:val="auto"/>
                <w:vertAlign w:val="superscript"/>
              </w:rPr>
              <w:t>(11)</w:t>
            </w:r>
          </w:p>
        </w:tc>
        <w:tc>
          <w:tcPr>
            <w:tcW w:w="440" w:type="dxa"/>
            <w:vAlign w:val="bottom"/>
            <w:shd w:val="clear" w:color="auto" w:fill="D6F3E8"/>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D6F3E8"/>
          </w:tcPr>
          <w:p>
            <w:pPr>
              <w:jc w:val="right"/>
              <w:ind w:right="70"/>
              <w:spacing w:after="0"/>
              <w:rPr>
                <w:sz w:val="20"/>
                <w:szCs w:val="20"/>
                <w:color w:val="auto"/>
              </w:rPr>
            </w:pPr>
            <w:r>
              <w:rPr>
                <w:rFonts w:ascii="Arial" w:cs="Arial" w:eastAsia="Arial" w:hAnsi="Arial"/>
                <w:sz w:val="18"/>
                <w:szCs w:val="18"/>
                <w:color w:val="auto"/>
              </w:rPr>
              <w:t>6,166</w:t>
            </w:r>
          </w:p>
        </w:tc>
        <w:tc>
          <w:tcPr>
            <w:tcW w:w="360" w:type="dxa"/>
            <w:vAlign w:val="bottom"/>
            <w:shd w:val="clear" w:color="auto" w:fill="D6F3E8"/>
          </w:tcPr>
          <w:p>
            <w:pPr>
              <w:spacing w:after="0"/>
              <w:rPr>
                <w:sz w:val="22"/>
                <w:szCs w:val="22"/>
                <w:color w:val="auto"/>
              </w:rPr>
            </w:pPr>
          </w:p>
        </w:tc>
        <w:tc>
          <w:tcPr>
            <w:tcW w:w="980" w:type="dxa"/>
            <w:vAlign w:val="bottom"/>
            <w:shd w:val="clear" w:color="auto" w:fill="D6F3E8"/>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shd w:val="clear" w:color="auto" w:fill="D6F3E8"/>
          </w:tcPr>
          <w:p>
            <w:pPr>
              <w:spacing w:after="0"/>
              <w:rPr>
                <w:sz w:val="22"/>
                <w:szCs w:val="22"/>
                <w:color w:val="auto"/>
              </w:rPr>
            </w:pPr>
          </w:p>
        </w:tc>
        <w:tc>
          <w:tcPr>
            <w:tcW w:w="1000" w:type="dxa"/>
            <w:vAlign w:val="bottom"/>
            <w:shd w:val="clear" w:color="auto" w:fill="D6F3E8"/>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D6F3E8"/>
          </w:tcPr>
          <w:p>
            <w:pPr>
              <w:jc w:val="right"/>
              <w:ind w:right="90"/>
              <w:spacing w:after="0"/>
              <w:rPr>
                <w:sz w:val="20"/>
                <w:szCs w:val="20"/>
                <w:color w:val="auto"/>
              </w:rPr>
            </w:pPr>
            <w:r>
              <w:rPr>
                <w:rFonts w:ascii="Arial" w:cs="Arial" w:eastAsia="Arial" w:hAnsi="Arial"/>
                <w:sz w:val="18"/>
                <w:szCs w:val="18"/>
                <w:color w:val="auto"/>
              </w:rPr>
              <w:t>19,500</w:t>
            </w:r>
          </w:p>
        </w:tc>
        <w:tc>
          <w:tcPr>
            <w:tcW w:w="340" w:type="dxa"/>
            <w:vAlign w:val="bottom"/>
            <w:shd w:val="clear" w:color="auto" w:fill="D6F3E8"/>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D6F3E8"/>
          </w:tcPr>
          <w:p>
            <w:pPr>
              <w:jc w:val="right"/>
              <w:ind w:right="70"/>
              <w:spacing w:after="0"/>
              <w:rPr>
                <w:sz w:val="20"/>
                <w:szCs w:val="20"/>
                <w:color w:val="auto"/>
              </w:rPr>
            </w:pPr>
            <w:r>
              <w:rPr>
                <w:rFonts w:ascii="Arial" w:cs="Arial" w:eastAsia="Arial" w:hAnsi="Arial"/>
                <w:sz w:val="18"/>
                <w:szCs w:val="18"/>
                <w:color w:val="auto"/>
              </w:rPr>
              <w:t>4,500</w:t>
            </w:r>
          </w:p>
        </w:tc>
        <w:tc>
          <w:tcPr>
            <w:tcW w:w="360" w:type="dxa"/>
            <w:vAlign w:val="bottom"/>
            <w:shd w:val="clear" w:color="auto" w:fill="D6F3E8"/>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shd w:val="clear" w:color="auto" w:fill="D6F3E8"/>
          </w:tcPr>
          <w:p>
            <w:pPr>
              <w:jc w:val="right"/>
              <w:ind w:right="10"/>
              <w:spacing w:after="0"/>
              <w:rPr>
                <w:sz w:val="20"/>
                <w:szCs w:val="20"/>
                <w:color w:val="auto"/>
              </w:rPr>
            </w:pPr>
            <w:r>
              <w:rPr>
                <w:rFonts w:ascii="Arial" w:cs="Arial" w:eastAsia="Arial" w:hAnsi="Arial"/>
                <w:sz w:val="18"/>
                <w:szCs w:val="18"/>
                <w:color w:val="auto"/>
              </w:rPr>
              <w:t>6,166</w:t>
            </w:r>
          </w:p>
        </w:tc>
        <w:tc>
          <w:tcPr>
            <w:tcW w:w="0" w:type="dxa"/>
            <w:vAlign w:val="bottom"/>
          </w:tcPr>
          <w:p>
            <w:pPr>
              <w:spacing w:after="0"/>
              <w:rPr>
                <w:sz w:val="1"/>
                <w:szCs w:val="1"/>
                <w:color w:val="auto"/>
              </w:rPr>
            </w:pPr>
          </w:p>
        </w:tc>
      </w:tr>
      <w:tr>
        <w:trPr>
          <w:trHeight w:val="257"/>
        </w:trPr>
        <w:tc>
          <w:tcPr>
            <w:tcW w:w="3060" w:type="dxa"/>
            <w:vAlign w:val="bottom"/>
          </w:tcPr>
          <w:p>
            <w:pPr>
              <w:ind w:left="180"/>
              <w:spacing w:after="0" w:line="256"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9"/>
                <w:szCs w:val="29"/>
                <w:color w:val="auto"/>
                <w:vertAlign w:val="superscript"/>
              </w:rPr>
              <w:t>(12)</w:t>
            </w:r>
          </w:p>
        </w:tc>
        <w:tc>
          <w:tcPr>
            <w:tcW w:w="440" w:type="dxa"/>
            <w:vAlign w:val="bottom"/>
          </w:tcPr>
          <w:p>
            <w:pPr>
              <w:spacing w:after="0"/>
              <w:rPr>
                <w:sz w:val="22"/>
                <w:szCs w:val="22"/>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24,709</w:t>
            </w:r>
          </w:p>
        </w:tc>
        <w:tc>
          <w:tcPr>
            <w:tcW w:w="340" w:type="dxa"/>
            <w:vAlign w:val="bottom"/>
          </w:tcPr>
          <w:p>
            <w:pPr>
              <w:spacing w:after="0"/>
              <w:rPr>
                <w:sz w:val="22"/>
                <w:szCs w:val="22"/>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60" w:type="dxa"/>
            <w:vAlign w:val="bottom"/>
            <w:shd w:val="clear" w:color="auto" w:fill="D6F3E8"/>
          </w:tcPr>
          <w:p>
            <w:pPr>
              <w:spacing w:after="0"/>
              <w:rPr>
                <w:sz w:val="20"/>
                <w:szCs w:val="20"/>
                <w:color w:val="auto"/>
              </w:rPr>
            </w:pPr>
            <w:r>
              <w:rPr>
                <w:rFonts w:ascii="Arial" w:cs="Arial" w:eastAsia="Arial" w:hAnsi="Arial"/>
                <w:sz w:val="18"/>
                <w:szCs w:val="18"/>
                <w:color w:val="auto"/>
              </w:rPr>
              <w:t>Total Benefits</w:t>
            </w:r>
          </w:p>
        </w:tc>
        <w:tc>
          <w:tcPr>
            <w:tcW w:w="440" w:type="dxa"/>
            <w:vAlign w:val="bottom"/>
            <w:shd w:val="clear" w:color="auto" w:fill="D6F3E8"/>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D6F3E8"/>
          </w:tcPr>
          <w:p>
            <w:pPr>
              <w:jc w:val="right"/>
              <w:ind w:right="70"/>
              <w:spacing w:after="0"/>
              <w:rPr>
                <w:sz w:val="20"/>
                <w:szCs w:val="20"/>
                <w:color w:val="auto"/>
              </w:rPr>
            </w:pPr>
            <w:r>
              <w:rPr>
                <w:rFonts w:ascii="Arial" w:cs="Arial" w:eastAsia="Arial" w:hAnsi="Arial"/>
                <w:sz w:val="18"/>
                <w:szCs w:val="18"/>
                <w:color w:val="auto"/>
                <w:w w:val="99"/>
              </w:rPr>
              <w:t>4,573,948</w:t>
            </w:r>
          </w:p>
        </w:tc>
        <w:tc>
          <w:tcPr>
            <w:tcW w:w="360" w:type="dxa"/>
            <w:vAlign w:val="bottom"/>
            <w:shd w:val="clear" w:color="auto" w:fill="D6F3E8"/>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D6F3E8"/>
          </w:tcPr>
          <w:p>
            <w:pPr>
              <w:jc w:val="right"/>
              <w:ind w:right="70"/>
              <w:spacing w:after="0"/>
              <w:rPr>
                <w:sz w:val="20"/>
                <w:szCs w:val="20"/>
                <w:color w:val="auto"/>
              </w:rPr>
            </w:pPr>
            <w:r>
              <w:rPr>
                <w:rFonts w:ascii="Arial" w:cs="Arial" w:eastAsia="Arial" w:hAnsi="Arial"/>
                <w:sz w:val="18"/>
                <w:szCs w:val="18"/>
                <w:color w:val="auto"/>
                <w:w w:val="99"/>
              </w:rPr>
              <w:t>4,543,286</w:t>
            </w:r>
          </w:p>
        </w:tc>
        <w:tc>
          <w:tcPr>
            <w:tcW w:w="340" w:type="dxa"/>
            <w:vAlign w:val="bottom"/>
            <w:shd w:val="clear" w:color="auto" w:fill="D6F3E8"/>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D6F3E8"/>
          </w:tcPr>
          <w:p>
            <w:pPr>
              <w:jc w:val="right"/>
              <w:ind w:right="70"/>
              <w:spacing w:after="0"/>
              <w:rPr>
                <w:sz w:val="20"/>
                <w:szCs w:val="20"/>
                <w:color w:val="auto"/>
              </w:rPr>
            </w:pPr>
            <w:r>
              <w:rPr>
                <w:rFonts w:ascii="Arial" w:cs="Arial" w:eastAsia="Arial" w:hAnsi="Arial"/>
                <w:sz w:val="18"/>
                <w:szCs w:val="18"/>
                <w:color w:val="auto"/>
              </w:rPr>
              <w:t>1,322,121</w:t>
            </w:r>
          </w:p>
        </w:tc>
        <w:tc>
          <w:tcPr>
            <w:tcW w:w="2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D6F3E8"/>
          </w:tcPr>
          <w:p>
            <w:pPr>
              <w:jc w:val="right"/>
              <w:ind w:right="90"/>
              <w:spacing w:after="0"/>
              <w:rPr>
                <w:sz w:val="20"/>
                <w:szCs w:val="20"/>
                <w:color w:val="auto"/>
              </w:rPr>
            </w:pPr>
            <w:r>
              <w:rPr>
                <w:rFonts w:ascii="Arial" w:cs="Arial" w:eastAsia="Arial" w:hAnsi="Arial"/>
                <w:sz w:val="18"/>
                <w:szCs w:val="18"/>
                <w:color w:val="auto"/>
              </w:rPr>
              <w:t>5,790,304</w:t>
            </w:r>
          </w:p>
        </w:tc>
        <w:tc>
          <w:tcPr>
            <w:tcW w:w="340" w:type="dxa"/>
            <w:vAlign w:val="bottom"/>
            <w:shd w:val="clear" w:color="auto" w:fill="D6F3E8"/>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D6F3E8"/>
          </w:tcPr>
          <w:p>
            <w:pPr>
              <w:jc w:val="right"/>
              <w:ind w:right="70"/>
              <w:spacing w:after="0"/>
              <w:rPr>
                <w:sz w:val="20"/>
                <w:szCs w:val="20"/>
                <w:color w:val="auto"/>
              </w:rPr>
            </w:pPr>
            <w:r>
              <w:rPr>
                <w:rFonts w:ascii="Arial" w:cs="Arial" w:eastAsia="Arial" w:hAnsi="Arial"/>
                <w:sz w:val="18"/>
                <w:szCs w:val="18"/>
                <w:color w:val="auto"/>
                <w:w w:val="99"/>
              </w:rPr>
              <w:t>4,572,282</w:t>
            </w:r>
          </w:p>
        </w:tc>
        <w:tc>
          <w:tcPr>
            <w:tcW w:w="360" w:type="dxa"/>
            <w:vAlign w:val="bottom"/>
            <w:shd w:val="clear" w:color="auto" w:fill="D6F3E8"/>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shd w:val="clear" w:color="auto" w:fill="D6F3E8"/>
          </w:tcPr>
          <w:p>
            <w:pPr>
              <w:jc w:val="right"/>
              <w:ind w:right="10"/>
              <w:spacing w:after="0"/>
              <w:rPr>
                <w:sz w:val="20"/>
                <w:szCs w:val="20"/>
                <w:color w:val="auto"/>
              </w:rPr>
            </w:pPr>
            <w:r>
              <w:rPr>
                <w:rFonts w:ascii="Arial" w:cs="Arial" w:eastAsia="Arial" w:hAnsi="Arial"/>
                <w:sz w:val="18"/>
                <w:szCs w:val="18"/>
                <w:color w:val="auto"/>
                <w:w w:val="99"/>
              </w:rPr>
              <w:t>4,573,948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46621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540" w:hanging="478"/>
        <w:spacing w:after="0"/>
        <w:tabs>
          <w:tab w:leader="none" w:pos="5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As of August 25, 2007, Mr. Beebe is of retirement age.</w:t>
      </w:r>
    </w:p>
    <w:p>
      <w:pPr>
        <w:spacing w:after="0" w:line="95" w:lineRule="exact"/>
        <w:rPr>
          <w:rFonts w:ascii="Arial" w:cs="Arial" w:eastAsia="Arial" w:hAnsi="Arial"/>
          <w:sz w:val="14"/>
          <w:szCs w:val="14"/>
          <w:color w:val="auto"/>
        </w:rPr>
      </w:pPr>
    </w:p>
    <w:p>
      <w:pPr>
        <w:ind w:left="540" w:right="160" w:hanging="478"/>
        <w:spacing w:after="0" w:line="253" w:lineRule="auto"/>
        <w:tabs>
          <w:tab w:leader="none" w:pos="5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Severance upon a Change of Control for Mr. Beebe under the Executive Change of Control Agreement equals severance pay in lump sum, an amount equal to three (3) times the average of the aggregate annual compensation paid during the three (3) fiscal years of the Company immediately preceding the Change of Control.</w:t>
      </w:r>
    </w:p>
    <w:p>
      <w:pPr>
        <w:spacing w:after="0" w:line="65" w:lineRule="exact"/>
        <w:rPr>
          <w:rFonts w:ascii="Arial" w:cs="Arial" w:eastAsia="Arial" w:hAnsi="Arial"/>
          <w:sz w:val="14"/>
          <w:szCs w:val="14"/>
          <w:color w:val="auto"/>
        </w:rPr>
      </w:pPr>
    </w:p>
    <w:p>
      <w:pPr>
        <w:ind w:left="540" w:hanging="478"/>
        <w:spacing w:after="0"/>
        <w:tabs>
          <w:tab w:leader="none" w:pos="5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Represents the annual incentive eligibility pursuant to the Officers Incentive Compensation Plan.</w:t>
      </w:r>
    </w:p>
    <w:p>
      <w:pPr>
        <w:spacing w:after="0" w:line="95" w:lineRule="exact"/>
        <w:rPr>
          <w:rFonts w:ascii="Arial" w:cs="Arial" w:eastAsia="Arial" w:hAnsi="Arial"/>
          <w:sz w:val="14"/>
          <w:szCs w:val="14"/>
          <w:color w:val="auto"/>
        </w:rPr>
      </w:pPr>
    </w:p>
    <w:p>
      <w:pPr>
        <w:ind w:left="540" w:right="460" w:hanging="478"/>
        <w:spacing w:after="0" w:line="253" w:lineRule="auto"/>
        <w:tabs>
          <w:tab w:leader="none" w:pos="5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Represents the pro-rata portion of any LTIP incentive eligibility pursuant to the Officers Long-Term Incentive Plan, except for a termination pursuant to a Change of Control, which includes the full amount payable.</w:t>
      </w:r>
    </w:p>
    <w:p>
      <w:pPr>
        <w:spacing w:after="0" w:line="65" w:lineRule="exact"/>
        <w:rPr>
          <w:rFonts w:ascii="Arial" w:cs="Arial" w:eastAsia="Arial" w:hAnsi="Arial"/>
          <w:sz w:val="14"/>
          <w:szCs w:val="14"/>
          <w:color w:val="auto"/>
        </w:rPr>
      </w:pPr>
    </w:p>
    <w:p>
      <w:pPr>
        <w:ind w:left="540" w:hanging="478"/>
        <w:spacing w:after="0"/>
        <w:tabs>
          <w:tab w:leader="none" w:pos="540" w:val="left"/>
        </w:tabs>
        <w:numPr>
          <w:ilvl w:val="0"/>
          <w:numId w:val="58"/>
        </w:numPr>
        <w:rPr>
          <w:rFonts w:ascii="Arial" w:cs="Arial" w:eastAsia="Arial" w:hAnsi="Arial"/>
          <w:sz w:val="13"/>
          <w:szCs w:val="13"/>
          <w:color w:val="auto"/>
        </w:rPr>
      </w:pPr>
      <w:r>
        <w:rPr>
          <w:rFonts w:ascii="Arial" w:cs="Arial" w:eastAsia="Arial" w:hAnsi="Arial"/>
          <w:sz w:val="13"/>
          <w:szCs w:val="13"/>
          <w:color w:val="auto"/>
        </w:rPr>
        <w:t>Represents the intrinsic value of stock options and or stock grants based on the Company’s closing stock price of $27.79 per share on August 24, 2007, the last trading day of fiscal 2007.</w:t>
      </w:r>
    </w:p>
    <w:p>
      <w:pPr>
        <w:spacing w:after="0" w:line="107" w:lineRule="exact"/>
        <w:rPr>
          <w:rFonts w:ascii="Arial" w:cs="Arial" w:eastAsia="Arial" w:hAnsi="Arial"/>
          <w:sz w:val="13"/>
          <w:szCs w:val="13"/>
          <w:color w:val="auto"/>
        </w:rPr>
      </w:pPr>
    </w:p>
    <w:p>
      <w:pPr>
        <w:ind w:left="540" w:hanging="478"/>
        <w:spacing w:after="0"/>
        <w:tabs>
          <w:tab w:leader="none" w:pos="5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Stock Options and Stock Grants under the 2004 Plan provide for acceleration of unvested options in the event of Change of Control, retirement, death or disability.</w:t>
      </w:r>
    </w:p>
    <w:p>
      <w:pPr>
        <w:spacing w:after="0" w:line="95" w:lineRule="exact"/>
        <w:rPr>
          <w:rFonts w:ascii="Arial" w:cs="Arial" w:eastAsia="Arial" w:hAnsi="Arial"/>
          <w:sz w:val="14"/>
          <w:szCs w:val="14"/>
          <w:color w:val="auto"/>
        </w:rPr>
      </w:pPr>
    </w:p>
    <w:p>
      <w:pPr>
        <w:ind w:left="540" w:hanging="478"/>
        <w:spacing w:after="0"/>
        <w:tabs>
          <w:tab w:leader="none" w:pos="5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This plan was frozen as of 2001. This amount reflects the total of the 15 years of payout based on Company retirement benefits.</w:t>
      </w:r>
    </w:p>
    <w:p>
      <w:pPr>
        <w:spacing w:after="0" w:line="95" w:lineRule="exact"/>
        <w:rPr>
          <w:rFonts w:ascii="Arial" w:cs="Arial" w:eastAsia="Arial" w:hAnsi="Arial"/>
          <w:sz w:val="14"/>
          <w:szCs w:val="14"/>
          <w:color w:val="auto"/>
        </w:rPr>
      </w:pPr>
    </w:p>
    <w:p>
      <w:pPr>
        <w:ind w:left="540" w:hanging="478"/>
        <w:spacing w:after="0"/>
        <w:tabs>
          <w:tab w:leader="none" w:pos="5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Represents the present value of benefits as of August 24, 2007 under the policy.</w:t>
      </w:r>
    </w:p>
    <w:p>
      <w:pPr>
        <w:spacing w:after="0" w:line="95" w:lineRule="exact"/>
        <w:rPr>
          <w:rFonts w:ascii="Arial" w:cs="Arial" w:eastAsia="Arial" w:hAnsi="Arial"/>
          <w:sz w:val="14"/>
          <w:szCs w:val="14"/>
          <w:color w:val="auto"/>
        </w:rPr>
      </w:pPr>
    </w:p>
    <w:p>
      <w:pPr>
        <w:ind w:left="540" w:hanging="478"/>
        <w:spacing w:after="0"/>
        <w:tabs>
          <w:tab w:leader="none" w:pos="5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Represents market value balance as of August 24, 2007 for the Executive Share Option Program reduced by the exercise price.</w:t>
      </w:r>
    </w:p>
    <w:p>
      <w:pPr>
        <w:spacing w:after="0" w:line="95" w:lineRule="exact"/>
        <w:rPr>
          <w:rFonts w:ascii="Arial" w:cs="Arial" w:eastAsia="Arial" w:hAnsi="Arial"/>
          <w:sz w:val="14"/>
          <w:szCs w:val="14"/>
          <w:color w:val="auto"/>
        </w:rPr>
      </w:pPr>
    </w:p>
    <w:p>
      <w:pPr>
        <w:ind w:left="540" w:hanging="478"/>
        <w:spacing w:after="0"/>
        <w:tabs>
          <w:tab w:leader="none" w:pos="5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This amount reflects the total payout value of fiscal 2007 contributions under the plan.</w:t>
      </w:r>
    </w:p>
    <w:p>
      <w:pPr>
        <w:spacing w:after="0" w:line="95" w:lineRule="exact"/>
        <w:rPr>
          <w:rFonts w:ascii="Arial" w:cs="Arial" w:eastAsia="Arial" w:hAnsi="Arial"/>
          <w:sz w:val="14"/>
          <w:szCs w:val="14"/>
          <w:color w:val="auto"/>
        </w:rPr>
      </w:pPr>
    </w:p>
    <w:p>
      <w:pPr>
        <w:ind w:left="540" w:hanging="478"/>
        <w:spacing w:after="0"/>
        <w:tabs>
          <w:tab w:leader="none" w:pos="5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Extension of benefits under retirement, death, disability and Change of Control, including health, dental, life insurance and long-term disability.</w:t>
      </w:r>
    </w:p>
    <w:p>
      <w:pPr>
        <w:spacing w:after="0" w:line="95" w:lineRule="exact"/>
        <w:rPr>
          <w:rFonts w:ascii="Arial" w:cs="Arial" w:eastAsia="Arial" w:hAnsi="Arial"/>
          <w:sz w:val="14"/>
          <w:szCs w:val="14"/>
          <w:color w:val="auto"/>
        </w:rPr>
      </w:pPr>
    </w:p>
    <w:p>
      <w:pPr>
        <w:ind w:left="540" w:hanging="478"/>
        <w:spacing w:after="0"/>
        <w:tabs>
          <w:tab w:leader="none" w:pos="5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Extension of benefits under Change of Control for the transfer of the Company automobile title to Mr. Beebe at the Company’s net book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81"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N</w:t>
      </w:r>
      <w:r>
        <w:rPr>
          <w:rFonts w:ascii="Arial" w:cs="Arial" w:eastAsia="Arial" w:hAnsi="Arial"/>
          <w:sz w:val="18"/>
          <w:szCs w:val="18"/>
          <w:color w:val="auto"/>
        </w:rPr>
        <w:t>AMED</w:t>
      </w:r>
      <w:r>
        <w:rPr>
          <w:rFonts w:ascii="Arial" w:cs="Arial" w:eastAsia="Arial" w:hAnsi="Arial"/>
          <w:sz w:val="22"/>
          <w:szCs w:val="22"/>
          <w:color w:val="auto"/>
        </w:rPr>
        <w:t xml:space="preserve"> E</w:t>
      </w:r>
      <w:r>
        <w:rPr>
          <w:rFonts w:ascii="Arial" w:cs="Arial" w:eastAsia="Arial" w:hAnsi="Arial"/>
          <w:sz w:val="18"/>
          <w:szCs w:val="18"/>
          <w:color w:val="auto"/>
        </w:rPr>
        <w:t>XECUTIVE</w:t>
      </w:r>
      <w:r>
        <w:rPr>
          <w:rFonts w:ascii="Arial" w:cs="Arial" w:eastAsia="Arial" w:hAnsi="Arial"/>
          <w:sz w:val="22"/>
          <w:szCs w:val="22"/>
          <w:color w:val="auto"/>
        </w:rPr>
        <w:t>: S</w:t>
      </w:r>
      <w:r>
        <w:rPr>
          <w:rFonts w:ascii="Arial" w:cs="Arial" w:eastAsia="Arial" w:hAnsi="Arial"/>
          <w:sz w:val="18"/>
          <w:szCs w:val="18"/>
          <w:color w:val="auto"/>
        </w:rPr>
        <w:t>ARAH</w:t>
      </w:r>
      <w:r>
        <w:rPr>
          <w:rFonts w:ascii="Arial" w:cs="Arial" w:eastAsia="Arial" w:hAnsi="Arial"/>
          <w:sz w:val="22"/>
          <w:szCs w:val="22"/>
          <w:color w:val="auto"/>
        </w:rPr>
        <w:t xml:space="preserve"> N. N</w:t>
      </w:r>
      <w:r>
        <w:rPr>
          <w:rFonts w:ascii="Arial" w:cs="Arial" w:eastAsia="Arial" w:hAnsi="Arial"/>
          <w:sz w:val="18"/>
          <w:szCs w:val="18"/>
          <w:color w:val="auto"/>
        </w:rPr>
        <w:t>IELSEN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ind w:right="14"/>
              <w:spacing w:after="0"/>
              <w:rPr>
                <w:sz w:val="20"/>
                <w:szCs w:val="20"/>
                <w:color w:val="auto"/>
              </w:rPr>
            </w:pPr>
            <w:r>
              <w:rPr>
                <w:rFonts w:ascii="Arial" w:cs="Arial" w:eastAsia="Arial" w:hAnsi="Arial"/>
                <w:sz w:val="14"/>
                <w:szCs w:val="14"/>
                <w:b w:val="1"/>
                <w:bCs w:val="1"/>
                <w:color w:val="auto"/>
                <w:w w:val="98"/>
              </w:rPr>
              <w:t>Involuntary</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00" w:type="dxa"/>
            <w:vAlign w:val="bottom"/>
            <w:gridSpan w:val="4"/>
            <w:vMerge w:val="restart"/>
          </w:tcPr>
          <w:p>
            <w:pPr>
              <w:ind w:left="640"/>
              <w:spacing w:after="0"/>
              <w:rPr>
                <w:sz w:val="20"/>
                <w:szCs w:val="20"/>
                <w:color w:val="auto"/>
              </w:rPr>
            </w:pPr>
            <w:r>
              <w:rPr>
                <w:rFonts w:ascii="Arial" w:cs="Arial" w:eastAsia="Arial" w:hAnsi="Arial"/>
                <w:sz w:val="14"/>
                <w:szCs w:val="14"/>
                <w:b w:val="1"/>
                <w:bCs w:val="1"/>
                <w:color w:val="auto"/>
              </w:rPr>
              <w:t>Change of Control</w:t>
            </w: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ind w:right="34"/>
              <w:spacing w:after="0"/>
              <w:rPr>
                <w:sz w:val="20"/>
                <w:szCs w:val="20"/>
                <w:color w:val="auto"/>
              </w:rPr>
            </w:pPr>
            <w:r>
              <w:rPr>
                <w:rFonts w:ascii="Arial" w:cs="Arial" w:eastAsia="Arial" w:hAnsi="Arial"/>
                <w:sz w:val="14"/>
                <w:szCs w:val="14"/>
                <w:b w:val="1"/>
                <w:bCs w:val="1"/>
                <w:color w:val="auto"/>
                <w:w w:val="94"/>
              </w:rPr>
              <w:t>Termination</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00" w:type="dxa"/>
            <w:vAlign w:val="bottom"/>
            <w:gridSpan w:val="4"/>
            <w:vMerge w:val="continue"/>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Executive Payments and</w:t>
            </w:r>
          </w:p>
        </w:tc>
        <w:tc>
          <w:tcPr>
            <w:tcW w:w="17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vMerge w:val="restart"/>
          </w:tcPr>
          <w:p>
            <w:pPr>
              <w:jc w:val="right"/>
              <w:ind w:right="334"/>
              <w:spacing w:after="0"/>
              <w:rPr>
                <w:sz w:val="20"/>
                <w:szCs w:val="20"/>
                <w:color w:val="auto"/>
              </w:rPr>
            </w:pPr>
            <w:r>
              <w:rPr>
                <w:rFonts w:ascii="Arial" w:cs="Arial" w:eastAsia="Arial" w:hAnsi="Arial"/>
                <w:sz w:val="14"/>
                <w:szCs w:val="14"/>
                <w:b w:val="1"/>
                <w:bCs w:val="1"/>
                <w:color w:val="auto"/>
              </w:rPr>
              <w:t>Without</w:t>
            </w:r>
          </w:p>
        </w:tc>
        <w:tc>
          <w:tcPr>
            <w:tcW w:w="26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14"/>
              <w:spacing w:after="0" w:line="133" w:lineRule="exact"/>
              <w:rPr>
                <w:sz w:val="20"/>
                <w:szCs w:val="20"/>
                <w:color w:val="auto"/>
              </w:rPr>
            </w:pPr>
            <w:r>
              <w:rPr>
                <w:rFonts w:ascii="Arial" w:cs="Arial" w:eastAsia="Arial" w:hAnsi="Arial"/>
                <w:sz w:val="14"/>
                <w:szCs w:val="14"/>
                <w:b w:val="1"/>
                <w:bCs w:val="1"/>
                <w:color w:val="auto"/>
                <w:w w:val="94"/>
              </w:rPr>
              <w:t>Termination</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880" w:type="dxa"/>
            <w:vAlign w:val="bottom"/>
            <w:gridSpan w:val="2"/>
            <w:vMerge w:val="continue"/>
          </w:tcPr>
          <w:p>
            <w:pPr>
              <w:spacing w:after="0"/>
              <w:rPr>
                <w:sz w:val="12"/>
                <w:szCs w:val="12"/>
                <w:color w:val="auto"/>
              </w:rPr>
            </w:pPr>
          </w:p>
        </w:tc>
        <w:tc>
          <w:tcPr>
            <w:tcW w:w="176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Retirement</w:t>
            </w:r>
            <w:r>
              <w:rPr>
                <w:rFonts w:ascii="Arial" w:cs="Arial" w:eastAsia="Arial" w:hAnsi="Arial"/>
                <w:sz w:val="23"/>
                <w:szCs w:val="23"/>
                <w:b w:val="1"/>
                <w:bCs w:val="1"/>
                <w:color w:val="auto"/>
                <w:vertAlign w:val="superscript"/>
              </w:rPr>
              <w:t>(1)</w:t>
            </w:r>
          </w:p>
        </w:tc>
        <w:tc>
          <w:tcPr>
            <w:tcW w:w="100" w:type="dxa"/>
            <w:vAlign w:val="bottom"/>
          </w:tcPr>
          <w:p>
            <w:pPr>
              <w:spacing w:after="0"/>
              <w:rPr>
                <w:sz w:val="12"/>
                <w:szCs w:val="12"/>
                <w:color w:val="auto"/>
              </w:rPr>
            </w:pPr>
          </w:p>
        </w:tc>
        <w:tc>
          <w:tcPr>
            <w:tcW w:w="920" w:type="dxa"/>
            <w:vAlign w:val="bottom"/>
            <w:vMerge w:val="restart"/>
          </w:tcPr>
          <w:p>
            <w:pPr>
              <w:jc w:val="center"/>
              <w:ind w:right="34"/>
              <w:spacing w:after="0"/>
              <w:rPr>
                <w:sz w:val="20"/>
                <w:szCs w:val="20"/>
                <w:color w:val="auto"/>
              </w:rPr>
            </w:pPr>
            <w:r>
              <w:rPr>
                <w:rFonts w:ascii="Arial" w:cs="Arial" w:eastAsia="Arial" w:hAnsi="Arial"/>
                <w:sz w:val="14"/>
                <w:szCs w:val="14"/>
                <w:b w:val="1"/>
                <w:bCs w:val="1"/>
                <w:color w:val="auto"/>
                <w:w w:val="93"/>
              </w:rPr>
              <w:t>For Cause</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Without Cause /</w:t>
            </w:r>
          </w:p>
        </w:tc>
        <w:tc>
          <w:tcPr>
            <w:tcW w:w="340" w:type="dxa"/>
            <w:vAlign w:val="bottom"/>
          </w:tcPr>
          <w:p>
            <w:pPr>
              <w:spacing w:after="0"/>
              <w:rPr>
                <w:sz w:val="12"/>
                <w:szCs w:val="12"/>
                <w:color w:val="auto"/>
              </w:rPr>
            </w:pPr>
          </w:p>
        </w:tc>
        <w:tc>
          <w:tcPr>
            <w:tcW w:w="98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Death</w:t>
            </w:r>
          </w:p>
        </w:tc>
        <w:tc>
          <w:tcPr>
            <w:tcW w:w="300" w:type="dxa"/>
            <w:vAlign w:val="bottom"/>
          </w:tcPr>
          <w:p>
            <w:pPr>
              <w:spacing w:after="0"/>
              <w:rPr>
                <w:sz w:val="12"/>
                <w:szCs w:val="12"/>
                <w:color w:val="auto"/>
              </w:rPr>
            </w:pPr>
          </w:p>
        </w:tc>
        <w:tc>
          <w:tcPr>
            <w:tcW w:w="9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Disability</w:t>
            </w:r>
          </w:p>
        </w:tc>
        <w:tc>
          <w:tcPr>
            <w:tcW w:w="0" w:type="dxa"/>
            <w:vAlign w:val="bottom"/>
          </w:tcPr>
          <w:p>
            <w:pPr>
              <w:spacing w:after="0"/>
              <w:rPr>
                <w:sz w:val="1"/>
                <w:szCs w:val="1"/>
                <w:color w:val="auto"/>
              </w:rPr>
            </w:pPr>
          </w:p>
        </w:tc>
      </w:tr>
      <w:tr>
        <w:trPr>
          <w:trHeight w:val="178"/>
        </w:trPr>
        <w:tc>
          <w:tcPr>
            <w:tcW w:w="2880" w:type="dxa"/>
            <w:vAlign w:val="bottom"/>
            <w:gridSpan w:val="2"/>
          </w:tcPr>
          <w:p>
            <w:pPr>
              <w:spacing w:after="0"/>
              <w:rPr>
                <w:sz w:val="20"/>
                <w:szCs w:val="20"/>
                <w:color w:val="auto"/>
              </w:rPr>
            </w:pPr>
            <w:r>
              <w:rPr>
                <w:rFonts w:ascii="Arial" w:cs="Arial" w:eastAsia="Arial" w:hAnsi="Arial"/>
                <w:sz w:val="14"/>
                <w:szCs w:val="14"/>
                <w:b w:val="1"/>
                <w:bCs w:val="1"/>
                <w:color w:val="auto"/>
              </w:rPr>
              <w:t>Benefits Upon</w:t>
            </w:r>
          </w:p>
        </w:tc>
        <w:tc>
          <w:tcPr>
            <w:tcW w:w="1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ind w:right="214"/>
              <w:spacing w:after="0"/>
              <w:rPr>
                <w:sz w:val="20"/>
                <w:szCs w:val="20"/>
                <w:color w:val="auto"/>
              </w:rPr>
            </w:pPr>
            <w:r>
              <w:rPr>
                <w:rFonts w:ascii="Arial" w:cs="Arial" w:eastAsia="Arial" w:hAnsi="Arial"/>
                <w:sz w:val="14"/>
                <w:szCs w:val="14"/>
                <w:b w:val="1"/>
                <w:bCs w:val="1"/>
                <w:color w:val="auto"/>
                <w:w w:val="94"/>
              </w:rPr>
              <w:t>Termination</w:t>
            </w:r>
          </w:p>
        </w:tc>
        <w:tc>
          <w:tcPr>
            <w:tcW w:w="260" w:type="dxa"/>
            <w:vAlign w:val="bottom"/>
          </w:tcPr>
          <w:p>
            <w:pPr>
              <w:spacing w:after="0"/>
              <w:rPr>
                <w:sz w:val="15"/>
                <w:szCs w:val="15"/>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Good Reason</w:t>
            </w:r>
          </w:p>
        </w:tc>
        <w:tc>
          <w:tcPr>
            <w:tcW w:w="3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Borders>
              <w:top w:val="single" w:sz="8" w:color="auto"/>
            </w:tcBorders>
            <w:shd w:val="clear" w:color="auto" w:fill="D6F3E8"/>
          </w:tcPr>
          <w:p>
            <w:pPr>
              <w:spacing w:after="0"/>
              <w:rPr>
                <w:sz w:val="20"/>
                <w:szCs w:val="20"/>
                <w:color w:val="auto"/>
              </w:rPr>
            </w:pPr>
            <w:r>
              <w:rPr>
                <w:rFonts w:ascii="Arial" w:cs="Arial" w:eastAsia="Arial" w:hAnsi="Arial"/>
                <w:sz w:val="18"/>
                <w:szCs w:val="18"/>
                <w:color w:val="auto"/>
              </w:rPr>
              <w:t>Compensation:</w:t>
            </w:r>
          </w:p>
        </w:tc>
        <w:tc>
          <w:tcPr>
            <w:tcW w:w="1760" w:type="dxa"/>
            <w:vAlign w:val="bottom"/>
            <w:tcBorders>
              <w:top w:val="single" w:sz="8" w:color="auto"/>
            </w:tcBorders>
            <w:shd w:val="clear" w:color="auto" w:fill="D6F3E8"/>
          </w:tcPr>
          <w:p>
            <w:pPr>
              <w:spacing w:after="0"/>
              <w:rPr>
                <w:sz w:val="18"/>
                <w:szCs w:val="18"/>
                <w:color w:val="auto"/>
              </w:rPr>
            </w:pPr>
          </w:p>
        </w:tc>
        <w:tc>
          <w:tcPr>
            <w:tcW w:w="100" w:type="dxa"/>
            <w:vAlign w:val="bottom"/>
            <w:tcBorders>
              <w:top w:val="single" w:sz="8" w:color="auto"/>
            </w:tcBorders>
            <w:shd w:val="clear" w:color="auto" w:fill="D6F3E8"/>
          </w:tcPr>
          <w:p>
            <w:pPr>
              <w:spacing w:after="0"/>
              <w:rPr>
                <w:sz w:val="18"/>
                <w:szCs w:val="18"/>
                <w:color w:val="auto"/>
              </w:rPr>
            </w:pPr>
          </w:p>
        </w:tc>
        <w:tc>
          <w:tcPr>
            <w:tcW w:w="920" w:type="dxa"/>
            <w:vAlign w:val="bottom"/>
            <w:tcBorders>
              <w:top w:val="single" w:sz="8" w:color="auto"/>
            </w:tcBorders>
            <w:shd w:val="clear" w:color="auto" w:fill="D6F3E8"/>
          </w:tcPr>
          <w:p>
            <w:pPr>
              <w:spacing w:after="0"/>
              <w:rPr>
                <w:sz w:val="18"/>
                <w:szCs w:val="18"/>
                <w:color w:val="auto"/>
              </w:rPr>
            </w:pPr>
          </w:p>
        </w:tc>
        <w:tc>
          <w:tcPr>
            <w:tcW w:w="320" w:type="dxa"/>
            <w:vAlign w:val="bottom"/>
            <w:tcBorders>
              <w:top w:val="single" w:sz="8" w:color="auto"/>
            </w:tcBorders>
            <w:shd w:val="clear" w:color="auto" w:fill="D6F3E8"/>
          </w:tcPr>
          <w:p>
            <w:pPr>
              <w:spacing w:after="0"/>
              <w:rPr>
                <w:sz w:val="18"/>
                <w:szCs w:val="18"/>
                <w:color w:val="auto"/>
              </w:rPr>
            </w:pPr>
          </w:p>
        </w:tc>
        <w:tc>
          <w:tcPr>
            <w:tcW w:w="100" w:type="dxa"/>
            <w:vAlign w:val="bottom"/>
            <w:tcBorders>
              <w:top w:val="single" w:sz="8" w:color="auto"/>
            </w:tcBorders>
            <w:shd w:val="clear" w:color="auto" w:fill="D6F3E8"/>
          </w:tcPr>
          <w:p>
            <w:pPr>
              <w:spacing w:after="0"/>
              <w:rPr>
                <w:sz w:val="18"/>
                <w:szCs w:val="18"/>
                <w:color w:val="auto"/>
              </w:rPr>
            </w:pPr>
          </w:p>
        </w:tc>
        <w:tc>
          <w:tcPr>
            <w:tcW w:w="1080" w:type="dxa"/>
            <w:vAlign w:val="bottom"/>
            <w:tcBorders>
              <w:top w:val="single" w:sz="8" w:color="auto"/>
            </w:tcBorders>
            <w:shd w:val="clear" w:color="auto" w:fill="D6F3E8"/>
          </w:tcPr>
          <w:p>
            <w:pPr>
              <w:spacing w:after="0"/>
              <w:rPr>
                <w:sz w:val="18"/>
                <w:szCs w:val="18"/>
                <w:color w:val="auto"/>
              </w:rPr>
            </w:pPr>
          </w:p>
        </w:tc>
        <w:tc>
          <w:tcPr>
            <w:tcW w:w="260" w:type="dxa"/>
            <w:vAlign w:val="bottom"/>
            <w:tcBorders>
              <w:top w:val="single" w:sz="8" w:color="auto"/>
            </w:tcBorders>
            <w:shd w:val="clear" w:color="auto" w:fill="D6F3E8"/>
          </w:tcPr>
          <w:p>
            <w:pPr>
              <w:spacing w:after="0"/>
              <w:rPr>
                <w:sz w:val="18"/>
                <w:szCs w:val="18"/>
                <w:color w:val="auto"/>
              </w:rPr>
            </w:pPr>
          </w:p>
        </w:tc>
        <w:tc>
          <w:tcPr>
            <w:tcW w:w="1180" w:type="dxa"/>
            <w:vAlign w:val="bottom"/>
            <w:tcBorders>
              <w:top w:val="single" w:sz="8" w:color="auto"/>
            </w:tcBorders>
            <w:shd w:val="clear" w:color="auto" w:fill="D6F3E8"/>
          </w:tcPr>
          <w:p>
            <w:pPr>
              <w:spacing w:after="0"/>
              <w:rPr>
                <w:sz w:val="18"/>
                <w:szCs w:val="18"/>
                <w:color w:val="auto"/>
              </w:rPr>
            </w:pPr>
          </w:p>
        </w:tc>
        <w:tc>
          <w:tcPr>
            <w:tcW w:w="180" w:type="dxa"/>
            <w:vAlign w:val="bottom"/>
            <w:tcBorders>
              <w:top w:val="single" w:sz="8" w:color="auto"/>
            </w:tcBorders>
            <w:shd w:val="clear" w:color="auto" w:fill="D6F3E8"/>
          </w:tcPr>
          <w:p>
            <w:pPr>
              <w:spacing w:after="0"/>
              <w:rPr>
                <w:sz w:val="18"/>
                <w:szCs w:val="18"/>
                <w:color w:val="auto"/>
              </w:rPr>
            </w:pPr>
          </w:p>
        </w:tc>
        <w:tc>
          <w:tcPr>
            <w:tcW w:w="340" w:type="dxa"/>
            <w:vAlign w:val="bottom"/>
            <w:tcBorders>
              <w:top w:val="single" w:sz="8" w:color="auto"/>
            </w:tcBorders>
            <w:shd w:val="clear" w:color="auto" w:fill="D6F3E8"/>
          </w:tcPr>
          <w:p>
            <w:pPr>
              <w:spacing w:after="0"/>
              <w:rPr>
                <w:sz w:val="18"/>
                <w:szCs w:val="18"/>
                <w:color w:val="auto"/>
              </w:rPr>
            </w:pPr>
          </w:p>
        </w:tc>
        <w:tc>
          <w:tcPr>
            <w:tcW w:w="980" w:type="dxa"/>
            <w:vAlign w:val="bottom"/>
            <w:tcBorders>
              <w:top w:val="single" w:sz="8" w:color="auto"/>
            </w:tcBorders>
            <w:shd w:val="clear" w:color="auto" w:fill="D6F3E8"/>
          </w:tcPr>
          <w:p>
            <w:pPr>
              <w:spacing w:after="0"/>
              <w:rPr>
                <w:sz w:val="18"/>
                <w:szCs w:val="18"/>
                <w:color w:val="auto"/>
              </w:rPr>
            </w:pPr>
          </w:p>
        </w:tc>
        <w:tc>
          <w:tcPr>
            <w:tcW w:w="300" w:type="dxa"/>
            <w:vAlign w:val="bottom"/>
            <w:tcBorders>
              <w:top w:val="single" w:sz="8" w:color="auto"/>
            </w:tcBorders>
            <w:shd w:val="clear" w:color="auto" w:fill="D6F3E8"/>
          </w:tcPr>
          <w:p>
            <w:pPr>
              <w:spacing w:after="0"/>
              <w:rPr>
                <w:sz w:val="18"/>
                <w:szCs w:val="18"/>
                <w:color w:val="auto"/>
              </w:rPr>
            </w:pPr>
          </w:p>
        </w:tc>
        <w:tc>
          <w:tcPr>
            <w:tcW w:w="880" w:type="dxa"/>
            <w:vAlign w:val="bottom"/>
            <w:tcBorders>
              <w:top w:val="single" w:sz="8" w:color="auto"/>
            </w:tcBorders>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860" w:type="dxa"/>
            <w:vAlign w:val="bottom"/>
          </w:tcPr>
          <w:p>
            <w:pPr>
              <w:ind w:left="160"/>
              <w:spacing w:after="0" w:line="206" w:lineRule="exact"/>
              <w:rPr>
                <w:sz w:val="20"/>
                <w:szCs w:val="20"/>
                <w:color w:val="auto"/>
              </w:rPr>
            </w:pPr>
            <w:r>
              <w:rPr>
                <w:rFonts w:ascii="Arial" w:cs="Arial" w:eastAsia="Arial" w:hAnsi="Arial"/>
                <w:sz w:val="18"/>
                <w:szCs w:val="18"/>
                <w:color w:val="auto"/>
              </w:rPr>
              <w:t>Severance Benefit (Change of</w:t>
            </w: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860" w:type="dxa"/>
            <w:vAlign w:val="bottom"/>
          </w:tcPr>
          <w:p>
            <w:pPr>
              <w:ind w:left="260"/>
              <w:spacing w:after="0" w:line="266" w:lineRule="exact"/>
              <w:rPr>
                <w:sz w:val="20"/>
                <w:szCs w:val="20"/>
                <w:color w:val="auto"/>
              </w:rPr>
            </w:pPr>
            <w:r>
              <w:rPr>
                <w:rFonts w:ascii="Arial" w:cs="Arial" w:eastAsia="Arial" w:hAnsi="Arial"/>
                <w:sz w:val="18"/>
                <w:szCs w:val="18"/>
                <w:color w:val="auto"/>
              </w:rPr>
              <w:t>Control)</w:t>
            </w:r>
            <w:r>
              <w:rPr>
                <w:rFonts w:ascii="Arial" w:cs="Arial" w:eastAsia="Arial" w:hAnsi="Arial"/>
                <w:sz w:val="30"/>
                <w:szCs w:val="30"/>
                <w:color w:val="auto"/>
                <w:vertAlign w:val="superscript"/>
              </w:rPr>
              <w:t>(2)</w:t>
            </w:r>
          </w:p>
        </w:tc>
        <w:tc>
          <w:tcPr>
            <w:tcW w:w="1760" w:type="dxa"/>
            <w:vAlign w:val="bottom"/>
          </w:tcPr>
          <w:p>
            <w:pPr>
              <w:ind w:left="1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955,007</w:t>
            </w:r>
          </w:p>
        </w:tc>
        <w:tc>
          <w:tcPr>
            <w:tcW w:w="340" w:type="dxa"/>
            <w:vAlign w:val="bottom"/>
          </w:tcPr>
          <w:p>
            <w:pPr>
              <w:spacing w:after="0"/>
              <w:rPr>
                <w:sz w:val="23"/>
                <w:szCs w:val="23"/>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D6F3E8"/>
          </w:tcPr>
          <w:p>
            <w:pPr>
              <w:ind w:left="160"/>
              <w:spacing w:after="0"/>
              <w:rPr>
                <w:sz w:val="20"/>
                <w:szCs w:val="20"/>
                <w:color w:val="auto"/>
              </w:rPr>
            </w:pPr>
            <w:r>
              <w:rPr>
                <w:rFonts w:ascii="Arial" w:cs="Arial" w:eastAsia="Arial" w:hAnsi="Arial"/>
                <w:sz w:val="18"/>
                <w:szCs w:val="18"/>
                <w:color w:val="auto"/>
              </w:rPr>
              <w:t>Tax Gross Up</w:t>
            </w:r>
          </w:p>
        </w:tc>
        <w:tc>
          <w:tcPr>
            <w:tcW w:w="1760" w:type="dxa"/>
            <w:vAlign w:val="bottom"/>
            <w:shd w:val="clear" w:color="auto" w:fill="D6F3E8"/>
          </w:tcPr>
          <w:p>
            <w:pPr>
              <w:ind w:left="1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D6F3E8"/>
          </w:tcPr>
          <w:p>
            <w:pPr>
              <w:spacing w:after="0"/>
              <w:rPr>
                <w:sz w:val="18"/>
                <w:szCs w:val="18"/>
                <w:color w:val="auto"/>
              </w:rPr>
            </w:pP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1080" w:type="dxa"/>
            <w:vAlign w:val="bottom"/>
            <w:shd w:val="clear" w:color="auto" w:fill="D6F3E8"/>
          </w:tcPr>
          <w:p>
            <w:pPr>
              <w:jc w:val="right"/>
              <w:ind w:right="74"/>
              <w:spacing w:after="0"/>
              <w:rPr>
                <w:sz w:val="20"/>
                <w:szCs w:val="20"/>
                <w:color w:val="auto"/>
              </w:rPr>
            </w:pPr>
            <w:r>
              <w:rPr>
                <w:rFonts w:ascii="Arial" w:cs="Arial" w:eastAsia="Arial" w:hAnsi="Arial"/>
                <w:sz w:val="18"/>
                <w:szCs w:val="18"/>
                <w:color w:val="auto"/>
              </w:rPr>
              <w:t>—</w:t>
            </w:r>
          </w:p>
        </w:tc>
        <w:tc>
          <w:tcPr>
            <w:tcW w:w="2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127,334</w:t>
            </w:r>
          </w:p>
        </w:tc>
        <w:tc>
          <w:tcPr>
            <w:tcW w:w="340" w:type="dxa"/>
            <w:vAlign w:val="bottom"/>
            <w:shd w:val="clear" w:color="auto" w:fill="D6F3E8"/>
          </w:tcPr>
          <w:p>
            <w:pPr>
              <w:spacing w:after="0"/>
              <w:rPr>
                <w:sz w:val="18"/>
                <w:szCs w:val="18"/>
                <w:color w:val="auto"/>
              </w:rPr>
            </w:pPr>
          </w:p>
        </w:tc>
        <w:tc>
          <w:tcPr>
            <w:tcW w:w="980" w:type="dxa"/>
            <w:vAlign w:val="bottom"/>
            <w:shd w:val="clear" w:color="auto" w:fill="D6F3E8"/>
          </w:tcPr>
          <w:p>
            <w:pPr>
              <w:jc w:val="right"/>
              <w:ind w:right="72"/>
              <w:spacing w:after="0"/>
              <w:rPr>
                <w:sz w:val="20"/>
                <w:szCs w:val="20"/>
                <w:color w:val="auto"/>
              </w:rPr>
            </w:pPr>
            <w:r>
              <w:rPr>
                <w:rFonts w:ascii="Arial" w:cs="Arial" w:eastAsia="Arial" w:hAnsi="Arial"/>
                <w:sz w:val="18"/>
                <w:szCs w:val="18"/>
                <w:color w:val="auto"/>
              </w:rPr>
              <w:t>—</w:t>
            </w:r>
          </w:p>
        </w:tc>
        <w:tc>
          <w:tcPr>
            <w:tcW w:w="300" w:type="dxa"/>
            <w:vAlign w:val="bottom"/>
            <w:shd w:val="clear" w:color="auto" w:fill="D6F3E8"/>
          </w:tcPr>
          <w:p>
            <w:pPr>
              <w:spacing w:after="0"/>
              <w:rPr>
                <w:sz w:val="18"/>
                <w:szCs w:val="18"/>
                <w:color w:val="auto"/>
              </w:rPr>
            </w:pPr>
          </w:p>
        </w:tc>
        <w:tc>
          <w:tcPr>
            <w:tcW w:w="98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Annual Incentives:</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860" w:type="dxa"/>
            <w:vAlign w:val="bottom"/>
            <w:shd w:val="clear" w:color="auto" w:fill="D6F3E8"/>
          </w:tcPr>
          <w:p>
            <w:pPr>
              <w:ind w:left="160"/>
              <w:spacing w:after="0" w:line="256" w:lineRule="exact"/>
              <w:rPr>
                <w:sz w:val="20"/>
                <w:szCs w:val="20"/>
                <w:color w:val="auto"/>
              </w:rPr>
            </w:pPr>
            <w:r>
              <w:rPr>
                <w:rFonts w:ascii="Arial" w:cs="Arial" w:eastAsia="Arial" w:hAnsi="Arial"/>
                <w:sz w:val="18"/>
                <w:szCs w:val="18"/>
                <w:color w:val="auto"/>
              </w:rPr>
              <w:t>Annual Incentive Plan</w:t>
            </w:r>
            <w:r>
              <w:rPr>
                <w:rFonts w:ascii="Arial" w:cs="Arial" w:eastAsia="Arial" w:hAnsi="Arial"/>
                <w:sz w:val="29"/>
                <w:szCs w:val="29"/>
                <w:color w:val="auto"/>
                <w:vertAlign w:val="superscript"/>
              </w:rPr>
              <w:t>(3)</w:t>
            </w:r>
          </w:p>
        </w:tc>
        <w:tc>
          <w:tcPr>
            <w:tcW w:w="1760" w:type="dxa"/>
            <w:vAlign w:val="bottom"/>
            <w:shd w:val="clear" w:color="auto" w:fill="D6F3E8"/>
          </w:tcPr>
          <w:p>
            <w:pPr>
              <w:ind w:left="1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147,146</w:t>
            </w:r>
          </w:p>
        </w:tc>
        <w:tc>
          <w:tcPr>
            <w:tcW w:w="42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6F3E8"/>
          </w:tcPr>
          <w:p>
            <w:pPr>
              <w:jc w:val="right"/>
              <w:ind w:right="74"/>
              <w:spacing w:after="0"/>
              <w:rPr>
                <w:sz w:val="20"/>
                <w:szCs w:val="20"/>
                <w:color w:val="auto"/>
              </w:rPr>
            </w:pPr>
            <w:r>
              <w:rPr>
                <w:rFonts w:ascii="Arial" w:cs="Arial" w:eastAsia="Arial" w:hAnsi="Arial"/>
                <w:sz w:val="18"/>
                <w:szCs w:val="18"/>
                <w:color w:val="auto"/>
              </w:rPr>
              <w:t>147,146</w:t>
            </w:r>
          </w:p>
        </w:tc>
        <w:tc>
          <w:tcPr>
            <w:tcW w:w="260" w:type="dxa"/>
            <w:vAlign w:val="bottom"/>
            <w:shd w:val="clear" w:color="auto" w:fill="D6F3E8"/>
          </w:tcPr>
          <w:p>
            <w:pPr>
              <w:spacing w:after="0"/>
              <w:rPr>
                <w:sz w:val="22"/>
                <w:szCs w:val="22"/>
                <w:color w:val="auto"/>
              </w:rPr>
            </w:pPr>
          </w:p>
        </w:tc>
        <w:tc>
          <w:tcPr>
            <w:tcW w:w="136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(IncludedAbove)</w:t>
            </w:r>
          </w:p>
        </w:tc>
        <w:tc>
          <w:tcPr>
            <w:tcW w:w="340" w:type="dxa"/>
            <w:vAlign w:val="bottom"/>
            <w:shd w:val="clear" w:color="auto" w:fill="D6F3E8"/>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D6F3E8"/>
          </w:tcPr>
          <w:p>
            <w:pPr>
              <w:jc w:val="right"/>
              <w:ind w:right="72"/>
              <w:spacing w:after="0"/>
              <w:rPr>
                <w:sz w:val="20"/>
                <w:szCs w:val="20"/>
                <w:color w:val="auto"/>
              </w:rPr>
            </w:pPr>
            <w:r>
              <w:rPr>
                <w:rFonts w:ascii="Arial" w:cs="Arial" w:eastAsia="Arial" w:hAnsi="Arial"/>
                <w:sz w:val="18"/>
                <w:szCs w:val="18"/>
                <w:color w:val="auto"/>
              </w:rPr>
              <w:t>147,146</w:t>
            </w:r>
          </w:p>
        </w:tc>
        <w:tc>
          <w:tcPr>
            <w:tcW w:w="3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147,146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Long-Term Incentives:</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860" w:type="dxa"/>
            <w:vAlign w:val="bottom"/>
            <w:shd w:val="clear" w:color="auto" w:fill="D6F3E8"/>
          </w:tcPr>
          <w:p>
            <w:pPr>
              <w:ind w:left="160"/>
              <w:spacing w:after="0" w:line="256" w:lineRule="exact"/>
              <w:rPr>
                <w:sz w:val="20"/>
                <w:szCs w:val="20"/>
                <w:color w:val="auto"/>
              </w:rPr>
            </w:pPr>
            <w:r>
              <w:rPr>
                <w:rFonts w:ascii="Arial" w:cs="Arial" w:eastAsia="Arial" w:hAnsi="Arial"/>
                <w:sz w:val="18"/>
                <w:szCs w:val="18"/>
                <w:color w:val="auto"/>
              </w:rPr>
              <w:t>LTIP</w:t>
            </w:r>
            <w:r>
              <w:rPr>
                <w:rFonts w:ascii="Arial" w:cs="Arial" w:eastAsia="Arial" w:hAnsi="Arial"/>
                <w:sz w:val="29"/>
                <w:szCs w:val="29"/>
                <w:color w:val="auto"/>
                <w:vertAlign w:val="superscript"/>
              </w:rPr>
              <w:t>(4)</w:t>
            </w:r>
          </w:p>
        </w:tc>
        <w:tc>
          <w:tcPr>
            <w:tcW w:w="1760" w:type="dxa"/>
            <w:vAlign w:val="bottom"/>
            <w:shd w:val="clear" w:color="auto" w:fill="D6F3E8"/>
          </w:tcPr>
          <w:p>
            <w:pPr>
              <w:ind w:left="1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D6F3E8"/>
          </w:tcPr>
          <w:p>
            <w:pPr>
              <w:spacing w:after="0"/>
              <w:rPr>
                <w:sz w:val="22"/>
                <w:szCs w:val="22"/>
                <w:color w:val="auto"/>
              </w:rPr>
            </w:pP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D6F3E8"/>
          </w:tcPr>
          <w:p>
            <w:pPr>
              <w:spacing w:after="0"/>
              <w:rPr>
                <w:sz w:val="22"/>
                <w:szCs w:val="22"/>
                <w:color w:val="auto"/>
              </w:rPr>
            </w:pPr>
          </w:p>
        </w:tc>
        <w:tc>
          <w:tcPr>
            <w:tcW w:w="100" w:type="dxa"/>
            <w:vAlign w:val="bottom"/>
            <w:shd w:val="clear" w:color="auto" w:fill="D6F3E8"/>
          </w:tcPr>
          <w:p>
            <w:pPr>
              <w:spacing w:after="0"/>
              <w:rPr>
                <w:sz w:val="22"/>
                <w:szCs w:val="22"/>
                <w:color w:val="auto"/>
              </w:rPr>
            </w:pPr>
          </w:p>
        </w:tc>
        <w:tc>
          <w:tcPr>
            <w:tcW w:w="1080" w:type="dxa"/>
            <w:vAlign w:val="bottom"/>
            <w:shd w:val="clear" w:color="auto" w:fill="D6F3E8"/>
          </w:tcPr>
          <w:p>
            <w:pPr>
              <w:jc w:val="right"/>
              <w:ind w:right="74"/>
              <w:spacing w:after="0"/>
              <w:rPr>
                <w:sz w:val="20"/>
                <w:szCs w:val="20"/>
                <w:color w:val="auto"/>
              </w:rPr>
            </w:pPr>
            <w:r>
              <w:rPr>
                <w:rFonts w:ascii="Arial" w:cs="Arial" w:eastAsia="Arial" w:hAnsi="Arial"/>
                <w:sz w:val="18"/>
                <w:szCs w:val="18"/>
                <w:color w:val="auto"/>
              </w:rPr>
              <w:t>—</w:t>
            </w:r>
          </w:p>
        </w:tc>
        <w:tc>
          <w:tcPr>
            <w:tcW w:w="2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66,602</w:t>
            </w:r>
          </w:p>
        </w:tc>
        <w:tc>
          <w:tcPr>
            <w:tcW w:w="340" w:type="dxa"/>
            <w:vAlign w:val="bottom"/>
            <w:shd w:val="clear" w:color="auto" w:fill="D6F3E8"/>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D6F3E8"/>
          </w:tcPr>
          <w:p>
            <w:pPr>
              <w:jc w:val="right"/>
              <w:ind w:right="72"/>
              <w:spacing w:after="0"/>
              <w:rPr>
                <w:sz w:val="20"/>
                <w:szCs w:val="20"/>
                <w:color w:val="auto"/>
              </w:rPr>
            </w:pPr>
            <w:r>
              <w:rPr>
                <w:rFonts w:ascii="Arial" w:cs="Arial" w:eastAsia="Arial" w:hAnsi="Arial"/>
                <w:sz w:val="18"/>
                <w:szCs w:val="18"/>
                <w:color w:val="auto"/>
              </w:rPr>
              <w:t>22,201</w:t>
            </w:r>
          </w:p>
        </w:tc>
        <w:tc>
          <w:tcPr>
            <w:tcW w:w="3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22,201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860" w:type="dxa"/>
            <w:vAlign w:val="bottom"/>
          </w:tcPr>
          <w:p>
            <w:pPr>
              <w:ind w:left="160"/>
              <w:spacing w:after="0" w:line="256" w:lineRule="exact"/>
              <w:rPr>
                <w:sz w:val="20"/>
                <w:szCs w:val="20"/>
                <w:color w:val="auto"/>
              </w:rPr>
            </w:pPr>
            <w:r>
              <w:rPr>
                <w:rFonts w:ascii="Arial" w:cs="Arial" w:eastAsia="Arial" w:hAnsi="Arial"/>
                <w:sz w:val="18"/>
                <w:szCs w:val="18"/>
                <w:color w:val="auto"/>
              </w:rPr>
              <w:t xml:space="preserve">Restricted Stock: </w:t>
            </w:r>
            <w:r>
              <w:rPr>
                <w:rFonts w:ascii="Arial" w:cs="Arial" w:eastAsia="Arial" w:hAnsi="Arial"/>
                <w:sz w:val="29"/>
                <w:szCs w:val="29"/>
                <w:color w:val="auto"/>
                <w:vertAlign w:val="superscript"/>
              </w:rPr>
              <w:t>(5)(6)</w:t>
            </w:r>
          </w:p>
        </w:tc>
        <w:tc>
          <w:tcPr>
            <w:tcW w:w="1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D6F3E8"/>
          </w:tcPr>
          <w:p>
            <w:pPr>
              <w:ind w:left="340"/>
              <w:spacing w:after="0"/>
              <w:rPr>
                <w:sz w:val="20"/>
                <w:szCs w:val="20"/>
                <w:color w:val="auto"/>
              </w:rPr>
            </w:pPr>
            <w:r>
              <w:rPr>
                <w:rFonts w:ascii="Arial" w:cs="Arial" w:eastAsia="Arial" w:hAnsi="Arial"/>
                <w:sz w:val="18"/>
                <w:szCs w:val="18"/>
                <w:color w:val="auto"/>
              </w:rPr>
              <w:t>Accelerated Vesting</w:t>
            </w:r>
          </w:p>
        </w:tc>
        <w:tc>
          <w:tcPr>
            <w:tcW w:w="1760" w:type="dxa"/>
            <w:vAlign w:val="bottom"/>
            <w:shd w:val="clear" w:color="auto" w:fill="D6F3E8"/>
          </w:tcPr>
          <w:p>
            <w:pPr>
              <w:ind w:left="1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D6F3E8"/>
          </w:tcPr>
          <w:p>
            <w:pPr>
              <w:spacing w:after="0"/>
              <w:rPr>
                <w:sz w:val="18"/>
                <w:szCs w:val="18"/>
                <w:color w:val="auto"/>
              </w:rPr>
            </w:pP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1080" w:type="dxa"/>
            <w:vAlign w:val="bottom"/>
            <w:shd w:val="clear" w:color="auto" w:fill="D6F3E8"/>
          </w:tcPr>
          <w:p>
            <w:pPr>
              <w:jc w:val="right"/>
              <w:ind w:right="74"/>
              <w:spacing w:after="0"/>
              <w:rPr>
                <w:sz w:val="20"/>
                <w:szCs w:val="20"/>
                <w:color w:val="auto"/>
              </w:rPr>
            </w:pPr>
            <w:r>
              <w:rPr>
                <w:rFonts w:ascii="Arial" w:cs="Arial" w:eastAsia="Arial" w:hAnsi="Arial"/>
                <w:sz w:val="18"/>
                <w:szCs w:val="18"/>
                <w:color w:val="auto"/>
              </w:rPr>
              <w:t>—</w:t>
            </w:r>
          </w:p>
        </w:tc>
        <w:tc>
          <w:tcPr>
            <w:tcW w:w="2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110,960</w:t>
            </w:r>
          </w:p>
        </w:tc>
        <w:tc>
          <w:tcPr>
            <w:tcW w:w="340" w:type="dxa"/>
            <w:vAlign w:val="bottom"/>
            <w:shd w:val="clear" w:color="auto" w:fill="D6F3E8"/>
          </w:tcPr>
          <w:p>
            <w:pPr>
              <w:spacing w:after="0"/>
              <w:rPr>
                <w:sz w:val="18"/>
                <w:szCs w:val="18"/>
                <w:color w:val="auto"/>
              </w:rPr>
            </w:pPr>
          </w:p>
        </w:tc>
        <w:tc>
          <w:tcPr>
            <w:tcW w:w="980" w:type="dxa"/>
            <w:vAlign w:val="bottom"/>
            <w:shd w:val="clear" w:color="auto" w:fill="D6F3E8"/>
          </w:tcPr>
          <w:p>
            <w:pPr>
              <w:jc w:val="right"/>
              <w:ind w:right="72"/>
              <w:spacing w:after="0"/>
              <w:rPr>
                <w:sz w:val="20"/>
                <w:szCs w:val="20"/>
                <w:color w:val="auto"/>
              </w:rPr>
            </w:pPr>
            <w:r>
              <w:rPr>
                <w:rFonts w:ascii="Arial" w:cs="Arial" w:eastAsia="Arial" w:hAnsi="Arial"/>
                <w:sz w:val="18"/>
                <w:szCs w:val="18"/>
                <w:color w:val="auto"/>
              </w:rPr>
              <w:t>—</w:t>
            </w:r>
          </w:p>
        </w:tc>
        <w:tc>
          <w:tcPr>
            <w:tcW w:w="300" w:type="dxa"/>
            <w:vAlign w:val="bottom"/>
            <w:shd w:val="clear" w:color="auto" w:fill="D6F3E8"/>
          </w:tcPr>
          <w:p>
            <w:pPr>
              <w:spacing w:after="0"/>
              <w:rPr>
                <w:sz w:val="18"/>
                <w:szCs w:val="18"/>
                <w:color w:val="auto"/>
              </w:rPr>
            </w:pPr>
          </w:p>
        </w:tc>
        <w:tc>
          <w:tcPr>
            <w:tcW w:w="98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860" w:type="dxa"/>
            <w:vAlign w:val="bottom"/>
          </w:tcPr>
          <w:p>
            <w:pPr>
              <w:ind w:left="160"/>
              <w:spacing w:after="0" w:line="256" w:lineRule="exact"/>
              <w:rPr>
                <w:sz w:val="20"/>
                <w:szCs w:val="20"/>
                <w:color w:val="auto"/>
              </w:rPr>
            </w:pPr>
            <w:r>
              <w:rPr>
                <w:rFonts w:ascii="Arial" w:cs="Arial" w:eastAsia="Arial" w:hAnsi="Arial"/>
                <w:sz w:val="18"/>
                <w:szCs w:val="18"/>
                <w:color w:val="auto"/>
              </w:rPr>
              <w:t xml:space="preserve">Options: </w:t>
            </w:r>
            <w:r>
              <w:rPr>
                <w:rFonts w:ascii="Arial" w:cs="Arial" w:eastAsia="Arial" w:hAnsi="Arial"/>
                <w:sz w:val="29"/>
                <w:szCs w:val="29"/>
                <w:color w:val="auto"/>
                <w:vertAlign w:val="superscript"/>
              </w:rPr>
              <w:t>(5)(6)</w:t>
            </w:r>
          </w:p>
        </w:tc>
        <w:tc>
          <w:tcPr>
            <w:tcW w:w="1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D6F3E8"/>
          </w:tcPr>
          <w:p>
            <w:pPr>
              <w:ind w:left="340"/>
              <w:spacing w:after="0"/>
              <w:rPr>
                <w:sz w:val="20"/>
                <w:szCs w:val="20"/>
                <w:color w:val="auto"/>
              </w:rPr>
            </w:pPr>
            <w:r>
              <w:rPr>
                <w:rFonts w:ascii="Arial" w:cs="Arial" w:eastAsia="Arial" w:hAnsi="Arial"/>
                <w:sz w:val="18"/>
                <w:szCs w:val="18"/>
                <w:color w:val="auto"/>
              </w:rPr>
              <w:t>Vested</w:t>
            </w:r>
          </w:p>
        </w:tc>
        <w:tc>
          <w:tcPr>
            <w:tcW w:w="1760" w:type="dxa"/>
            <w:vAlign w:val="bottom"/>
            <w:shd w:val="clear" w:color="auto" w:fill="D6F3E8"/>
          </w:tcPr>
          <w:p>
            <w:pPr>
              <w:ind w:left="1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D6F3E8"/>
          </w:tcPr>
          <w:p>
            <w:pPr>
              <w:spacing w:after="0"/>
              <w:rPr>
                <w:sz w:val="18"/>
                <w:szCs w:val="18"/>
                <w:color w:val="auto"/>
              </w:rPr>
            </w:pP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1080" w:type="dxa"/>
            <w:vAlign w:val="bottom"/>
            <w:shd w:val="clear" w:color="auto" w:fill="D6F3E8"/>
          </w:tcPr>
          <w:p>
            <w:pPr>
              <w:jc w:val="right"/>
              <w:ind w:right="74"/>
              <w:spacing w:after="0"/>
              <w:rPr>
                <w:sz w:val="20"/>
                <w:szCs w:val="20"/>
                <w:color w:val="auto"/>
              </w:rPr>
            </w:pPr>
            <w:r>
              <w:rPr>
                <w:rFonts w:ascii="Arial" w:cs="Arial" w:eastAsia="Arial" w:hAnsi="Arial"/>
                <w:sz w:val="18"/>
                <w:szCs w:val="18"/>
                <w:color w:val="auto"/>
              </w:rPr>
              <w:t>—</w:t>
            </w:r>
          </w:p>
        </w:tc>
        <w:tc>
          <w:tcPr>
            <w:tcW w:w="260" w:type="dxa"/>
            <w:vAlign w:val="bottom"/>
            <w:shd w:val="clear" w:color="auto" w:fill="D6F3E8"/>
          </w:tcPr>
          <w:p>
            <w:pPr>
              <w:spacing w:after="0"/>
              <w:rPr>
                <w:sz w:val="18"/>
                <w:szCs w:val="18"/>
                <w:color w:val="auto"/>
              </w:rPr>
            </w:pPr>
          </w:p>
        </w:tc>
        <w:tc>
          <w:tcPr>
            <w:tcW w:w="136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D6F3E8"/>
          </w:tcPr>
          <w:p>
            <w:pPr>
              <w:spacing w:after="0"/>
              <w:rPr>
                <w:sz w:val="18"/>
                <w:szCs w:val="18"/>
                <w:color w:val="auto"/>
              </w:rPr>
            </w:pPr>
          </w:p>
        </w:tc>
        <w:tc>
          <w:tcPr>
            <w:tcW w:w="980" w:type="dxa"/>
            <w:vAlign w:val="bottom"/>
            <w:shd w:val="clear" w:color="auto" w:fill="D6F3E8"/>
          </w:tcPr>
          <w:p>
            <w:pPr>
              <w:jc w:val="right"/>
              <w:ind w:right="72"/>
              <w:spacing w:after="0"/>
              <w:rPr>
                <w:sz w:val="20"/>
                <w:szCs w:val="20"/>
                <w:color w:val="auto"/>
              </w:rPr>
            </w:pPr>
            <w:r>
              <w:rPr>
                <w:rFonts w:ascii="Arial" w:cs="Arial" w:eastAsia="Arial" w:hAnsi="Arial"/>
                <w:sz w:val="18"/>
                <w:szCs w:val="18"/>
                <w:color w:val="auto"/>
              </w:rPr>
              <w:t>—</w:t>
            </w:r>
          </w:p>
        </w:tc>
        <w:tc>
          <w:tcPr>
            <w:tcW w:w="300" w:type="dxa"/>
            <w:vAlign w:val="bottom"/>
            <w:shd w:val="clear" w:color="auto" w:fill="D6F3E8"/>
          </w:tcPr>
          <w:p>
            <w:pPr>
              <w:spacing w:after="0"/>
              <w:rPr>
                <w:sz w:val="18"/>
                <w:szCs w:val="18"/>
                <w:color w:val="auto"/>
              </w:rPr>
            </w:pPr>
          </w:p>
        </w:tc>
        <w:tc>
          <w:tcPr>
            <w:tcW w:w="98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ind w:left="340"/>
              <w:spacing w:after="0"/>
              <w:rPr>
                <w:sz w:val="20"/>
                <w:szCs w:val="20"/>
                <w:color w:val="auto"/>
              </w:rPr>
            </w:pPr>
            <w:r>
              <w:rPr>
                <w:rFonts w:ascii="Arial" w:cs="Arial" w:eastAsia="Arial" w:hAnsi="Arial"/>
                <w:sz w:val="18"/>
                <w:szCs w:val="18"/>
                <w:color w:val="auto"/>
              </w:rPr>
              <w:t>Accelerated Vesting</w:t>
            </w:r>
          </w:p>
        </w:tc>
        <w:tc>
          <w:tcPr>
            <w:tcW w:w="1760" w:type="dxa"/>
            <w:vAlign w:val="bottom"/>
          </w:tcPr>
          <w:p>
            <w:pPr>
              <w:ind w:left="1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D6F3E8"/>
          </w:tcPr>
          <w:p>
            <w:pPr>
              <w:spacing w:after="0"/>
              <w:rPr>
                <w:sz w:val="20"/>
                <w:szCs w:val="20"/>
                <w:color w:val="auto"/>
              </w:rPr>
            </w:pPr>
            <w:r>
              <w:rPr>
                <w:rFonts w:ascii="Arial" w:cs="Arial" w:eastAsia="Arial" w:hAnsi="Arial"/>
                <w:sz w:val="18"/>
                <w:szCs w:val="18"/>
                <w:color w:val="auto"/>
              </w:rPr>
              <w:t>Other Benefits:</w:t>
            </w:r>
          </w:p>
        </w:tc>
        <w:tc>
          <w:tcPr>
            <w:tcW w:w="176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92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1080" w:type="dxa"/>
            <w:vAlign w:val="bottom"/>
            <w:shd w:val="clear" w:color="auto" w:fill="D6F3E8"/>
          </w:tcPr>
          <w:p>
            <w:pPr>
              <w:spacing w:after="0"/>
              <w:rPr>
                <w:sz w:val="18"/>
                <w:szCs w:val="18"/>
                <w:color w:val="auto"/>
              </w:rPr>
            </w:pPr>
          </w:p>
        </w:tc>
        <w:tc>
          <w:tcPr>
            <w:tcW w:w="260" w:type="dxa"/>
            <w:vAlign w:val="bottom"/>
            <w:shd w:val="clear" w:color="auto" w:fill="D6F3E8"/>
          </w:tcPr>
          <w:p>
            <w:pPr>
              <w:spacing w:after="0"/>
              <w:rPr>
                <w:sz w:val="18"/>
                <w:szCs w:val="18"/>
                <w:color w:val="auto"/>
              </w:rPr>
            </w:pPr>
          </w:p>
        </w:tc>
        <w:tc>
          <w:tcPr>
            <w:tcW w:w="118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980" w:type="dxa"/>
            <w:vAlign w:val="bottom"/>
            <w:shd w:val="clear" w:color="auto" w:fill="D6F3E8"/>
          </w:tcPr>
          <w:p>
            <w:pPr>
              <w:spacing w:after="0"/>
              <w:rPr>
                <w:sz w:val="18"/>
                <w:szCs w:val="18"/>
                <w:color w:val="auto"/>
              </w:rPr>
            </w:pPr>
          </w:p>
        </w:tc>
        <w:tc>
          <w:tcPr>
            <w:tcW w:w="300" w:type="dxa"/>
            <w:vAlign w:val="bottom"/>
            <w:shd w:val="clear" w:color="auto" w:fill="D6F3E8"/>
          </w:tcPr>
          <w:p>
            <w:pPr>
              <w:spacing w:after="0"/>
              <w:rPr>
                <w:sz w:val="18"/>
                <w:szCs w:val="18"/>
                <w:color w:val="auto"/>
              </w:rPr>
            </w:pPr>
          </w:p>
        </w:tc>
        <w:tc>
          <w:tcPr>
            <w:tcW w:w="88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860" w:type="dxa"/>
            <w:vAlign w:val="bottom"/>
          </w:tcPr>
          <w:p>
            <w:pPr>
              <w:ind w:left="160"/>
              <w:spacing w:after="0" w:line="256" w:lineRule="exact"/>
              <w:rPr>
                <w:sz w:val="20"/>
                <w:szCs w:val="20"/>
                <w:color w:val="auto"/>
              </w:rPr>
            </w:pPr>
            <w:r>
              <w:rPr>
                <w:rFonts w:ascii="Arial" w:cs="Arial" w:eastAsia="Arial" w:hAnsi="Arial"/>
                <w:sz w:val="18"/>
                <w:szCs w:val="18"/>
                <w:color w:val="auto"/>
              </w:rPr>
              <w:t xml:space="preserve">Health and Welfare </w:t>
            </w:r>
            <w:r>
              <w:rPr>
                <w:rFonts w:ascii="Arial" w:cs="Arial" w:eastAsia="Arial" w:hAnsi="Arial"/>
                <w:sz w:val="29"/>
                <w:szCs w:val="29"/>
                <w:color w:val="auto"/>
                <w:vertAlign w:val="superscript"/>
              </w:rPr>
              <w:t>(7)</w:t>
            </w:r>
          </w:p>
        </w:tc>
        <w:tc>
          <w:tcPr>
            <w:tcW w:w="1760" w:type="dxa"/>
            <w:vAlign w:val="bottom"/>
          </w:tcPr>
          <w:p>
            <w:pPr>
              <w:ind w:left="1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29,796</w:t>
            </w:r>
          </w:p>
        </w:tc>
        <w:tc>
          <w:tcPr>
            <w:tcW w:w="340" w:type="dxa"/>
            <w:vAlign w:val="bottom"/>
          </w:tcPr>
          <w:p>
            <w:pPr>
              <w:spacing w:after="0"/>
              <w:rPr>
                <w:sz w:val="22"/>
                <w:szCs w:val="22"/>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860" w:type="dxa"/>
            <w:vAlign w:val="bottom"/>
            <w:shd w:val="clear" w:color="auto" w:fill="D6F3E8"/>
          </w:tcPr>
          <w:p>
            <w:pPr>
              <w:ind w:left="160"/>
              <w:spacing w:after="0" w:line="256"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9"/>
                <w:szCs w:val="29"/>
                <w:color w:val="auto"/>
                <w:vertAlign w:val="superscript"/>
              </w:rPr>
              <w:t>(8)</w:t>
            </w:r>
          </w:p>
        </w:tc>
        <w:tc>
          <w:tcPr>
            <w:tcW w:w="1760" w:type="dxa"/>
            <w:vAlign w:val="bottom"/>
            <w:shd w:val="clear" w:color="auto" w:fill="D6F3E8"/>
          </w:tcPr>
          <w:p>
            <w:pPr>
              <w:ind w:left="1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D6F3E8"/>
          </w:tcPr>
          <w:p>
            <w:pPr>
              <w:spacing w:after="0"/>
              <w:rPr>
                <w:sz w:val="22"/>
                <w:szCs w:val="22"/>
                <w:color w:val="auto"/>
              </w:rPr>
            </w:pP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D6F3E8"/>
          </w:tcPr>
          <w:p>
            <w:pPr>
              <w:spacing w:after="0"/>
              <w:rPr>
                <w:sz w:val="22"/>
                <w:szCs w:val="22"/>
                <w:color w:val="auto"/>
              </w:rPr>
            </w:pPr>
          </w:p>
        </w:tc>
        <w:tc>
          <w:tcPr>
            <w:tcW w:w="100" w:type="dxa"/>
            <w:vAlign w:val="bottom"/>
            <w:shd w:val="clear" w:color="auto" w:fill="D6F3E8"/>
          </w:tcPr>
          <w:p>
            <w:pPr>
              <w:spacing w:after="0"/>
              <w:rPr>
                <w:sz w:val="22"/>
                <w:szCs w:val="22"/>
                <w:color w:val="auto"/>
              </w:rPr>
            </w:pPr>
          </w:p>
        </w:tc>
        <w:tc>
          <w:tcPr>
            <w:tcW w:w="1080" w:type="dxa"/>
            <w:vAlign w:val="bottom"/>
            <w:shd w:val="clear" w:color="auto" w:fill="D6F3E8"/>
          </w:tcPr>
          <w:p>
            <w:pPr>
              <w:jc w:val="right"/>
              <w:ind w:right="74"/>
              <w:spacing w:after="0"/>
              <w:rPr>
                <w:sz w:val="20"/>
                <w:szCs w:val="20"/>
                <w:color w:val="auto"/>
              </w:rPr>
            </w:pPr>
            <w:r>
              <w:rPr>
                <w:rFonts w:ascii="Arial" w:cs="Arial" w:eastAsia="Arial" w:hAnsi="Arial"/>
                <w:sz w:val="18"/>
                <w:szCs w:val="18"/>
                <w:color w:val="auto"/>
              </w:rPr>
              <w:t>—</w:t>
            </w:r>
          </w:p>
        </w:tc>
        <w:tc>
          <w:tcPr>
            <w:tcW w:w="2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29,914</w:t>
            </w:r>
          </w:p>
        </w:tc>
        <w:tc>
          <w:tcPr>
            <w:tcW w:w="340" w:type="dxa"/>
            <w:vAlign w:val="bottom"/>
            <w:shd w:val="clear" w:color="auto" w:fill="D6F3E8"/>
          </w:tcPr>
          <w:p>
            <w:pPr>
              <w:spacing w:after="0"/>
              <w:rPr>
                <w:sz w:val="22"/>
                <w:szCs w:val="22"/>
                <w:color w:val="auto"/>
              </w:rPr>
            </w:pPr>
          </w:p>
        </w:tc>
        <w:tc>
          <w:tcPr>
            <w:tcW w:w="980" w:type="dxa"/>
            <w:vAlign w:val="bottom"/>
            <w:shd w:val="clear" w:color="auto" w:fill="D6F3E8"/>
          </w:tcPr>
          <w:p>
            <w:pPr>
              <w:jc w:val="right"/>
              <w:ind w:right="72"/>
              <w:spacing w:after="0"/>
              <w:rPr>
                <w:sz w:val="20"/>
                <w:szCs w:val="20"/>
                <w:color w:val="auto"/>
              </w:rPr>
            </w:pPr>
            <w:r>
              <w:rPr>
                <w:rFonts w:ascii="Arial" w:cs="Arial" w:eastAsia="Arial" w:hAnsi="Arial"/>
                <w:sz w:val="18"/>
                <w:szCs w:val="18"/>
                <w:color w:val="auto"/>
              </w:rPr>
              <w:t>—</w:t>
            </w:r>
          </w:p>
        </w:tc>
        <w:tc>
          <w:tcPr>
            <w:tcW w:w="300" w:type="dxa"/>
            <w:vAlign w:val="bottom"/>
            <w:shd w:val="clear" w:color="auto" w:fill="D6F3E8"/>
          </w:tcPr>
          <w:p>
            <w:pPr>
              <w:spacing w:after="0"/>
              <w:rPr>
                <w:sz w:val="22"/>
                <w:szCs w:val="22"/>
                <w:color w:val="auto"/>
              </w:rPr>
            </w:pPr>
          </w:p>
        </w:tc>
        <w:tc>
          <w:tcPr>
            <w:tcW w:w="98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Total Benefits</w:t>
            </w:r>
          </w:p>
        </w:tc>
        <w:tc>
          <w:tcPr>
            <w:tcW w:w="1760" w:type="dxa"/>
            <w:vAlign w:val="bottom"/>
          </w:tcPr>
          <w:p>
            <w:pPr>
              <w:ind w:left="12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147,146</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4"/>
              <w:spacing w:after="0"/>
              <w:rPr>
                <w:sz w:val="20"/>
                <w:szCs w:val="20"/>
                <w:color w:val="auto"/>
              </w:rPr>
            </w:pPr>
            <w:r>
              <w:rPr>
                <w:rFonts w:ascii="Arial" w:cs="Arial" w:eastAsia="Arial" w:hAnsi="Arial"/>
                <w:sz w:val="18"/>
                <w:szCs w:val="18"/>
                <w:color w:val="auto"/>
              </w:rPr>
              <w:t>147,146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1,319,613</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169,347</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169,347</w:t>
            </w:r>
          </w:p>
        </w:tc>
        <w:tc>
          <w:tcPr>
            <w:tcW w:w="0" w:type="dxa"/>
            <w:vAlign w:val="bottom"/>
          </w:tcPr>
          <w:p>
            <w:pPr>
              <w:spacing w:after="0"/>
              <w:rPr>
                <w:sz w:val="1"/>
                <w:szCs w:val="1"/>
                <w:color w:val="auto"/>
              </w:rPr>
            </w:pPr>
          </w:p>
        </w:tc>
      </w:tr>
    </w:tbl>
    <w:p>
      <w:pPr>
        <w:sectPr>
          <w:pgSz w:w="11900" w:h="16898" w:orient="portrait"/>
          <w:cols w:equalWidth="0" w:num="1">
            <w:col w:w="11380"/>
          </w:cols>
          <w:pgMar w:left="240" w:top="125" w:right="279" w:bottom="0" w:gutter="0" w:footer="0" w:header="0"/>
        </w:sectPr>
      </w:pPr>
    </w:p>
    <w:bookmarkStart w:id="32" w:name="page33"/>
    <w:bookmarkEnd w:id="32"/>
    <w:p>
      <w:pPr>
        <w:ind w:left="540" w:hanging="478"/>
        <w:spacing w:after="0"/>
        <w:tabs>
          <w:tab w:leader="none" w:pos="540" w:val="left"/>
        </w:tabs>
        <w:numPr>
          <w:ilvl w:val="0"/>
          <w:numId w:val="59"/>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146621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466215" cy="8890"/>
                    </a:xfrm>
                    <a:prstGeom prst="rect">
                      <a:avLst/>
                    </a:prstGeom>
                    <a:noFill/>
                  </pic:spPr>
                </pic:pic>
              </a:graphicData>
            </a:graphic>
          </wp:anchor>
        </w:drawing>
        <w:t>As of August 25, 2007, Ms. Nielsen had not qualified for retirement age.</w:t>
      </w:r>
    </w:p>
    <w:p>
      <w:pPr>
        <w:spacing w:after="0" w:line="95" w:lineRule="exact"/>
        <w:rPr>
          <w:rFonts w:ascii="Arial" w:cs="Arial" w:eastAsia="Arial" w:hAnsi="Arial"/>
          <w:sz w:val="14"/>
          <w:szCs w:val="14"/>
          <w:color w:val="auto"/>
        </w:rPr>
      </w:pPr>
    </w:p>
    <w:p>
      <w:pPr>
        <w:ind w:left="540" w:right="60" w:hanging="478"/>
        <w:spacing w:after="0" w:line="253" w:lineRule="auto"/>
        <w:tabs>
          <w:tab w:leader="none" w:pos="5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Severance upon a Change of Control for Ms. Nielsen under the Executive Change of Control Agreement equals severance pay in lump sum, an amount equal to three (3) times the average of the aggregate annual compensation paid during the three (3) fiscal years of the Company immediately preceding the Change of Control.</w:t>
      </w:r>
    </w:p>
    <w:p>
      <w:pPr>
        <w:spacing w:after="0" w:line="65" w:lineRule="exact"/>
        <w:rPr>
          <w:rFonts w:ascii="Arial" w:cs="Arial" w:eastAsia="Arial" w:hAnsi="Arial"/>
          <w:sz w:val="14"/>
          <w:szCs w:val="14"/>
          <w:color w:val="auto"/>
        </w:rPr>
      </w:pPr>
    </w:p>
    <w:p>
      <w:pPr>
        <w:ind w:left="540" w:hanging="478"/>
        <w:spacing w:after="0"/>
        <w:tabs>
          <w:tab w:leader="none" w:pos="5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Represents the annual incentive eligibility pursuant to the Officers Incentive Compensation Plan.</w:t>
      </w:r>
    </w:p>
    <w:p>
      <w:pPr>
        <w:spacing w:after="0" w:line="95" w:lineRule="exact"/>
        <w:rPr>
          <w:rFonts w:ascii="Arial" w:cs="Arial" w:eastAsia="Arial" w:hAnsi="Arial"/>
          <w:sz w:val="14"/>
          <w:szCs w:val="14"/>
          <w:color w:val="auto"/>
        </w:rPr>
      </w:pPr>
    </w:p>
    <w:p>
      <w:pPr>
        <w:ind w:left="540" w:right="480" w:hanging="478"/>
        <w:spacing w:after="0" w:line="253" w:lineRule="auto"/>
        <w:tabs>
          <w:tab w:leader="none" w:pos="5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Represents the pro-rata portion of any LTIP incentive eligibility pursuant to the Officers Long-Term Incentive Plan, except by a termination pursuant to a Change of Control, which includes the full amount payable.</w:t>
      </w:r>
    </w:p>
    <w:p>
      <w:pPr>
        <w:spacing w:after="0" w:line="65" w:lineRule="exact"/>
        <w:rPr>
          <w:rFonts w:ascii="Arial" w:cs="Arial" w:eastAsia="Arial" w:hAnsi="Arial"/>
          <w:sz w:val="14"/>
          <w:szCs w:val="14"/>
          <w:color w:val="auto"/>
        </w:rPr>
      </w:pPr>
    </w:p>
    <w:p>
      <w:pPr>
        <w:ind w:left="540" w:hanging="478"/>
        <w:spacing w:after="0"/>
        <w:tabs>
          <w:tab w:leader="none" w:pos="540" w:val="left"/>
        </w:tabs>
        <w:numPr>
          <w:ilvl w:val="0"/>
          <w:numId w:val="59"/>
        </w:numPr>
        <w:rPr>
          <w:rFonts w:ascii="Arial" w:cs="Arial" w:eastAsia="Arial" w:hAnsi="Arial"/>
          <w:sz w:val="13"/>
          <w:szCs w:val="13"/>
          <w:color w:val="auto"/>
        </w:rPr>
      </w:pPr>
      <w:r>
        <w:rPr>
          <w:rFonts w:ascii="Arial" w:cs="Arial" w:eastAsia="Arial" w:hAnsi="Arial"/>
          <w:sz w:val="13"/>
          <w:szCs w:val="13"/>
          <w:color w:val="auto"/>
        </w:rPr>
        <w:t>Represents the intrinsic value of stock options and or stock grants based on the Company’s closing stock price of $27.79 per share on August 24, 2007, the last trading day of fiscal 2007.</w:t>
      </w:r>
    </w:p>
    <w:p>
      <w:pPr>
        <w:spacing w:after="0" w:line="107" w:lineRule="exact"/>
        <w:rPr>
          <w:rFonts w:ascii="Arial" w:cs="Arial" w:eastAsia="Arial" w:hAnsi="Arial"/>
          <w:sz w:val="13"/>
          <w:szCs w:val="13"/>
          <w:color w:val="auto"/>
        </w:rPr>
      </w:pPr>
    </w:p>
    <w:p>
      <w:pPr>
        <w:ind w:left="540" w:hanging="478"/>
        <w:spacing w:after="0"/>
        <w:tabs>
          <w:tab w:leader="none" w:pos="5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Stock Options and Stock Grants under the 2004 Plan provide for acceleration of unvested options in the event of Change of Control, retirement, death or disability.</w:t>
      </w:r>
    </w:p>
    <w:p>
      <w:pPr>
        <w:spacing w:after="0" w:line="95" w:lineRule="exact"/>
        <w:rPr>
          <w:rFonts w:ascii="Arial" w:cs="Arial" w:eastAsia="Arial" w:hAnsi="Arial"/>
          <w:sz w:val="14"/>
          <w:szCs w:val="14"/>
          <w:color w:val="auto"/>
        </w:rPr>
      </w:pPr>
    </w:p>
    <w:p>
      <w:pPr>
        <w:ind w:left="540" w:hanging="478"/>
        <w:spacing w:after="0"/>
        <w:tabs>
          <w:tab w:leader="none" w:pos="5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Extension of benefits under retirement, death, disability and Change of Control, including health, dental, life insurance and long-term disability.</w:t>
      </w:r>
    </w:p>
    <w:p>
      <w:pPr>
        <w:spacing w:after="0" w:line="95" w:lineRule="exact"/>
        <w:rPr>
          <w:rFonts w:ascii="Arial" w:cs="Arial" w:eastAsia="Arial" w:hAnsi="Arial"/>
          <w:sz w:val="14"/>
          <w:szCs w:val="14"/>
          <w:color w:val="auto"/>
        </w:rPr>
      </w:pPr>
    </w:p>
    <w:p>
      <w:pPr>
        <w:ind w:left="540" w:hanging="478"/>
        <w:spacing w:after="0"/>
        <w:tabs>
          <w:tab w:leader="none" w:pos="5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Extension of benefits under Change of Control for the transfer of the Company automobile title to Ms. Nielsen at the Company’s net book value.</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N</w:t>
      </w:r>
      <w:r>
        <w:rPr>
          <w:rFonts w:ascii="Arial" w:cs="Arial" w:eastAsia="Arial" w:hAnsi="Arial"/>
          <w:sz w:val="18"/>
          <w:szCs w:val="18"/>
          <w:color w:val="auto"/>
        </w:rPr>
        <w:t>AMED</w:t>
      </w:r>
      <w:r>
        <w:rPr>
          <w:rFonts w:ascii="Arial" w:cs="Arial" w:eastAsia="Arial" w:hAnsi="Arial"/>
          <w:sz w:val="22"/>
          <w:szCs w:val="22"/>
          <w:color w:val="auto"/>
        </w:rPr>
        <w:t xml:space="preserve"> E</w:t>
      </w:r>
      <w:r>
        <w:rPr>
          <w:rFonts w:ascii="Arial" w:cs="Arial" w:eastAsia="Arial" w:hAnsi="Arial"/>
          <w:sz w:val="18"/>
          <w:szCs w:val="18"/>
          <w:color w:val="auto"/>
        </w:rPr>
        <w:t>XECUTIVE</w:t>
      </w:r>
      <w:r>
        <w:rPr>
          <w:rFonts w:ascii="Arial" w:cs="Arial" w:eastAsia="Arial" w:hAnsi="Arial"/>
          <w:sz w:val="22"/>
          <w:szCs w:val="22"/>
          <w:color w:val="auto"/>
        </w:rPr>
        <w:t>: W</w:t>
      </w:r>
      <w:r>
        <w:rPr>
          <w:rFonts w:ascii="Arial" w:cs="Arial" w:eastAsia="Arial" w:hAnsi="Arial"/>
          <w:sz w:val="18"/>
          <w:szCs w:val="18"/>
          <w:color w:val="auto"/>
        </w:rPr>
        <w:t>ILLIAM</w:t>
      </w:r>
      <w:r>
        <w:rPr>
          <w:rFonts w:ascii="Arial" w:cs="Arial" w:eastAsia="Arial" w:hAnsi="Arial"/>
          <w:sz w:val="22"/>
          <w:szCs w:val="22"/>
          <w:color w:val="auto"/>
        </w:rPr>
        <w:t xml:space="preserve"> J. O’L</w:t>
      </w:r>
      <w:r>
        <w:rPr>
          <w:rFonts w:ascii="Arial" w:cs="Arial" w:eastAsia="Arial" w:hAnsi="Arial"/>
          <w:sz w:val="18"/>
          <w:szCs w:val="18"/>
          <w:color w:val="auto"/>
        </w:rPr>
        <w:t>EARY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Involuntary</w:t>
            </w:r>
          </w:p>
        </w:tc>
        <w:tc>
          <w:tcPr>
            <w:tcW w:w="100" w:type="dxa"/>
            <w:vAlign w:val="bottom"/>
          </w:tcPr>
          <w:p>
            <w:pPr>
              <w:spacing w:after="0"/>
              <w:rPr>
                <w:sz w:val="14"/>
                <w:szCs w:val="14"/>
                <w:color w:val="auto"/>
              </w:rPr>
            </w:pPr>
          </w:p>
        </w:tc>
        <w:tc>
          <w:tcPr>
            <w:tcW w:w="2700" w:type="dxa"/>
            <w:vAlign w:val="bottom"/>
            <w:gridSpan w:val="4"/>
            <w:vMerge w:val="restart"/>
          </w:tcPr>
          <w:p>
            <w:pPr>
              <w:ind w:left="640"/>
              <w:spacing w:after="0"/>
              <w:rPr>
                <w:sz w:val="20"/>
                <w:szCs w:val="20"/>
                <w:color w:val="auto"/>
              </w:rPr>
            </w:pPr>
            <w:r>
              <w:rPr>
                <w:rFonts w:ascii="Arial" w:cs="Arial" w:eastAsia="Arial" w:hAnsi="Arial"/>
                <w:sz w:val="14"/>
                <w:szCs w:val="14"/>
                <w:b w:val="1"/>
                <w:bCs w:val="1"/>
                <w:color w:val="auto"/>
              </w:rPr>
              <w:t>Change of Control</w:t>
            </w: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Termination</w:t>
            </w:r>
          </w:p>
        </w:tc>
        <w:tc>
          <w:tcPr>
            <w:tcW w:w="100" w:type="dxa"/>
            <w:vAlign w:val="bottom"/>
          </w:tcPr>
          <w:p>
            <w:pPr>
              <w:spacing w:after="0"/>
              <w:rPr>
                <w:sz w:val="14"/>
                <w:szCs w:val="14"/>
                <w:color w:val="auto"/>
              </w:rPr>
            </w:pPr>
          </w:p>
        </w:tc>
        <w:tc>
          <w:tcPr>
            <w:tcW w:w="2700" w:type="dxa"/>
            <w:vAlign w:val="bottom"/>
            <w:gridSpan w:val="4"/>
            <w:vMerge w:val="continue"/>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Executive Payments and</w:t>
            </w:r>
          </w:p>
        </w:tc>
        <w:tc>
          <w:tcPr>
            <w:tcW w:w="3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vMerge w:val="restart"/>
          </w:tcPr>
          <w:p>
            <w:pPr>
              <w:jc w:val="right"/>
              <w:ind w:right="334"/>
              <w:spacing w:after="0"/>
              <w:rPr>
                <w:sz w:val="20"/>
                <w:szCs w:val="20"/>
                <w:color w:val="auto"/>
              </w:rPr>
            </w:pPr>
            <w:r>
              <w:rPr>
                <w:rFonts w:ascii="Arial" w:cs="Arial" w:eastAsia="Arial" w:hAnsi="Arial"/>
                <w:sz w:val="14"/>
                <w:szCs w:val="14"/>
                <w:b w:val="1"/>
                <w:bCs w:val="1"/>
                <w:color w:val="auto"/>
              </w:rPr>
              <w:t>Without</w:t>
            </w:r>
          </w:p>
        </w:tc>
        <w:tc>
          <w:tcPr>
            <w:tcW w:w="26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14"/>
              <w:spacing w:after="0" w:line="133" w:lineRule="exact"/>
              <w:rPr>
                <w:sz w:val="20"/>
                <w:szCs w:val="20"/>
                <w:color w:val="auto"/>
              </w:rPr>
            </w:pPr>
            <w:r>
              <w:rPr>
                <w:rFonts w:ascii="Arial" w:cs="Arial" w:eastAsia="Arial" w:hAnsi="Arial"/>
                <w:sz w:val="14"/>
                <w:szCs w:val="14"/>
                <w:b w:val="1"/>
                <w:bCs w:val="1"/>
                <w:color w:val="auto"/>
                <w:w w:val="94"/>
              </w:rPr>
              <w:t>Termination</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4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24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w w:val="87"/>
              </w:rPr>
              <w:t>Retirement</w:t>
            </w:r>
            <w:r>
              <w:rPr>
                <w:rFonts w:ascii="Arial" w:cs="Arial" w:eastAsia="Arial" w:hAnsi="Arial"/>
                <w:sz w:val="23"/>
                <w:szCs w:val="23"/>
                <w:b w:val="1"/>
                <w:bCs w:val="1"/>
                <w:color w:val="auto"/>
                <w:w w:val="87"/>
                <w:vertAlign w:val="superscript"/>
              </w:rPr>
              <w:t>(1)</w:t>
            </w:r>
          </w:p>
        </w:tc>
        <w:tc>
          <w:tcPr>
            <w:tcW w:w="100" w:type="dxa"/>
            <w:vAlign w:val="bottom"/>
          </w:tcPr>
          <w:p>
            <w:pPr>
              <w:spacing w:after="0"/>
              <w:rPr>
                <w:sz w:val="12"/>
                <w:szCs w:val="12"/>
                <w:color w:val="auto"/>
              </w:rPr>
            </w:pPr>
          </w:p>
        </w:tc>
        <w:tc>
          <w:tcPr>
            <w:tcW w:w="124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3"/>
              </w:rPr>
              <w:t>For Cause</w:t>
            </w:r>
          </w:p>
        </w:tc>
        <w:tc>
          <w:tcPr>
            <w:tcW w:w="1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Without Cause /</w:t>
            </w:r>
          </w:p>
        </w:tc>
        <w:tc>
          <w:tcPr>
            <w:tcW w:w="340" w:type="dxa"/>
            <w:vAlign w:val="bottom"/>
          </w:tcPr>
          <w:p>
            <w:pPr>
              <w:spacing w:after="0"/>
              <w:rPr>
                <w:sz w:val="12"/>
                <w:szCs w:val="12"/>
                <w:color w:val="auto"/>
              </w:rPr>
            </w:pPr>
          </w:p>
        </w:tc>
        <w:tc>
          <w:tcPr>
            <w:tcW w:w="98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Death</w:t>
            </w:r>
          </w:p>
        </w:tc>
        <w:tc>
          <w:tcPr>
            <w:tcW w:w="300" w:type="dxa"/>
            <w:vAlign w:val="bottom"/>
          </w:tcPr>
          <w:p>
            <w:pPr>
              <w:spacing w:after="0"/>
              <w:rPr>
                <w:sz w:val="12"/>
                <w:szCs w:val="12"/>
                <w:color w:val="auto"/>
              </w:rPr>
            </w:pPr>
          </w:p>
        </w:tc>
        <w:tc>
          <w:tcPr>
            <w:tcW w:w="9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Disability</w:t>
            </w:r>
          </w:p>
        </w:tc>
        <w:tc>
          <w:tcPr>
            <w:tcW w:w="0" w:type="dxa"/>
            <w:vAlign w:val="bottom"/>
          </w:tcPr>
          <w:p>
            <w:pPr>
              <w:spacing w:after="0"/>
              <w:rPr>
                <w:sz w:val="1"/>
                <w:szCs w:val="1"/>
                <w:color w:val="auto"/>
              </w:rPr>
            </w:pPr>
          </w:p>
        </w:tc>
      </w:tr>
      <w:tr>
        <w:trPr>
          <w:trHeight w:val="178"/>
        </w:trPr>
        <w:tc>
          <w:tcPr>
            <w:tcW w:w="3040" w:type="dxa"/>
            <w:vAlign w:val="bottom"/>
            <w:gridSpan w:val="2"/>
          </w:tcPr>
          <w:p>
            <w:pPr>
              <w:spacing w:after="0"/>
              <w:rPr>
                <w:sz w:val="20"/>
                <w:szCs w:val="20"/>
                <w:color w:val="auto"/>
              </w:rPr>
            </w:pPr>
            <w:r>
              <w:rPr>
                <w:rFonts w:ascii="Arial" w:cs="Arial" w:eastAsia="Arial" w:hAnsi="Arial"/>
                <w:sz w:val="14"/>
                <w:szCs w:val="14"/>
                <w:b w:val="1"/>
                <w:bCs w:val="1"/>
                <w:color w:val="auto"/>
              </w:rPr>
              <w:t>Benefits Upon</w:t>
            </w:r>
          </w:p>
        </w:tc>
        <w:tc>
          <w:tcPr>
            <w:tcW w:w="36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ind w:right="214"/>
              <w:spacing w:after="0"/>
              <w:rPr>
                <w:sz w:val="20"/>
                <w:szCs w:val="20"/>
                <w:color w:val="auto"/>
              </w:rPr>
            </w:pPr>
            <w:r>
              <w:rPr>
                <w:rFonts w:ascii="Arial" w:cs="Arial" w:eastAsia="Arial" w:hAnsi="Arial"/>
                <w:sz w:val="14"/>
                <w:szCs w:val="14"/>
                <w:b w:val="1"/>
                <w:bCs w:val="1"/>
                <w:color w:val="auto"/>
                <w:w w:val="94"/>
              </w:rPr>
              <w:t>Termination</w:t>
            </w:r>
          </w:p>
        </w:tc>
        <w:tc>
          <w:tcPr>
            <w:tcW w:w="260" w:type="dxa"/>
            <w:vAlign w:val="bottom"/>
          </w:tcPr>
          <w:p>
            <w:pPr>
              <w:spacing w:after="0"/>
              <w:rPr>
                <w:sz w:val="15"/>
                <w:szCs w:val="15"/>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Good Reason</w:t>
            </w:r>
          </w:p>
        </w:tc>
        <w:tc>
          <w:tcPr>
            <w:tcW w:w="3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Borders>
              <w:top w:val="single" w:sz="8" w:color="auto"/>
            </w:tcBorders>
            <w:shd w:val="clear" w:color="auto" w:fill="D6F3E8"/>
          </w:tcPr>
          <w:p>
            <w:pPr>
              <w:spacing w:after="0"/>
              <w:rPr>
                <w:sz w:val="20"/>
                <w:szCs w:val="20"/>
                <w:color w:val="auto"/>
              </w:rPr>
            </w:pPr>
            <w:r>
              <w:rPr>
                <w:rFonts w:ascii="Arial" w:cs="Arial" w:eastAsia="Arial" w:hAnsi="Arial"/>
                <w:sz w:val="18"/>
                <w:szCs w:val="18"/>
                <w:color w:val="auto"/>
              </w:rPr>
              <w:t>Compensation:</w:t>
            </w:r>
          </w:p>
        </w:tc>
        <w:tc>
          <w:tcPr>
            <w:tcW w:w="360" w:type="dxa"/>
            <w:vAlign w:val="bottom"/>
            <w:tcBorders>
              <w:top w:val="single" w:sz="8" w:color="auto"/>
            </w:tcBorders>
            <w:shd w:val="clear" w:color="auto" w:fill="D6F3E8"/>
          </w:tcPr>
          <w:p>
            <w:pPr>
              <w:spacing w:after="0"/>
              <w:rPr>
                <w:sz w:val="18"/>
                <w:szCs w:val="18"/>
                <w:color w:val="auto"/>
              </w:rPr>
            </w:pPr>
          </w:p>
        </w:tc>
        <w:tc>
          <w:tcPr>
            <w:tcW w:w="1240" w:type="dxa"/>
            <w:vAlign w:val="bottom"/>
            <w:tcBorders>
              <w:top w:val="single" w:sz="8" w:color="auto"/>
            </w:tcBorders>
            <w:shd w:val="clear" w:color="auto" w:fill="D6F3E8"/>
          </w:tcPr>
          <w:p>
            <w:pPr>
              <w:spacing w:after="0"/>
              <w:rPr>
                <w:sz w:val="18"/>
                <w:szCs w:val="18"/>
                <w:color w:val="auto"/>
              </w:rPr>
            </w:pPr>
          </w:p>
        </w:tc>
        <w:tc>
          <w:tcPr>
            <w:tcW w:w="100" w:type="dxa"/>
            <w:vAlign w:val="bottom"/>
            <w:tcBorders>
              <w:top w:val="single" w:sz="8" w:color="auto"/>
            </w:tcBorders>
            <w:shd w:val="clear" w:color="auto" w:fill="D6F3E8"/>
          </w:tcPr>
          <w:p>
            <w:pPr>
              <w:spacing w:after="0"/>
              <w:rPr>
                <w:sz w:val="18"/>
                <w:szCs w:val="18"/>
                <w:color w:val="auto"/>
              </w:rPr>
            </w:pPr>
          </w:p>
        </w:tc>
        <w:tc>
          <w:tcPr>
            <w:tcW w:w="920" w:type="dxa"/>
            <w:vAlign w:val="bottom"/>
            <w:tcBorders>
              <w:top w:val="single" w:sz="8" w:color="auto"/>
            </w:tcBorders>
            <w:shd w:val="clear" w:color="auto" w:fill="D6F3E8"/>
          </w:tcPr>
          <w:p>
            <w:pPr>
              <w:spacing w:after="0"/>
              <w:rPr>
                <w:sz w:val="18"/>
                <w:szCs w:val="18"/>
                <w:color w:val="auto"/>
              </w:rPr>
            </w:pPr>
          </w:p>
        </w:tc>
        <w:tc>
          <w:tcPr>
            <w:tcW w:w="320" w:type="dxa"/>
            <w:vAlign w:val="bottom"/>
            <w:tcBorders>
              <w:top w:val="single" w:sz="8" w:color="auto"/>
            </w:tcBorders>
            <w:shd w:val="clear" w:color="auto" w:fill="D6F3E8"/>
          </w:tcPr>
          <w:p>
            <w:pPr>
              <w:spacing w:after="0"/>
              <w:rPr>
                <w:sz w:val="18"/>
                <w:szCs w:val="18"/>
                <w:color w:val="auto"/>
              </w:rPr>
            </w:pPr>
          </w:p>
        </w:tc>
        <w:tc>
          <w:tcPr>
            <w:tcW w:w="100" w:type="dxa"/>
            <w:vAlign w:val="bottom"/>
            <w:tcBorders>
              <w:top w:val="single" w:sz="8" w:color="auto"/>
            </w:tcBorders>
            <w:shd w:val="clear" w:color="auto" w:fill="D6F3E8"/>
          </w:tcPr>
          <w:p>
            <w:pPr>
              <w:spacing w:after="0"/>
              <w:rPr>
                <w:sz w:val="18"/>
                <w:szCs w:val="18"/>
                <w:color w:val="auto"/>
              </w:rPr>
            </w:pPr>
          </w:p>
        </w:tc>
        <w:tc>
          <w:tcPr>
            <w:tcW w:w="1080" w:type="dxa"/>
            <w:vAlign w:val="bottom"/>
            <w:tcBorders>
              <w:top w:val="single" w:sz="8" w:color="auto"/>
            </w:tcBorders>
            <w:shd w:val="clear" w:color="auto" w:fill="D6F3E8"/>
          </w:tcPr>
          <w:p>
            <w:pPr>
              <w:spacing w:after="0"/>
              <w:rPr>
                <w:sz w:val="18"/>
                <w:szCs w:val="18"/>
                <w:color w:val="auto"/>
              </w:rPr>
            </w:pPr>
          </w:p>
        </w:tc>
        <w:tc>
          <w:tcPr>
            <w:tcW w:w="260" w:type="dxa"/>
            <w:vAlign w:val="bottom"/>
            <w:tcBorders>
              <w:top w:val="single" w:sz="8" w:color="auto"/>
            </w:tcBorders>
            <w:shd w:val="clear" w:color="auto" w:fill="D6F3E8"/>
          </w:tcPr>
          <w:p>
            <w:pPr>
              <w:spacing w:after="0"/>
              <w:rPr>
                <w:sz w:val="18"/>
                <w:szCs w:val="18"/>
                <w:color w:val="auto"/>
              </w:rPr>
            </w:pPr>
          </w:p>
        </w:tc>
        <w:tc>
          <w:tcPr>
            <w:tcW w:w="1180" w:type="dxa"/>
            <w:vAlign w:val="bottom"/>
            <w:tcBorders>
              <w:top w:val="single" w:sz="8" w:color="auto"/>
            </w:tcBorders>
            <w:shd w:val="clear" w:color="auto" w:fill="D6F3E8"/>
          </w:tcPr>
          <w:p>
            <w:pPr>
              <w:spacing w:after="0"/>
              <w:rPr>
                <w:sz w:val="18"/>
                <w:szCs w:val="18"/>
                <w:color w:val="auto"/>
              </w:rPr>
            </w:pPr>
          </w:p>
        </w:tc>
        <w:tc>
          <w:tcPr>
            <w:tcW w:w="180" w:type="dxa"/>
            <w:vAlign w:val="bottom"/>
            <w:tcBorders>
              <w:top w:val="single" w:sz="8" w:color="auto"/>
            </w:tcBorders>
            <w:shd w:val="clear" w:color="auto" w:fill="D6F3E8"/>
          </w:tcPr>
          <w:p>
            <w:pPr>
              <w:spacing w:after="0"/>
              <w:rPr>
                <w:sz w:val="18"/>
                <w:szCs w:val="18"/>
                <w:color w:val="auto"/>
              </w:rPr>
            </w:pPr>
          </w:p>
        </w:tc>
        <w:tc>
          <w:tcPr>
            <w:tcW w:w="340" w:type="dxa"/>
            <w:vAlign w:val="bottom"/>
            <w:tcBorders>
              <w:top w:val="single" w:sz="8" w:color="auto"/>
            </w:tcBorders>
            <w:shd w:val="clear" w:color="auto" w:fill="D6F3E8"/>
          </w:tcPr>
          <w:p>
            <w:pPr>
              <w:spacing w:after="0"/>
              <w:rPr>
                <w:sz w:val="18"/>
                <w:szCs w:val="18"/>
                <w:color w:val="auto"/>
              </w:rPr>
            </w:pPr>
          </w:p>
        </w:tc>
        <w:tc>
          <w:tcPr>
            <w:tcW w:w="980" w:type="dxa"/>
            <w:vAlign w:val="bottom"/>
            <w:tcBorders>
              <w:top w:val="single" w:sz="8" w:color="auto"/>
            </w:tcBorders>
            <w:shd w:val="clear" w:color="auto" w:fill="D6F3E8"/>
          </w:tcPr>
          <w:p>
            <w:pPr>
              <w:spacing w:after="0"/>
              <w:rPr>
                <w:sz w:val="18"/>
                <w:szCs w:val="18"/>
                <w:color w:val="auto"/>
              </w:rPr>
            </w:pPr>
          </w:p>
        </w:tc>
        <w:tc>
          <w:tcPr>
            <w:tcW w:w="300" w:type="dxa"/>
            <w:vAlign w:val="bottom"/>
            <w:tcBorders>
              <w:top w:val="single" w:sz="8" w:color="auto"/>
            </w:tcBorders>
            <w:shd w:val="clear" w:color="auto" w:fill="D6F3E8"/>
          </w:tcPr>
          <w:p>
            <w:pPr>
              <w:spacing w:after="0"/>
              <w:rPr>
                <w:sz w:val="18"/>
                <w:szCs w:val="18"/>
                <w:color w:val="auto"/>
              </w:rPr>
            </w:pPr>
          </w:p>
        </w:tc>
        <w:tc>
          <w:tcPr>
            <w:tcW w:w="880" w:type="dxa"/>
            <w:vAlign w:val="bottom"/>
            <w:tcBorders>
              <w:top w:val="single" w:sz="8" w:color="auto"/>
            </w:tcBorders>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020" w:type="dxa"/>
            <w:vAlign w:val="bottom"/>
          </w:tcPr>
          <w:p>
            <w:pPr>
              <w:ind w:left="160"/>
              <w:spacing w:after="0" w:line="206" w:lineRule="exact"/>
              <w:rPr>
                <w:sz w:val="20"/>
                <w:szCs w:val="20"/>
                <w:color w:val="auto"/>
              </w:rPr>
            </w:pPr>
            <w:r>
              <w:rPr>
                <w:rFonts w:ascii="Arial" w:cs="Arial" w:eastAsia="Arial" w:hAnsi="Arial"/>
                <w:sz w:val="18"/>
                <w:szCs w:val="18"/>
                <w:color w:val="auto"/>
              </w:rPr>
              <w:t>Severance Benefit (Change of</w:t>
            </w: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3020" w:type="dxa"/>
            <w:vAlign w:val="bottom"/>
          </w:tcPr>
          <w:p>
            <w:pPr>
              <w:ind w:left="260"/>
              <w:spacing w:after="0" w:line="266" w:lineRule="exact"/>
              <w:rPr>
                <w:sz w:val="20"/>
                <w:szCs w:val="20"/>
                <w:color w:val="auto"/>
              </w:rPr>
            </w:pPr>
            <w:r>
              <w:rPr>
                <w:rFonts w:ascii="Arial" w:cs="Arial" w:eastAsia="Arial" w:hAnsi="Arial"/>
                <w:sz w:val="18"/>
                <w:szCs w:val="18"/>
                <w:color w:val="auto"/>
              </w:rPr>
              <w:t>Control)</w:t>
            </w:r>
            <w:r>
              <w:rPr>
                <w:rFonts w:ascii="Arial" w:cs="Arial" w:eastAsia="Arial" w:hAnsi="Arial"/>
                <w:sz w:val="30"/>
                <w:szCs w:val="30"/>
                <w:color w:val="auto"/>
                <w:vertAlign w:val="superscript"/>
              </w:rPr>
              <w:t>(2)</w:t>
            </w:r>
          </w:p>
        </w:tc>
        <w:tc>
          <w:tcPr>
            <w:tcW w:w="360" w:type="dxa"/>
            <w:vAlign w:val="bottom"/>
          </w:tcPr>
          <w:p>
            <w:pPr>
              <w:spacing w:after="0"/>
              <w:rPr>
                <w:sz w:val="23"/>
                <w:szCs w:val="23"/>
                <w:color w:val="auto"/>
              </w:rPr>
            </w:pPr>
          </w:p>
        </w:tc>
        <w:tc>
          <w:tcPr>
            <w:tcW w:w="1240" w:type="dxa"/>
            <w:vAlign w:val="bottom"/>
          </w:tcPr>
          <w:p>
            <w:pPr>
              <w:jc w:val="right"/>
              <w:ind w:right="2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08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1,202,431</w:t>
            </w:r>
          </w:p>
        </w:tc>
        <w:tc>
          <w:tcPr>
            <w:tcW w:w="34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D6F3E8"/>
          </w:tcPr>
          <w:p>
            <w:pPr>
              <w:ind w:left="160"/>
              <w:spacing w:after="0"/>
              <w:rPr>
                <w:sz w:val="20"/>
                <w:szCs w:val="20"/>
                <w:color w:val="auto"/>
              </w:rPr>
            </w:pPr>
            <w:r>
              <w:rPr>
                <w:rFonts w:ascii="Arial" w:cs="Arial" w:eastAsia="Arial" w:hAnsi="Arial"/>
                <w:sz w:val="18"/>
                <w:szCs w:val="18"/>
                <w:color w:val="auto"/>
              </w:rPr>
              <w:t>Tax Gross Up</w:t>
            </w:r>
          </w:p>
        </w:tc>
        <w:tc>
          <w:tcPr>
            <w:tcW w:w="360" w:type="dxa"/>
            <w:vAlign w:val="bottom"/>
            <w:shd w:val="clear" w:color="auto" w:fill="D6F3E8"/>
          </w:tcPr>
          <w:p>
            <w:pPr>
              <w:spacing w:after="0"/>
              <w:rPr>
                <w:sz w:val="18"/>
                <w:szCs w:val="18"/>
                <w:color w:val="auto"/>
              </w:rPr>
            </w:pPr>
          </w:p>
        </w:tc>
        <w:tc>
          <w:tcPr>
            <w:tcW w:w="1240" w:type="dxa"/>
            <w:vAlign w:val="bottom"/>
            <w:shd w:val="clear" w:color="auto" w:fill="D6F3E8"/>
          </w:tcPr>
          <w:p>
            <w:pPr>
              <w:jc w:val="right"/>
              <w:ind w:right="231"/>
              <w:spacing w:after="0"/>
              <w:rPr>
                <w:sz w:val="20"/>
                <w:szCs w:val="20"/>
                <w:color w:val="auto"/>
              </w:rPr>
            </w:pPr>
            <w:r>
              <w:rPr>
                <w:rFonts w:ascii="Arial" w:cs="Arial" w:eastAsia="Arial" w:hAnsi="Arial"/>
                <w:sz w:val="18"/>
                <w:szCs w:val="18"/>
                <w:color w:val="auto"/>
              </w:rPr>
              <w:t>—</w:t>
            </w:r>
          </w:p>
        </w:tc>
        <w:tc>
          <w:tcPr>
            <w:tcW w:w="100" w:type="dxa"/>
            <w:vAlign w:val="bottom"/>
            <w:shd w:val="clear" w:color="auto" w:fill="D6F3E8"/>
          </w:tcPr>
          <w:p>
            <w:pPr>
              <w:spacing w:after="0"/>
              <w:rPr>
                <w:sz w:val="18"/>
                <w:szCs w:val="18"/>
                <w:color w:val="auto"/>
              </w:rPr>
            </w:pPr>
          </w:p>
        </w:tc>
        <w:tc>
          <w:tcPr>
            <w:tcW w:w="124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D6F3E8"/>
          </w:tcPr>
          <w:p>
            <w:pPr>
              <w:spacing w:after="0"/>
              <w:rPr>
                <w:sz w:val="18"/>
                <w:szCs w:val="18"/>
                <w:color w:val="auto"/>
              </w:rPr>
            </w:pPr>
          </w:p>
        </w:tc>
        <w:tc>
          <w:tcPr>
            <w:tcW w:w="1080" w:type="dxa"/>
            <w:vAlign w:val="bottom"/>
            <w:shd w:val="clear" w:color="auto" w:fill="D6F3E8"/>
          </w:tcPr>
          <w:p>
            <w:pPr>
              <w:jc w:val="right"/>
              <w:ind w:right="74"/>
              <w:spacing w:after="0"/>
              <w:rPr>
                <w:sz w:val="20"/>
                <w:szCs w:val="20"/>
                <w:color w:val="auto"/>
              </w:rPr>
            </w:pPr>
            <w:r>
              <w:rPr>
                <w:rFonts w:ascii="Arial" w:cs="Arial" w:eastAsia="Arial" w:hAnsi="Arial"/>
                <w:sz w:val="18"/>
                <w:szCs w:val="18"/>
                <w:color w:val="auto"/>
              </w:rPr>
              <w:t>—</w:t>
            </w:r>
          </w:p>
        </w:tc>
        <w:tc>
          <w:tcPr>
            <w:tcW w:w="260" w:type="dxa"/>
            <w:vAlign w:val="bottom"/>
            <w:shd w:val="clear" w:color="auto" w:fill="D6F3E8"/>
          </w:tcPr>
          <w:p>
            <w:pPr>
              <w:spacing w:after="0"/>
              <w:rPr>
                <w:sz w:val="18"/>
                <w:szCs w:val="18"/>
                <w:color w:val="auto"/>
              </w:rPr>
            </w:pPr>
          </w:p>
        </w:tc>
        <w:tc>
          <w:tcPr>
            <w:tcW w:w="136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D6F3E8"/>
          </w:tcPr>
          <w:p>
            <w:pPr>
              <w:spacing w:after="0"/>
              <w:rPr>
                <w:sz w:val="18"/>
                <w:szCs w:val="18"/>
                <w:color w:val="auto"/>
              </w:rPr>
            </w:pPr>
          </w:p>
        </w:tc>
        <w:tc>
          <w:tcPr>
            <w:tcW w:w="980" w:type="dxa"/>
            <w:vAlign w:val="bottom"/>
            <w:shd w:val="clear" w:color="auto" w:fill="D6F3E8"/>
          </w:tcPr>
          <w:p>
            <w:pPr>
              <w:jc w:val="right"/>
              <w:ind w:right="71"/>
              <w:spacing w:after="0"/>
              <w:rPr>
                <w:sz w:val="20"/>
                <w:szCs w:val="20"/>
                <w:color w:val="auto"/>
              </w:rPr>
            </w:pPr>
            <w:r>
              <w:rPr>
                <w:rFonts w:ascii="Arial" w:cs="Arial" w:eastAsia="Arial" w:hAnsi="Arial"/>
                <w:sz w:val="18"/>
                <w:szCs w:val="18"/>
                <w:color w:val="auto"/>
              </w:rPr>
              <w:t>—</w:t>
            </w:r>
          </w:p>
        </w:tc>
        <w:tc>
          <w:tcPr>
            <w:tcW w:w="300" w:type="dxa"/>
            <w:vAlign w:val="bottom"/>
            <w:shd w:val="clear" w:color="auto" w:fill="D6F3E8"/>
          </w:tcPr>
          <w:p>
            <w:pPr>
              <w:spacing w:after="0"/>
              <w:rPr>
                <w:sz w:val="18"/>
                <w:szCs w:val="18"/>
                <w:color w:val="auto"/>
              </w:rPr>
            </w:pPr>
          </w:p>
        </w:tc>
        <w:tc>
          <w:tcPr>
            <w:tcW w:w="98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Annual Incentives:</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20" w:type="dxa"/>
            <w:vAlign w:val="bottom"/>
            <w:shd w:val="clear" w:color="auto" w:fill="D6F3E8"/>
          </w:tcPr>
          <w:p>
            <w:pPr>
              <w:ind w:left="160"/>
              <w:spacing w:after="0" w:line="256" w:lineRule="exact"/>
              <w:rPr>
                <w:sz w:val="20"/>
                <w:szCs w:val="20"/>
                <w:color w:val="auto"/>
              </w:rPr>
            </w:pPr>
            <w:r>
              <w:rPr>
                <w:rFonts w:ascii="Arial" w:cs="Arial" w:eastAsia="Arial" w:hAnsi="Arial"/>
                <w:sz w:val="18"/>
                <w:szCs w:val="18"/>
                <w:color w:val="auto"/>
              </w:rPr>
              <w:t>Annual Incentive Plan</w:t>
            </w:r>
            <w:r>
              <w:rPr>
                <w:rFonts w:ascii="Arial" w:cs="Arial" w:eastAsia="Arial" w:hAnsi="Arial"/>
                <w:sz w:val="29"/>
                <w:szCs w:val="29"/>
                <w:color w:val="auto"/>
                <w:vertAlign w:val="superscript"/>
              </w:rPr>
              <w:t>(3)</w:t>
            </w:r>
          </w:p>
        </w:tc>
        <w:tc>
          <w:tcPr>
            <w:tcW w:w="3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D6F3E8"/>
          </w:tcPr>
          <w:p>
            <w:pPr>
              <w:jc w:val="right"/>
              <w:ind w:right="231"/>
              <w:spacing w:after="0"/>
              <w:rPr>
                <w:sz w:val="20"/>
                <w:szCs w:val="20"/>
                <w:color w:val="auto"/>
              </w:rPr>
            </w:pPr>
            <w:r>
              <w:rPr>
                <w:rFonts w:ascii="Arial" w:cs="Arial" w:eastAsia="Arial" w:hAnsi="Arial"/>
                <w:sz w:val="18"/>
                <w:szCs w:val="18"/>
                <w:color w:val="auto"/>
              </w:rPr>
              <w:t>163,257</w:t>
            </w:r>
          </w:p>
        </w:tc>
        <w:tc>
          <w:tcPr>
            <w:tcW w:w="10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163,257</w:t>
            </w:r>
          </w:p>
        </w:tc>
        <w:tc>
          <w:tcPr>
            <w:tcW w:w="320" w:type="dxa"/>
            <w:vAlign w:val="bottom"/>
            <w:shd w:val="clear" w:color="auto" w:fill="D6F3E8"/>
          </w:tcPr>
          <w:p>
            <w:pPr>
              <w:spacing w:after="0"/>
              <w:rPr>
                <w:sz w:val="22"/>
                <w:szCs w:val="22"/>
                <w:color w:val="auto"/>
              </w:rPr>
            </w:pPr>
          </w:p>
        </w:tc>
        <w:tc>
          <w:tcPr>
            <w:tcW w:w="100" w:type="dxa"/>
            <w:vAlign w:val="bottom"/>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D6F3E8"/>
          </w:tcPr>
          <w:p>
            <w:pPr>
              <w:jc w:val="right"/>
              <w:ind w:right="74"/>
              <w:spacing w:after="0"/>
              <w:rPr>
                <w:sz w:val="20"/>
                <w:szCs w:val="20"/>
                <w:color w:val="auto"/>
              </w:rPr>
            </w:pPr>
            <w:r>
              <w:rPr>
                <w:rFonts w:ascii="Arial" w:cs="Arial" w:eastAsia="Arial" w:hAnsi="Arial"/>
                <w:sz w:val="18"/>
                <w:szCs w:val="18"/>
                <w:color w:val="auto"/>
              </w:rPr>
              <w:t>163,257</w:t>
            </w:r>
          </w:p>
        </w:tc>
        <w:tc>
          <w:tcPr>
            <w:tcW w:w="260" w:type="dxa"/>
            <w:vAlign w:val="bottom"/>
            <w:shd w:val="clear" w:color="auto" w:fill="D6F3E8"/>
          </w:tcPr>
          <w:p>
            <w:pPr>
              <w:spacing w:after="0"/>
              <w:rPr>
                <w:sz w:val="22"/>
                <w:szCs w:val="22"/>
                <w:color w:val="auto"/>
              </w:rPr>
            </w:pPr>
          </w:p>
        </w:tc>
        <w:tc>
          <w:tcPr>
            <w:tcW w:w="136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(IncludedAbove)</w:t>
            </w:r>
          </w:p>
        </w:tc>
        <w:tc>
          <w:tcPr>
            <w:tcW w:w="340" w:type="dxa"/>
            <w:vAlign w:val="bottom"/>
            <w:shd w:val="clear" w:color="auto" w:fill="D6F3E8"/>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D6F3E8"/>
          </w:tcPr>
          <w:p>
            <w:pPr>
              <w:jc w:val="right"/>
              <w:ind w:right="71"/>
              <w:spacing w:after="0"/>
              <w:rPr>
                <w:sz w:val="20"/>
                <w:szCs w:val="20"/>
                <w:color w:val="auto"/>
              </w:rPr>
            </w:pPr>
            <w:r>
              <w:rPr>
                <w:rFonts w:ascii="Arial" w:cs="Arial" w:eastAsia="Arial" w:hAnsi="Arial"/>
                <w:sz w:val="18"/>
                <w:szCs w:val="18"/>
                <w:color w:val="auto"/>
              </w:rPr>
              <w:t>163,257</w:t>
            </w:r>
          </w:p>
        </w:tc>
        <w:tc>
          <w:tcPr>
            <w:tcW w:w="3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163,257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Long-Term Incentives:</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20" w:type="dxa"/>
            <w:vAlign w:val="bottom"/>
            <w:shd w:val="clear" w:color="auto" w:fill="D6F3E8"/>
          </w:tcPr>
          <w:p>
            <w:pPr>
              <w:ind w:left="160"/>
              <w:spacing w:after="0" w:line="256" w:lineRule="exact"/>
              <w:rPr>
                <w:sz w:val="20"/>
                <w:szCs w:val="20"/>
                <w:color w:val="auto"/>
              </w:rPr>
            </w:pPr>
            <w:r>
              <w:rPr>
                <w:rFonts w:ascii="Arial" w:cs="Arial" w:eastAsia="Arial" w:hAnsi="Arial"/>
                <w:sz w:val="18"/>
                <w:szCs w:val="18"/>
                <w:color w:val="auto"/>
              </w:rPr>
              <w:t>LTIP</w:t>
            </w:r>
            <w:r>
              <w:rPr>
                <w:rFonts w:ascii="Arial" w:cs="Arial" w:eastAsia="Arial" w:hAnsi="Arial"/>
                <w:sz w:val="29"/>
                <w:szCs w:val="29"/>
                <w:color w:val="auto"/>
                <w:vertAlign w:val="superscript"/>
              </w:rPr>
              <w:t>(4)</w:t>
            </w:r>
          </w:p>
        </w:tc>
        <w:tc>
          <w:tcPr>
            <w:tcW w:w="3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D6F3E8"/>
          </w:tcPr>
          <w:p>
            <w:pPr>
              <w:jc w:val="right"/>
              <w:ind w:right="231"/>
              <w:spacing w:after="0"/>
              <w:rPr>
                <w:sz w:val="20"/>
                <w:szCs w:val="20"/>
                <w:color w:val="auto"/>
              </w:rPr>
            </w:pPr>
            <w:r>
              <w:rPr>
                <w:rFonts w:ascii="Arial" w:cs="Arial" w:eastAsia="Arial" w:hAnsi="Arial"/>
                <w:sz w:val="18"/>
                <w:szCs w:val="18"/>
                <w:color w:val="auto"/>
              </w:rPr>
              <w:t>23,362</w:t>
            </w:r>
          </w:p>
        </w:tc>
        <w:tc>
          <w:tcPr>
            <w:tcW w:w="100" w:type="dxa"/>
            <w:vAlign w:val="bottom"/>
            <w:shd w:val="clear" w:color="auto" w:fill="D6F3E8"/>
          </w:tcPr>
          <w:p>
            <w:pPr>
              <w:spacing w:after="0"/>
              <w:rPr>
                <w:sz w:val="22"/>
                <w:szCs w:val="22"/>
                <w:color w:val="auto"/>
              </w:rPr>
            </w:pPr>
          </w:p>
        </w:tc>
        <w:tc>
          <w:tcPr>
            <w:tcW w:w="124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D6F3E8"/>
          </w:tcPr>
          <w:p>
            <w:pPr>
              <w:spacing w:after="0"/>
              <w:rPr>
                <w:sz w:val="22"/>
                <w:szCs w:val="22"/>
                <w:color w:val="auto"/>
              </w:rPr>
            </w:pPr>
          </w:p>
        </w:tc>
        <w:tc>
          <w:tcPr>
            <w:tcW w:w="1080" w:type="dxa"/>
            <w:vAlign w:val="bottom"/>
            <w:shd w:val="clear" w:color="auto" w:fill="D6F3E8"/>
          </w:tcPr>
          <w:p>
            <w:pPr>
              <w:jc w:val="right"/>
              <w:ind w:right="74"/>
              <w:spacing w:after="0"/>
              <w:rPr>
                <w:sz w:val="20"/>
                <w:szCs w:val="20"/>
                <w:color w:val="auto"/>
              </w:rPr>
            </w:pPr>
            <w:r>
              <w:rPr>
                <w:rFonts w:ascii="Arial" w:cs="Arial" w:eastAsia="Arial" w:hAnsi="Arial"/>
                <w:sz w:val="18"/>
                <w:szCs w:val="18"/>
                <w:color w:val="auto"/>
              </w:rPr>
              <w:t>—</w:t>
            </w:r>
          </w:p>
        </w:tc>
        <w:tc>
          <w:tcPr>
            <w:tcW w:w="2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70,085</w:t>
            </w:r>
          </w:p>
        </w:tc>
        <w:tc>
          <w:tcPr>
            <w:tcW w:w="340" w:type="dxa"/>
            <w:vAlign w:val="bottom"/>
            <w:shd w:val="clear" w:color="auto" w:fill="D6F3E8"/>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D6F3E8"/>
          </w:tcPr>
          <w:p>
            <w:pPr>
              <w:jc w:val="right"/>
              <w:ind w:right="71"/>
              <w:spacing w:after="0"/>
              <w:rPr>
                <w:sz w:val="20"/>
                <w:szCs w:val="20"/>
                <w:color w:val="auto"/>
              </w:rPr>
            </w:pPr>
            <w:r>
              <w:rPr>
                <w:rFonts w:ascii="Arial" w:cs="Arial" w:eastAsia="Arial" w:hAnsi="Arial"/>
                <w:sz w:val="18"/>
                <w:szCs w:val="18"/>
                <w:color w:val="auto"/>
              </w:rPr>
              <w:t>23,362</w:t>
            </w:r>
          </w:p>
        </w:tc>
        <w:tc>
          <w:tcPr>
            <w:tcW w:w="3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23,362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20" w:type="dxa"/>
            <w:vAlign w:val="bottom"/>
          </w:tcPr>
          <w:p>
            <w:pPr>
              <w:ind w:left="160"/>
              <w:spacing w:after="0" w:line="256" w:lineRule="exact"/>
              <w:rPr>
                <w:sz w:val="20"/>
                <w:szCs w:val="20"/>
                <w:color w:val="auto"/>
              </w:rPr>
            </w:pPr>
            <w:r>
              <w:rPr>
                <w:rFonts w:ascii="Arial" w:cs="Arial" w:eastAsia="Arial" w:hAnsi="Arial"/>
                <w:sz w:val="18"/>
                <w:szCs w:val="18"/>
                <w:color w:val="auto"/>
              </w:rPr>
              <w:t xml:space="preserve">Restricted Stock: </w:t>
            </w:r>
            <w:r>
              <w:rPr>
                <w:rFonts w:ascii="Arial" w:cs="Arial" w:eastAsia="Arial" w:hAnsi="Arial"/>
                <w:sz w:val="29"/>
                <w:szCs w:val="29"/>
                <w:color w:val="auto"/>
                <w:vertAlign w:val="superscript"/>
              </w:rPr>
              <w:t>(5)(6)</w:t>
            </w: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D6F3E8"/>
          </w:tcPr>
          <w:p>
            <w:pPr>
              <w:ind w:left="340"/>
              <w:spacing w:after="0"/>
              <w:rPr>
                <w:sz w:val="20"/>
                <w:szCs w:val="20"/>
                <w:color w:val="auto"/>
              </w:rPr>
            </w:pPr>
            <w:r>
              <w:rPr>
                <w:rFonts w:ascii="Arial" w:cs="Arial" w:eastAsia="Arial" w:hAnsi="Arial"/>
                <w:sz w:val="18"/>
                <w:szCs w:val="18"/>
                <w:color w:val="auto"/>
              </w:rPr>
              <w:t>Accelerated Vesting</w:t>
            </w:r>
          </w:p>
        </w:tc>
        <w:tc>
          <w:tcPr>
            <w:tcW w:w="3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D6F3E8"/>
          </w:tcPr>
          <w:p>
            <w:pPr>
              <w:jc w:val="right"/>
              <w:ind w:right="231"/>
              <w:spacing w:after="0"/>
              <w:rPr>
                <w:sz w:val="20"/>
                <w:szCs w:val="20"/>
                <w:color w:val="auto"/>
              </w:rPr>
            </w:pPr>
            <w:r>
              <w:rPr>
                <w:rFonts w:ascii="Arial" w:cs="Arial" w:eastAsia="Arial" w:hAnsi="Arial"/>
                <w:sz w:val="18"/>
                <w:szCs w:val="18"/>
                <w:color w:val="auto"/>
              </w:rPr>
              <w:t>110,960</w:t>
            </w:r>
          </w:p>
        </w:tc>
        <w:tc>
          <w:tcPr>
            <w:tcW w:w="10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110,960</w:t>
            </w:r>
          </w:p>
        </w:tc>
        <w:tc>
          <w:tcPr>
            <w:tcW w:w="100" w:type="dxa"/>
            <w:vAlign w:val="bottom"/>
            <w:shd w:val="clear" w:color="auto" w:fill="D6F3E8"/>
          </w:tcPr>
          <w:p>
            <w:pPr>
              <w:spacing w:after="0"/>
              <w:rPr>
                <w:sz w:val="18"/>
                <w:szCs w:val="18"/>
                <w:color w:val="auto"/>
              </w:rPr>
            </w:pPr>
          </w:p>
        </w:tc>
        <w:tc>
          <w:tcPr>
            <w:tcW w:w="1080" w:type="dxa"/>
            <w:vAlign w:val="bottom"/>
            <w:shd w:val="clear" w:color="auto" w:fill="D6F3E8"/>
          </w:tcPr>
          <w:p>
            <w:pPr>
              <w:jc w:val="right"/>
              <w:ind w:right="74"/>
              <w:spacing w:after="0"/>
              <w:rPr>
                <w:sz w:val="20"/>
                <w:szCs w:val="20"/>
                <w:color w:val="auto"/>
              </w:rPr>
            </w:pPr>
            <w:r>
              <w:rPr>
                <w:rFonts w:ascii="Arial" w:cs="Arial" w:eastAsia="Arial" w:hAnsi="Arial"/>
                <w:sz w:val="18"/>
                <w:szCs w:val="18"/>
                <w:color w:val="auto"/>
              </w:rPr>
              <w:t>—</w:t>
            </w:r>
          </w:p>
        </w:tc>
        <w:tc>
          <w:tcPr>
            <w:tcW w:w="2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110,960</w:t>
            </w:r>
          </w:p>
        </w:tc>
        <w:tc>
          <w:tcPr>
            <w:tcW w:w="340" w:type="dxa"/>
            <w:vAlign w:val="bottom"/>
            <w:shd w:val="clear" w:color="auto" w:fill="D6F3E8"/>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D6F3E8"/>
          </w:tcPr>
          <w:p>
            <w:pPr>
              <w:jc w:val="right"/>
              <w:ind w:right="71"/>
              <w:spacing w:after="0"/>
              <w:rPr>
                <w:sz w:val="20"/>
                <w:szCs w:val="20"/>
                <w:color w:val="auto"/>
              </w:rPr>
            </w:pPr>
            <w:r>
              <w:rPr>
                <w:rFonts w:ascii="Arial" w:cs="Arial" w:eastAsia="Arial" w:hAnsi="Arial"/>
                <w:sz w:val="18"/>
                <w:szCs w:val="18"/>
                <w:color w:val="auto"/>
              </w:rPr>
              <w:t>110,960</w:t>
            </w:r>
          </w:p>
        </w:tc>
        <w:tc>
          <w:tcPr>
            <w:tcW w:w="3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110,960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20" w:type="dxa"/>
            <w:vAlign w:val="bottom"/>
          </w:tcPr>
          <w:p>
            <w:pPr>
              <w:ind w:left="160"/>
              <w:spacing w:after="0" w:line="256" w:lineRule="exact"/>
              <w:rPr>
                <w:sz w:val="20"/>
                <w:szCs w:val="20"/>
                <w:color w:val="auto"/>
              </w:rPr>
            </w:pPr>
            <w:r>
              <w:rPr>
                <w:rFonts w:ascii="Arial" w:cs="Arial" w:eastAsia="Arial" w:hAnsi="Arial"/>
                <w:sz w:val="18"/>
                <w:szCs w:val="18"/>
                <w:color w:val="auto"/>
              </w:rPr>
              <w:t xml:space="preserve">Options: </w:t>
            </w:r>
            <w:r>
              <w:rPr>
                <w:rFonts w:ascii="Arial" w:cs="Arial" w:eastAsia="Arial" w:hAnsi="Arial"/>
                <w:sz w:val="29"/>
                <w:szCs w:val="29"/>
                <w:color w:val="auto"/>
                <w:vertAlign w:val="superscript"/>
              </w:rPr>
              <w:t>(5)(6)</w:t>
            </w: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D6F3E8"/>
          </w:tcPr>
          <w:p>
            <w:pPr>
              <w:ind w:left="340"/>
              <w:spacing w:after="0"/>
              <w:rPr>
                <w:sz w:val="20"/>
                <w:szCs w:val="20"/>
                <w:color w:val="auto"/>
              </w:rPr>
            </w:pPr>
            <w:r>
              <w:rPr>
                <w:rFonts w:ascii="Arial" w:cs="Arial" w:eastAsia="Arial" w:hAnsi="Arial"/>
                <w:sz w:val="18"/>
                <w:szCs w:val="18"/>
                <w:color w:val="auto"/>
              </w:rPr>
              <w:t>Vested</w:t>
            </w:r>
          </w:p>
        </w:tc>
        <w:tc>
          <w:tcPr>
            <w:tcW w:w="3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D6F3E8"/>
          </w:tcPr>
          <w:p>
            <w:pPr>
              <w:jc w:val="right"/>
              <w:ind w:right="231"/>
              <w:spacing w:after="0"/>
              <w:rPr>
                <w:sz w:val="20"/>
                <w:szCs w:val="20"/>
                <w:color w:val="auto"/>
              </w:rPr>
            </w:pPr>
            <w:r>
              <w:rPr>
                <w:rFonts w:ascii="Arial" w:cs="Arial" w:eastAsia="Arial" w:hAnsi="Arial"/>
                <w:sz w:val="18"/>
                <w:szCs w:val="18"/>
                <w:color w:val="auto"/>
              </w:rPr>
              <w:t>23,008</w:t>
            </w:r>
          </w:p>
        </w:tc>
        <w:tc>
          <w:tcPr>
            <w:tcW w:w="10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23,008</w:t>
            </w:r>
          </w:p>
        </w:tc>
        <w:tc>
          <w:tcPr>
            <w:tcW w:w="100" w:type="dxa"/>
            <w:vAlign w:val="bottom"/>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D6F3E8"/>
          </w:tcPr>
          <w:p>
            <w:pPr>
              <w:jc w:val="right"/>
              <w:ind w:right="74"/>
              <w:spacing w:after="0"/>
              <w:rPr>
                <w:sz w:val="20"/>
                <w:szCs w:val="20"/>
                <w:color w:val="auto"/>
              </w:rPr>
            </w:pPr>
            <w:r>
              <w:rPr>
                <w:rFonts w:ascii="Arial" w:cs="Arial" w:eastAsia="Arial" w:hAnsi="Arial"/>
                <w:sz w:val="18"/>
                <w:szCs w:val="18"/>
                <w:color w:val="auto"/>
              </w:rPr>
              <w:t>23,008</w:t>
            </w:r>
          </w:p>
        </w:tc>
        <w:tc>
          <w:tcPr>
            <w:tcW w:w="2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23,008</w:t>
            </w:r>
          </w:p>
        </w:tc>
        <w:tc>
          <w:tcPr>
            <w:tcW w:w="340" w:type="dxa"/>
            <w:vAlign w:val="bottom"/>
            <w:shd w:val="clear" w:color="auto" w:fill="D6F3E8"/>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D6F3E8"/>
          </w:tcPr>
          <w:p>
            <w:pPr>
              <w:jc w:val="right"/>
              <w:ind w:right="71"/>
              <w:spacing w:after="0"/>
              <w:rPr>
                <w:sz w:val="20"/>
                <w:szCs w:val="20"/>
                <w:color w:val="auto"/>
              </w:rPr>
            </w:pPr>
            <w:r>
              <w:rPr>
                <w:rFonts w:ascii="Arial" w:cs="Arial" w:eastAsia="Arial" w:hAnsi="Arial"/>
                <w:sz w:val="18"/>
                <w:szCs w:val="18"/>
                <w:color w:val="auto"/>
              </w:rPr>
              <w:t>23,008</w:t>
            </w:r>
          </w:p>
        </w:tc>
        <w:tc>
          <w:tcPr>
            <w:tcW w:w="3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23,008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340"/>
              <w:spacing w:after="0"/>
              <w:rPr>
                <w:sz w:val="20"/>
                <w:szCs w:val="20"/>
                <w:color w:val="auto"/>
              </w:rPr>
            </w:pPr>
            <w:r>
              <w:rPr>
                <w:rFonts w:ascii="Arial" w:cs="Arial" w:eastAsia="Arial" w:hAnsi="Arial"/>
                <w:sz w:val="18"/>
                <w:szCs w:val="18"/>
                <w:color w:val="auto"/>
              </w:rPr>
              <w:t>Accelerated Vesting</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31"/>
              <w:spacing w:after="0"/>
              <w:rPr>
                <w:sz w:val="20"/>
                <w:szCs w:val="20"/>
                <w:color w:val="auto"/>
              </w:rPr>
            </w:pPr>
            <w:r>
              <w:rPr>
                <w:rFonts w:ascii="Arial" w:cs="Arial" w:eastAsia="Arial" w:hAnsi="Arial"/>
                <w:sz w:val="18"/>
                <w:szCs w:val="18"/>
                <w:color w:val="auto"/>
              </w:rPr>
              <w:t>7,167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7,167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7,167</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7,167</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D6F3E8"/>
          </w:tcPr>
          <w:p>
            <w:pPr>
              <w:spacing w:after="0"/>
              <w:rPr>
                <w:sz w:val="20"/>
                <w:szCs w:val="20"/>
                <w:color w:val="auto"/>
              </w:rPr>
            </w:pPr>
            <w:r>
              <w:rPr>
                <w:rFonts w:ascii="Arial" w:cs="Arial" w:eastAsia="Arial" w:hAnsi="Arial"/>
                <w:sz w:val="18"/>
                <w:szCs w:val="18"/>
                <w:color w:val="auto"/>
              </w:rPr>
              <w:t>Deferred Comp Plans:</w:t>
            </w:r>
          </w:p>
        </w:tc>
        <w:tc>
          <w:tcPr>
            <w:tcW w:w="360" w:type="dxa"/>
            <w:vAlign w:val="bottom"/>
            <w:shd w:val="clear" w:color="auto" w:fill="D6F3E8"/>
          </w:tcPr>
          <w:p>
            <w:pPr>
              <w:spacing w:after="0"/>
              <w:rPr>
                <w:sz w:val="18"/>
                <w:szCs w:val="18"/>
                <w:color w:val="auto"/>
              </w:rPr>
            </w:pPr>
          </w:p>
        </w:tc>
        <w:tc>
          <w:tcPr>
            <w:tcW w:w="124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92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1080" w:type="dxa"/>
            <w:vAlign w:val="bottom"/>
            <w:shd w:val="clear" w:color="auto" w:fill="D6F3E8"/>
          </w:tcPr>
          <w:p>
            <w:pPr>
              <w:spacing w:after="0"/>
              <w:rPr>
                <w:sz w:val="18"/>
                <w:szCs w:val="18"/>
                <w:color w:val="auto"/>
              </w:rPr>
            </w:pPr>
          </w:p>
        </w:tc>
        <w:tc>
          <w:tcPr>
            <w:tcW w:w="260" w:type="dxa"/>
            <w:vAlign w:val="bottom"/>
            <w:shd w:val="clear" w:color="auto" w:fill="D6F3E8"/>
          </w:tcPr>
          <w:p>
            <w:pPr>
              <w:spacing w:after="0"/>
              <w:rPr>
                <w:sz w:val="18"/>
                <w:szCs w:val="18"/>
                <w:color w:val="auto"/>
              </w:rPr>
            </w:pPr>
          </w:p>
        </w:tc>
        <w:tc>
          <w:tcPr>
            <w:tcW w:w="118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980" w:type="dxa"/>
            <w:vAlign w:val="bottom"/>
            <w:shd w:val="clear" w:color="auto" w:fill="D6F3E8"/>
          </w:tcPr>
          <w:p>
            <w:pPr>
              <w:spacing w:after="0"/>
              <w:rPr>
                <w:sz w:val="18"/>
                <w:szCs w:val="18"/>
                <w:color w:val="auto"/>
              </w:rPr>
            </w:pPr>
          </w:p>
        </w:tc>
        <w:tc>
          <w:tcPr>
            <w:tcW w:w="300" w:type="dxa"/>
            <w:vAlign w:val="bottom"/>
            <w:shd w:val="clear" w:color="auto" w:fill="D6F3E8"/>
          </w:tcPr>
          <w:p>
            <w:pPr>
              <w:spacing w:after="0"/>
              <w:rPr>
                <w:sz w:val="18"/>
                <w:szCs w:val="18"/>
                <w:color w:val="auto"/>
              </w:rPr>
            </w:pPr>
          </w:p>
        </w:tc>
        <w:tc>
          <w:tcPr>
            <w:tcW w:w="88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020" w:type="dxa"/>
            <w:vAlign w:val="bottom"/>
          </w:tcPr>
          <w:p>
            <w:pPr>
              <w:ind w:left="160"/>
              <w:spacing w:after="0" w:line="206" w:lineRule="exact"/>
              <w:rPr>
                <w:sz w:val="20"/>
                <w:szCs w:val="20"/>
                <w:color w:val="auto"/>
              </w:rPr>
            </w:pPr>
            <w:r>
              <w:rPr>
                <w:rFonts w:ascii="Arial" w:cs="Arial" w:eastAsia="Arial" w:hAnsi="Arial"/>
                <w:sz w:val="18"/>
                <w:szCs w:val="18"/>
                <w:color w:val="auto"/>
              </w:rPr>
              <w:t>Split Dollar Life Insurance Program</w:t>
            </w: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40" w:type="dxa"/>
            <w:vAlign w:val="bottom"/>
            <w:vMerge w:val="restart"/>
          </w:tcPr>
          <w:p>
            <w:pPr>
              <w:jc w:val="right"/>
              <w:ind w:right="231"/>
              <w:spacing w:after="0"/>
              <w:rPr>
                <w:sz w:val="20"/>
                <w:szCs w:val="20"/>
                <w:color w:val="auto"/>
              </w:rPr>
            </w:pPr>
            <w:r>
              <w:rPr>
                <w:rFonts w:ascii="Arial" w:cs="Arial" w:eastAsia="Arial" w:hAnsi="Arial"/>
                <w:sz w:val="18"/>
                <w:szCs w:val="18"/>
                <w:color w:val="auto"/>
              </w:rPr>
              <w:t>334,500</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334,500</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vMerge w:val="restart"/>
          </w:tcPr>
          <w:p>
            <w:pPr>
              <w:jc w:val="right"/>
              <w:ind w:right="74"/>
              <w:spacing w:after="0"/>
              <w:rPr>
                <w:sz w:val="20"/>
                <w:szCs w:val="20"/>
                <w:color w:val="auto"/>
              </w:rPr>
            </w:pPr>
            <w:r>
              <w:rPr>
                <w:rFonts w:ascii="Arial" w:cs="Arial" w:eastAsia="Arial" w:hAnsi="Arial"/>
                <w:sz w:val="18"/>
                <w:szCs w:val="18"/>
                <w:color w:val="auto"/>
              </w:rPr>
              <w:t>—</w:t>
            </w: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334,500</w:t>
            </w:r>
          </w:p>
        </w:tc>
        <w:tc>
          <w:tcPr>
            <w:tcW w:w="34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ind w:right="71"/>
              <w:spacing w:after="0"/>
              <w:rPr>
                <w:sz w:val="20"/>
                <w:szCs w:val="20"/>
                <w:color w:val="auto"/>
              </w:rPr>
            </w:pPr>
            <w:r>
              <w:rPr>
                <w:rFonts w:ascii="Arial" w:cs="Arial" w:eastAsia="Arial" w:hAnsi="Arial"/>
                <w:sz w:val="18"/>
                <w:szCs w:val="18"/>
                <w:color w:val="auto"/>
              </w:rPr>
              <w:t>334,500</w:t>
            </w: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334,500</w:t>
            </w:r>
          </w:p>
        </w:tc>
        <w:tc>
          <w:tcPr>
            <w:tcW w:w="0" w:type="dxa"/>
            <w:vAlign w:val="bottom"/>
          </w:tcPr>
          <w:p>
            <w:pPr>
              <w:spacing w:after="0"/>
              <w:rPr>
                <w:sz w:val="1"/>
                <w:szCs w:val="1"/>
                <w:color w:val="auto"/>
              </w:rPr>
            </w:pPr>
          </w:p>
        </w:tc>
      </w:tr>
      <w:tr>
        <w:trPr>
          <w:trHeight w:val="213"/>
        </w:trPr>
        <w:tc>
          <w:tcPr>
            <w:tcW w:w="3040" w:type="dxa"/>
            <w:vAlign w:val="bottom"/>
            <w:gridSpan w:val="2"/>
          </w:tcPr>
          <w:p>
            <w:pPr>
              <w:ind w:left="280"/>
              <w:spacing w:after="0"/>
              <w:rPr>
                <w:sz w:val="20"/>
                <w:szCs w:val="20"/>
                <w:color w:val="auto"/>
              </w:rPr>
            </w:pPr>
            <w:r>
              <w:rPr>
                <w:rFonts w:ascii="Arial" w:cs="Arial" w:eastAsia="Arial" w:hAnsi="Arial"/>
                <w:sz w:val="15"/>
                <w:szCs w:val="15"/>
                <w:color w:val="auto"/>
              </w:rPr>
              <w:t>(7)</w:t>
            </w:r>
          </w:p>
        </w:tc>
        <w:tc>
          <w:tcPr>
            <w:tcW w:w="360" w:type="dxa"/>
            <w:vAlign w:val="bottom"/>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34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20" w:type="dxa"/>
            <w:vAlign w:val="bottom"/>
            <w:shd w:val="clear" w:color="auto" w:fill="D6F3E8"/>
          </w:tcPr>
          <w:p>
            <w:pPr>
              <w:ind w:left="160"/>
              <w:spacing w:after="0" w:line="256" w:lineRule="exact"/>
              <w:rPr>
                <w:sz w:val="20"/>
                <w:szCs w:val="20"/>
                <w:color w:val="auto"/>
              </w:rPr>
            </w:pPr>
            <w:r>
              <w:rPr>
                <w:rFonts w:ascii="Arial" w:cs="Arial" w:eastAsia="Arial" w:hAnsi="Arial"/>
                <w:sz w:val="18"/>
                <w:szCs w:val="18"/>
                <w:color w:val="auto"/>
                <w:w w:val="97"/>
              </w:rPr>
              <w:t xml:space="preserve">Executive Share Option Program </w:t>
            </w:r>
            <w:r>
              <w:rPr>
                <w:rFonts w:ascii="Arial" w:cs="Arial" w:eastAsia="Arial" w:hAnsi="Arial"/>
                <w:sz w:val="29"/>
                <w:szCs w:val="29"/>
                <w:color w:val="auto"/>
                <w:w w:val="97"/>
                <w:vertAlign w:val="superscript"/>
              </w:rPr>
              <w:t>(8)</w:t>
            </w:r>
          </w:p>
        </w:tc>
        <w:tc>
          <w:tcPr>
            <w:tcW w:w="3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D6F3E8"/>
          </w:tcPr>
          <w:p>
            <w:pPr>
              <w:jc w:val="right"/>
              <w:ind w:right="231"/>
              <w:spacing w:after="0"/>
              <w:rPr>
                <w:sz w:val="20"/>
                <w:szCs w:val="20"/>
                <w:color w:val="auto"/>
              </w:rPr>
            </w:pPr>
            <w:r>
              <w:rPr>
                <w:rFonts w:ascii="Arial" w:cs="Arial" w:eastAsia="Arial" w:hAnsi="Arial"/>
                <w:sz w:val="18"/>
                <w:szCs w:val="18"/>
                <w:color w:val="auto"/>
              </w:rPr>
              <w:t>184,026</w:t>
            </w:r>
          </w:p>
        </w:tc>
        <w:tc>
          <w:tcPr>
            <w:tcW w:w="10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184,026</w:t>
            </w:r>
          </w:p>
        </w:tc>
        <w:tc>
          <w:tcPr>
            <w:tcW w:w="320" w:type="dxa"/>
            <w:vAlign w:val="bottom"/>
            <w:shd w:val="clear" w:color="auto" w:fill="D6F3E8"/>
          </w:tcPr>
          <w:p>
            <w:pPr>
              <w:spacing w:after="0"/>
              <w:rPr>
                <w:sz w:val="22"/>
                <w:szCs w:val="22"/>
                <w:color w:val="auto"/>
              </w:rPr>
            </w:pPr>
          </w:p>
        </w:tc>
        <w:tc>
          <w:tcPr>
            <w:tcW w:w="100" w:type="dxa"/>
            <w:vAlign w:val="bottom"/>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D6F3E8"/>
          </w:tcPr>
          <w:p>
            <w:pPr>
              <w:jc w:val="right"/>
              <w:ind w:right="74"/>
              <w:spacing w:after="0"/>
              <w:rPr>
                <w:sz w:val="20"/>
                <w:szCs w:val="20"/>
                <w:color w:val="auto"/>
              </w:rPr>
            </w:pPr>
            <w:r>
              <w:rPr>
                <w:rFonts w:ascii="Arial" w:cs="Arial" w:eastAsia="Arial" w:hAnsi="Arial"/>
                <w:sz w:val="18"/>
                <w:szCs w:val="18"/>
                <w:color w:val="auto"/>
              </w:rPr>
              <w:t>184,026</w:t>
            </w:r>
          </w:p>
        </w:tc>
        <w:tc>
          <w:tcPr>
            <w:tcW w:w="2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184,026</w:t>
            </w:r>
          </w:p>
        </w:tc>
        <w:tc>
          <w:tcPr>
            <w:tcW w:w="340" w:type="dxa"/>
            <w:vAlign w:val="bottom"/>
            <w:shd w:val="clear" w:color="auto" w:fill="D6F3E8"/>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D6F3E8"/>
          </w:tcPr>
          <w:p>
            <w:pPr>
              <w:jc w:val="right"/>
              <w:ind w:right="71"/>
              <w:spacing w:after="0"/>
              <w:rPr>
                <w:sz w:val="20"/>
                <w:szCs w:val="20"/>
                <w:color w:val="auto"/>
              </w:rPr>
            </w:pPr>
            <w:r>
              <w:rPr>
                <w:rFonts w:ascii="Arial" w:cs="Arial" w:eastAsia="Arial" w:hAnsi="Arial"/>
                <w:sz w:val="18"/>
                <w:szCs w:val="18"/>
                <w:color w:val="auto"/>
              </w:rPr>
              <w:t>184,026</w:t>
            </w:r>
          </w:p>
        </w:tc>
        <w:tc>
          <w:tcPr>
            <w:tcW w:w="3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184,026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Other Benefits:</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20" w:type="dxa"/>
            <w:vAlign w:val="bottom"/>
            <w:shd w:val="clear" w:color="auto" w:fill="D6F3E8"/>
          </w:tcPr>
          <w:p>
            <w:pPr>
              <w:ind w:left="160"/>
              <w:spacing w:after="0" w:line="256" w:lineRule="exact"/>
              <w:rPr>
                <w:sz w:val="20"/>
                <w:szCs w:val="20"/>
                <w:color w:val="auto"/>
              </w:rPr>
            </w:pPr>
            <w:r>
              <w:rPr>
                <w:rFonts w:ascii="Arial" w:cs="Arial" w:eastAsia="Arial" w:hAnsi="Arial"/>
                <w:sz w:val="18"/>
                <w:szCs w:val="18"/>
                <w:color w:val="auto"/>
              </w:rPr>
              <w:t xml:space="preserve">Health and Welfare </w:t>
            </w:r>
            <w:r>
              <w:rPr>
                <w:rFonts w:ascii="Arial" w:cs="Arial" w:eastAsia="Arial" w:hAnsi="Arial"/>
                <w:sz w:val="29"/>
                <w:szCs w:val="29"/>
                <w:color w:val="auto"/>
                <w:vertAlign w:val="superscript"/>
              </w:rPr>
              <w:t>(9)</w:t>
            </w:r>
          </w:p>
        </w:tc>
        <w:tc>
          <w:tcPr>
            <w:tcW w:w="3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D6F3E8"/>
          </w:tcPr>
          <w:p>
            <w:pPr>
              <w:jc w:val="right"/>
              <w:ind w:right="231"/>
              <w:spacing w:after="0"/>
              <w:rPr>
                <w:sz w:val="20"/>
                <w:szCs w:val="20"/>
                <w:color w:val="auto"/>
              </w:rPr>
            </w:pPr>
            <w:r>
              <w:rPr>
                <w:rFonts w:ascii="Arial" w:cs="Arial" w:eastAsia="Arial" w:hAnsi="Arial"/>
                <w:sz w:val="18"/>
                <w:szCs w:val="18"/>
                <w:color w:val="auto"/>
              </w:rPr>
              <w:t>9,000</w:t>
            </w:r>
          </w:p>
        </w:tc>
        <w:tc>
          <w:tcPr>
            <w:tcW w:w="100" w:type="dxa"/>
            <w:vAlign w:val="bottom"/>
            <w:shd w:val="clear" w:color="auto" w:fill="D6F3E8"/>
          </w:tcPr>
          <w:p>
            <w:pPr>
              <w:spacing w:after="0"/>
              <w:rPr>
                <w:sz w:val="22"/>
                <w:szCs w:val="22"/>
                <w:color w:val="auto"/>
              </w:rPr>
            </w:pPr>
          </w:p>
        </w:tc>
        <w:tc>
          <w:tcPr>
            <w:tcW w:w="124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D6F3E8"/>
          </w:tcPr>
          <w:p>
            <w:pPr>
              <w:spacing w:after="0"/>
              <w:rPr>
                <w:sz w:val="22"/>
                <w:szCs w:val="22"/>
                <w:color w:val="auto"/>
              </w:rPr>
            </w:pPr>
          </w:p>
        </w:tc>
        <w:tc>
          <w:tcPr>
            <w:tcW w:w="1080" w:type="dxa"/>
            <w:vAlign w:val="bottom"/>
            <w:shd w:val="clear" w:color="auto" w:fill="D6F3E8"/>
          </w:tcPr>
          <w:p>
            <w:pPr>
              <w:jc w:val="right"/>
              <w:ind w:right="74"/>
              <w:spacing w:after="0"/>
              <w:rPr>
                <w:sz w:val="20"/>
                <w:szCs w:val="20"/>
                <w:color w:val="auto"/>
              </w:rPr>
            </w:pPr>
            <w:r>
              <w:rPr>
                <w:rFonts w:ascii="Arial" w:cs="Arial" w:eastAsia="Arial" w:hAnsi="Arial"/>
                <w:sz w:val="18"/>
                <w:szCs w:val="18"/>
                <w:color w:val="auto"/>
              </w:rPr>
              <w:t>—</w:t>
            </w:r>
          </w:p>
        </w:tc>
        <w:tc>
          <w:tcPr>
            <w:tcW w:w="2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29,640</w:t>
            </w:r>
          </w:p>
        </w:tc>
        <w:tc>
          <w:tcPr>
            <w:tcW w:w="340" w:type="dxa"/>
            <w:vAlign w:val="bottom"/>
            <w:shd w:val="clear" w:color="auto" w:fill="D6F3E8"/>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D6F3E8"/>
          </w:tcPr>
          <w:p>
            <w:pPr>
              <w:jc w:val="right"/>
              <w:ind w:right="71"/>
              <w:spacing w:after="0"/>
              <w:rPr>
                <w:sz w:val="20"/>
                <w:szCs w:val="20"/>
                <w:color w:val="auto"/>
              </w:rPr>
            </w:pPr>
            <w:r>
              <w:rPr>
                <w:rFonts w:ascii="Arial" w:cs="Arial" w:eastAsia="Arial" w:hAnsi="Arial"/>
                <w:sz w:val="18"/>
                <w:szCs w:val="18"/>
                <w:color w:val="auto"/>
              </w:rPr>
              <w:t>4,500</w:t>
            </w:r>
          </w:p>
        </w:tc>
        <w:tc>
          <w:tcPr>
            <w:tcW w:w="3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20" w:type="dxa"/>
            <w:vAlign w:val="bottom"/>
          </w:tcPr>
          <w:p>
            <w:pPr>
              <w:ind w:left="160"/>
              <w:spacing w:after="0" w:line="256"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9"/>
                <w:szCs w:val="29"/>
                <w:color w:val="auto"/>
                <w:vertAlign w:val="superscript"/>
              </w:rPr>
              <w:t>(10)</w:t>
            </w:r>
          </w:p>
        </w:tc>
        <w:tc>
          <w:tcPr>
            <w:tcW w:w="360" w:type="dxa"/>
            <w:vAlign w:val="bottom"/>
          </w:tcPr>
          <w:p>
            <w:pPr>
              <w:spacing w:after="0"/>
              <w:rPr>
                <w:sz w:val="22"/>
                <w:szCs w:val="22"/>
                <w:color w:val="auto"/>
              </w:rPr>
            </w:pPr>
          </w:p>
        </w:tc>
        <w:tc>
          <w:tcPr>
            <w:tcW w:w="1240" w:type="dxa"/>
            <w:vAlign w:val="bottom"/>
          </w:tcPr>
          <w:p>
            <w:pPr>
              <w:jc w:val="right"/>
              <w:ind w:right="2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08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22,357</w:t>
            </w:r>
          </w:p>
        </w:tc>
        <w:tc>
          <w:tcPr>
            <w:tcW w:w="340" w:type="dxa"/>
            <w:vAlign w:val="bottom"/>
          </w:tcPr>
          <w:p>
            <w:pPr>
              <w:spacing w:after="0"/>
              <w:rPr>
                <w:sz w:val="22"/>
                <w:szCs w:val="22"/>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D6F3E8"/>
          </w:tcPr>
          <w:p>
            <w:pPr>
              <w:spacing w:after="0"/>
              <w:rPr>
                <w:sz w:val="20"/>
                <w:szCs w:val="20"/>
                <w:color w:val="auto"/>
              </w:rPr>
            </w:pPr>
            <w:r>
              <w:rPr>
                <w:rFonts w:ascii="Arial" w:cs="Arial" w:eastAsia="Arial" w:hAnsi="Arial"/>
                <w:sz w:val="18"/>
                <w:szCs w:val="18"/>
                <w:color w:val="auto"/>
              </w:rPr>
              <w:t>Total Benefits</w:t>
            </w:r>
          </w:p>
        </w:tc>
        <w:tc>
          <w:tcPr>
            <w:tcW w:w="3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D6F3E8"/>
          </w:tcPr>
          <w:p>
            <w:pPr>
              <w:jc w:val="right"/>
              <w:ind w:right="231"/>
              <w:spacing w:after="0"/>
              <w:rPr>
                <w:sz w:val="20"/>
                <w:szCs w:val="20"/>
                <w:color w:val="auto"/>
              </w:rPr>
            </w:pPr>
            <w:r>
              <w:rPr>
                <w:rFonts w:ascii="Arial" w:cs="Arial" w:eastAsia="Arial" w:hAnsi="Arial"/>
                <w:sz w:val="18"/>
                <w:szCs w:val="18"/>
                <w:color w:val="auto"/>
              </w:rPr>
              <w:t>855,280</w:t>
            </w:r>
          </w:p>
        </w:tc>
        <w:tc>
          <w:tcPr>
            <w:tcW w:w="10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822,918</w:t>
            </w:r>
          </w:p>
        </w:tc>
        <w:tc>
          <w:tcPr>
            <w:tcW w:w="320" w:type="dxa"/>
            <w:vAlign w:val="bottom"/>
            <w:shd w:val="clear" w:color="auto" w:fill="D6F3E8"/>
          </w:tcPr>
          <w:p>
            <w:pPr>
              <w:spacing w:after="0"/>
              <w:rPr>
                <w:sz w:val="18"/>
                <w:szCs w:val="18"/>
                <w:color w:val="auto"/>
              </w:rPr>
            </w:pPr>
          </w:p>
        </w:tc>
        <w:tc>
          <w:tcPr>
            <w:tcW w:w="100" w:type="dxa"/>
            <w:vAlign w:val="bottom"/>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D6F3E8"/>
          </w:tcPr>
          <w:p>
            <w:pPr>
              <w:jc w:val="right"/>
              <w:ind w:right="74"/>
              <w:spacing w:after="0"/>
              <w:rPr>
                <w:sz w:val="20"/>
                <w:szCs w:val="20"/>
                <w:color w:val="auto"/>
              </w:rPr>
            </w:pPr>
            <w:r>
              <w:rPr>
                <w:rFonts w:ascii="Arial" w:cs="Arial" w:eastAsia="Arial" w:hAnsi="Arial"/>
                <w:sz w:val="18"/>
                <w:szCs w:val="18"/>
                <w:color w:val="auto"/>
              </w:rPr>
              <w:t>370,291</w:t>
            </w:r>
          </w:p>
        </w:tc>
        <w:tc>
          <w:tcPr>
            <w:tcW w:w="2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1,984,174</w:t>
            </w:r>
          </w:p>
        </w:tc>
        <w:tc>
          <w:tcPr>
            <w:tcW w:w="340" w:type="dxa"/>
            <w:vAlign w:val="bottom"/>
            <w:shd w:val="clear" w:color="auto" w:fill="D6F3E8"/>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D6F3E8"/>
          </w:tcPr>
          <w:p>
            <w:pPr>
              <w:jc w:val="right"/>
              <w:ind w:right="71"/>
              <w:spacing w:after="0"/>
              <w:rPr>
                <w:sz w:val="20"/>
                <w:szCs w:val="20"/>
                <w:color w:val="auto"/>
              </w:rPr>
            </w:pPr>
            <w:r>
              <w:rPr>
                <w:rFonts w:ascii="Arial" w:cs="Arial" w:eastAsia="Arial" w:hAnsi="Arial"/>
                <w:sz w:val="18"/>
                <w:szCs w:val="18"/>
                <w:color w:val="auto"/>
              </w:rPr>
              <w:t>850,780</w:t>
            </w:r>
          </w:p>
        </w:tc>
        <w:tc>
          <w:tcPr>
            <w:tcW w:w="3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855,280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46621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540" w:hanging="478"/>
        <w:spacing w:after="0"/>
        <w:tabs>
          <w:tab w:leader="none" w:pos="5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As of August 25, 2007, Mr. O’Leary is of retirement age.</w:t>
      </w:r>
    </w:p>
    <w:p>
      <w:pPr>
        <w:spacing w:after="0" w:line="95" w:lineRule="exact"/>
        <w:rPr>
          <w:rFonts w:ascii="Arial" w:cs="Arial" w:eastAsia="Arial" w:hAnsi="Arial"/>
          <w:sz w:val="14"/>
          <w:szCs w:val="14"/>
          <w:color w:val="auto"/>
        </w:rPr>
      </w:pPr>
    </w:p>
    <w:p>
      <w:pPr>
        <w:ind w:left="540" w:right="20" w:hanging="478"/>
        <w:spacing w:after="0" w:line="253" w:lineRule="auto"/>
        <w:tabs>
          <w:tab w:leader="none" w:pos="5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Severance upon a Change of Control for Mr. O’Leary under the Executive Change of Control Agreement equals severance pay in lump sum, an amount equal to three (3) times the average of the aggregate annual compensation paid during the three (3) fiscal years of the Company immediately preceding the Change of Control.</w:t>
      </w:r>
    </w:p>
    <w:p>
      <w:pPr>
        <w:spacing w:after="0" w:line="65" w:lineRule="exact"/>
        <w:rPr>
          <w:rFonts w:ascii="Arial" w:cs="Arial" w:eastAsia="Arial" w:hAnsi="Arial"/>
          <w:sz w:val="14"/>
          <w:szCs w:val="14"/>
          <w:color w:val="auto"/>
        </w:rPr>
      </w:pPr>
    </w:p>
    <w:p>
      <w:pPr>
        <w:ind w:left="540" w:hanging="478"/>
        <w:spacing w:after="0"/>
        <w:tabs>
          <w:tab w:leader="none" w:pos="5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Represents the annual incentive eligibility pursuant to the Officers Incentive Compensation Plan.</w:t>
      </w:r>
    </w:p>
    <w:p>
      <w:pPr>
        <w:spacing w:after="0" w:line="95" w:lineRule="exact"/>
        <w:rPr>
          <w:rFonts w:ascii="Arial" w:cs="Arial" w:eastAsia="Arial" w:hAnsi="Arial"/>
          <w:sz w:val="14"/>
          <w:szCs w:val="14"/>
          <w:color w:val="auto"/>
        </w:rPr>
      </w:pPr>
    </w:p>
    <w:p>
      <w:pPr>
        <w:ind w:left="540" w:right="480" w:hanging="478"/>
        <w:spacing w:after="0" w:line="253" w:lineRule="auto"/>
        <w:tabs>
          <w:tab w:leader="none" w:pos="5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Represents the pro-rata portion of any LTIP incentive eligibility pursuant to the Officers Long-Term Incentive Plan, except by a termination pursuant to a Change of Control, which includes the full amount payable.</w:t>
      </w:r>
    </w:p>
    <w:p>
      <w:pPr>
        <w:spacing w:after="0" w:line="65" w:lineRule="exact"/>
        <w:rPr>
          <w:rFonts w:ascii="Arial" w:cs="Arial" w:eastAsia="Arial" w:hAnsi="Arial"/>
          <w:sz w:val="14"/>
          <w:szCs w:val="14"/>
          <w:color w:val="auto"/>
        </w:rPr>
      </w:pPr>
    </w:p>
    <w:p>
      <w:pPr>
        <w:ind w:left="540" w:hanging="478"/>
        <w:spacing w:after="0"/>
        <w:tabs>
          <w:tab w:leader="none" w:pos="540" w:val="left"/>
        </w:tabs>
        <w:numPr>
          <w:ilvl w:val="0"/>
          <w:numId w:val="60"/>
        </w:numPr>
        <w:rPr>
          <w:rFonts w:ascii="Arial" w:cs="Arial" w:eastAsia="Arial" w:hAnsi="Arial"/>
          <w:sz w:val="13"/>
          <w:szCs w:val="13"/>
          <w:color w:val="auto"/>
        </w:rPr>
      </w:pPr>
      <w:r>
        <w:rPr>
          <w:rFonts w:ascii="Arial" w:cs="Arial" w:eastAsia="Arial" w:hAnsi="Arial"/>
          <w:sz w:val="13"/>
          <w:szCs w:val="13"/>
          <w:color w:val="auto"/>
        </w:rPr>
        <w:t>Represents the intrinsic value of stock options and or stock grants based on the Company’s closing stock price of $27.79 per share on August 24, 2007, the last trading day of fiscal 2007.</w:t>
      </w:r>
    </w:p>
    <w:p>
      <w:pPr>
        <w:spacing w:after="0" w:line="107" w:lineRule="exact"/>
        <w:rPr>
          <w:rFonts w:ascii="Arial" w:cs="Arial" w:eastAsia="Arial" w:hAnsi="Arial"/>
          <w:sz w:val="13"/>
          <w:szCs w:val="13"/>
          <w:color w:val="auto"/>
        </w:rPr>
      </w:pPr>
    </w:p>
    <w:p>
      <w:pPr>
        <w:ind w:left="540" w:hanging="478"/>
        <w:spacing w:after="0"/>
        <w:tabs>
          <w:tab w:leader="none" w:pos="5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Stock Options and Stock Grants under the 2004 Plan provide for acceleration of unvested options in the event of Change of Control, retirement, death or disability.</w:t>
      </w:r>
    </w:p>
    <w:p>
      <w:pPr>
        <w:spacing w:after="0" w:line="95" w:lineRule="exact"/>
        <w:rPr>
          <w:rFonts w:ascii="Arial" w:cs="Arial" w:eastAsia="Arial" w:hAnsi="Arial"/>
          <w:sz w:val="14"/>
          <w:szCs w:val="14"/>
          <w:color w:val="auto"/>
        </w:rPr>
      </w:pPr>
    </w:p>
    <w:p>
      <w:pPr>
        <w:ind w:left="540" w:hanging="478"/>
        <w:spacing w:after="0"/>
        <w:tabs>
          <w:tab w:leader="none" w:pos="5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Represents the present value of benefits as of August 24, 2007 under the policy.</w:t>
      </w:r>
    </w:p>
    <w:p>
      <w:pPr>
        <w:spacing w:after="0" w:line="95" w:lineRule="exact"/>
        <w:rPr>
          <w:rFonts w:ascii="Arial" w:cs="Arial" w:eastAsia="Arial" w:hAnsi="Arial"/>
          <w:sz w:val="14"/>
          <w:szCs w:val="14"/>
          <w:color w:val="auto"/>
        </w:rPr>
      </w:pPr>
    </w:p>
    <w:p>
      <w:pPr>
        <w:ind w:left="540" w:hanging="478"/>
        <w:spacing w:after="0"/>
        <w:tabs>
          <w:tab w:leader="none" w:pos="5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Represents market value balance as of August 24, 2007 for the Executive Share Option Program reduced by the exercise price.</w:t>
      </w:r>
    </w:p>
    <w:p>
      <w:pPr>
        <w:spacing w:after="0" w:line="95" w:lineRule="exact"/>
        <w:rPr>
          <w:rFonts w:ascii="Arial" w:cs="Arial" w:eastAsia="Arial" w:hAnsi="Arial"/>
          <w:sz w:val="14"/>
          <w:szCs w:val="14"/>
          <w:color w:val="auto"/>
        </w:rPr>
      </w:pPr>
    </w:p>
    <w:p>
      <w:pPr>
        <w:ind w:left="540" w:hanging="478"/>
        <w:spacing w:after="0"/>
        <w:tabs>
          <w:tab w:leader="none" w:pos="5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Extension of benefits under retirement, death, disability and Change of Control, including health, dental, life insurance and long-term disability.</w:t>
      </w:r>
    </w:p>
    <w:p>
      <w:pPr>
        <w:spacing w:after="0" w:line="95" w:lineRule="exact"/>
        <w:rPr>
          <w:rFonts w:ascii="Arial" w:cs="Arial" w:eastAsia="Arial" w:hAnsi="Arial"/>
          <w:sz w:val="14"/>
          <w:szCs w:val="14"/>
          <w:color w:val="auto"/>
        </w:rPr>
      </w:pPr>
    </w:p>
    <w:p>
      <w:pPr>
        <w:ind w:left="540" w:hanging="478"/>
        <w:spacing w:after="0"/>
        <w:tabs>
          <w:tab w:leader="none" w:pos="5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Extension of benefits under Change of Control for the transfer of the Company automobile title to Mr. O’Leary at the Company’s net book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380"/>
          </w:cols>
          <w:pgMar w:left="240" w:top="647" w:right="279" w:bottom="0" w:gutter="0" w:footer="0" w:header="0"/>
        </w:sectPr>
      </w:pP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REPORT OF THE AUDIT COMMITTEE</w:t>
      </w:r>
    </w:p>
    <w:p>
      <w:pPr>
        <w:sectPr>
          <w:pgSz w:w="11900" w:h="16838" w:orient="portrait"/>
          <w:cols w:equalWidth="0" w:num="1">
            <w:col w:w="11380"/>
          </w:cols>
          <w:pgMar w:left="240" w:top="647" w:right="279" w:bottom="0" w:gutter="0" w:footer="0" w:header="0"/>
          <w:type w:val="continuous"/>
        </w:sectPr>
      </w:pPr>
    </w:p>
    <w:bookmarkStart w:id="33" w:name="page34"/>
    <w:bookmarkEnd w:id="33"/>
    <w:p>
      <w:pPr>
        <w:ind w:firstLine="360"/>
        <w:spacing w:after="0" w:line="257" w:lineRule="auto"/>
        <w:rPr>
          <w:sz w:val="20"/>
          <w:szCs w:val="20"/>
          <w:color w:val="auto"/>
        </w:rPr>
      </w:pPr>
      <w:r>
        <w:rPr>
          <w:rFonts w:ascii="Arial" w:cs="Arial" w:eastAsia="Arial" w:hAnsi="Arial"/>
          <w:sz w:val="18"/>
          <w:szCs w:val="18"/>
          <w:i w:val="1"/>
          <w:iCs w:val="1"/>
          <w:color w:val="auto"/>
        </w:rPr>
        <w:t>Notwithstanding anything to the contrary set forth in any of the Company’s previous or future filings under the Securities Act of 1933 or the Securities Exchange Act of 1934 that might incorporate this Proxy Statement in whole or in part, the information set forth above under “Board of Directors, Committees of the Board and Corporate Governance—Audit Committee,” relating to the charter of the Audit Committee and the independence of the Audit Committee members, and the following report shall not be deemed to be “soliciting material” or “filed” with the SEC or incorporated by reference into any such previous or future filings.</w:t>
      </w:r>
    </w:p>
    <w:p>
      <w:pPr>
        <w:spacing w:after="0" w:line="148" w:lineRule="exact"/>
        <w:rPr>
          <w:sz w:val="20"/>
          <w:szCs w:val="20"/>
          <w:color w:val="auto"/>
        </w:rPr>
      </w:pPr>
    </w:p>
    <w:p>
      <w:pPr>
        <w:ind w:right="360" w:firstLine="360"/>
        <w:spacing w:after="0" w:line="276" w:lineRule="auto"/>
        <w:rPr>
          <w:sz w:val="20"/>
          <w:szCs w:val="20"/>
          <w:color w:val="auto"/>
        </w:rPr>
      </w:pPr>
      <w:r>
        <w:rPr>
          <w:rFonts w:ascii="Arial" w:cs="Arial" w:eastAsia="Arial" w:hAnsi="Arial"/>
          <w:sz w:val="17"/>
          <w:szCs w:val="17"/>
          <w:color w:val="auto"/>
        </w:rPr>
        <w:t>The Audit Committee reviews the Company’s financial reporting process on behalf of the Board of Directors. In fulfilling its responsibilities, the Committee has reviewed and discussed the audited financial statements to be included in the 2007 Form 10-K with the Company’s management and the independent accountants. Management is responsible for the financial statements and the reporting process, including the system of internal controls. The independent accountants are responsible for expressing an opinion on the conformity of those audited financial statements with accounting principles generally accepted in the United States. The Audit Committee hereby reports as follows:</w:t>
      </w:r>
    </w:p>
    <w:p>
      <w:pPr>
        <w:spacing w:after="0" w:line="146" w:lineRule="exact"/>
        <w:rPr>
          <w:sz w:val="20"/>
          <w:szCs w:val="20"/>
          <w:color w:val="auto"/>
        </w:rPr>
      </w:pPr>
    </w:p>
    <w:p>
      <w:pPr>
        <w:ind w:left="540" w:right="200" w:firstLine="368"/>
        <w:spacing w:after="0" w:line="277" w:lineRule="auto"/>
        <w:tabs>
          <w:tab w:leader="none" w:pos="1197"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Audit Committee has reviewed and discussed the audited financial statements for the fiscal year ended August 25, 2007 of Winnebago Industries, Inc. (the “Audited Financial Statements”) with Winnebago Industries, Inc.’s management.</w:t>
      </w:r>
    </w:p>
    <w:p>
      <w:pPr>
        <w:spacing w:after="0" w:line="129" w:lineRule="exact"/>
        <w:rPr>
          <w:rFonts w:ascii="Arial" w:cs="Arial" w:eastAsia="Arial" w:hAnsi="Arial"/>
          <w:sz w:val="18"/>
          <w:szCs w:val="18"/>
          <w:color w:val="auto"/>
        </w:rPr>
      </w:pPr>
    </w:p>
    <w:p>
      <w:pPr>
        <w:ind w:left="540" w:right="200" w:firstLine="368"/>
        <w:spacing w:after="0" w:line="264" w:lineRule="auto"/>
        <w:tabs>
          <w:tab w:leader="none" w:pos="1197"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Audit Committee has discussed with Deloitte &amp; Touche LLP, the Company’s independent registered public accountants, the matters required to be discussed by Statement on Auditing Standards No. 61 (Communication with Audit Committees), as in effect on the date of this Proxy Statement.</w:t>
      </w:r>
    </w:p>
    <w:p>
      <w:pPr>
        <w:spacing w:after="0" w:line="140" w:lineRule="exact"/>
        <w:rPr>
          <w:rFonts w:ascii="Arial" w:cs="Arial" w:eastAsia="Arial" w:hAnsi="Arial"/>
          <w:sz w:val="18"/>
          <w:szCs w:val="18"/>
          <w:color w:val="auto"/>
        </w:rPr>
      </w:pPr>
    </w:p>
    <w:p>
      <w:pPr>
        <w:jc w:val="both"/>
        <w:ind w:left="540" w:right="740" w:firstLine="368"/>
        <w:spacing w:after="0" w:line="264" w:lineRule="auto"/>
        <w:tabs>
          <w:tab w:leader="none" w:pos="1197"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Audit Committee has received the written disclosures from Deloitte &amp; Touche LLP required by Independence Standards Board Standard No. 1 (Independence Discussions with Audit Committees), as in effect on the date of this Proxy Statement, and has discussed with Deloitte &amp; Touche LLP its independence.</w:t>
      </w:r>
    </w:p>
    <w:p>
      <w:pPr>
        <w:spacing w:after="0" w:line="154" w:lineRule="exact"/>
        <w:rPr>
          <w:rFonts w:ascii="Arial" w:cs="Arial" w:eastAsia="Arial" w:hAnsi="Arial"/>
          <w:sz w:val="18"/>
          <w:szCs w:val="18"/>
          <w:color w:val="auto"/>
        </w:rPr>
      </w:pPr>
    </w:p>
    <w:p>
      <w:pPr>
        <w:jc w:val="both"/>
        <w:ind w:left="540" w:right="400" w:firstLine="368"/>
        <w:spacing w:after="0" w:line="264" w:lineRule="auto"/>
        <w:tabs>
          <w:tab w:leader="none" w:pos="12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the review and discussion referred to in paragraphs (1) through (3) above, the Audit Committee recommended to the Board of Directors of Winnebago Industries, Inc., and the Board has approved, that the Audited Financial Statements be included in Winnebago Industries, Inc.’s 2007 Form 10-K, for filing with the SEC.</w:t>
      </w:r>
    </w:p>
    <w:p>
      <w:pPr>
        <w:spacing w:after="0" w:line="141" w:lineRule="exact"/>
        <w:rPr>
          <w:sz w:val="20"/>
          <w:szCs w:val="20"/>
          <w:color w:val="auto"/>
        </w:rPr>
      </w:pPr>
    </w:p>
    <w:p>
      <w:pPr>
        <w:ind w:right="660" w:firstLine="360"/>
        <w:spacing w:after="0" w:line="286" w:lineRule="auto"/>
        <w:rPr>
          <w:sz w:val="20"/>
          <w:szCs w:val="20"/>
          <w:color w:val="auto"/>
        </w:rPr>
      </w:pPr>
      <w:r>
        <w:rPr>
          <w:rFonts w:ascii="Arial" w:cs="Arial" w:eastAsia="Arial" w:hAnsi="Arial"/>
          <w:sz w:val="17"/>
          <w:szCs w:val="17"/>
          <w:color w:val="auto"/>
        </w:rPr>
        <w:t>A copy of the Audit Committee Charter, as last amended as of June 21, 2006, is available on the Company’s website at http://www.winnebagoind.com/company/investor/governance.php and in print free of charge to any shareholder who requests a copy in writing from: Winnebago Industries, Inc., Attn: Vice President-General Counsel and Secretary, 605 West Crystal Lake Road, Forest City, Iowa 50436.</w:t>
      </w:r>
    </w:p>
    <w:p>
      <w:pPr>
        <w:spacing w:after="0" w:line="1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The Audit Committee:</w:t>
      </w:r>
    </w:p>
    <w:p>
      <w:pPr>
        <w:spacing w:after="0" w:line="19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Joseph W. England (Chair)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Irvin E. Aal</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Jerry N. Currie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INDEPENDENT REGISTERED PUBLIC ACCOUNTANTS FEES AND SERVICES</w:t>
      </w:r>
    </w:p>
    <w:p>
      <w:pPr>
        <w:spacing w:after="0" w:line="219" w:lineRule="exact"/>
        <w:rPr>
          <w:sz w:val="20"/>
          <w:szCs w:val="20"/>
          <w:color w:val="auto"/>
        </w:rPr>
      </w:pPr>
    </w:p>
    <w:p>
      <w:pPr>
        <w:ind w:right="160" w:firstLine="360"/>
        <w:spacing w:after="0" w:line="259" w:lineRule="auto"/>
        <w:rPr>
          <w:sz w:val="20"/>
          <w:szCs w:val="20"/>
          <w:color w:val="auto"/>
        </w:rPr>
      </w:pPr>
      <w:r>
        <w:rPr>
          <w:rFonts w:ascii="Arial" w:cs="Arial" w:eastAsia="Arial" w:hAnsi="Arial"/>
          <w:sz w:val="18"/>
          <w:szCs w:val="18"/>
          <w:color w:val="auto"/>
        </w:rPr>
        <w:t>Deloitte &amp; Touche served as the independent registered public accountants for the Company and its subsidiaries in fiscal 2007. Deloitte &amp; Touche is an independent registered public accounting firm with the Public Company Accounting Oversight Board (“PCAOB”). Representatives of the firm are expected to be present at the Annual Meeting with the opportunity to make a statement if they so desire and are expected to be available to respond to appropriate questions.</w:t>
      </w:r>
    </w:p>
    <w:p>
      <w:pPr>
        <w:spacing w:after="0" w:line="146" w:lineRule="exact"/>
        <w:rPr>
          <w:sz w:val="20"/>
          <w:szCs w:val="20"/>
          <w:color w:val="auto"/>
        </w:rPr>
      </w:pPr>
    </w:p>
    <w:p>
      <w:pPr>
        <w:ind w:firstLine="360"/>
        <w:spacing w:after="0" w:line="342" w:lineRule="auto"/>
        <w:rPr>
          <w:sz w:val="20"/>
          <w:szCs w:val="20"/>
          <w:color w:val="auto"/>
        </w:rPr>
      </w:pPr>
      <w:r>
        <w:rPr>
          <w:rFonts w:ascii="Arial" w:cs="Arial" w:eastAsia="Arial" w:hAnsi="Arial"/>
          <w:sz w:val="16"/>
          <w:szCs w:val="16"/>
          <w:color w:val="auto"/>
        </w:rPr>
        <w:t>The following table presents fees for professional audit services rendered by Deloitte &amp; Touche for the audit of the Company’s annual financial statements for fiscal years ended August 25, 2007 and August 26, 2006, and fees billed for other services rendered by Deloitte &amp; Touche during those periods.</w:t>
      </w:r>
    </w:p>
    <w:p>
      <w:pPr>
        <w:spacing w:after="0" w:line="88" w:lineRule="exact"/>
        <w:rPr>
          <w:sz w:val="20"/>
          <w:szCs w:val="20"/>
          <w:color w:val="auto"/>
        </w:rPr>
      </w:pPr>
    </w:p>
    <w:tbl>
      <w:tblPr>
        <w:tblLayout w:type="fixed"/>
        <w:tblInd w:w="230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3"/>
              </w:rPr>
              <w:t>Fiscal 2007</w:t>
            </w:r>
          </w:p>
        </w:tc>
        <w:tc>
          <w:tcPr>
            <w:tcW w:w="460" w:type="dxa"/>
            <w:vAlign w:val="bottom"/>
          </w:tcPr>
          <w:p>
            <w:pPr>
              <w:spacing w:after="0"/>
              <w:rPr>
                <w:sz w:val="16"/>
                <w:szCs w:val="16"/>
                <w:color w:val="auto"/>
              </w:rPr>
            </w:pPr>
          </w:p>
        </w:tc>
        <w:tc>
          <w:tcPr>
            <w:tcW w:w="840" w:type="dxa"/>
            <w:vAlign w:val="bottom"/>
            <w:gridSpan w:val="3"/>
          </w:tcPr>
          <w:p>
            <w:pPr>
              <w:ind w:left="40"/>
              <w:spacing w:after="0"/>
              <w:rPr>
                <w:sz w:val="20"/>
                <w:szCs w:val="20"/>
                <w:color w:val="auto"/>
              </w:rPr>
            </w:pPr>
            <w:r>
              <w:rPr>
                <w:rFonts w:ascii="Arial" w:cs="Arial" w:eastAsia="Arial" w:hAnsi="Arial"/>
                <w:sz w:val="14"/>
                <w:szCs w:val="14"/>
                <w:b w:val="1"/>
                <w:bCs w:val="1"/>
                <w:color w:val="auto"/>
              </w:rPr>
              <w:t>Fiscal 2006</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47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740" w:type="dxa"/>
            <w:vAlign w:val="bottom"/>
            <w:shd w:val="clear" w:color="auto" w:fill="D6F3E8"/>
          </w:tcPr>
          <w:p>
            <w:pPr>
              <w:spacing w:after="0" w:line="256" w:lineRule="exact"/>
              <w:rPr>
                <w:sz w:val="20"/>
                <w:szCs w:val="20"/>
                <w:color w:val="auto"/>
              </w:rPr>
            </w:pPr>
            <w:r>
              <w:rPr>
                <w:rFonts w:ascii="Arial" w:cs="Arial" w:eastAsia="Arial" w:hAnsi="Arial"/>
                <w:sz w:val="18"/>
                <w:szCs w:val="18"/>
                <w:color w:val="auto"/>
              </w:rPr>
              <w:t>Audit Fees</w:t>
            </w:r>
            <w:r>
              <w:rPr>
                <w:rFonts w:ascii="Arial" w:cs="Arial" w:eastAsia="Arial" w:hAnsi="Arial"/>
                <w:sz w:val="29"/>
                <w:szCs w:val="29"/>
                <w:color w:val="auto"/>
                <w:vertAlign w:val="superscript"/>
              </w:rPr>
              <w:t>(1)</w:t>
            </w:r>
          </w:p>
        </w:tc>
        <w:tc>
          <w:tcPr>
            <w:tcW w:w="140" w:type="dxa"/>
            <w:vAlign w:val="bottom"/>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w w:val="92"/>
              </w:rPr>
              <w:t>550,000</w:t>
            </w:r>
          </w:p>
        </w:tc>
        <w:tc>
          <w:tcPr>
            <w:tcW w:w="60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D6F3E8"/>
          </w:tcPr>
          <w:p>
            <w:pPr>
              <w:jc w:val="right"/>
              <w:spacing w:after="0"/>
              <w:rPr>
                <w:sz w:val="20"/>
                <w:szCs w:val="20"/>
                <w:color w:val="auto"/>
              </w:rPr>
            </w:pPr>
            <w:r>
              <w:rPr>
                <w:rFonts w:ascii="Arial" w:cs="Arial" w:eastAsia="Arial" w:hAnsi="Arial"/>
                <w:sz w:val="18"/>
                <w:szCs w:val="18"/>
                <w:color w:val="auto"/>
                <w:w w:val="95"/>
              </w:rPr>
              <w:t>520,000</w:t>
            </w:r>
          </w:p>
        </w:tc>
        <w:tc>
          <w:tcPr>
            <w:tcW w:w="6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40" w:type="dxa"/>
            <w:vAlign w:val="bottom"/>
          </w:tcPr>
          <w:p>
            <w:pPr>
              <w:spacing w:after="0" w:line="256" w:lineRule="exact"/>
              <w:rPr>
                <w:sz w:val="20"/>
                <w:szCs w:val="20"/>
                <w:color w:val="auto"/>
              </w:rPr>
            </w:pPr>
            <w:r>
              <w:rPr>
                <w:rFonts w:ascii="Arial" w:cs="Arial" w:eastAsia="Arial" w:hAnsi="Arial"/>
                <w:sz w:val="18"/>
                <w:szCs w:val="18"/>
                <w:color w:val="auto"/>
              </w:rPr>
              <w:t>Audit-Related Fees</w:t>
            </w:r>
            <w:r>
              <w:rPr>
                <w:rFonts w:ascii="Arial" w:cs="Arial" w:eastAsia="Arial" w:hAnsi="Arial"/>
                <w:sz w:val="29"/>
                <w:szCs w:val="29"/>
                <w:color w:val="auto"/>
                <w:vertAlign w:val="superscript"/>
              </w:rPr>
              <w:t>(2)</w:t>
            </w:r>
          </w:p>
        </w:tc>
        <w:tc>
          <w:tcPr>
            <w:tcW w:w="140" w:type="dxa"/>
            <w:vAlign w:val="bottom"/>
          </w:tcPr>
          <w:p>
            <w:pPr>
              <w:spacing w:after="0"/>
              <w:rPr>
                <w:sz w:val="22"/>
                <w:szCs w:val="22"/>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31,450</w:t>
            </w:r>
          </w:p>
        </w:tc>
        <w:tc>
          <w:tcPr>
            <w:tcW w:w="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16,000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40" w:type="dxa"/>
            <w:vAlign w:val="bottom"/>
            <w:shd w:val="clear" w:color="auto" w:fill="D6F3E8"/>
          </w:tcPr>
          <w:p>
            <w:pPr>
              <w:spacing w:after="0" w:line="256" w:lineRule="exact"/>
              <w:rPr>
                <w:sz w:val="20"/>
                <w:szCs w:val="20"/>
                <w:color w:val="auto"/>
              </w:rPr>
            </w:pPr>
            <w:r>
              <w:rPr>
                <w:rFonts w:ascii="Arial" w:cs="Arial" w:eastAsia="Arial" w:hAnsi="Arial"/>
                <w:sz w:val="18"/>
                <w:szCs w:val="18"/>
                <w:color w:val="auto"/>
              </w:rPr>
              <w:t>Tax Fees</w:t>
            </w:r>
            <w:r>
              <w:rPr>
                <w:rFonts w:ascii="Arial" w:cs="Arial" w:eastAsia="Arial" w:hAnsi="Arial"/>
                <w:sz w:val="29"/>
                <w:szCs w:val="29"/>
                <w:color w:val="auto"/>
                <w:vertAlign w:val="superscript"/>
              </w:rPr>
              <w:t>(3)</w:t>
            </w:r>
          </w:p>
        </w:tc>
        <w:tc>
          <w:tcPr>
            <w:tcW w:w="140" w:type="dxa"/>
            <w:vAlign w:val="bottom"/>
            <w:shd w:val="clear" w:color="auto" w:fill="D6F3E8"/>
          </w:tcPr>
          <w:p>
            <w:pPr>
              <w:spacing w:after="0"/>
              <w:rPr>
                <w:sz w:val="22"/>
                <w:szCs w:val="22"/>
                <w:color w:val="auto"/>
              </w:rPr>
            </w:pPr>
          </w:p>
        </w:tc>
        <w:tc>
          <w:tcPr>
            <w:tcW w:w="64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98,925</w:t>
            </w:r>
          </w:p>
        </w:tc>
        <w:tc>
          <w:tcPr>
            <w:tcW w:w="460" w:type="dxa"/>
            <w:vAlign w:val="bottom"/>
            <w:shd w:val="clear" w:color="auto" w:fill="D6F3E8"/>
          </w:tcPr>
          <w:p>
            <w:pPr>
              <w:spacing w:after="0"/>
              <w:rPr>
                <w:sz w:val="22"/>
                <w:szCs w:val="22"/>
                <w:color w:val="auto"/>
              </w:rPr>
            </w:pPr>
          </w:p>
        </w:tc>
        <w:tc>
          <w:tcPr>
            <w:tcW w:w="140" w:type="dxa"/>
            <w:vAlign w:val="bottom"/>
            <w:shd w:val="clear" w:color="auto" w:fill="D6F3E8"/>
          </w:tcPr>
          <w:p>
            <w:pPr>
              <w:spacing w:after="0"/>
              <w:rPr>
                <w:sz w:val="22"/>
                <w:szCs w:val="22"/>
                <w:color w:val="auto"/>
              </w:rPr>
            </w:pPr>
          </w:p>
        </w:tc>
        <w:tc>
          <w:tcPr>
            <w:tcW w:w="640" w:type="dxa"/>
            <w:vAlign w:val="bottom"/>
            <w:shd w:val="clear" w:color="auto" w:fill="D6F3E8"/>
          </w:tcPr>
          <w:p>
            <w:pPr>
              <w:jc w:val="right"/>
              <w:spacing w:after="0"/>
              <w:rPr>
                <w:sz w:val="20"/>
                <w:szCs w:val="20"/>
                <w:color w:val="auto"/>
              </w:rPr>
            </w:pPr>
            <w:r>
              <w:rPr>
                <w:rFonts w:ascii="Arial" w:cs="Arial" w:eastAsia="Arial" w:hAnsi="Arial"/>
                <w:sz w:val="18"/>
                <w:szCs w:val="18"/>
                <w:color w:val="auto"/>
                <w:w w:val="95"/>
              </w:rPr>
              <w:t>126,120</w:t>
            </w:r>
          </w:p>
        </w:tc>
        <w:tc>
          <w:tcPr>
            <w:tcW w:w="6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All Other Fees</w:t>
            </w:r>
          </w:p>
        </w:tc>
        <w:tc>
          <w:tcPr>
            <w:tcW w:w="14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7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D6F3E8"/>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w w:val="92"/>
              </w:rPr>
              <w:t>680,375</w:t>
            </w:r>
          </w:p>
        </w:tc>
        <w:tc>
          <w:tcPr>
            <w:tcW w:w="60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D6F3E8"/>
          </w:tcPr>
          <w:p>
            <w:pPr>
              <w:jc w:val="right"/>
              <w:spacing w:after="0"/>
              <w:rPr>
                <w:sz w:val="20"/>
                <w:szCs w:val="20"/>
                <w:color w:val="auto"/>
              </w:rPr>
            </w:pPr>
            <w:r>
              <w:rPr>
                <w:rFonts w:ascii="Arial" w:cs="Arial" w:eastAsia="Arial" w:hAnsi="Arial"/>
                <w:sz w:val="18"/>
                <w:szCs w:val="18"/>
                <w:color w:val="auto"/>
                <w:w w:val="95"/>
              </w:rPr>
              <w:t>662,120</w:t>
            </w:r>
          </w:p>
        </w:tc>
        <w:tc>
          <w:tcPr>
            <w:tcW w:w="6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-29210</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-29210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-29210</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-29210</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289560</wp:posOffset>
            </wp:positionV>
            <wp:extent cx="146621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40" w:hanging="478"/>
        <w:spacing w:after="0"/>
        <w:tabs>
          <w:tab w:leader="none" w:pos="540" w:val="left"/>
        </w:tabs>
        <w:numPr>
          <w:ilvl w:val="0"/>
          <w:numId w:val="62"/>
        </w:numPr>
        <w:rPr>
          <w:rFonts w:ascii="Arial" w:cs="Arial" w:eastAsia="Arial" w:hAnsi="Arial"/>
          <w:sz w:val="13"/>
          <w:szCs w:val="13"/>
          <w:color w:val="auto"/>
        </w:rPr>
      </w:pPr>
      <w:r>
        <w:rPr>
          <w:rFonts w:ascii="Arial" w:cs="Arial" w:eastAsia="Arial" w:hAnsi="Arial"/>
          <w:sz w:val="13"/>
          <w:szCs w:val="13"/>
          <w:color w:val="auto"/>
        </w:rPr>
        <w:t>Audit Fees represent fees for professional services provided for the audit of the Company’s annual financial statements and review of the Company’s quarterly financial statements.</w:t>
      </w:r>
    </w:p>
    <w:p>
      <w:pPr>
        <w:spacing w:after="0" w:line="107" w:lineRule="exact"/>
        <w:rPr>
          <w:rFonts w:ascii="Arial" w:cs="Arial" w:eastAsia="Arial" w:hAnsi="Arial"/>
          <w:sz w:val="13"/>
          <w:szCs w:val="13"/>
          <w:color w:val="auto"/>
        </w:rPr>
      </w:pPr>
    </w:p>
    <w:p>
      <w:pPr>
        <w:ind w:left="540" w:hanging="478"/>
        <w:spacing w:after="0"/>
        <w:tabs>
          <w:tab w:leader="none" w:pos="5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Audit-Related Fees represent fees for the benefit plan audit and accounting related consulting matters.</w:t>
      </w:r>
    </w:p>
    <w:p>
      <w:pPr>
        <w:spacing w:after="0" w:line="95" w:lineRule="exact"/>
        <w:rPr>
          <w:rFonts w:ascii="Arial" w:cs="Arial" w:eastAsia="Arial" w:hAnsi="Arial"/>
          <w:sz w:val="14"/>
          <w:szCs w:val="14"/>
          <w:color w:val="auto"/>
        </w:rPr>
      </w:pPr>
    </w:p>
    <w:p>
      <w:pPr>
        <w:ind w:left="540" w:hanging="478"/>
        <w:spacing w:after="0"/>
        <w:tabs>
          <w:tab w:leader="none" w:pos="5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Tax Fees represent fees for professional services related to tax compliance and tax planning.</w:t>
      </w:r>
    </w:p>
    <w:p>
      <w:pPr>
        <w:sectPr>
          <w:pgSz w:w="11900" w:h="16838" w:orient="portrait"/>
          <w:cols w:equalWidth="0" w:num="1">
            <w:col w:w="11420"/>
          </w:cols>
          <w:pgMar w:left="240" w:top="125" w:right="239" w:bottom="0" w:gutter="0" w:footer="0" w:header="0"/>
          <w:type w:val="continuous"/>
        </w:sectPr>
      </w:pPr>
    </w:p>
    <w:bookmarkStart w:id="34" w:name="page35"/>
    <w:bookmarkEnd w:id="34"/>
    <w:p>
      <w:pPr>
        <w:ind w:right="600" w:firstLine="360"/>
        <w:spacing w:after="0" w:line="264" w:lineRule="auto"/>
        <w:rPr>
          <w:sz w:val="20"/>
          <w:szCs w:val="20"/>
          <w:color w:val="auto"/>
        </w:rPr>
      </w:pPr>
      <w:r>
        <w:rPr>
          <w:rFonts w:ascii="Arial" w:cs="Arial" w:eastAsia="Arial" w:hAnsi="Arial"/>
          <w:sz w:val="18"/>
          <w:szCs w:val="18"/>
          <w:color w:val="auto"/>
        </w:rPr>
        <w:t>The Audit Committee considered whether the provision of tax, benefit plan audit and accounting consulting services by Deloitte &amp; Touche to the Company is compatible with maintaining the independence of Deloitte &amp; Touche and concluded that the independence of Deloitte &amp; Touche is not compromised by the provision of such services.</w:t>
      </w:r>
    </w:p>
    <w:p>
      <w:pPr>
        <w:spacing w:after="0" w:line="141" w:lineRule="exact"/>
        <w:rPr>
          <w:sz w:val="20"/>
          <w:szCs w:val="20"/>
          <w:color w:val="auto"/>
        </w:rPr>
      </w:pPr>
    </w:p>
    <w:p>
      <w:pPr>
        <w:ind w:right="100" w:firstLine="360"/>
        <w:spacing w:after="0" w:line="293" w:lineRule="auto"/>
        <w:rPr>
          <w:sz w:val="20"/>
          <w:szCs w:val="20"/>
          <w:color w:val="auto"/>
        </w:rPr>
      </w:pPr>
      <w:r>
        <w:rPr>
          <w:rFonts w:ascii="Arial" w:cs="Arial" w:eastAsia="Arial" w:hAnsi="Arial"/>
          <w:sz w:val="16"/>
          <w:szCs w:val="16"/>
          <w:i w:val="1"/>
          <w:iCs w:val="1"/>
          <w:color w:val="auto"/>
        </w:rPr>
        <w:t xml:space="preserve">Policy Regarding the Approval of Independent Registered Public Accountants Provision of Audit and Non-Audit Services — </w:t>
      </w:r>
      <w:r>
        <w:rPr>
          <w:rFonts w:ascii="Arial" w:cs="Arial" w:eastAsia="Arial" w:hAnsi="Arial"/>
          <w:sz w:val="16"/>
          <w:szCs w:val="16"/>
          <w:color w:val="auto"/>
        </w:rPr>
        <w:t>The Company’s Audit</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Charter requires the Audit Committee to pre-approve the fees and other significant compensation to be paid to the independent registered public accountants as well as pre-approve all non-audit engagements with the independent registered public accountants. The Audit Committee shall consult with management but shall not delegate these responsibilities, except that pre-approvals of non-audit services may be delegated to a single member of the Audit Committee, who shall then inform the entire Audit Committee of the engagement of such services. The Audit Committee pre-approved under that policy 100 percent of the fees, if any, for services covered under the captions “Audit-Related Fees,” “Tax Fees” and “All Other Fees” for fiscal years 2006 and 2007.</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16(A) BENEFICIAL OWNERSHIP REPORTING COMPLIANCE</w:t>
      </w:r>
    </w:p>
    <w:p>
      <w:pPr>
        <w:spacing w:after="0" w:line="219" w:lineRule="exact"/>
        <w:rPr>
          <w:sz w:val="20"/>
          <w:szCs w:val="20"/>
          <w:color w:val="auto"/>
        </w:rPr>
      </w:pPr>
    </w:p>
    <w:p>
      <w:pPr>
        <w:ind w:right="20" w:firstLine="360"/>
        <w:spacing w:after="0" w:line="297" w:lineRule="auto"/>
        <w:rPr>
          <w:sz w:val="20"/>
          <w:szCs w:val="20"/>
          <w:color w:val="auto"/>
        </w:rPr>
      </w:pPr>
      <w:r>
        <w:rPr>
          <w:rFonts w:ascii="Arial" w:cs="Arial" w:eastAsia="Arial" w:hAnsi="Arial"/>
          <w:sz w:val="16"/>
          <w:szCs w:val="16"/>
          <w:color w:val="auto"/>
        </w:rPr>
        <w:t>Section 16(a) of the Securities Exchange Act of 1934, as amended (the “Exchange Act”) requires the Company’s officers and directors and persons who own more than ten percent of the Company’s Common Stock (collectively, “Reporting Persons”) to file reports of ownership and changes in ownership with the SEC and the NYSE. Reporting Persons are required by the SEC regulations to furnish the Company with copies of all Section 16(a) forms they file. Based solely on its review of the copies of such forms received or written representations from certain Reporting Persons that no Forms 5 were required for those persons, the Company believes that, during fiscal 2007, all Reporting Persons complied with all applicable filing requirements.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FISCAL YEAR 2008 SHAREHOLDER PROPOSALS</w:t>
      </w:r>
    </w:p>
    <w:p>
      <w:pPr>
        <w:spacing w:after="0" w:line="219" w:lineRule="exact"/>
        <w:rPr>
          <w:sz w:val="20"/>
          <w:szCs w:val="20"/>
          <w:color w:val="auto"/>
        </w:rPr>
      </w:pPr>
    </w:p>
    <w:p>
      <w:pPr>
        <w:jc w:val="both"/>
        <w:ind w:right="200" w:firstLine="360"/>
        <w:spacing w:after="0" w:line="264" w:lineRule="auto"/>
        <w:rPr>
          <w:sz w:val="20"/>
          <w:szCs w:val="20"/>
          <w:color w:val="auto"/>
        </w:rPr>
      </w:pPr>
      <w:r>
        <w:rPr>
          <w:rFonts w:ascii="Arial" w:cs="Arial" w:eastAsia="Arial" w:hAnsi="Arial"/>
          <w:sz w:val="18"/>
          <w:szCs w:val="18"/>
          <w:color w:val="auto"/>
        </w:rPr>
        <w:t>If a shareholder intends to present a proposal at the Company’s fiscal year 2008 Annual Meeting scheduled for December 16, 2008 and desires that the proposal be included in the Company’s proxy statement and form of proxy for that meeting, the proposal must be in compliance with Rule 14a-8 under the Exchange Act and received at the Company’s principal executive offices no later than June 26, 2008.</w:t>
      </w:r>
    </w:p>
    <w:p>
      <w:pPr>
        <w:spacing w:after="0" w:line="141" w:lineRule="exact"/>
        <w:rPr>
          <w:sz w:val="20"/>
          <w:szCs w:val="20"/>
          <w:color w:val="auto"/>
        </w:rPr>
      </w:pPr>
    </w:p>
    <w:p>
      <w:pPr>
        <w:ind w:firstLine="360"/>
        <w:spacing w:after="0" w:line="268" w:lineRule="auto"/>
        <w:rPr>
          <w:sz w:val="20"/>
          <w:szCs w:val="20"/>
          <w:color w:val="auto"/>
        </w:rPr>
      </w:pPr>
      <w:r>
        <w:rPr>
          <w:rFonts w:ascii="Arial" w:cs="Arial" w:eastAsia="Arial" w:hAnsi="Arial"/>
          <w:sz w:val="17"/>
          <w:szCs w:val="17"/>
          <w:color w:val="auto"/>
        </w:rPr>
        <w:t>The Company’s By-Laws and the Nominations of Directors Policy require that in order to nominate persons to the Company’s Board of Directors, a shareholder must provide advance written notice in the form set forth therein to the Secretary, which notice must be delivered to or mailed and received at the Company’s principal executive offices not less than 90 days nor more than 120 days before the anniversary of the preceding year’s annual meeting, except in the case of candidates recommended by shareholders of more than 5 percent of the Company’s Common Stock who may also submit nominations in accordance with the procedures in the Nominations of Directors Policy and except as otherwise provided in the Company’s By-Laws. The Company’s By-Laws also require that in order to present a proposal for action by shareholders at an annual meeting, a shareholder must provide advance written notice to the Secretary, which notice must contain detailed information specified in the Company’s By-Laws. This notice must be delivered to or mailed and received at the Company’s principal executive offices not less than 90 days nor more than 120 days before the anniversary of the preceding year’s annual meeting. As to any proposal that a shareholder intends to present to shareholders without inclusion in the Company’s proxy statement for the Company’s fiscal year 2008 annual meeting, the proxies named in management’s proxy for that meeting will be entitled to exercise their discretionary authority on that proposal by advising shareholders of such proposal and how they intend to exercise their discretion to vote on such matter, unless the shareholder making the proposal solicits proxies with respect to the proposal to the extent required by Rule 14a-4(c)(2) under the Exchange Act. The specific procedures to be used by shareholders, including those to be used by shareholders of more than 5 percent of the Common Stock, to recommend nominees for director are set forth in the Company’s Nominations of Directors Policy, a copy of which is attached hereto as Appendix A, and the Company’s By-Laws. A copy of the Company’s By-Laws may be obtained by written request to: Winnebago Industries, Inc., Attn: Vice President-General Counsel and Secretary, 605 West Crystal Lake Road, Forest City, Iowa 50436.</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GENERAL</w:t>
      </w:r>
    </w:p>
    <w:p>
      <w:pPr>
        <w:spacing w:after="0" w:line="219" w:lineRule="exact"/>
        <w:rPr>
          <w:sz w:val="20"/>
          <w:szCs w:val="20"/>
          <w:color w:val="auto"/>
        </w:rPr>
      </w:pPr>
    </w:p>
    <w:p>
      <w:pPr>
        <w:jc w:val="both"/>
        <w:ind w:right="100" w:firstLine="360"/>
        <w:spacing w:after="0" w:line="312" w:lineRule="auto"/>
        <w:rPr>
          <w:sz w:val="20"/>
          <w:szCs w:val="20"/>
          <w:color w:val="auto"/>
        </w:rPr>
      </w:pPr>
      <w:r>
        <w:rPr>
          <w:rFonts w:ascii="Arial" w:cs="Arial" w:eastAsia="Arial" w:hAnsi="Arial"/>
          <w:sz w:val="16"/>
          <w:szCs w:val="16"/>
          <w:color w:val="auto"/>
        </w:rPr>
        <w:t>Deloitte &amp; Touche has been selected by the Audit Committee as the Company’s independent registered public accountants for the current fiscal year by the Audit Committee. Deloitte &amp; Touche has been the Company’s accountants for more than 20 years. Representatives of that firm are expected to be present at the Annual Meeting with the opportunity to make a statement if they desire to do so and to be available to respond to appropriate questions.</w:t>
      </w:r>
    </w:p>
    <w:p>
      <w:pPr>
        <w:spacing w:after="0" w:line="106" w:lineRule="exact"/>
        <w:rPr>
          <w:sz w:val="20"/>
          <w:szCs w:val="20"/>
          <w:color w:val="auto"/>
        </w:rPr>
      </w:pPr>
    </w:p>
    <w:p>
      <w:pPr>
        <w:ind w:right="100" w:firstLine="360"/>
        <w:spacing w:after="0" w:line="259" w:lineRule="auto"/>
        <w:rPr>
          <w:sz w:val="20"/>
          <w:szCs w:val="20"/>
          <w:color w:val="auto"/>
        </w:rPr>
      </w:pPr>
      <w:r>
        <w:rPr>
          <w:rFonts w:ascii="Arial" w:cs="Arial" w:eastAsia="Arial" w:hAnsi="Arial"/>
          <w:sz w:val="18"/>
          <w:szCs w:val="18"/>
          <w:color w:val="auto"/>
        </w:rPr>
        <w:t>The cost of this proxy solicitation will be borne by the Company. Solicitation will be made primarily through the Internet and the use of the mail, but officers, directors or regular employees of the Company may solicit proxies personally or by telephone or telegraph without additional remuneration for such activity. In addition, the Company will reimburse brokerage houses and other custodians, nominees or fiduciaries for their reasonable expenses in forwarding proxies and proxy material to the beneficial owners of such shares.</w:t>
      </w:r>
    </w:p>
    <w:p>
      <w:pPr>
        <w:spacing w:after="0" w:line="160" w:lineRule="exact"/>
        <w:rPr>
          <w:sz w:val="20"/>
          <w:szCs w:val="20"/>
          <w:color w:val="auto"/>
        </w:rPr>
      </w:pPr>
    </w:p>
    <w:p>
      <w:pPr>
        <w:ind w:right="200" w:firstLine="360"/>
        <w:spacing w:after="0" w:line="259" w:lineRule="auto"/>
        <w:rPr>
          <w:sz w:val="20"/>
          <w:szCs w:val="20"/>
          <w:color w:val="auto"/>
        </w:rPr>
      </w:pPr>
      <w:r>
        <w:rPr>
          <w:rFonts w:ascii="Arial" w:cs="Arial" w:eastAsia="Arial" w:hAnsi="Arial"/>
          <w:sz w:val="18"/>
          <w:szCs w:val="18"/>
          <w:color w:val="auto"/>
        </w:rPr>
        <w:t>A copy of our Annual Report for the fiscal year ended August 25, 2007, which includes audited financial statements, is available on the Internet as set forth in the Notice of Internet Availability of Proxy Materials. The financial statements contained therein are not deemed material to the exercise of prudent judgment in regard to any matter to be acted upon at the Annual Meeting and, therefore, such financial statements are not incorporated in this Proxy Statement by reference.</w:t>
      </w:r>
    </w:p>
    <w:p>
      <w:pPr>
        <w:spacing w:after="0" w:line="142" w:lineRule="exact"/>
        <w:rPr>
          <w:sz w:val="20"/>
          <w:szCs w:val="20"/>
          <w:color w:val="auto"/>
        </w:rPr>
      </w:pPr>
    </w:p>
    <w:p>
      <w:pPr>
        <w:ind w:right="260" w:firstLine="360"/>
        <w:spacing w:after="0" w:line="266" w:lineRule="auto"/>
        <w:rPr>
          <w:sz w:val="20"/>
          <w:szCs w:val="20"/>
          <w:color w:val="auto"/>
        </w:rPr>
      </w:pPr>
      <w:r>
        <w:rPr>
          <w:rFonts w:ascii="Arial" w:cs="Arial" w:eastAsia="Arial" w:hAnsi="Arial"/>
          <w:sz w:val="18"/>
          <w:szCs w:val="18"/>
          <w:b w:val="1"/>
          <w:bCs w:val="1"/>
          <w:color w:val="auto"/>
        </w:rPr>
        <w:t>A COPY OF THIS PROXY STATEMENT AND OUR MOST RECENT ANNUAL REPORT TO THE SEC ON FORM 10-K (WITHOUT EXHIBITS) WILL BE FURNISHED, WITHOUT CHARGE, TO OUR SHAREHOLDERS UPON WRITTEN REQUEST PURSUANT TO THE INSTRUCTIONS SET FORTH IN THE NOTICE OF INTERNET AVAILABILITY OF PROXY MATERIALS.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01" w:lineRule="exact"/>
        <w:rPr>
          <w:sz w:val="20"/>
          <w:szCs w:val="20"/>
          <w:color w:val="auto"/>
        </w:rPr>
      </w:pPr>
    </w:p>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ectPr>
          <w:pgSz w:w="11900" w:h="16838" w:orient="portrait"/>
          <w:cols w:equalWidth="0" w:num="1">
            <w:col w:w="11420"/>
          </w:cols>
          <w:pgMar w:left="240" w:top="125" w:right="239" w:bottom="0" w:gutter="0" w:footer="0" w:header="0"/>
          <w:type w:val="continuous"/>
        </w:sectPr>
      </w:pPr>
    </w:p>
    <w:bookmarkStart w:id="35" w:name="page36"/>
    <w:bookmarkEnd w:id="35"/>
    <w:p>
      <w:pPr>
        <w:ind w:right="260" w:firstLine="360"/>
        <w:spacing w:after="0" w:line="261" w:lineRule="auto"/>
        <w:rPr>
          <w:sz w:val="20"/>
          <w:szCs w:val="20"/>
          <w:color w:val="auto"/>
        </w:rPr>
      </w:pPr>
      <w:r>
        <w:rPr>
          <w:rFonts w:ascii="Arial" w:cs="Arial" w:eastAsia="Arial" w:hAnsi="Arial"/>
          <w:sz w:val="18"/>
          <w:szCs w:val="18"/>
          <w:b w:val="1"/>
          <w:bCs w:val="1"/>
          <w:color w:val="auto"/>
        </w:rPr>
        <w:t>FOR INFORMATION ABOUT THE COMPANY, INCLUDING THE COMPANY’S ANNUAL, QUARTERLY AND CURRENT REPORTS ON SEC FORMS 10-K, 10-Q AND 8-K, RESPECTIVELY, PLEASE VISIT OUR HOME PAGE ON THE INTERNET – http://www.winnebagoind.com. INFORMATION CONTAINED ON OUR WEBSITE IS NOT INCORPORATED INTO THIS PROXY STATEMENT OR OTHER SECURITIES FILINGS.</w:t>
      </w:r>
    </w:p>
    <w:p>
      <w:pPr>
        <w:spacing w:after="0" w:line="144" w:lineRule="exact"/>
        <w:rPr>
          <w:sz w:val="20"/>
          <w:szCs w:val="20"/>
          <w:color w:val="auto"/>
        </w:rPr>
      </w:pPr>
    </w:p>
    <w:p>
      <w:pPr>
        <w:ind w:right="140" w:firstLine="360"/>
        <w:spacing w:after="0" w:line="342" w:lineRule="auto"/>
        <w:rPr>
          <w:sz w:val="20"/>
          <w:szCs w:val="20"/>
          <w:color w:val="auto"/>
        </w:rPr>
      </w:pPr>
      <w:r>
        <w:rPr>
          <w:rFonts w:ascii="Arial" w:cs="Arial" w:eastAsia="Arial" w:hAnsi="Arial"/>
          <w:sz w:val="16"/>
          <w:szCs w:val="16"/>
          <w:color w:val="auto"/>
        </w:rPr>
        <w:t>As of the date of this Proxy Statement, management knows of no other matters to be brought before the Annual Meeting. However, if any other matters should properly come before the meeting, it is the intention of the persons named in the proxy to vote thereon in accordance with their best judgment.</w:t>
      </w:r>
    </w:p>
    <w:p>
      <w:pPr>
        <w:spacing w:after="0" w:line="9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126365</wp:posOffset>
            </wp:positionV>
            <wp:extent cx="1543685" cy="2660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543685" cy="26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left="4520"/>
        <w:spacing w:after="0"/>
        <w:rPr>
          <w:sz w:val="20"/>
          <w:szCs w:val="20"/>
          <w:color w:val="auto"/>
        </w:rPr>
      </w:pPr>
      <w:r>
        <w:rPr>
          <w:rFonts w:ascii="Arial" w:cs="Arial" w:eastAsia="Arial" w:hAnsi="Arial"/>
          <w:sz w:val="18"/>
          <w:szCs w:val="18"/>
          <w:color w:val="auto"/>
        </w:rPr>
        <w:t>RAYMOND M. BEEBE</w:t>
      </w:r>
    </w:p>
    <w:p>
      <w:pPr>
        <w:spacing w:after="0" w:line="23" w:lineRule="exact"/>
        <w:rPr>
          <w:sz w:val="20"/>
          <w:szCs w:val="20"/>
          <w:color w:val="auto"/>
        </w:rPr>
      </w:pPr>
    </w:p>
    <w:p>
      <w:pPr>
        <w:jc w:val="center"/>
        <w:ind w:left="4580"/>
        <w:spacing w:after="0"/>
        <w:rPr>
          <w:sz w:val="20"/>
          <w:szCs w:val="20"/>
          <w:color w:val="auto"/>
        </w:rPr>
      </w:pPr>
      <w:r>
        <w:rPr>
          <w:rFonts w:ascii="Arial" w:cs="Arial" w:eastAsia="Arial" w:hAnsi="Arial"/>
          <w:sz w:val="18"/>
          <w:szCs w:val="18"/>
          <w:i w:val="1"/>
          <w:iCs w:val="1"/>
          <w:color w:val="auto"/>
        </w:rPr>
        <w:t>Secretary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October 24, 2007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A</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WINNEBAGO INDUSTRIES, INC.</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NOMINATIONS OF DIRECTORS</w:t>
      </w:r>
    </w:p>
    <w:p>
      <w:pPr>
        <w:spacing w:after="0" w:line="219"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The Nominating and Governance Committee (“Committee”) has adopted the following policy (the “Director Nomination Policy”) to assist it in fulfilling its duties and responsibilities as provided in its charter (the “Charter”). This Director Nomination Policy may be amended and/or restated from time to time by the Committee in accordance with the Charter and as provided herein.</w:t>
      </w:r>
    </w:p>
    <w:p>
      <w:pPr>
        <w:spacing w:after="0" w:line="204" w:lineRule="exact"/>
        <w:rPr>
          <w:sz w:val="20"/>
          <w:szCs w:val="20"/>
          <w:color w:val="auto"/>
        </w:rPr>
      </w:pPr>
    </w:p>
    <w:p>
      <w:pPr>
        <w:ind w:left="1020" w:right="80" w:hanging="472"/>
        <w:spacing w:after="0" w:line="268" w:lineRule="auto"/>
        <w:tabs>
          <w:tab w:leader="none" w:pos="1020" w:val="left"/>
        </w:tabs>
        <w:numPr>
          <w:ilvl w:val="0"/>
          <w:numId w:val="63"/>
        </w:numPr>
        <w:rPr>
          <w:rFonts w:ascii="Arial" w:cs="Arial" w:eastAsia="Arial" w:hAnsi="Arial"/>
          <w:sz w:val="17"/>
          <w:szCs w:val="17"/>
          <w:color w:val="auto"/>
        </w:rPr>
      </w:pPr>
      <w:r>
        <w:rPr>
          <w:rFonts w:ascii="Arial" w:cs="Arial" w:eastAsia="Arial" w:hAnsi="Arial"/>
          <w:sz w:val="17"/>
          <w:szCs w:val="17"/>
          <w:b w:val="1"/>
          <w:bCs w:val="1"/>
          <w:color w:val="auto"/>
        </w:rPr>
        <w:t>R</w:t>
      </w:r>
      <w:r>
        <w:rPr>
          <w:rFonts w:ascii="Arial" w:cs="Arial" w:eastAsia="Arial" w:hAnsi="Arial"/>
          <w:sz w:val="14"/>
          <w:szCs w:val="14"/>
          <w:b w:val="1"/>
          <w:bCs w:val="1"/>
          <w:color w:val="auto"/>
        </w:rPr>
        <w:t>ECOMMENDED</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ANDIDATES</w:t>
      </w:r>
      <w:r>
        <w:rPr>
          <w:rFonts w:ascii="Arial" w:cs="Arial" w:eastAsia="Arial" w:hAnsi="Arial"/>
          <w:sz w:val="17"/>
          <w:szCs w:val="17"/>
          <w:b w:val="1"/>
          <w:bCs w:val="1"/>
          <w:color w:val="auto"/>
        </w:rPr>
        <w:t xml:space="preserve">. </w:t>
      </w:r>
      <w:r>
        <w:rPr>
          <w:rFonts w:ascii="Arial" w:cs="Arial" w:eastAsia="Arial" w:hAnsi="Arial"/>
          <w:sz w:val="17"/>
          <w:szCs w:val="17"/>
          <w:color w:val="auto"/>
        </w:rPr>
        <w:t>The Committee shall consider any and all candidates recommended as nominees for directors to the</w:t>
      </w:r>
      <w:r>
        <w:rPr>
          <w:rFonts w:ascii="Arial" w:cs="Arial" w:eastAsia="Arial" w:hAnsi="Arial"/>
          <w:sz w:val="17"/>
          <w:szCs w:val="17"/>
          <w:b w:val="1"/>
          <w:bCs w:val="1"/>
          <w:color w:val="auto"/>
        </w:rPr>
        <w:t xml:space="preserve"> </w:t>
      </w:r>
      <w:r>
        <w:rPr>
          <w:rFonts w:ascii="Arial" w:cs="Arial" w:eastAsia="Arial" w:hAnsi="Arial"/>
          <w:sz w:val="17"/>
          <w:szCs w:val="17"/>
          <w:color w:val="auto"/>
        </w:rPr>
        <w:t>Committee by any directors, officers, shareholders of the Company, third party search firms and other sources. Under the terms of the Company’s By-Laws, the Committee will consider director nominations from shareholders of record who provide timely written notice along with prescribed information to the Secretary of the Company. To be timely, the notice must be received by the Secretary at the principal executive offices of the Company not later than 90 or earlier than 120 days prior to the anniversary of the previous year’s annual meeting, except in the case of candidates recommended by shareholders of more than 5% of the Company’s Common Stock who may also submit nominations in accordance with the procedures in Section 2 under “5% SHAREHOLDER RECOMMENDATIONS” and except as otherwise provided in the Company’s By-Laws. The shareholder’s notice must set forth (1) all information relating to such director nominee that is required to be disclosed under the federal securities laws in solicitation of proxies for election of directors in an election contest, including the person’s written consent to being named in the proxy statement as a nominee and to serving as a director if elected; (2) the name and address of the shareholder and any beneficial owner giving the notice as they appear on the Company’s books together with the number of shares of the Company’s Common Stock which are owned beneficially and of record by the shareholder and any beneficial owner; and (3) a signed statement by the nominee agreeing that, if elected, such nominee will (a) represent all Company shareholders in accordance with applicable laws and the Company’s By-Laws and (b) comply with the Company’s Code of Ethics.</w:t>
      </w:r>
    </w:p>
    <w:p>
      <w:pPr>
        <w:spacing w:after="0" w:line="50" w:lineRule="exact"/>
        <w:rPr>
          <w:rFonts w:ascii="Arial" w:cs="Arial" w:eastAsia="Arial" w:hAnsi="Arial"/>
          <w:sz w:val="17"/>
          <w:szCs w:val="17"/>
          <w:color w:val="auto"/>
        </w:rPr>
      </w:pPr>
    </w:p>
    <w:p>
      <w:pPr>
        <w:ind w:left="1020" w:right="100" w:hanging="472"/>
        <w:spacing w:after="0" w:line="284" w:lineRule="auto"/>
        <w:tabs>
          <w:tab w:leader="none" w:pos="1020" w:val="left"/>
        </w:tabs>
        <w:numPr>
          <w:ilvl w:val="0"/>
          <w:numId w:val="63"/>
        </w:numPr>
        <w:rPr>
          <w:rFonts w:ascii="Arial" w:cs="Arial" w:eastAsia="Arial" w:hAnsi="Arial"/>
          <w:sz w:val="16"/>
          <w:szCs w:val="16"/>
          <w:color w:val="auto"/>
        </w:rPr>
      </w:pPr>
      <w:r>
        <w:rPr>
          <w:rFonts w:ascii="Arial" w:cs="Arial" w:eastAsia="Arial" w:hAnsi="Arial"/>
          <w:sz w:val="16"/>
          <w:szCs w:val="16"/>
          <w:b w:val="1"/>
          <w:bCs w:val="1"/>
          <w:color w:val="auto"/>
        </w:rPr>
        <w:t>5% S</w:t>
      </w:r>
      <w:r>
        <w:rPr>
          <w:rFonts w:ascii="Arial" w:cs="Arial" w:eastAsia="Arial" w:hAnsi="Arial"/>
          <w:sz w:val="13"/>
          <w:szCs w:val="13"/>
          <w:b w:val="1"/>
          <w:bCs w:val="1"/>
          <w:color w:val="auto"/>
        </w:rPr>
        <w:t>HAREHOLDER</w:t>
      </w:r>
      <w:r>
        <w:rPr>
          <w:rFonts w:ascii="Arial" w:cs="Arial" w:eastAsia="Arial" w:hAnsi="Arial"/>
          <w:sz w:val="16"/>
          <w:szCs w:val="16"/>
          <w:b w:val="1"/>
          <w:bCs w:val="1"/>
          <w:color w:val="auto"/>
        </w:rPr>
        <w:t xml:space="preserve"> R</w:t>
      </w:r>
      <w:r>
        <w:rPr>
          <w:rFonts w:ascii="Arial" w:cs="Arial" w:eastAsia="Arial" w:hAnsi="Arial"/>
          <w:sz w:val="13"/>
          <w:szCs w:val="13"/>
          <w:b w:val="1"/>
          <w:bCs w:val="1"/>
          <w:color w:val="auto"/>
        </w:rPr>
        <w:t>ECOMMENDATIONS</w:t>
      </w:r>
      <w:r>
        <w:rPr>
          <w:rFonts w:ascii="Arial" w:cs="Arial" w:eastAsia="Arial" w:hAnsi="Arial"/>
          <w:sz w:val="16"/>
          <w:szCs w:val="16"/>
          <w:b w:val="1"/>
          <w:bCs w:val="1"/>
          <w:color w:val="auto"/>
        </w:rPr>
        <w:t xml:space="preserve">. </w:t>
      </w:r>
      <w:r>
        <w:rPr>
          <w:rFonts w:ascii="Arial" w:cs="Arial" w:eastAsia="Arial" w:hAnsi="Arial"/>
          <w:sz w:val="16"/>
          <w:szCs w:val="16"/>
          <w:color w:val="auto"/>
        </w:rPr>
        <w:t>For purposes of facilitating disclosure required in the Proxy Statement, the Committee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Corporate Secretary shall identify any candidates recommended by shareholders owning more than 5% of the Company’s Common Stock, and identify the shareholder making such recommendation, as provided in and to the extent required by the federal securities laws. In addition to the procedures for shareholders to recommend nominees described in Section 1 above, shareholders or a group of shareholders who have owned more than 5% of the Company’s Common Stock for at least one year as of the date the recommendation was made, may recommend nominees for director to the Committee provided that (1) written notice from the shareholder(s) must be received by the Secretary of the Company at the principal executive offices of the Company not later than 120 days prior to the anniversary of the date the Company’s proxy statement was released to shareholders in connection with the previous year’s annual meeting, except as otherwise provided in the Company’s By-Laws; (2) such notice must contain the name and address of the shareholder(s) and any beneficial owner(s) giving the notice as they appear on the Company’s books, together with evidence regarding the number of shares of the Company’s Common Stock together with the holding period and the written consent of the recommended candidate and the shareholder(s) to being identified in the Company’s proxy statement;</w:t>
      </w:r>
    </w:p>
    <w:p>
      <w:pPr>
        <w:ind w:left="1020" w:right="120"/>
        <w:spacing w:after="0" w:line="254" w:lineRule="auto"/>
        <w:rPr>
          <w:rFonts w:ascii="Arial" w:cs="Arial" w:eastAsia="Arial" w:hAnsi="Arial"/>
          <w:sz w:val="16"/>
          <w:szCs w:val="16"/>
          <w:color w:val="auto"/>
        </w:rPr>
      </w:pPr>
      <w:r>
        <w:rPr>
          <w:rFonts w:ascii="Arial" w:cs="Arial" w:eastAsia="Arial" w:hAnsi="Arial"/>
          <w:sz w:val="18"/>
          <w:szCs w:val="18"/>
          <w:color w:val="auto"/>
        </w:rPr>
        <w:t>(3) such notice must contain all information relating to such director nominee that is required to be disclosed under federal securities laws in solicitation of proxies for election of directors in an election contest; and (4) such notice must contain a signed statement by the nominee agreeing that, if elected, such nominee will (a) represent all Company shareholders in accordance with applicable laws and the Company’s By-Laws and (b) comply with the Company’s Code of Ethics.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sectPr>
      </w:pPr>
    </w:p>
    <w:p>
      <w:pPr>
        <w:spacing w:after="0" w:line="200" w:lineRule="exact"/>
        <w:rPr>
          <w:sz w:val="20"/>
          <w:szCs w:val="20"/>
          <w:color w:val="auto"/>
        </w:rPr>
      </w:pPr>
    </w:p>
    <w:p>
      <w:pPr>
        <w:spacing w:after="0" w:line="214" w:lineRule="exact"/>
        <w:rPr>
          <w:sz w:val="20"/>
          <w:szCs w:val="20"/>
          <w:color w:val="auto"/>
        </w:rPr>
      </w:pPr>
    </w:p>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ectPr>
          <w:pgSz w:w="11900" w:h="16838" w:orient="portrait"/>
          <w:cols w:equalWidth="0" w:num="1">
            <w:col w:w="11420"/>
          </w:cols>
          <w:pgMar w:left="240" w:top="121" w:right="239" w:bottom="0" w:gutter="0" w:footer="0" w:header="0"/>
          <w:type w:val="continuous"/>
        </w:sectPr>
      </w:pPr>
    </w:p>
    <w:bookmarkStart w:id="36" w:name="page37"/>
    <w:bookmarkEnd w:id="36"/>
    <w:p>
      <w:pPr>
        <w:spacing w:after="0" w:line="47" w:lineRule="exact"/>
        <w:rPr>
          <w:sz w:val="20"/>
          <w:szCs w:val="20"/>
          <w:color w:val="auto"/>
        </w:rPr>
      </w:pPr>
    </w:p>
    <w:p>
      <w:pPr>
        <w:ind w:left="1020" w:hanging="472"/>
        <w:spacing w:after="0" w:line="261" w:lineRule="auto"/>
        <w:tabs>
          <w:tab w:leader="none" w:pos="102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D</w:t>
      </w:r>
      <w:r>
        <w:rPr>
          <w:rFonts w:ascii="Arial" w:cs="Arial" w:eastAsia="Arial" w:hAnsi="Arial"/>
          <w:sz w:val="15"/>
          <w:szCs w:val="15"/>
          <w:b w:val="1"/>
          <w:bCs w:val="1"/>
          <w:color w:val="auto"/>
        </w:rPr>
        <w:t>ESIRED</w:t>
      </w:r>
      <w:r>
        <w:rPr>
          <w:rFonts w:ascii="Arial" w:cs="Arial" w:eastAsia="Arial" w:hAnsi="Arial"/>
          <w:sz w:val="18"/>
          <w:szCs w:val="18"/>
          <w:b w:val="1"/>
          <w:bCs w:val="1"/>
          <w:color w:val="auto"/>
        </w:rPr>
        <w:t xml:space="preserve"> Q</w:t>
      </w:r>
      <w:r>
        <w:rPr>
          <w:rFonts w:ascii="Arial" w:cs="Arial" w:eastAsia="Arial" w:hAnsi="Arial"/>
          <w:sz w:val="15"/>
          <w:szCs w:val="15"/>
          <w:b w:val="1"/>
          <w:bCs w:val="1"/>
          <w:color w:val="auto"/>
        </w:rPr>
        <w:t>UALIFICATIONS</w:t>
      </w:r>
      <w:r>
        <w:rPr>
          <w:rFonts w:ascii="Arial" w:cs="Arial" w:eastAsia="Arial" w:hAnsi="Arial"/>
          <w:sz w:val="18"/>
          <w:szCs w:val="18"/>
          <w:b w:val="1"/>
          <w:bCs w:val="1"/>
          <w:color w:val="auto"/>
        </w:rPr>
        <w:t>, Q</w:t>
      </w:r>
      <w:r>
        <w:rPr>
          <w:rFonts w:ascii="Arial" w:cs="Arial" w:eastAsia="Arial" w:hAnsi="Arial"/>
          <w:sz w:val="15"/>
          <w:szCs w:val="15"/>
          <w:b w:val="1"/>
          <w:bCs w:val="1"/>
          <w:color w:val="auto"/>
        </w:rPr>
        <w:t>UALITIES AND</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KILLS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Committee shall endeavor to find individuals of high integrity who have a solid</w:t>
      </w:r>
      <w:r>
        <w:rPr>
          <w:rFonts w:ascii="Arial" w:cs="Arial" w:eastAsia="Arial" w:hAnsi="Arial"/>
          <w:sz w:val="18"/>
          <w:szCs w:val="18"/>
          <w:b w:val="1"/>
          <w:bCs w:val="1"/>
          <w:color w:val="auto"/>
        </w:rPr>
        <w:t xml:space="preserve"> </w:t>
      </w:r>
      <w:r>
        <w:rPr>
          <w:rFonts w:ascii="Arial" w:cs="Arial" w:eastAsia="Arial" w:hAnsi="Arial"/>
          <w:sz w:val="18"/>
          <w:szCs w:val="18"/>
          <w:color w:val="auto"/>
        </w:rPr>
        <w:t>record of accomplishment in their chosen fields and who possess the qualifications, qualities and skills to effectively represent the best interests of all shareholders. Candidates will be selected for their ability to exercise good judgment, and to provide practical insights and diverse perspectives.</w:t>
      </w:r>
    </w:p>
    <w:p>
      <w:pPr>
        <w:spacing w:after="0" w:line="75" w:lineRule="exact"/>
        <w:rPr>
          <w:rFonts w:ascii="Arial" w:cs="Arial" w:eastAsia="Arial" w:hAnsi="Arial"/>
          <w:sz w:val="18"/>
          <w:szCs w:val="18"/>
          <w:color w:val="auto"/>
        </w:rPr>
      </w:pPr>
    </w:p>
    <w:p>
      <w:pPr>
        <w:ind w:left="1020" w:right="240"/>
        <w:spacing w:after="0" w:line="277" w:lineRule="auto"/>
        <w:rPr>
          <w:rFonts w:ascii="Arial" w:cs="Arial" w:eastAsia="Arial" w:hAnsi="Arial"/>
          <w:sz w:val="18"/>
          <w:szCs w:val="18"/>
          <w:color w:val="auto"/>
        </w:rPr>
      </w:pPr>
      <w:r>
        <w:rPr>
          <w:rFonts w:ascii="Arial" w:cs="Arial" w:eastAsia="Arial" w:hAnsi="Arial"/>
          <w:sz w:val="18"/>
          <w:szCs w:val="18"/>
          <w:color w:val="auto"/>
        </w:rPr>
        <w:t>The Committee considers the following qualifications at a minimum to be required of any Board members in recommending to the Board of Directors potential new Board members, or the continued service of existing members:</w:t>
      </w:r>
    </w:p>
    <w:p>
      <w:pPr>
        <w:spacing w:after="0" w:line="62" w:lineRule="exact"/>
        <w:rPr>
          <w:rFonts w:ascii="Arial" w:cs="Arial" w:eastAsia="Arial" w:hAnsi="Arial"/>
          <w:sz w:val="18"/>
          <w:szCs w:val="18"/>
          <w:color w:val="auto"/>
        </w:rPr>
      </w:pPr>
    </w:p>
    <w:p>
      <w:pPr>
        <w:ind w:left="1500" w:hanging="466"/>
        <w:spacing w:after="0"/>
        <w:tabs>
          <w:tab w:leader="none" w:pos="15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the highest professional and personal ethics;</w:t>
      </w:r>
    </w:p>
    <w:p>
      <w:pPr>
        <w:spacing w:after="0" w:line="90" w:lineRule="exact"/>
        <w:rPr>
          <w:rFonts w:ascii="Arial" w:cs="Arial" w:eastAsia="Arial" w:hAnsi="Arial"/>
          <w:sz w:val="18"/>
          <w:szCs w:val="18"/>
          <w:color w:val="auto"/>
        </w:rPr>
      </w:pPr>
    </w:p>
    <w:p>
      <w:pPr>
        <w:ind w:left="1500" w:hanging="466"/>
        <w:spacing w:after="0"/>
        <w:tabs>
          <w:tab w:leader="none" w:pos="15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broad experience in business, government, education or technology;</w:t>
      </w:r>
    </w:p>
    <w:p>
      <w:pPr>
        <w:spacing w:after="0" w:line="90" w:lineRule="exact"/>
        <w:rPr>
          <w:rFonts w:ascii="Arial" w:cs="Arial" w:eastAsia="Arial" w:hAnsi="Arial"/>
          <w:sz w:val="18"/>
          <w:szCs w:val="18"/>
          <w:color w:val="auto"/>
        </w:rPr>
      </w:pPr>
    </w:p>
    <w:p>
      <w:pPr>
        <w:ind w:left="1500" w:hanging="466"/>
        <w:spacing w:after="0"/>
        <w:tabs>
          <w:tab w:leader="none" w:pos="15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ability to provide insights and practical wisdom based on their experience and expertise;</w:t>
      </w:r>
    </w:p>
    <w:p>
      <w:pPr>
        <w:spacing w:after="0" w:line="90" w:lineRule="exact"/>
        <w:rPr>
          <w:rFonts w:ascii="Arial" w:cs="Arial" w:eastAsia="Arial" w:hAnsi="Arial"/>
          <w:sz w:val="18"/>
          <w:szCs w:val="18"/>
          <w:color w:val="auto"/>
        </w:rPr>
      </w:pPr>
    </w:p>
    <w:p>
      <w:pPr>
        <w:ind w:left="1500" w:hanging="466"/>
        <w:spacing w:after="0"/>
        <w:tabs>
          <w:tab w:leader="none" w:pos="15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commitment to enhancing shareholder value;</w:t>
      </w:r>
    </w:p>
    <w:p>
      <w:pPr>
        <w:spacing w:after="0" w:line="90" w:lineRule="exact"/>
        <w:rPr>
          <w:rFonts w:ascii="Arial" w:cs="Arial" w:eastAsia="Arial" w:hAnsi="Arial"/>
          <w:sz w:val="18"/>
          <w:szCs w:val="18"/>
          <w:color w:val="auto"/>
        </w:rPr>
      </w:pPr>
    </w:p>
    <w:p>
      <w:pPr>
        <w:ind w:left="1500" w:right="200" w:hanging="466"/>
        <w:spacing w:after="0" w:line="277" w:lineRule="auto"/>
        <w:tabs>
          <w:tab w:leader="none" w:pos="15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sufficient time to effectively carry out their duties; their service on other boards of public companies should be limited to a reasonable number;</w:t>
      </w:r>
    </w:p>
    <w:p>
      <w:pPr>
        <w:spacing w:after="0" w:line="35" w:lineRule="exact"/>
        <w:rPr>
          <w:rFonts w:ascii="Arial" w:cs="Arial" w:eastAsia="Arial" w:hAnsi="Arial"/>
          <w:sz w:val="18"/>
          <w:szCs w:val="18"/>
          <w:color w:val="auto"/>
        </w:rPr>
      </w:pPr>
    </w:p>
    <w:p>
      <w:pPr>
        <w:ind w:left="1500" w:right="20" w:hanging="466"/>
        <w:spacing w:after="0" w:line="277" w:lineRule="auto"/>
        <w:tabs>
          <w:tab w:leader="none" w:pos="15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ability to develop a good working relationship with other Board members and contribute to the Board’s working relationship with senior management of the Company; and</w:t>
      </w:r>
    </w:p>
    <w:p>
      <w:pPr>
        <w:spacing w:after="0" w:line="35" w:lineRule="exact"/>
        <w:rPr>
          <w:rFonts w:ascii="Arial" w:cs="Arial" w:eastAsia="Arial" w:hAnsi="Arial"/>
          <w:sz w:val="18"/>
          <w:szCs w:val="18"/>
          <w:color w:val="auto"/>
        </w:rPr>
      </w:pPr>
    </w:p>
    <w:p>
      <w:pPr>
        <w:ind w:left="1500" w:hanging="466"/>
        <w:spacing w:after="0"/>
        <w:tabs>
          <w:tab w:leader="none" w:pos="15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independence; a majority of the Board shall consist of independent directors, as defined in this Director Nomination Policy.</w:t>
      </w:r>
    </w:p>
    <w:p>
      <w:pPr>
        <w:spacing w:after="0" w:line="117" w:lineRule="exact"/>
        <w:rPr>
          <w:sz w:val="20"/>
          <w:szCs w:val="20"/>
          <w:color w:val="auto"/>
        </w:rPr>
      </w:pPr>
    </w:p>
    <w:p>
      <w:pPr>
        <w:ind w:left="1020"/>
        <w:spacing w:after="0" w:line="259" w:lineRule="auto"/>
        <w:rPr>
          <w:sz w:val="20"/>
          <w:szCs w:val="20"/>
          <w:color w:val="auto"/>
        </w:rPr>
      </w:pPr>
      <w:r>
        <w:rPr>
          <w:rFonts w:ascii="Arial" w:cs="Arial" w:eastAsia="Arial" w:hAnsi="Arial"/>
          <w:sz w:val="18"/>
          <w:szCs w:val="18"/>
          <w:color w:val="auto"/>
        </w:rPr>
        <w:t>Other than the foregoing, there are no stated minimum criteria for director nominees, although the Committee may also consider such other factors as it may deem are in the best interests of the Company and its shareholders. The Committee does, however, believe it appropriate for at least one member of the Board to meet the criteria for an “audit committee financial expert” as defined by Securities and Exchange Commission rules.</w:t>
      </w:r>
    </w:p>
    <w:p>
      <w:pPr>
        <w:spacing w:after="0" w:line="75" w:lineRule="exact"/>
        <w:rPr>
          <w:sz w:val="20"/>
          <w:szCs w:val="20"/>
          <w:color w:val="auto"/>
        </w:rPr>
      </w:pPr>
    </w:p>
    <w:p>
      <w:pPr>
        <w:ind w:left="1020" w:right="80" w:hanging="472"/>
        <w:spacing w:after="0" w:line="289" w:lineRule="auto"/>
        <w:tabs>
          <w:tab w:leader="none" w:pos="1020" w:val="left"/>
        </w:tabs>
        <w:numPr>
          <w:ilvl w:val="0"/>
          <w:numId w:val="65"/>
        </w:numPr>
        <w:rPr>
          <w:rFonts w:ascii="Arial" w:cs="Arial" w:eastAsia="Arial" w:hAnsi="Arial"/>
          <w:sz w:val="17"/>
          <w:szCs w:val="17"/>
          <w:color w:val="auto"/>
        </w:rPr>
      </w:pPr>
      <w:r>
        <w:rPr>
          <w:rFonts w:ascii="Arial" w:cs="Arial" w:eastAsia="Arial" w:hAnsi="Arial"/>
          <w:sz w:val="17"/>
          <w:szCs w:val="17"/>
          <w:b w:val="1"/>
          <w:bCs w:val="1"/>
          <w:color w:val="auto"/>
        </w:rPr>
        <w:t>I</w:t>
      </w:r>
      <w:r>
        <w:rPr>
          <w:rFonts w:ascii="Arial" w:cs="Arial" w:eastAsia="Arial" w:hAnsi="Arial"/>
          <w:sz w:val="14"/>
          <w:szCs w:val="14"/>
          <w:b w:val="1"/>
          <w:bCs w:val="1"/>
          <w:color w:val="auto"/>
        </w:rPr>
        <w:t>NDEPENDENCE</w:t>
      </w:r>
      <w:r>
        <w:rPr>
          <w:rFonts w:ascii="Arial" w:cs="Arial" w:eastAsia="Arial" w:hAnsi="Arial"/>
          <w:sz w:val="17"/>
          <w:szCs w:val="17"/>
          <w:b w:val="1"/>
          <w:bCs w:val="1"/>
          <w:color w:val="auto"/>
        </w:rPr>
        <w:t xml:space="preserve">. </w:t>
      </w:r>
      <w:r>
        <w:rPr>
          <w:rFonts w:ascii="Arial" w:cs="Arial" w:eastAsia="Arial" w:hAnsi="Arial"/>
          <w:sz w:val="17"/>
          <w:szCs w:val="17"/>
          <w:color w:val="auto"/>
        </w:rPr>
        <w:t>The Committee believes and it is the policy of the Company that a majority of the members of the Board meet the definition</w:t>
      </w:r>
      <w:r>
        <w:rPr>
          <w:rFonts w:ascii="Arial" w:cs="Arial" w:eastAsia="Arial" w:hAnsi="Arial"/>
          <w:sz w:val="17"/>
          <w:szCs w:val="17"/>
          <w:b w:val="1"/>
          <w:bCs w:val="1"/>
          <w:color w:val="auto"/>
        </w:rPr>
        <w:t xml:space="preserve"> </w:t>
      </w:r>
      <w:r>
        <w:rPr>
          <w:rFonts w:ascii="Arial" w:cs="Arial" w:eastAsia="Arial" w:hAnsi="Arial"/>
          <w:sz w:val="17"/>
          <w:szCs w:val="17"/>
          <w:color w:val="auto"/>
        </w:rPr>
        <w:t>of “independent director” set forth in this Director Nomination Policy. The Committee shall annually assess each nominee for director by reviewing any potential conflicts of interest and outside affiliations, based on the criteria for independence set out below.</w:t>
      </w:r>
    </w:p>
    <w:p>
      <w:pPr>
        <w:spacing w:after="0" w:line="54" w:lineRule="exact"/>
        <w:rPr>
          <w:rFonts w:ascii="Arial" w:cs="Arial" w:eastAsia="Arial" w:hAnsi="Arial"/>
          <w:sz w:val="17"/>
          <w:szCs w:val="17"/>
          <w:color w:val="auto"/>
        </w:rPr>
      </w:pPr>
    </w:p>
    <w:p>
      <w:pPr>
        <w:ind w:left="1020"/>
        <w:spacing w:after="0"/>
        <w:rPr>
          <w:rFonts w:ascii="Arial" w:cs="Arial" w:eastAsia="Arial" w:hAnsi="Arial"/>
          <w:sz w:val="17"/>
          <w:szCs w:val="17"/>
          <w:color w:val="auto"/>
        </w:rPr>
      </w:pPr>
      <w:r>
        <w:rPr>
          <w:rFonts w:ascii="Arial" w:cs="Arial" w:eastAsia="Arial" w:hAnsi="Arial"/>
          <w:sz w:val="18"/>
          <w:szCs w:val="18"/>
          <w:color w:val="auto"/>
        </w:rPr>
        <w:t>An independent director is one who:</w:t>
      </w:r>
    </w:p>
    <w:p>
      <w:pPr>
        <w:spacing w:after="0" w:line="117" w:lineRule="exact"/>
        <w:rPr>
          <w:rFonts w:ascii="Arial" w:cs="Arial" w:eastAsia="Arial" w:hAnsi="Arial"/>
          <w:sz w:val="17"/>
          <w:szCs w:val="17"/>
          <w:color w:val="auto"/>
        </w:rPr>
      </w:pPr>
    </w:p>
    <w:p>
      <w:pPr>
        <w:ind w:left="1500" w:right="620" w:hanging="466"/>
        <w:spacing w:after="0" w:line="277" w:lineRule="auto"/>
        <w:tabs>
          <w:tab w:leader="none" w:pos="15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has no material relationship with the Company, either directly or as a partner, shareholder or officer of an organization that has a relationship with the Company;</w:t>
      </w:r>
    </w:p>
    <w:p>
      <w:pPr>
        <w:spacing w:after="0" w:line="35" w:lineRule="exact"/>
        <w:rPr>
          <w:rFonts w:ascii="Arial" w:cs="Arial" w:eastAsia="Arial" w:hAnsi="Arial"/>
          <w:sz w:val="18"/>
          <w:szCs w:val="18"/>
          <w:color w:val="auto"/>
        </w:rPr>
      </w:pPr>
    </w:p>
    <w:p>
      <w:pPr>
        <w:ind w:left="1500" w:hanging="466"/>
        <w:spacing w:after="0"/>
        <w:tabs>
          <w:tab w:leader="none" w:pos="15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is not an employee of the Company and no member of his or her immediate family is an executive officer of the Company;</w:t>
      </w:r>
    </w:p>
    <w:p>
      <w:pPr>
        <w:spacing w:after="0" w:line="90" w:lineRule="exact"/>
        <w:rPr>
          <w:rFonts w:ascii="Arial" w:cs="Arial" w:eastAsia="Arial" w:hAnsi="Arial"/>
          <w:sz w:val="18"/>
          <w:szCs w:val="18"/>
          <w:color w:val="auto"/>
        </w:rPr>
      </w:pPr>
    </w:p>
    <w:p>
      <w:pPr>
        <w:ind w:left="1500" w:right="220" w:hanging="466"/>
        <w:spacing w:after="0" w:line="277" w:lineRule="auto"/>
        <w:tabs>
          <w:tab w:leader="none" w:pos="15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has not been employed by the Company and no member of his or her immediate family has been an executive officer of the Company during the past three years;</w:t>
      </w:r>
    </w:p>
    <w:p>
      <w:pPr>
        <w:spacing w:after="0" w:line="35" w:lineRule="exact"/>
        <w:rPr>
          <w:rFonts w:ascii="Arial" w:cs="Arial" w:eastAsia="Arial" w:hAnsi="Arial"/>
          <w:sz w:val="18"/>
          <w:szCs w:val="18"/>
          <w:color w:val="auto"/>
        </w:rPr>
      </w:pPr>
    </w:p>
    <w:p>
      <w:pPr>
        <w:ind w:left="1500" w:right="140" w:hanging="466"/>
        <w:spacing w:after="0" w:line="277" w:lineRule="auto"/>
        <w:tabs>
          <w:tab w:leader="none" w:pos="15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has not received and no member of his or her immediate family has received more than $100,000 per year in direct compensation from the Company in any capacity other than as a director during the past three years;</w:t>
      </w:r>
    </w:p>
    <w:p>
      <w:pPr>
        <w:spacing w:after="0" w:line="35" w:lineRule="exact"/>
        <w:rPr>
          <w:rFonts w:ascii="Arial" w:cs="Arial" w:eastAsia="Arial" w:hAnsi="Arial"/>
          <w:sz w:val="18"/>
          <w:szCs w:val="18"/>
          <w:color w:val="auto"/>
        </w:rPr>
      </w:pPr>
    </w:p>
    <w:p>
      <w:pPr>
        <w:ind w:left="1500" w:hanging="466"/>
        <w:spacing w:after="0"/>
        <w:tabs>
          <w:tab w:leader="none" w:pos="1500" w:val="left"/>
        </w:tabs>
        <w:numPr>
          <w:ilvl w:val="1"/>
          <w:numId w:val="65"/>
        </w:numPr>
        <w:rPr>
          <w:rFonts w:ascii="Arial" w:cs="Arial" w:eastAsia="Arial" w:hAnsi="Arial"/>
          <w:sz w:val="16"/>
          <w:szCs w:val="16"/>
          <w:color w:val="auto"/>
        </w:rPr>
      </w:pPr>
      <w:r>
        <w:rPr>
          <w:rFonts w:ascii="Arial" w:cs="Arial" w:eastAsia="Arial" w:hAnsi="Arial"/>
          <w:sz w:val="16"/>
          <w:szCs w:val="16"/>
          <w:color w:val="auto"/>
        </w:rPr>
        <w:t>(A) is not and no member of his or her immediate family is a current partner of a firm that is the Company’s internal or external auditor;</w:t>
      </w:r>
    </w:p>
    <w:p>
      <w:pPr>
        <w:spacing w:after="0" w:line="46" w:lineRule="exact"/>
        <w:rPr>
          <w:rFonts w:ascii="Arial" w:cs="Arial" w:eastAsia="Arial" w:hAnsi="Arial"/>
          <w:sz w:val="16"/>
          <w:szCs w:val="16"/>
          <w:color w:val="auto"/>
        </w:rPr>
      </w:pPr>
    </w:p>
    <w:p>
      <w:pPr>
        <w:jc w:val="both"/>
        <w:ind w:left="1500" w:right="220"/>
        <w:spacing w:after="0" w:line="253" w:lineRule="auto"/>
        <w:rPr>
          <w:rFonts w:ascii="Arial" w:cs="Arial" w:eastAsia="Arial" w:hAnsi="Arial"/>
          <w:sz w:val="16"/>
          <w:szCs w:val="16"/>
          <w:color w:val="auto"/>
        </w:rPr>
      </w:pPr>
      <w:r>
        <w:rPr>
          <w:rFonts w:ascii="Arial" w:cs="Arial" w:eastAsia="Arial" w:hAnsi="Arial"/>
          <w:sz w:val="18"/>
          <w:szCs w:val="18"/>
          <w:color w:val="auto"/>
        </w:rPr>
        <w:t>(B) is not a current employee of the Company’s internal or external auditor; (C) does not have an immediate family member who is a current employee of the Company’s internal or external auditor and who participates in that firm’s audit, assurance or tax compliance (but not tax planning) practice; and (D) within the last three years was not and no member of his or her immediate family was (and no longer is), a partner or employee of the Company’s internal or external auditor and personally worked on the Company’s audit within that time;</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500" w:right="20" w:hanging="466"/>
        <w:spacing w:after="0" w:line="286" w:lineRule="auto"/>
        <w:tabs>
          <w:tab w:leader="none" w:pos="15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is not and no member of his or her immediate family is currently, and for the past three years has not been, and no member of his or her immediate family has been, part of an interlocking directorate in which an executive officer of the Company serves on the compensation committee of another company that employs the director or an immediate family member of the director;</w:t>
      </w:r>
    </w:p>
    <w:p>
      <w:pPr>
        <w:spacing w:after="0" w:line="30" w:lineRule="exact"/>
        <w:rPr>
          <w:rFonts w:ascii="Arial" w:cs="Arial" w:eastAsia="Arial" w:hAnsi="Arial"/>
          <w:sz w:val="17"/>
          <w:szCs w:val="17"/>
          <w:color w:val="auto"/>
        </w:rPr>
      </w:pPr>
    </w:p>
    <w:p>
      <w:pPr>
        <w:ind w:left="1500" w:right="220" w:hanging="466"/>
        <w:spacing w:after="0" w:line="312" w:lineRule="auto"/>
        <w:tabs>
          <w:tab w:leader="none" w:pos="15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is not an executive officer or an employee, and no member of his or her immediate family is an executive officer, of another company that makes payments to, or receives payments from, the Company for property or services in an amount which, in any single year, exceeds the greater of $1 million, or 2% of such other company’s consolidated revenues during any of the past three years;</w:t>
      </w:r>
    </w:p>
    <w:p>
      <w:pPr>
        <w:spacing w:after="0" w:line="11" w:lineRule="exact"/>
        <w:rPr>
          <w:rFonts w:ascii="Arial" w:cs="Arial" w:eastAsia="Arial" w:hAnsi="Arial"/>
          <w:sz w:val="16"/>
          <w:szCs w:val="16"/>
          <w:color w:val="auto"/>
        </w:rPr>
      </w:pPr>
    </w:p>
    <w:p>
      <w:pPr>
        <w:ind w:left="1500" w:right="260" w:hanging="466"/>
        <w:spacing w:after="0" w:line="277" w:lineRule="auto"/>
        <w:tabs>
          <w:tab w:leader="none" w:pos="15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is free of any relationships with the Company that may impair, or appear to impair, his or her ability to make independent judgments; and</w:t>
      </w:r>
    </w:p>
    <w:p>
      <w:pPr>
        <w:spacing w:after="0" w:line="35" w:lineRule="exact"/>
        <w:rPr>
          <w:rFonts w:ascii="Arial" w:cs="Arial" w:eastAsia="Arial" w:hAnsi="Arial"/>
          <w:sz w:val="18"/>
          <w:szCs w:val="18"/>
          <w:color w:val="auto"/>
        </w:rPr>
      </w:pPr>
    </w:p>
    <w:p>
      <w:pPr>
        <w:ind w:left="1500" w:hanging="466"/>
        <w:spacing w:after="0" w:line="264" w:lineRule="auto"/>
        <w:tabs>
          <w:tab w:leader="none" w:pos="15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is not and no member of his or her immediate family is employed by or serves as a director, officer or trustee of a charitable organization that receives contributions from the Company or a Company charitable trust, in an amount which exceeds the greater of $1 million or 2% of such charitable organization’s total annual receipts.</w:t>
      </w:r>
    </w:p>
    <w:p>
      <w:pPr>
        <w:spacing w:after="0" w:line="73" w:lineRule="exact"/>
        <w:rPr>
          <w:sz w:val="20"/>
          <w:szCs w:val="20"/>
          <w:color w:val="auto"/>
        </w:rPr>
      </w:pPr>
    </w:p>
    <w:p>
      <w:pPr>
        <w:ind w:left="1020" w:right="940"/>
        <w:spacing w:after="0" w:line="277" w:lineRule="auto"/>
        <w:rPr>
          <w:sz w:val="20"/>
          <w:szCs w:val="20"/>
          <w:color w:val="auto"/>
        </w:rPr>
      </w:pPr>
      <w:r>
        <w:rPr>
          <w:rFonts w:ascii="Arial" w:cs="Arial" w:eastAsia="Arial" w:hAnsi="Arial"/>
          <w:sz w:val="18"/>
          <w:szCs w:val="18"/>
          <w:color w:val="auto"/>
        </w:rPr>
        <w:t>This policy may be modified temporarily if, due to unforeseen circumstances, strict adherence would be detrimental to the Board’s performance.</w:t>
      </w:r>
    </w:p>
    <w:p>
      <w:pPr>
        <w:spacing w:after="0" w:line="62"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For purposes of determining a “material relationship,” the Committee shall utilize the following standards:</w:t>
      </w:r>
    </w:p>
    <w:p>
      <w:pPr>
        <w:spacing w:after="0" w:line="117" w:lineRule="exact"/>
        <w:rPr>
          <w:sz w:val="20"/>
          <w:szCs w:val="20"/>
          <w:color w:val="auto"/>
        </w:rPr>
      </w:pPr>
    </w:p>
    <w:p>
      <w:pPr>
        <w:ind w:left="1500" w:right="180" w:hanging="466"/>
        <w:spacing w:after="0" w:line="312" w:lineRule="auto"/>
        <w:tabs>
          <w:tab w:leader="none" w:pos="15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Any payments by the Company to a director’s primary business affiliation or the primary business affiliation of an immediate family member of a director for goods or services, or other contractual arrangements, must be made in the ordinary course of business and on substantially the same terms as those prevailing at the time for comparable transactions with non-affiliated persons.</w:t>
      </w:r>
    </w:p>
    <w:p>
      <w:pPr>
        <w:spacing w:after="0" w:line="11" w:lineRule="exact"/>
        <w:rPr>
          <w:rFonts w:ascii="Arial" w:cs="Arial" w:eastAsia="Arial" w:hAnsi="Arial"/>
          <w:sz w:val="16"/>
          <w:szCs w:val="16"/>
          <w:color w:val="auto"/>
        </w:rPr>
      </w:pPr>
    </w:p>
    <w:p>
      <w:pPr>
        <w:ind w:left="1500" w:hanging="466"/>
        <w:spacing w:after="0"/>
        <w:tabs>
          <w:tab w:leader="none" w:pos="15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aggregate amount of such payments must not exceed 2% of the Company’s consolidated gross revenues.</w:t>
      </w:r>
    </w:p>
    <w:p>
      <w:pPr>
        <w:spacing w:after="0" w:line="117" w:lineRule="exact"/>
        <w:rPr>
          <w:sz w:val="20"/>
          <w:szCs w:val="20"/>
          <w:color w:val="auto"/>
        </w:rPr>
      </w:pPr>
    </w:p>
    <w:p>
      <w:pPr>
        <w:ind w:left="1020" w:right="240"/>
        <w:spacing w:after="0" w:line="259" w:lineRule="auto"/>
        <w:rPr>
          <w:sz w:val="20"/>
          <w:szCs w:val="20"/>
          <w:color w:val="auto"/>
        </w:rPr>
      </w:pPr>
      <w:r>
        <w:rPr>
          <w:rFonts w:ascii="Arial" w:cs="Arial" w:eastAsia="Arial" w:hAnsi="Arial"/>
          <w:sz w:val="18"/>
          <w:szCs w:val="18"/>
          <w:color w:val="auto"/>
        </w:rPr>
        <w:t>For purposes of these independence standards, (i) immediate family members of a director include the director’s spouse, parents, children, siblings, mother- and father-in-law, sons- and daughters-in-law, and brothers and sisters-in-law and anyone (other than domestic employees) who shares the director’s home and (ii) the term “primary business affiliation” means an entity of which the director is a principal/executive officer or in which the director holds at least a 5% equity interest.</w:t>
      </w:r>
    </w:p>
    <w:p>
      <w:pPr>
        <w:sectPr>
          <w:pgSz w:w="11900" w:h="16885" w:orient="portrait"/>
          <w:cols w:equalWidth="0" w:num="1">
            <w:col w:w="11360"/>
          </w:cols>
          <w:pgMar w:left="240" w:top="121" w:right="299" w:bottom="0" w:gutter="0" w:footer="0" w:header="0"/>
        </w:sectPr>
      </w:pPr>
    </w:p>
    <w:bookmarkStart w:id="37" w:name="page38"/>
    <w:bookmarkEnd w:id="37"/>
    <w:p>
      <w:pPr>
        <w:spacing w:after="0" w:line="66" w:lineRule="exact"/>
        <w:rPr>
          <w:sz w:val="20"/>
          <w:szCs w:val="20"/>
          <w:color w:val="auto"/>
        </w:rPr>
      </w:pPr>
    </w:p>
    <w:p>
      <w:pPr>
        <w:ind w:left="1020" w:hanging="472"/>
        <w:spacing w:after="0" w:line="269" w:lineRule="auto"/>
        <w:tabs>
          <w:tab w:leader="none" w:pos="1020" w:val="left"/>
        </w:tabs>
        <w:numPr>
          <w:ilvl w:val="0"/>
          <w:numId w:val="68"/>
        </w:numPr>
        <w:rPr>
          <w:rFonts w:ascii="Arial" w:cs="Arial" w:eastAsia="Arial" w:hAnsi="Arial"/>
          <w:sz w:val="17"/>
          <w:szCs w:val="17"/>
          <w:color w:val="auto"/>
        </w:rPr>
      </w:pPr>
      <w:r>
        <w:rPr>
          <w:rFonts w:ascii="Arial" w:cs="Arial" w:eastAsia="Arial" w:hAnsi="Arial"/>
          <w:sz w:val="17"/>
          <w:szCs w:val="17"/>
          <w:b w:val="1"/>
          <w:bCs w:val="1"/>
          <w:color w:val="auto"/>
        </w:rPr>
        <w:t>N</w:t>
      </w:r>
      <w:r>
        <w:rPr>
          <w:rFonts w:ascii="Arial" w:cs="Arial" w:eastAsia="Arial" w:hAnsi="Arial"/>
          <w:sz w:val="14"/>
          <w:szCs w:val="14"/>
          <w:b w:val="1"/>
          <w:bCs w:val="1"/>
          <w:color w:val="auto"/>
        </w:rPr>
        <w:t>OMINEE</w:t>
      </w:r>
      <w:r>
        <w:rPr>
          <w:rFonts w:ascii="Arial" w:cs="Arial" w:eastAsia="Arial" w:hAnsi="Arial"/>
          <w:sz w:val="17"/>
          <w:szCs w:val="17"/>
          <w:b w:val="1"/>
          <w:bCs w:val="1"/>
          <w:color w:val="auto"/>
        </w:rPr>
        <w:t xml:space="preserve"> E</w:t>
      </w:r>
      <w:r>
        <w:rPr>
          <w:rFonts w:ascii="Arial" w:cs="Arial" w:eastAsia="Arial" w:hAnsi="Arial"/>
          <w:sz w:val="14"/>
          <w:szCs w:val="14"/>
          <w:b w:val="1"/>
          <w:bCs w:val="1"/>
          <w:color w:val="auto"/>
        </w:rPr>
        <w:t>VALUATION</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ROCESS</w:t>
      </w:r>
      <w:r>
        <w:rPr>
          <w:rFonts w:ascii="Arial" w:cs="Arial" w:eastAsia="Arial" w:hAnsi="Arial"/>
          <w:sz w:val="17"/>
          <w:szCs w:val="17"/>
          <w:b w:val="1"/>
          <w:bCs w:val="1"/>
          <w:color w:val="auto"/>
        </w:rPr>
        <w:t xml:space="preserve">. </w:t>
      </w:r>
      <w:r>
        <w:rPr>
          <w:rFonts w:ascii="Arial" w:cs="Arial" w:eastAsia="Arial" w:hAnsi="Arial"/>
          <w:sz w:val="17"/>
          <w:szCs w:val="17"/>
          <w:color w:val="auto"/>
        </w:rPr>
        <w:t>The Committee will consider as a candidate any director of the Company who has indicated to the</w:t>
      </w:r>
      <w:r>
        <w:rPr>
          <w:rFonts w:ascii="Arial" w:cs="Arial" w:eastAsia="Arial" w:hAnsi="Arial"/>
          <w:sz w:val="17"/>
          <w:szCs w:val="17"/>
          <w:b w:val="1"/>
          <w:bCs w:val="1"/>
          <w:color w:val="auto"/>
        </w:rPr>
        <w:t xml:space="preserve"> </w:t>
      </w:r>
      <w:r>
        <w:rPr>
          <w:rFonts w:ascii="Arial" w:cs="Arial" w:eastAsia="Arial" w:hAnsi="Arial"/>
          <w:sz w:val="17"/>
          <w:szCs w:val="17"/>
          <w:color w:val="auto"/>
        </w:rPr>
        <w:t>Committee that he or she is willing to stand for re-election as well as any other person who is recommended by any shareholders of the Company in accordance with the procedures described under “RECOMMENDED CANDIDATES” in Section 1 and under “5% SHAREHOLDER RECOMMENDATIONS” in Section 2. The Committee may also undertake its own search process for candidates and may retain the services of professional search firms or other third parties to assist in identifying and evaluating potential nominees and, if fees are paid to such persons in any year, such fees shall be disclosed in the next annual Proxy Statement relating to such year. The Committee may use any process it deems appropriate for the purpose of evaluating candidates which is consistent with the policies set forth in the Charter, Corporate Governance Policy and this Director Nomination Policy, which process may include, without limitation, personal interviews, background checks, written submissions by the candidates and third party references. Although the Committee may seek candidates that have different qualities and experiences at different times in order to maximize the aggregate experience, qualities and strengths of the Board members, nominees for each election or appointment of directors shall be evaluated using a substantially similar process and under no circumstances shall the Committee evaluate nominees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81"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1020" w:right="280"/>
        <w:spacing w:after="0" w:line="277" w:lineRule="auto"/>
        <w:rPr>
          <w:sz w:val="20"/>
          <w:szCs w:val="20"/>
          <w:color w:val="auto"/>
        </w:rPr>
      </w:pPr>
      <w:r>
        <w:rPr>
          <w:rFonts w:ascii="Arial" w:cs="Arial" w:eastAsia="Arial" w:hAnsi="Arial"/>
          <w:sz w:val="18"/>
          <w:szCs w:val="18"/>
          <w:color w:val="auto"/>
        </w:rPr>
        <w:t>recommended by a shareholder of the Company pursuant to a process substantially different than that used for other nominees for the same election or appointment of directors.</w:t>
      </w:r>
    </w:p>
    <w:p>
      <w:pPr>
        <w:spacing w:after="0" w:line="31" w:lineRule="exact"/>
        <w:rPr>
          <w:sz w:val="20"/>
          <w:szCs w:val="20"/>
          <w:color w:val="auto"/>
        </w:rPr>
      </w:pPr>
    </w:p>
    <w:p>
      <w:pPr>
        <w:ind w:left="1020" w:right="140" w:hanging="472"/>
        <w:spacing w:after="0" w:line="261" w:lineRule="auto"/>
        <w:tabs>
          <w:tab w:leader="none" w:pos="1020"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ATEGORIZE</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ECOMMENDATIONS</w:t>
      </w:r>
      <w:r>
        <w:rPr>
          <w:rFonts w:ascii="Arial" w:cs="Arial" w:eastAsia="Arial" w:hAnsi="Arial"/>
          <w:sz w:val="18"/>
          <w:szCs w:val="18"/>
          <w:b w:val="1"/>
          <w:bCs w:val="1"/>
          <w:color w:val="auto"/>
        </w:rPr>
        <w:t xml:space="preserve">. </w:t>
      </w:r>
      <w:r>
        <w:rPr>
          <w:rFonts w:ascii="Arial" w:cs="Arial" w:eastAsia="Arial" w:hAnsi="Arial"/>
          <w:sz w:val="18"/>
          <w:szCs w:val="18"/>
          <w:color w:val="auto"/>
        </w:rPr>
        <w:t>For purposes of facilitating disclosure required in the Proxy Statement, the Committee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Corporate Secretary shall identify and organize the recommendations for nominees received by the Committee (other than nominees who are executive officers or who are directors standing for re-election) in accordance with one or more of the following categories of persons or entities that recommended that nominee:</w:t>
      </w:r>
    </w:p>
    <w:p>
      <w:pPr>
        <w:spacing w:after="0" w:line="75" w:lineRule="exact"/>
        <w:rPr>
          <w:rFonts w:ascii="Arial" w:cs="Arial" w:eastAsia="Arial" w:hAnsi="Arial"/>
          <w:sz w:val="18"/>
          <w:szCs w:val="18"/>
          <w:color w:val="auto"/>
        </w:rPr>
      </w:pPr>
    </w:p>
    <w:p>
      <w:pPr>
        <w:ind w:left="1500" w:hanging="466"/>
        <w:spacing w:after="0"/>
        <w:tabs>
          <w:tab w:leader="none" w:pos="15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 shareholder, a 5% shareholder, independent director, chief executive officer, or other executive officer of the Company;</w:t>
      </w:r>
    </w:p>
    <w:p>
      <w:pPr>
        <w:spacing w:after="0" w:line="90" w:lineRule="exact"/>
        <w:rPr>
          <w:rFonts w:ascii="Arial" w:cs="Arial" w:eastAsia="Arial" w:hAnsi="Arial"/>
          <w:sz w:val="18"/>
          <w:szCs w:val="18"/>
          <w:color w:val="auto"/>
        </w:rPr>
      </w:pPr>
    </w:p>
    <w:p>
      <w:pPr>
        <w:ind w:left="1500" w:hanging="466"/>
        <w:spacing w:after="0"/>
        <w:tabs>
          <w:tab w:leader="none" w:pos="15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 third-party search firm used by or on behalf of the Company; and</w:t>
      </w:r>
    </w:p>
    <w:p>
      <w:pPr>
        <w:spacing w:after="0" w:line="90" w:lineRule="exact"/>
        <w:rPr>
          <w:rFonts w:ascii="Arial" w:cs="Arial" w:eastAsia="Arial" w:hAnsi="Arial"/>
          <w:sz w:val="18"/>
          <w:szCs w:val="18"/>
          <w:color w:val="auto"/>
        </w:rPr>
      </w:pPr>
    </w:p>
    <w:p>
      <w:pPr>
        <w:ind w:left="1500" w:hanging="466"/>
        <w:spacing w:after="0"/>
        <w:tabs>
          <w:tab w:leader="none" w:pos="15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any other specified source.</w:t>
      </w:r>
    </w:p>
    <w:p>
      <w:pPr>
        <w:spacing w:after="0" w:line="113" w:lineRule="exact"/>
        <w:rPr>
          <w:rFonts w:ascii="Arial" w:cs="Arial" w:eastAsia="Arial" w:hAnsi="Arial"/>
          <w:sz w:val="18"/>
          <w:szCs w:val="18"/>
          <w:color w:val="auto"/>
        </w:rPr>
      </w:pPr>
    </w:p>
    <w:p>
      <w:pPr>
        <w:ind w:left="1020" w:right="140" w:hanging="472"/>
        <w:spacing w:after="0" w:line="266" w:lineRule="auto"/>
        <w:tabs>
          <w:tab w:leader="none" w:pos="1020"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M</w:t>
      </w:r>
      <w:r>
        <w:rPr>
          <w:rFonts w:ascii="Arial" w:cs="Arial" w:eastAsia="Arial" w:hAnsi="Arial"/>
          <w:sz w:val="15"/>
          <w:szCs w:val="15"/>
          <w:b w:val="1"/>
          <w:bCs w:val="1"/>
          <w:color w:val="auto"/>
        </w:rPr>
        <w:t>ATERIAL</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HANGES TO</w:t>
      </w:r>
      <w:r>
        <w:rPr>
          <w:rFonts w:ascii="Arial" w:cs="Arial" w:eastAsia="Arial" w:hAnsi="Arial"/>
          <w:sz w:val="18"/>
          <w:szCs w:val="18"/>
          <w:b w:val="1"/>
          <w:bCs w:val="1"/>
          <w:color w:val="auto"/>
        </w:rPr>
        <w:t xml:space="preserve"> N</w:t>
      </w:r>
      <w:r>
        <w:rPr>
          <w:rFonts w:ascii="Arial" w:cs="Arial" w:eastAsia="Arial" w:hAnsi="Arial"/>
          <w:sz w:val="15"/>
          <w:szCs w:val="15"/>
          <w:b w:val="1"/>
          <w:bCs w:val="1"/>
          <w:color w:val="auto"/>
        </w:rPr>
        <w:t>OMINATION</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ROCEDURES</w:t>
      </w:r>
      <w:r>
        <w:rPr>
          <w:rFonts w:ascii="Arial" w:cs="Arial" w:eastAsia="Arial" w:hAnsi="Arial"/>
          <w:sz w:val="18"/>
          <w:szCs w:val="18"/>
          <w:b w:val="1"/>
          <w:bCs w:val="1"/>
          <w:color w:val="auto"/>
        </w:rPr>
        <w:t xml:space="preserve">. </w:t>
      </w:r>
      <w:r>
        <w:rPr>
          <w:rFonts w:ascii="Arial" w:cs="Arial" w:eastAsia="Arial" w:hAnsi="Arial"/>
          <w:sz w:val="18"/>
          <w:szCs w:val="18"/>
          <w:color w:val="auto"/>
        </w:rPr>
        <w:t>For purposes of facilitating disclosure required in Form 10-K and Form 10-Q,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and the Corporate Secretary shall identify any material changes to the procedures for shareholder nominations of directors for the reporting period in which such material changes occur.</w:t>
      </w:r>
    </w:p>
    <w:p>
      <w:pPr>
        <w:spacing w:after="0" w:line="41" w:lineRule="exact"/>
        <w:rPr>
          <w:rFonts w:ascii="Arial" w:cs="Arial" w:eastAsia="Arial" w:hAnsi="Arial"/>
          <w:sz w:val="18"/>
          <w:szCs w:val="18"/>
          <w:color w:val="auto"/>
        </w:rPr>
      </w:pPr>
    </w:p>
    <w:p>
      <w:pPr>
        <w:ind w:left="1020" w:right="640" w:hanging="472"/>
        <w:spacing w:after="0" w:line="282" w:lineRule="auto"/>
        <w:tabs>
          <w:tab w:leader="none" w:pos="1020"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P</w:t>
      </w:r>
      <w:r>
        <w:rPr>
          <w:rFonts w:ascii="Arial" w:cs="Arial" w:eastAsia="Arial" w:hAnsi="Arial"/>
          <w:sz w:val="15"/>
          <w:szCs w:val="15"/>
          <w:b w:val="1"/>
          <w:bCs w:val="1"/>
          <w:color w:val="auto"/>
        </w:rPr>
        <w:t>OSTING OF</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OLICY</w:t>
      </w:r>
      <w:r>
        <w:rPr>
          <w:rFonts w:ascii="Arial" w:cs="Arial" w:eastAsia="Arial" w:hAnsi="Arial"/>
          <w:sz w:val="18"/>
          <w:szCs w:val="18"/>
          <w:b w:val="1"/>
          <w:bCs w:val="1"/>
          <w:color w:val="auto"/>
        </w:rPr>
        <w:t xml:space="preserve">. </w:t>
      </w:r>
      <w:r>
        <w:rPr>
          <w:rFonts w:ascii="Arial" w:cs="Arial" w:eastAsia="Arial" w:hAnsi="Arial"/>
          <w:sz w:val="18"/>
          <w:szCs w:val="18"/>
          <w:color w:val="auto"/>
        </w:rPr>
        <w:t>This Director Nomination Policy shall be posted to the Company’s website in accordance with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Corporate Governance Policy.</w:t>
      </w:r>
    </w:p>
    <w:p>
      <w:pPr>
        <w:spacing w:after="0" w:line="26" w:lineRule="exact"/>
        <w:rPr>
          <w:rFonts w:ascii="Arial" w:cs="Arial" w:eastAsia="Arial" w:hAnsi="Arial"/>
          <w:sz w:val="18"/>
          <w:szCs w:val="18"/>
          <w:color w:val="auto"/>
        </w:rPr>
      </w:pPr>
    </w:p>
    <w:p>
      <w:pPr>
        <w:ind w:left="1020" w:right="160" w:hanging="472"/>
        <w:spacing w:after="0" w:line="282" w:lineRule="auto"/>
        <w:tabs>
          <w:tab w:leader="none" w:pos="1020"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MENDMENTS TO</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HIS</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OLICY</w:t>
      </w:r>
      <w:r>
        <w:rPr>
          <w:rFonts w:ascii="Arial" w:cs="Arial" w:eastAsia="Arial" w:hAnsi="Arial"/>
          <w:sz w:val="18"/>
          <w:szCs w:val="18"/>
          <w:b w:val="1"/>
          <w:bCs w:val="1"/>
          <w:color w:val="auto"/>
        </w:rPr>
        <w:t xml:space="preserve">. </w:t>
      </w:r>
      <w:r>
        <w:rPr>
          <w:rFonts w:ascii="Arial" w:cs="Arial" w:eastAsia="Arial" w:hAnsi="Arial"/>
          <w:sz w:val="18"/>
          <w:szCs w:val="18"/>
          <w:color w:val="auto"/>
        </w:rPr>
        <w:t>Any amendments to this Director Nomination Policy must be approved by the Committee and ratified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January 12,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81"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1325880</wp:posOffset>
            </wp:positionH>
            <wp:positionV relativeFrom="paragraph">
              <wp:posOffset>272415</wp:posOffset>
            </wp:positionV>
            <wp:extent cx="1132205" cy="4114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13220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5420"/>
        <w:spacing w:after="0"/>
        <w:rPr>
          <w:sz w:val="20"/>
          <w:szCs w:val="20"/>
          <w:color w:val="auto"/>
        </w:rPr>
      </w:pPr>
      <w:r>
        <w:rPr>
          <w:rFonts w:ascii="Arial" w:cs="Arial" w:eastAsia="Arial" w:hAnsi="Arial"/>
          <w:sz w:val="18"/>
          <w:szCs w:val="18"/>
          <w:b w:val="1"/>
          <w:bCs w:val="1"/>
          <w:color w:val="auto"/>
        </w:rPr>
        <w:t>ANNUAL MEETING OF SHAREHOLDERS</w:t>
      </w:r>
    </w:p>
    <w:p>
      <w:pPr>
        <w:spacing w:after="0" w:line="225" w:lineRule="exact"/>
        <w:rPr>
          <w:sz w:val="20"/>
          <w:szCs w:val="20"/>
          <w:color w:val="auto"/>
        </w:rPr>
      </w:pPr>
    </w:p>
    <w:p>
      <w:pPr>
        <w:jc w:val="center"/>
        <w:ind w:right="5400"/>
        <w:spacing w:after="0"/>
        <w:tabs>
          <w:tab w:leader="none" w:pos="260" w:val="left"/>
        </w:tabs>
        <w:rPr>
          <w:sz w:val="20"/>
          <w:szCs w:val="20"/>
          <w:color w:val="auto"/>
        </w:rPr>
      </w:pPr>
      <w:r>
        <w:rPr>
          <w:rFonts w:ascii="Arial" w:cs="Arial" w:eastAsia="Arial" w:hAnsi="Arial"/>
          <w:sz w:val="18"/>
          <w:szCs w:val="18"/>
          <w:b w:val="1"/>
          <w:bCs w:val="1"/>
          <w:color w:val="auto"/>
        </w:rPr>
        <w:t>Tuesday, December 18, 2007</w:t>
      </w:r>
      <w:r>
        <w:rPr>
          <w:sz w:val="20"/>
          <w:szCs w:val="20"/>
          <w:color w:val="auto"/>
        </w:rPr>
        <w:tab/>
      </w:r>
      <w:r>
        <w:rPr>
          <w:rFonts w:ascii="Arial" w:cs="Arial" w:eastAsia="Arial" w:hAnsi="Arial"/>
          <w:sz w:val="16"/>
          <w:szCs w:val="16"/>
          <w:b w:val="1"/>
          <w:bCs w:val="1"/>
          <w:color w:val="auto"/>
        </w:rPr>
        <w:t>4:00 p.m. Central Standard Time</w:t>
      </w:r>
    </w:p>
    <w:p>
      <w:pPr>
        <w:spacing w:after="0" w:line="225"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Winnebago Industries’ South Office Complex Theater,</w:t>
      </w:r>
    </w:p>
    <w:p>
      <w:pPr>
        <w:spacing w:after="0" w:line="2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605 W. Crystal Lake Road, Forest City, Iowa</w:t>
      </w:r>
    </w:p>
    <w:p>
      <w:pPr>
        <w:spacing w:after="0" w:line="20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DIRECTIONS:</w:t>
      </w:r>
    </w:p>
    <w:p>
      <w:pPr>
        <w:spacing w:after="0" w:line="4" w:lineRule="exact"/>
        <w:rPr>
          <w:sz w:val="20"/>
          <w:szCs w:val="20"/>
          <w:color w:val="auto"/>
        </w:rPr>
      </w:pPr>
    </w:p>
    <w:p>
      <w:pPr>
        <w:ind w:left="240" w:hanging="191"/>
        <w:spacing w:after="0"/>
        <w:tabs>
          <w:tab w:leader="none" w:pos="240" w:val="left"/>
        </w:tabs>
        <w:numPr>
          <w:ilvl w:val="0"/>
          <w:numId w:val="70"/>
        </w:numPr>
        <w:rPr>
          <w:rFonts w:ascii="Arial" w:cs="Arial" w:eastAsia="Arial" w:hAnsi="Arial"/>
          <w:sz w:val="14"/>
          <w:szCs w:val="14"/>
          <w:b w:val="1"/>
          <w:bCs w:val="1"/>
          <w:color w:val="auto"/>
        </w:rPr>
      </w:pPr>
      <w:r>
        <w:rPr>
          <w:rFonts w:ascii="Arial" w:cs="Arial" w:eastAsia="Arial" w:hAnsi="Arial"/>
          <w:sz w:val="14"/>
          <w:szCs w:val="14"/>
          <w:b w:val="1"/>
          <w:bCs w:val="1"/>
          <w:color w:val="auto"/>
        </w:rPr>
        <w:t>From I-35</w:t>
      </w:r>
    </w:p>
    <w:p>
      <w:pPr>
        <w:spacing w:after="0" w:line="29" w:lineRule="exact"/>
        <w:rPr>
          <w:rFonts w:ascii="Arial" w:cs="Arial" w:eastAsia="Arial" w:hAnsi="Arial"/>
          <w:sz w:val="14"/>
          <w:szCs w:val="14"/>
          <w:b w:val="1"/>
          <w:bCs w:val="1"/>
          <w:color w:val="auto"/>
        </w:rPr>
      </w:pPr>
    </w:p>
    <w:p>
      <w:pPr>
        <w:ind w:left="580" w:hanging="261"/>
        <w:spacing w:after="0"/>
        <w:tabs>
          <w:tab w:leader="none" w:pos="580" w:val="left"/>
        </w:tabs>
        <w:numPr>
          <w:ilvl w:val="1"/>
          <w:numId w:val="70"/>
        </w:numPr>
        <w:rPr>
          <w:rFonts w:ascii="Arial" w:cs="Arial" w:eastAsia="Arial" w:hAnsi="Arial"/>
          <w:sz w:val="14"/>
          <w:szCs w:val="14"/>
          <w:color w:val="auto"/>
        </w:rPr>
      </w:pPr>
      <w:r>
        <w:rPr>
          <w:rFonts w:ascii="Arial" w:cs="Arial" w:eastAsia="Arial" w:hAnsi="Arial"/>
          <w:sz w:val="14"/>
          <w:szCs w:val="14"/>
          <w:color w:val="auto"/>
        </w:rPr>
        <w:t>From I-35, take exit number 203, and turn right (West) on IA-9 towards Forest City.</w:t>
      </w:r>
    </w:p>
    <w:p>
      <w:pPr>
        <w:spacing w:after="0" w:line="41" w:lineRule="exact"/>
        <w:rPr>
          <w:rFonts w:ascii="Arial" w:cs="Arial" w:eastAsia="Arial" w:hAnsi="Arial"/>
          <w:sz w:val="14"/>
          <w:szCs w:val="14"/>
          <w:color w:val="auto"/>
        </w:rPr>
      </w:pPr>
    </w:p>
    <w:p>
      <w:pPr>
        <w:ind w:left="580" w:hanging="261"/>
        <w:spacing w:after="0"/>
        <w:tabs>
          <w:tab w:leader="none" w:pos="580" w:val="left"/>
        </w:tabs>
        <w:numPr>
          <w:ilvl w:val="1"/>
          <w:numId w:val="70"/>
        </w:numPr>
        <w:rPr>
          <w:rFonts w:ascii="Arial" w:cs="Arial" w:eastAsia="Arial" w:hAnsi="Arial"/>
          <w:sz w:val="14"/>
          <w:szCs w:val="14"/>
          <w:color w:val="auto"/>
        </w:rPr>
      </w:pPr>
      <w:r>
        <w:rPr>
          <w:rFonts w:ascii="Arial" w:cs="Arial" w:eastAsia="Arial" w:hAnsi="Arial"/>
          <w:sz w:val="14"/>
          <w:szCs w:val="14"/>
          <w:color w:val="auto"/>
        </w:rPr>
        <w:t>At Forest City turn left (South) on US-69 at the junction of IA-9 and US-69.</w:t>
      </w:r>
    </w:p>
    <w:p>
      <w:pPr>
        <w:sectPr>
          <w:pgSz w:w="11900" w:h="16905" w:orient="portrait"/>
          <w:cols w:equalWidth="0" w:num="1">
            <w:col w:w="11320"/>
          </w:cols>
          <w:pgMar w:left="240" w:top="189" w:right="339" w:bottom="0" w:gutter="0" w:footer="0" w:header="0"/>
        </w:sectPr>
      </w:pPr>
    </w:p>
    <w:bookmarkStart w:id="38" w:name="page39"/>
    <w:bookmarkEnd w:id="38"/>
    <w:p>
      <w:pPr>
        <w:spacing w:after="0" w:line="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4213860</wp:posOffset>
            </wp:positionH>
            <wp:positionV relativeFrom="page">
              <wp:posOffset>88900</wp:posOffset>
            </wp:positionV>
            <wp:extent cx="3190240" cy="407352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clrChange>
                        <a:clrFrom>
                          <a:srgbClr val="FFFFFF"/>
                        </a:clrFrom>
                        <a:clrTo>
                          <a:srgbClr val="FFFFFF">
                            <a:alpha val="0"/>
                          </a:srgbClr>
                        </a:clrTo>
                      </a:clrChange>
                      <a:extLst>
                        <a:ext uri="{28A0092B-C50C-407E-A947-70E740481C1C}"/>
                      </a:extLst>
                    </a:blip>
                    <a:srcRect/>
                    <a:stretch>
                      <a:fillRect/>
                    </a:stretch>
                  </pic:blipFill>
                  <pic:spPr bwMode="auto">
                    <a:xfrm>
                      <a:off x="0" y="0"/>
                      <a:ext cx="3190240" cy="4073525"/>
                    </a:xfrm>
                    <a:prstGeom prst="rect">
                      <a:avLst/>
                    </a:prstGeom>
                    <a:noFill/>
                  </pic:spPr>
                </pic:pic>
              </a:graphicData>
            </a:graphic>
          </wp:anchor>
        </w:drawing>
      </w:r>
    </w:p>
    <w:p>
      <w:pPr>
        <w:ind w:left="580" w:hanging="261"/>
        <w:spacing w:after="0"/>
        <w:tabs>
          <w:tab w:leader="none" w:pos="580" w:val="left"/>
        </w:tabs>
        <w:numPr>
          <w:ilvl w:val="1"/>
          <w:numId w:val="71"/>
        </w:numPr>
        <w:rPr>
          <w:rFonts w:ascii="Arial" w:cs="Arial" w:eastAsia="Arial" w:hAnsi="Arial"/>
          <w:sz w:val="14"/>
          <w:szCs w:val="14"/>
          <w:color w:val="auto"/>
        </w:rPr>
      </w:pPr>
      <w:r>
        <w:rPr>
          <w:rFonts w:ascii="Arial" w:cs="Arial" w:eastAsia="Arial" w:hAnsi="Arial"/>
          <w:sz w:val="14"/>
          <w:szCs w:val="14"/>
          <w:color w:val="auto"/>
        </w:rPr>
        <w:t>Take US-69 South 1.4 miles to the junction of US-69 and County Road B14.</w:t>
      </w:r>
    </w:p>
    <w:p>
      <w:pPr>
        <w:spacing w:after="0" w:line="41" w:lineRule="exact"/>
        <w:rPr>
          <w:rFonts w:ascii="Arial" w:cs="Arial" w:eastAsia="Arial" w:hAnsi="Arial"/>
          <w:sz w:val="14"/>
          <w:szCs w:val="14"/>
          <w:color w:val="auto"/>
        </w:rPr>
      </w:pPr>
    </w:p>
    <w:p>
      <w:pPr>
        <w:ind w:left="580" w:hanging="261"/>
        <w:spacing w:after="0"/>
        <w:tabs>
          <w:tab w:leader="none" w:pos="580" w:val="left"/>
        </w:tabs>
        <w:numPr>
          <w:ilvl w:val="1"/>
          <w:numId w:val="71"/>
        </w:numPr>
        <w:rPr>
          <w:rFonts w:ascii="Arial" w:cs="Arial" w:eastAsia="Arial" w:hAnsi="Arial"/>
          <w:sz w:val="14"/>
          <w:szCs w:val="14"/>
          <w:color w:val="auto"/>
        </w:rPr>
      </w:pPr>
      <w:r>
        <w:rPr>
          <w:rFonts w:ascii="Arial" w:cs="Arial" w:eastAsia="Arial" w:hAnsi="Arial"/>
          <w:sz w:val="14"/>
          <w:szCs w:val="14"/>
          <w:color w:val="auto"/>
        </w:rPr>
        <w:t>Turn right (West) on B14 and continue approximately 1/2 mile to Gate #1.</w:t>
      </w:r>
    </w:p>
    <w:p>
      <w:pPr>
        <w:spacing w:after="0" w:line="41" w:lineRule="exact"/>
        <w:rPr>
          <w:rFonts w:ascii="Arial" w:cs="Arial" w:eastAsia="Arial" w:hAnsi="Arial"/>
          <w:sz w:val="14"/>
          <w:szCs w:val="14"/>
          <w:color w:val="auto"/>
        </w:rPr>
      </w:pPr>
    </w:p>
    <w:p>
      <w:pPr>
        <w:ind w:left="580" w:right="5580" w:hanging="261"/>
        <w:spacing w:after="0" w:line="253" w:lineRule="auto"/>
        <w:tabs>
          <w:tab w:leader="none" w:pos="580" w:val="left"/>
        </w:tabs>
        <w:numPr>
          <w:ilvl w:val="1"/>
          <w:numId w:val="71"/>
        </w:numPr>
        <w:rPr>
          <w:rFonts w:ascii="Arial" w:cs="Arial" w:eastAsia="Arial" w:hAnsi="Arial"/>
          <w:sz w:val="14"/>
          <w:szCs w:val="14"/>
          <w:color w:val="auto"/>
        </w:rPr>
      </w:pPr>
      <w:r>
        <w:rPr>
          <w:rFonts w:ascii="Arial" w:cs="Arial" w:eastAsia="Arial" w:hAnsi="Arial"/>
          <w:sz w:val="14"/>
          <w:szCs w:val="14"/>
          <w:color w:val="auto"/>
        </w:rPr>
        <w:t>Turn right (North) into the center lane and Winnebago Industries Security will check you in and direct you to the Theater.</w:t>
      </w:r>
    </w:p>
    <w:p>
      <w:pPr>
        <w:spacing w:after="0" w:line="304" w:lineRule="exact"/>
        <w:rPr>
          <w:rFonts w:ascii="Arial" w:cs="Arial" w:eastAsia="Arial" w:hAnsi="Arial"/>
          <w:sz w:val="14"/>
          <w:szCs w:val="14"/>
          <w:color w:val="auto"/>
        </w:rPr>
      </w:pPr>
    </w:p>
    <w:p>
      <w:pPr>
        <w:ind w:left="240" w:hanging="191"/>
        <w:spacing w:after="0"/>
        <w:tabs>
          <w:tab w:leader="none" w:pos="240" w:val="left"/>
        </w:tabs>
        <w:numPr>
          <w:ilvl w:val="0"/>
          <w:numId w:val="71"/>
        </w:numPr>
        <w:rPr>
          <w:rFonts w:ascii="Arial" w:cs="Arial" w:eastAsia="Arial" w:hAnsi="Arial"/>
          <w:sz w:val="14"/>
          <w:szCs w:val="14"/>
          <w:b w:val="1"/>
          <w:bCs w:val="1"/>
          <w:color w:val="auto"/>
        </w:rPr>
      </w:pPr>
      <w:r>
        <w:rPr>
          <w:rFonts w:ascii="Arial" w:cs="Arial" w:eastAsia="Arial" w:hAnsi="Arial"/>
          <w:sz w:val="14"/>
          <w:szCs w:val="14"/>
          <w:b w:val="1"/>
          <w:bCs w:val="1"/>
          <w:color w:val="auto"/>
        </w:rPr>
        <w:t>From I-80</w:t>
      </w:r>
    </w:p>
    <w:p>
      <w:pPr>
        <w:spacing w:after="0" w:line="45" w:lineRule="exact"/>
        <w:rPr>
          <w:rFonts w:ascii="Arial" w:cs="Arial" w:eastAsia="Arial" w:hAnsi="Arial"/>
          <w:sz w:val="14"/>
          <w:szCs w:val="14"/>
          <w:b w:val="1"/>
          <w:bCs w:val="1"/>
          <w:color w:val="auto"/>
        </w:rPr>
      </w:pPr>
    </w:p>
    <w:p>
      <w:pPr>
        <w:ind w:left="580" w:hanging="261"/>
        <w:spacing w:after="0"/>
        <w:tabs>
          <w:tab w:leader="none" w:pos="580" w:val="left"/>
        </w:tabs>
        <w:numPr>
          <w:ilvl w:val="1"/>
          <w:numId w:val="71"/>
        </w:numPr>
        <w:rPr>
          <w:rFonts w:ascii="Arial" w:cs="Arial" w:eastAsia="Arial" w:hAnsi="Arial"/>
          <w:sz w:val="14"/>
          <w:szCs w:val="14"/>
          <w:color w:val="auto"/>
        </w:rPr>
      </w:pPr>
      <w:r>
        <w:rPr>
          <w:rFonts w:ascii="Arial" w:cs="Arial" w:eastAsia="Arial" w:hAnsi="Arial"/>
          <w:sz w:val="14"/>
          <w:szCs w:val="14"/>
          <w:color w:val="auto"/>
        </w:rPr>
        <w:t>From I-80, take exit number 137B, turning onto I-35 North towards Minneapolis.</w:t>
      </w:r>
    </w:p>
    <w:p>
      <w:pPr>
        <w:spacing w:after="0" w:line="41" w:lineRule="exact"/>
        <w:rPr>
          <w:rFonts w:ascii="Arial" w:cs="Arial" w:eastAsia="Arial" w:hAnsi="Arial"/>
          <w:sz w:val="14"/>
          <w:szCs w:val="14"/>
          <w:color w:val="auto"/>
        </w:rPr>
      </w:pPr>
    </w:p>
    <w:p>
      <w:pPr>
        <w:ind w:left="580" w:hanging="261"/>
        <w:spacing w:after="0"/>
        <w:tabs>
          <w:tab w:leader="none" w:pos="580" w:val="left"/>
        </w:tabs>
        <w:numPr>
          <w:ilvl w:val="1"/>
          <w:numId w:val="71"/>
        </w:numPr>
        <w:rPr>
          <w:rFonts w:ascii="Arial" w:cs="Arial" w:eastAsia="Arial" w:hAnsi="Arial"/>
          <w:sz w:val="14"/>
          <w:szCs w:val="14"/>
          <w:color w:val="auto"/>
        </w:rPr>
      </w:pPr>
      <w:r>
        <w:rPr>
          <w:rFonts w:ascii="Arial" w:cs="Arial" w:eastAsia="Arial" w:hAnsi="Arial"/>
          <w:sz w:val="14"/>
          <w:szCs w:val="14"/>
          <w:color w:val="auto"/>
        </w:rPr>
        <w:t>Take exit number 203, IA-9 West towards Forest City.</w:t>
      </w:r>
    </w:p>
    <w:p>
      <w:pPr>
        <w:spacing w:after="0" w:line="41" w:lineRule="exact"/>
        <w:rPr>
          <w:rFonts w:ascii="Arial" w:cs="Arial" w:eastAsia="Arial" w:hAnsi="Arial"/>
          <w:sz w:val="14"/>
          <w:szCs w:val="14"/>
          <w:color w:val="auto"/>
        </w:rPr>
      </w:pPr>
    </w:p>
    <w:p>
      <w:pPr>
        <w:ind w:left="580" w:hanging="261"/>
        <w:spacing w:after="0"/>
        <w:tabs>
          <w:tab w:leader="none" w:pos="580" w:val="left"/>
        </w:tabs>
        <w:numPr>
          <w:ilvl w:val="1"/>
          <w:numId w:val="71"/>
        </w:numPr>
        <w:rPr>
          <w:rFonts w:ascii="Arial" w:cs="Arial" w:eastAsia="Arial" w:hAnsi="Arial"/>
          <w:sz w:val="14"/>
          <w:szCs w:val="14"/>
          <w:color w:val="auto"/>
        </w:rPr>
      </w:pPr>
      <w:r>
        <w:rPr>
          <w:rFonts w:ascii="Arial" w:cs="Arial" w:eastAsia="Arial" w:hAnsi="Arial"/>
          <w:sz w:val="14"/>
          <w:szCs w:val="14"/>
          <w:color w:val="auto"/>
        </w:rPr>
        <w:t>At Forest City turn left (South) on US-69 at the junction of IA-9 and US-69.</w:t>
      </w:r>
    </w:p>
    <w:p>
      <w:pPr>
        <w:spacing w:after="0" w:line="41" w:lineRule="exact"/>
        <w:rPr>
          <w:rFonts w:ascii="Arial" w:cs="Arial" w:eastAsia="Arial" w:hAnsi="Arial"/>
          <w:sz w:val="14"/>
          <w:szCs w:val="14"/>
          <w:color w:val="auto"/>
        </w:rPr>
      </w:pPr>
    </w:p>
    <w:p>
      <w:pPr>
        <w:ind w:left="580" w:hanging="261"/>
        <w:spacing w:after="0"/>
        <w:tabs>
          <w:tab w:leader="none" w:pos="580" w:val="left"/>
        </w:tabs>
        <w:numPr>
          <w:ilvl w:val="1"/>
          <w:numId w:val="71"/>
        </w:numPr>
        <w:rPr>
          <w:rFonts w:ascii="Arial" w:cs="Arial" w:eastAsia="Arial" w:hAnsi="Arial"/>
          <w:sz w:val="14"/>
          <w:szCs w:val="14"/>
          <w:color w:val="auto"/>
        </w:rPr>
      </w:pPr>
      <w:r>
        <w:rPr>
          <w:rFonts w:ascii="Arial" w:cs="Arial" w:eastAsia="Arial" w:hAnsi="Arial"/>
          <w:sz w:val="14"/>
          <w:szCs w:val="14"/>
          <w:color w:val="auto"/>
        </w:rPr>
        <w:t>Take US-69 South 1.4 miles to the junction of US-69 and County Road B14.</w:t>
      </w:r>
    </w:p>
    <w:p>
      <w:pPr>
        <w:spacing w:after="0" w:line="41" w:lineRule="exact"/>
        <w:rPr>
          <w:rFonts w:ascii="Arial" w:cs="Arial" w:eastAsia="Arial" w:hAnsi="Arial"/>
          <w:sz w:val="14"/>
          <w:szCs w:val="14"/>
          <w:color w:val="auto"/>
        </w:rPr>
      </w:pPr>
    </w:p>
    <w:p>
      <w:pPr>
        <w:ind w:left="580" w:hanging="261"/>
        <w:spacing w:after="0"/>
        <w:tabs>
          <w:tab w:leader="none" w:pos="580" w:val="left"/>
        </w:tabs>
        <w:numPr>
          <w:ilvl w:val="1"/>
          <w:numId w:val="71"/>
        </w:numPr>
        <w:rPr>
          <w:rFonts w:ascii="Arial" w:cs="Arial" w:eastAsia="Arial" w:hAnsi="Arial"/>
          <w:sz w:val="14"/>
          <w:szCs w:val="14"/>
          <w:color w:val="auto"/>
        </w:rPr>
      </w:pPr>
      <w:r>
        <w:rPr>
          <w:rFonts w:ascii="Arial" w:cs="Arial" w:eastAsia="Arial" w:hAnsi="Arial"/>
          <w:sz w:val="14"/>
          <w:szCs w:val="14"/>
          <w:color w:val="auto"/>
        </w:rPr>
        <w:t>Turn right (West) on B14 and continue approximately 1/2 mile to Gate #1.</w:t>
      </w:r>
    </w:p>
    <w:p>
      <w:pPr>
        <w:spacing w:after="0" w:line="41" w:lineRule="exact"/>
        <w:rPr>
          <w:rFonts w:ascii="Arial" w:cs="Arial" w:eastAsia="Arial" w:hAnsi="Arial"/>
          <w:sz w:val="14"/>
          <w:szCs w:val="14"/>
          <w:color w:val="auto"/>
        </w:rPr>
      </w:pPr>
    </w:p>
    <w:p>
      <w:pPr>
        <w:ind w:left="580" w:right="5580" w:hanging="261"/>
        <w:spacing w:after="0" w:line="253" w:lineRule="auto"/>
        <w:tabs>
          <w:tab w:leader="none" w:pos="580" w:val="left"/>
        </w:tabs>
        <w:numPr>
          <w:ilvl w:val="1"/>
          <w:numId w:val="71"/>
        </w:numPr>
        <w:rPr>
          <w:rFonts w:ascii="Arial" w:cs="Arial" w:eastAsia="Arial" w:hAnsi="Arial"/>
          <w:sz w:val="14"/>
          <w:szCs w:val="14"/>
          <w:color w:val="auto"/>
        </w:rPr>
      </w:pPr>
      <w:r>
        <w:rPr>
          <w:rFonts w:ascii="Arial" w:cs="Arial" w:eastAsia="Arial" w:hAnsi="Arial"/>
          <w:sz w:val="14"/>
          <w:szCs w:val="14"/>
          <w:color w:val="auto"/>
        </w:rPr>
        <w:t>Turn right (North) into the center lane and Winnebago Industries Security will check you in and direct you to the Theater.</w:t>
      </w:r>
    </w:p>
    <w:p>
      <w:pPr>
        <w:spacing w:after="0" w:line="304" w:lineRule="exact"/>
        <w:rPr>
          <w:rFonts w:ascii="Arial" w:cs="Arial" w:eastAsia="Arial" w:hAnsi="Arial"/>
          <w:sz w:val="14"/>
          <w:szCs w:val="14"/>
          <w:color w:val="auto"/>
        </w:rPr>
      </w:pPr>
    </w:p>
    <w:p>
      <w:pPr>
        <w:ind w:left="240" w:hanging="191"/>
        <w:spacing w:after="0"/>
        <w:tabs>
          <w:tab w:leader="none" w:pos="240" w:val="left"/>
        </w:tabs>
        <w:numPr>
          <w:ilvl w:val="0"/>
          <w:numId w:val="71"/>
        </w:numPr>
        <w:rPr>
          <w:rFonts w:ascii="Arial" w:cs="Arial" w:eastAsia="Arial" w:hAnsi="Arial"/>
          <w:sz w:val="14"/>
          <w:szCs w:val="14"/>
          <w:b w:val="1"/>
          <w:bCs w:val="1"/>
          <w:color w:val="auto"/>
        </w:rPr>
      </w:pPr>
      <w:r>
        <w:rPr>
          <w:rFonts w:ascii="Arial" w:cs="Arial" w:eastAsia="Arial" w:hAnsi="Arial"/>
          <w:sz w:val="14"/>
          <w:szCs w:val="14"/>
          <w:b w:val="1"/>
          <w:bCs w:val="1"/>
          <w:color w:val="auto"/>
        </w:rPr>
        <w:t>From I-90</w:t>
      </w:r>
    </w:p>
    <w:p>
      <w:pPr>
        <w:spacing w:after="0" w:line="45" w:lineRule="exact"/>
        <w:rPr>
          <w:rFonts w:ascii="Arial" w:cs="Arial" w:eastAsia="Arial" w:hAnsi="Arial"/>
          <w:sz w:val="14"/>
          <w:szCs w:val="14"/>
          <w:b w:val="1"/>
          <w:bCs w:val="1"/>
          <w:color w:val="auto"/>
        </w:rPr>
      </w:pPr>
    </w:p>
    <w:p>
      <w:pPr>
        <w:ind w:left="580" w:hanging="261"/>
        <w:spacing w:after="0"/>
        <w:tabs>
          <w:tab w:leader="none" w:pos="580" w:val="left"/>
        </w:tabs>
        <w:numPr>
          <w:ilvl w:val="1"/>
          <w:numId w:val="71"/>
        </w:numPr>
        <w:rPr>
          <w:rFonts w:ascii="Arial" w:cs="Arial" w:eastAsia="Arial" w:hAnsi="Arial"/>
          <w:sz w:val="14"/>
          <w:szCs w:val="14"/>
          <w:color w:val="auto"/>
        </w:rPr>
      </w:pPr>
      <w:r>
        <w:rPr>
          <w:rFonts w:ascii="Arial" w:cs="Arial" w:eastAsia="Arial" w:hAnsi="Arial"/>
          <w:sz w:val="14"/>
          <w:szCs w:val="14"/>
          <w:color w:val="auto"/>
        </w:rPr>
        <w:t>From I-90, take exit number 159A, turning onto I-35 South towards Albert Lea.</w:t>
      </w:r>
    </w:p>
    <w:p>
      <w:pPr>
        <w:spacing w:after="0" w:line="41" w:lineRule="exact"/>
        <w:rPr>
          <w:rFonts w:ascii="Arial" w:cs="Arial" w:eastAsia="Arial" w:hAnsi="Arial"/>
          <w:sz w:val="14"/>
          <w:szCs w:val="14"/>
          <w:color w:val="auto"/>
        </w:rPr>
      </w:pPr>
    </w:p>
    <w:p>
      <w:pPr>
        <w:ind w:left="580" w:hanging="261"/>
        <w:spacing w:after="0"/>
        <w:tabs>
          <w:tab w:leader="none" w:pos="580" w:val="left"/>
        </w:tabs>
        <w:numPr>
          <w:ilvl w:val="1"/>
          <w:numId w:val="71"/>
        </w:numPr>
        <w:rPr>
          <w:rFonts w:ascii="Arial" w:cs="Arial" w:eastAsia="Arial" w:hAnsi="Arial"/>
          <w:sz w:val="14"/>
          <w:szCs w:val="14"/>
          <w:color w:val="auto"/>
        </w:rPr>
      </w:pPr>
      <w:r>
        <w:rPr>
          <w:rFonts w:ascii="Arial" w:cs="Arial" w:eastAsia="Arial" w:hAnsi="Arial"/>
          <w:sz w:val="14"/>
          <w:szCs w:val="14"/>
          <w:color w:val="auto"/>
        </w:rPr>
        <w:t>Exit I-35 on exit number 203, IA-9 right (West) towards Forest City.</w:t>
      </w:r>
    </w:p>
    <w:p>
      <w:pPr>
        <w:spacing w:after="0" w:line="41" w:lineRule="exact"/>
        <w:rPr>
          <w:rFonts w:ascii="Arial" w:cs="Arial" w:eastAsia="Arial" w:hAnsi="Arial"/>
          <w:sz w:val="14"/>
          <w:szCs w:val="14"/>
          <w:color w:val="auto"/>
        </w:rPr>
      </w:pPr>
    </w:p>
    <w:p>
      <w:pPr>
        <w:ind w:left="580" w:hanging="261"/>
        <w:spacing w:after="0"/>
        <w:tabs>
          <w:tab w:leader="none" w:pos="580" w:val="left"/>
        </w:tabs>
        <w:numPr>
          <w:ilvl w:val="1"/>
          <w:numId w:val="71"/>
        </w:numPr>
        <w:rPr>
          <w:rFonts w:ascii="Arial" w:cs="Arial" w:eastAsia="Arial" w:hAnsi="Arial"/>
          <w:sz w:val="14"/>
          <w:szCs w:val="14"/>
          <w:color w:val="auto"/>
        </w:rPr>
      </w:pPr>
      <w:r>
        <w:rPr>
          <w:rFonts w:ascii="Arial" w:cs="Arial" w:eastAsia="Arial" w:hAnsi="Arial"/>
          <w:sz w:val="14"/>
          <w:szCs w:val="14"/>
          <w:color w:val="auto"/>
        </w:rPr>
        <w:t>At Forest City turn left (South) on US-69 at the junction of IA-9 and US-69.</w:t>
      </w:r>
    </w:p>
    <w:p>
      <w:pPr>
        <w:spacing w:after="0" w:line="41" w:lineRule="exact"/>
        <w:rPr>
          <w:rFonts w:ascii="Arial" w:cs="Arial" w:eastAsia="Arial" w:hAnsi="Arial"/>
          <w:sz w:val="14"/>
          <w:szCs w:val="14"/>
          <w:color w:val="auto"/>
        </w:rPr>
      </w:pPr>
    </w:p>
    <w:p>
      <w:pPr>
        <w:ind w:left="580" w:hanging="261"/>
        <w:spacing w:after="0"/>
        <w:tabs>
          <w:tab w:leader="none" w:pos="580" w:val="left"/>
        </w:tabs>
        <w:numPr>
          <w:ilvl w:val="1"/>
          <w:numId w:val="71"/>
        </w:numPr>
        <w:rPr>
          <w:rFonts w:ascii="Arial" w:cs="Arial" w:eastAsia="Arial" w:hAnsi="Arial"/>
          <w:sz w:val="14"/>
          <w:szCs w:val="14"/>
          <w:color w:val="auto"/>
        </w:rPr>
      </w:pPr>
      <w:r>
        <w:rPr>
          <w:rFonts w:ascii="Arial" w:cs="Arial" w:eastAsia="Arial" w:hAnsi="Arial"/>
          <w:sz w:val="14"/>
          <w:szCs w:val="14"/>
          <w:color w:val="auto"/>
        </w:rPr>
        <w:t>Take US-69 South 1.4 miles to the junction of US-69 and County Road B14.</w:t>
      </w:r>
    </w:p>
    <w:p>
      <w:pPr>
        <w:spacing w:after="0" w:line="41" w:lineRule="exact"/>
        <w:rPr>
          <w:rFonts w:ascii="Arial" w:cs="Arial" w:eastAsia="Arial" w:hAnsi="Arial"/>
          <w:sz w:val="14"/>
          <w:szCs w:val="14"/>
          <w:color w:val="auto"/>
        </w:rPr>
      </w:pPr>
    </w:p>
    <w:p>
      <w:pPr>
        <w:ind w:left="580" w:hanging="261"/>
        <w:spacing w:after="0"/>
        <w:tabs>
          <w:tab w:leader="none" w:pos="580" w:val="left"/>
        </w:tabs>
        <w:numPr>
          <w:ilvl w:val="1"/>
          <w:numId w:val="71"/>
        </w:numPr>
        <w:rPr>
          <w:rFonts w:ascii="Arial" w:cs="Arial" w:eastAsia="Arial" w:hAnsi="Arial"/>
          <w:sz w:val="14"/>
          <w:szCs w:val="14"/>
          <w:color w:val="auto"/>
        </w:rPr>
      </w:pPr>
      <w:r>
        <w:rPr>
          <w:rFonts w:ascii="Arial" w:cs="Arial" w:eastAsia="Arial" w:hAnsi="Arial"/>
          <w:sz w:val="14"/>
          <w:szCs w:val="14"/>
          <w:color w:val="auto"/>
        </w:rPr>
        <w:t>Turn right (West) on B14 and continue approximately 1/2 mile to Gate #1.</w:t>
      </w:r>
    </w:p>
    <w:p>
      <w:pPr>
        <w:spacing w:after="0" w:line="41" w:lineRule="exact"/>
        <w:rPr>
          <w:rFonts w:ascii="Arial" w:cs="Arial" w:eastAsia="Arial" w:hAnsi="Arial"/>
          <w:sz w:val="14"/>
          <w:szCs w:val="14"/>
          <w:color w:val="auto"/>
        </w:rPr>
      </w:pPr>
    </w:p>
    <w:p>
      <w:pPr>
        <w:ind w:left="580" w:right="5580" w:hanging="261"/>
        <w:spacing w:after="0" w:line="253" w:lineRule="auto"/>
        <w:tabs>
          <w:tab w:leader="none" w:pos="580" w:val="left"/>
        </w:tabs>
        <w:numPr>
          <w:ilvl w:val="1"/>
          <w:numId w:val="71"/>
        </w:numPr>
        <w:rPr>
          <w:rFonts w:ascii="Arial" w:cs="Arial" w:eastAsia="Arial" w:hAnsi="Arial"/>
          <w:sz w:val="14"/>
          <w:szCs w:val="14"/>
          <w:color w:val="auto"/>
        </w:rPr>
      </w:pPr>
      <w:r>
        <w:rPr>
          <w:rFonts w:ascii="Arial" w:cs="Arial" w:eastAsia="Arial" w:hAnsi="Arial"/>
          <w:sz w:val="14"/>
          <w:szCs w:val="14"/>
          <w:color w:val="auto"/>
        </w:rPr>
        <w:t>Turn right (North) into the center lane and Winnebago Industries Security will check you in and direct you to the Theater.</w:t>
      </w:r>
    </w:p>
    <w:p>
      <w:pPr>
        <w:sectPr>
          <w:pgSz w:w="11900" w:h="16883" w:orient="portrait"/>
          <w:cols w:equalWidth="0" w:num="1">
            <w:col w:w="11420"/>
          </w:cols>
          <w:pgMar w:left="240" w:top="175"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Winnebago Industries,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Forest City, Iowa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Proxy solicited on behalf of the Board of Directors of the Company for Annual Meeting on December 18, 2007.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proxy</w:t>
      </w:r>
    </w:p>
    <w:p>
      <w:pPr>
        <w:spacing w:after="0" w:line="746" w:lineRule="exact"/>
        <w:rPr>
          <w:sz w:val="20"/>
          <w:szCs w:val="20"/>
          <w:color w:val="auto"/>
        </w:rPr>
      </w:pPr>
    </w:p>
    <w:p>
      <w:pPr>
        <w:sectPr>
          <w:pgSz w:w="11900" w:h="16883" w:orient="portrait"/>
          <w:cols w:equalWidth="0" w:num="2">
            <w:col w:w="9980" w:space="720"/>
            <w:col w:w="720"/>
          </w:cols>
          <w:pgMar w:left="240" w:top="175" w:right="239" w:bottom="0" w:gutter="0" w:footer="0" w:header="0"/>
          <w:type w:val="continuous"/>
        </w:sectPr>
      </w:pPr>
    </w:p>
    <w:p>
      <w:pPr>
        <w:spacing w:after="0" w:line="12"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undersigned hereby appoints Bruce D. Hertzke and Robert J. Olson, or either one of them, the undersigned’s attorneys and proxies, with full power of substitution, to vote all shares of Common Stock of Winnebago Industries, Inc. which the undersigned is entitled to vote, as fully as the undersigned could do if personally present, at the Annual Meeting of Shareholders of said corporation to be held at Winnebago Industries’ South Office Complex Theater, 605 W. Crystal Lake Road, Forest City, Iowa on the 18th day of December, 2007, at 4:00 p.m., Central Standard Time, and at any and all adjournments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(Continued, and to be signed and dated, on the other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9845"/>
                    </a:xfrm>
                    <a:prstGeom prst="rect">
                      <a:avLst/>
                    </a:prstGeom>
                    <a:noFill/>
                  </pic:spPr>
                </pic:pic>
              </a:graphicData>
            </a:graphic>
          </wp:anchor>
        </w:drawing>
        <w:drawing>
          <wp:anchor simplePos="0" relativeHeight="251657728" behindDoc="1" locked="0" layoutInCell="0" allowOverlap="1">
            <wp:simplePos x="0" y="0"/>
            <wp:positionH relativeFrom="column">
              <wp:posOffset>5802630</wp:posOffset>
            </wp:positionH>
            <wp:positionV relativeFrom="paragraph">
              <wp:posOffset>375285</wp:posOffset>
            </wp:positionV>
            <wp:extent cx="1449070" cy="4457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449070" cy="44577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9160"/>
        <w:spacing w:after="0"/>
        <w:rPr>
          <w:sz w:val="20"/>
          <w:szCs w:val="20"/>
          <w:color w:val="auto"/>
        </w:rPr>
      </w:pPr>
      <w:r>
        <w:rPr>
          <w:rFonts w:ascii="Arial" w:cs="Arial" w:eastAsia="Arial" w:hAnsi="Arial"/>
          <w:sz w:val="18"/>
          <w:szCs w:val="18"/>
          <w:b w:val="1"/>
          <w:bCs w:val="1"/>
          <w:color w:val="auto"/>
        </w:rPr>
        <w:t>COMPANY #</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Three Ways to Appoint Your Proxy to Vote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appoint your proxy electonically by telephone: 1-800-560-1965</w:t>
      </w:r>
    </w:p>
    <w:p>
      <w:pPr>
        <w:spacing w:after="0" w:line="27" w:lineRule="exact"/>
        <w:rPr>
          <w:sz w:val="20"/>
          <w:szCs w:val="20"/>
          <w:color w:val="auto"/>
        </w:rPr>
      </w:pPr>
    </w:p>
    <w:p>
      <w:pPr>
        <w:ind w:left="300" w:hanging="292"/>
        <w:spacing w:after="0"/>
        <w:tabs>
          <w:tab w:leader="none" w:pos="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Read the Proxy Statement and have the proxy card below at hand.</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Call </w:t>
      </w:r>
      <w:r>
        <w:rPr>
          <w:rFonts w:ascii="Arial" w:cs="Arial" w:eastAsia="Arial" w:hAnsi="Arial"/>
          <w:sz w:val="18"/>
          <w:szCs w:val="18"/>
          <w:b w:val="1"/>
          <w:bCs w:val="1"/>
          <w:color w:val="auto"/>
        </w:rPr>
        <w:t>1-800-560-1965.</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Follow the instructions.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appoint your proxy electronically via the Internet: www.eproxy.com/wgo/</w:t>
      </w:r>
    </w:p>
    <w:p>
      <w:pPr>
        <w:spacing w:after="0" w:line="27" w:lineRule="exact"/>
        <w:rPr>
          <w:sz w:val="20"/>
          <w:szCs w:val="20"/>
          <w:color w:val="auto"/>
        </w:rPr>
      </w:pPr>
    </w:p>
    <w:p>
      <w:pPr>
        <w:ind w:left="300" w:hanging="292"/>
        <w:spacing w:after="0"/>
        <w:tabs>
          <w:tab w:leader="none" w:pos="3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Read the Proxy Statement and have the proxy card below at hand.</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Go to website </w:t>
      </w:r>
      <w:r>
        <w:rPr>
          <w:rFonts w:ascii="Arial" w:cs="Arial" w:eastAsia="Arial" w:hAnsi="Arial"/>
          <w:sz w:val="18"/>
          <w:szCs w:val="18"/>
          <w:b w:val="1"/>
          <w:bCs w:val="1"/>
          <w:color w:val="auto"/>
        </w:rPr>
        <w:t>www.eproxy.com/wgo/.</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Follow the instructions provided on the website.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appoint your proxy by mail</w:t>
      </w:r>
    </w:p>
    <w:p>
      <w:pPr>
        <w:spacing w:after="0" w:line="27" w:lineRule="exact"/>
        <w:rPr>
          <w:sz w:val="20"/>
          <w:szCs w:val="20"/>
          <w:color w:val="auto"/>
        </w:rPr>
      </w:pPr>
    </w:p>
    <w:p>
      <w:pPr>
        <w:ind w:left="300" w:hanging="292"/>
        <w:spacing w:after="0"/>
        <w:tabs>
          <w:tab w:leader="none" w:pos="3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Read the Proxy Statement.</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Check the appropriate boxes on the proxy card below.</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Sign and date the proxy card.</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Return the proxy card in the envelope provided.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deadline for telephone or Internet voting is 12:00 p.m. (CST) on Monday, December 17, 2007.</w:t>
      </w:r>
    </w:p>
    <w:p>
      <w:pPr>
        <w:spacing w:after="0" w:line="181"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Your Vote Is Important</w:t>
      </w:r>
    </w:p>
    <w:p>
      <w:pPr>
        <w:sectPr>
          <w:pgSz w:w="11900" w:h="16883" w:orient="portrait"/>
          <w:cols w:equalWidth="0" w:num="1">
            <w:col w:w="11420"/>
          </w:cols>
          <w:pgMar w:left="240" w:top="175" w:right="239" w:bottom="0" w:gutter="0" w:footer="0" w:header="0"/>
          <w:type w:val="continuous"/>
        </w:sectPr>
      </w:pPr>
    </w:p>
    <w:bookmarkStart w:id="39" w:name="page40"/>
    <w:bookmarkEnd w:id="39"/>
    <w:p>
      <w:pPr>
        <w:ind w:right="40"/>
        <w:spacing w:after="0" w:line="347" w:lineRule="auto"/>
        <w:rPr>
          <w:sz w:val="20"/>
          <w:szCs w:val="20"/>
          <w:color w:val="auto"/>
        </w:rPr>
      </w:pPr>
      <w:r>
        <w:rPr>
          <w:rFonts w:ascii="Arial" w:cs="Arial" w:eastAsia="Arial" w:hAnsi="Arial"/>
          <w:sz w:val="16"/>
          <w:szCs w:val="16"/>
          <w:b w:val="1"/>
          <w:bCs w:val="1"/>
          <w:color w:val="auto"/>
        </w:rPr>
        <w:t>Do not return this proxy card if you appoint your proxy to vote by telephone or Internet. Your electronic appointment of a proxy by telephone or via the Internet authorizes the named proxies to vote your shares in the same manner as if you marked, signed and returned your proxy card.</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Please detach here</w:t>
      </w:r>
      <w:r>
        <w:rPr>
          <w:rFonts w:ascii="Arial" w:cs="Arial" w:eastAsia="Arial" w:hAnsi="Arial"/>
          <w:sz w:val="18"/>
          <w:szCs w:val="18"/>
          <w:color w:val="auto"/>
        </w:rPr>
        <w:t xml:space="preserv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Board of Directors Recommends a Vote FOR Items 1, 2 and 3.</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0" w:type="dxa"/>
            <w:vAlign w:val="bottom"/>
          </w:tcPr>
          <w:p>
            <w:pPr>
              <w:spacing w:after="0"/>
              <w:rPr>
                <w:sz w:val="20"/>
                <w:szCs w:val="20"/>
                <w:color w:val="auto"/>
              </w:rPr>
            </w:pPr>
            <w:r>
              <w:rPr>
                <w:rFonts w:ascii="Arial" w:cs="Arial" w:eastAsia="Arial" w:hAnsi="Arial"/>
                <w:sz w:val="18"/>
                <w:szCs w:val="18"/>
                <w:b w:val="1"/>
                <w:bCs w:val="1"/>
                <w:color w:val="auto"/>
              </w:rPr>
              <w:t>1.</w:t>
            </w:r>
          </w:p>
        </w:tc>
        <w:tc>
          <w:tcPr>
            <w:tcW w:w="2360" w:type="dxa"/>
            <w:vAlign w:val="bottom"/>
          </w:tcPr>
          <w:p>
            <w:pPr>
              <w:ind w:left="80"/>
              <w:spacing w:after="0"/>
              <w:rPr>
                <w:sz w:val="20"/>
                <w:szCs w:val="20"/>
                <w:color w:val="auto"/>
              </w:rPr>
            </w:pPr>
            <w:r>
              <w:rPr>
                <w:rFonts w:ascii="Arial" w:cs="Arial" w:eastAsia="Arial" w:hAnsi="Arial"/>
                <w:sz w:val="18"/>
                <w:szCs w:val="18"/>
                <w:color w:val="auto"/>
                <w:w w:val="99"/>
              </w:rPr>
              <w:t>Election of Class II directors:</w:t>
            </w:r>
          </w:p>
        </w:tc>
        <w:tc>
          <w:tcPr>
            <w:tcW w:w="440" w:type="dxa"/>
            <w:vAlign w:val="bottom"/>
          </w:tcPr>
          <w:p>
            <w:pPr>
              <w:jc w:val="right"/>
              <w:spacing w:after="0"/>
              <w:rPr>
                <w:sz w:val="20"/>
                <w:szCs w:val="20"/>
                <w:color w:val="auto"/>
              </w:rPr>
            </w:pPr>
            <w:r>
              <w:rPr>
                <w:rFonts w:ascii="Arial" w:cs="Arial" w:eastAsia="Arial" w:hAnsi="Arial"/>
                <w:sz w:val="18"/>
                <w:szCs w:val="18"/>
                <w:color w:val="auto"/>
              </w:rPr>
              <w:t>01</w:t>
            </w:r>
          </w:p>
        </w:tc>
        <w:tc>
          <w:tcPr>
            <w:tcW w:w="3860" w:type="dxa"/>
            <w:vAlign w:val="bottom"/>
          </w:tcPr>
          <w:p>
            <w:pPr>
              <w:ind w:left="80"/>
              <w:spacing w:after="0"/>
              <w:rPr>
                <w:sz w:val="20"/>
                <w:szCs w:val="20"/>
                <w:color w:val="auto"/>
              </w:rPr>
            </w:pPr>
            <w:r>
              <w:rPr>
                <w:rFonts w:ascii="Arial" w:cs="Arial" w:eastAsia="Arial" w:hAnsi="Arial"/>
                <w:sz w:val="18"/>
                <w:szCs w:val="18"/>
                <w:color w:val="auto"/>
              </w:rPr>
              <w:t>Jerry N. Currie</w:t>
            </w:r>
          </w:p>
        </w:tc>
        <w:tc>
          <w:tcPr>
            <w:tcW w:w="2420" w:type="dxa"/>
            <w:vAlign w:val="bottom"/>
            <w:gridSpan w:val="2"/>
          </w:tcPr>
          <w:p>
            <w:pPr>
              <w:ind w:left="50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7"/>
                <w:szCs w:val="17"/>
                <w:color w:val="auto"/>
              </w:rPr>
              <w:t>Vote FOR</w:t>
            </w:r>
          </w:p>
        </w:tc>
        <w:tc>
          <w:tcPr>
            <w:tcW w:w="2140" w:type="dxa"/>
            <w:vAlign w:val="bottom"/>
          </w:tcPr>
          <w:p>
            <w:pPr>
              <w:ind w:left="10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7"/>
                <w:szCs w:val="17"/>
                <w:color w:val="auto"/>
              </w:rPr>
              <w:t>Vote WITHHELD</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02</w:t>
            </w:r>
          </w:p>
        </w:tc>
        <w:tc>
          <w:tcPr>
            <w:tcW w:w="3860" w:type="dxa"/>
            <w:vAlign w:val="bottom"/>
          </w:tcPr>
          <w:p>
            <w:pPr>
              <w:ind w:left="80"/>
              <w:spacing w:after="0"/>
              <w:rPr>
                <w:sz w:val="20"/>
                <w:szCs w:val="20"/>
                <w:color w:val="auto"/>
              </w:rPr>
            </w:pPr>
            <w:r>
              <w:rPr>
                <w:rFonts w:ascii="Arial" w:cs="Arial" w:eastAsia="Arial" w:hAnsi="Arial"/>
                <w:sz w:val="18"/>
                <w:szCs w:val="18"/>
                <w:color w:val="auto"/>
              </w:rPr>
              <w:t>Lawrence A. Erickson</w:t>
            </w:r>
          </w:p>
        </w:tc>
        <w:tc>
          <w:tcPr>
            <w:tcW w:w="740" w:type="dxa"/>
            <w:vAlign w:val="bottom"/>
          </w:tcPr>
          <w:p>
            <w:pPr>
              <w:spacing w:after="0"/>
              <w:rPr>
                <w:sz w:val="18"/>
                <w:szCs w:val="18"/>
                <w:color w:val="auto"/>
              </w:rPr>
            </w:pPr>
          </w:p>
        </w:tc>
        <w:tc>
          <w:tcPr>
            <w:tcW w:w="1680" w:type="dxa"/>
            <w:vAlign w:val="bottom"/>
          </w:tcPr>
          <w:p>
            <w:pPr>
              <w:ind w:left="200"/>
              <w:spacing w:after="0"/>
              <w:rPr>
                <w:sz w:val="20"/>
                <w:szCs w:val="20"/>
                <w:color w:val="auto"/>
              </w:rPr>
            </w:pPr>
            <w:r>
              <w:rPr>
                <w:rFonts w:ascii="Arial" w:cs="Arial" w:eastAsia="Arial" w:hAnsi="Arial"/>
                <w:sz w:val="18"/>
                <w:szCs w:val="18"/>
                <w:color w:val="auto"/>
              </w:rPr>
              <w:t>all nominees</w:t>
            </w:r>
          </w:p>
        </w:tc>
        <w:tc>
          <w:tcPr>
            <w:tcW w:w="2140" w:type="dxa"/>
            <w:vAlign w:val="bottom"/>
          </w:tcPr>
          <w:p>
            <w:pPr>
              <w:ind w:left="540"/>
              <w:spacing w:after="0"/>
              <w:rPr>
                <w:sz w:val="20"/>
                <w:szCs w:val="20"/>
                <w:color w:val="auto"/>
              </w:rPr>
            </w:pPr>
            <w:r>
              <w:rPr>
                <w:rFonts w:ascii="Arial" w:cs="Arial" w:eastAsia="Arial" w:hAnsi="Arial"/>
                <w:sz w:val="18"/>
                <w:szCs w:val="18"/>
                <w:color w:val="auto"/>
              </w:rPr>
              <w:t>from all nominees</w:t>
            </w:r>
          </w:p>
        </w:tc>
        <w:tc>
          <w:tcPr>
            <w:tcW w:w="0" w:type="dxa"/>
            <w:vAlign w:val="bottom"/>
          </w:tcPr>
          <w:p>
            <w:pPr>
              <w:spacing w:after="0"/>
              <w:rPr>
                <w:sz w:val="1"/>
                <w:szCs w:val="1"/>
                <w:color w:val="auto"/>
              </w:rPr>
            </w:pPr>
          </w:p>
        </w:tc>
      </w:tr>
      <w:tr>
        <w:trPr>
          <w:trHeight w:val="249"/>
        </w:trPr>
        <w:tc>
          <w:tcPr>
            <w:tcW w:w="20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03</w:t>
            </w:r>
          </w:p>
        </w:tc>
        <w:tc>
          <w:tcPr>
            <w:tcW w:w="3860" w:type="dxa"/>
            <w:vAlign w:val="bottom"/>
          </w:tcPr>
          <w:p>
            <w:pPr>
              <w:ind w:left="80"/>
              <w:spacing w:after="0"/>
              <w:rPr>
                <w:sz w:val="20"/>
                <w:szCs w:val="20"/>
                <w:color w:val="auto"/>
              </w:rPr>
            </w:pPr>
            <w:r>
              <w:rPr>
                <w:rFonts w:ascii="Arial" w:cs="Arial" w:eastAsia="Arial" w:hAnsi="Arial"/>
                <w:sz w:val="18"/>
                <w:szCs w:val="18"/>
                <w:color w:val="auto"/>
              </w:rPr>
              <w:t>John E. Herlitz</w:t>
            </w:r>
          </w:p>
        </w:tc>
        <w:tc>
          <w:tcPr>
            <w:tcW w:w="740" w:type="dxa"/>
            <w:vAlign w:val="bottom"/>
          </w:tcPr>
          <w:p>
            <w:pPr>
              <w:spacing w:after="0"/>
              <w:rPr>
                <w:sz w:val="21"/>
                <w:szCs w:val="21"/>
                <w:color w:val="auto"/>
              </w:rPr>
            </w:pPr>
          </w:p>
        </w:tc>
        <w:tc>
          <w:tcPr>
            <w:tcW w:w="1680" w:type="dxa"/>
            <w:vAlign w:val="bottom"/>
          </w:tcPr>
          <w:p>
            <w:pPr>
              <w:ind w:left="200"/>
              <w:spacing w:after="0"/>
              <w:rPr>
                <w:sz w:val="20"/>
                <w:szCs w:val="20"/>
                <w:color w:val="auto"/>
              </w:rPr>
            </w:pPr>
            <w:r>
              <w:rPr>
                <w:rFonts w:ascii="Arial" w:cs="Arial" w:eastAsia="Arial" w:hAnsi="Arial"/>
                <w:sz w:val="18"/>
                <w:szCs w:val="18"/>
                <w:color w:val="auto"/>
                <w:w w:val="94"/>
              </w:rPr>
              <w:t>(except as marked)</w:t>
            </w:r>
          </w:p>
        </w:tc>
        <w:tc>
          <w:tcPr>
            <w:tcW w:w="2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686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rPr>
              <w:t>(Instructions: To withhold authority to vote for any indicated nominee,</w:t>
            </w:r>
          </w:p>
        </w:tc>
        <w:tc>
          <w:tcPr>
            <w:tcW w:w="74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6860" w:type="dxa"/>
            <w:vAlign w:val="bottom"/>
            <w:gridSpan w:val="4"/>
            <w:vMerge w:val="continue"/>
          </w:tcPr>
          <w:p>
            <w:pPr>
              <w:spacing w:after="0"/>
              <w:rPr>
                <w:sz w:val="16"/>
                <w:szCs w:val="16"/>
                <w:color w:val="auto"/>
              </w:rPr>
            </w:pPr>
          </w:p>
        </w:tc>
        <w:tc>
          <w:tcPr>
            <w:tcW w:w="740" w:type="dxa"/>
            <w:vAlign w:val="bottom"/>
            <w:tcBorders>
              <w:left w:val="single" w:sz="8" w:color="auto"/>
            </w:tcBorders>
          </w:tcPr>
          <w:p>
            <w:pPr>
              <w:spacing w:after="0"/>
              <w:rPr>
                <w:sz w:val="16"/>
                <w:szCs w:val="16"/>
                <w:color w:val="auto"/>
              </w:rPr>
            </w:pPr>
          </w:p>
        </w:tc>
        <w:tc>
          <w:tcPr>
            <w:tcW w:w="1680" w:type="dxa"/>
            <w:vAlign w:val="bottom"/>
          </w:tcPr>
          <w:p>
            <w:pPr>
              <w:spacing w:after="0"/>
              <w:rPr>
                <w:sz w:val="16"/>
                <w:szCs w:val="16"/>
                <w:color w:val="auto"/>
              </w:rPr>
            </w:pPr>
          </w:p>
        </w:tc>
        <w:tc>
          <w:tcPr>
            <w:tcW w:w="21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860" w:type="dxa"/>
            <w:vAlign w:val="bottom"/>
            <w:gridSpan w:val="4"/>
          </w:tcPr>
          <w:p>
            <w:pPr>
              <w:ind w:left="20"/>
              <w:spacing w:after="0"/>
              <w:rPr>
                <w:sz w:val="20"/>
                <w:szCs w:val="20"/>
                <w:color w:val="auto"/>
              </w:rPr>
            </w:pPr>
            <w:r>
              <w:rPr>
                <w:rFonts w:ascii="Arial" w:cs="Arial" w:eastAsia="Arial" w:hAnsi="Arial"/>
                <w:sz w:val="18"/>
                <w:szCs w:val="18"/>
                <w:b w:val="1"/>
                <w:bCs w:val="1"/>
                <w:color w:val="auto"/>
              </w:rPr>
              <w:t>write the number(s) of the nominee(s) in the box provided to the right.)</w:t>
            </w:r>
          </w:p>
        </w:tc>
        <w:tc>
          <w:tcPr>
            <w:tcW w:w="740" w:type="dxa"/>
            <w:vAlign w:val="bottom"/>
            <w:tcBorders>
              <w:left w:val="single" w:sz="8" w:color="auto"/>
            </w:tcBorders>
          </w:tcPr>
          <w:p>
            <w:pPr>
              <w:spacing w:after="0"/>
              <w:rPr>
                <w:sz w:val="20"/>
                <w:szCs w:val="20"/>
                <w:color w:val="auto"/>
              </w:rPr>
            </w:pPr>
          </w:p>
        </w:tc>
        <w:tc>
          <w:tcPr>
            <w:tcW w:w="1680" w:type="dxa"/>
            <w:vAlign w:val="bottom"/>
          </w:tcPr>
          <w:p>
            <w:pPr>
              <w:spacing w:after="0"/>
              <w:rPr>
                <w:sz w:val="20"/>
                <w:szCs w:val="20"/>
                <w:color w:val="auto"/>
              </w:rPr>
            </w:pPr>
          </w:p>
        </w:tc>
        <w:tc>
          <w:tcPr>
            <w:tcW w:w="2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6660" w:type="dxa"/>
            <w:vAlign w:val="bottom"/>
            <w:gridSpan w:val="3"/>
          </w:tcPr>
          <w:p>
            <w:pPr>
              <w:spacing w:after="0"/>
              <w:rPr>
                <w:sz w:val="2"/>
                <w:szCs w:val="2"/>
                <w:color w:val="auto"/>
              </w:rPr>
            </w:pPr>
          </w:p>
        </w:tc>
        <w:tc>
          <w:tcPr>
            <w:tcW w:w="7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44"/>
        </w:trPr>
        <w:tc>
          <w:tcPr>
            <w:tcW w:w="200" w:type="dxa"/>
            <w:vAlign w:val="bottom"/>
          </w:tcPr>
          <w:p>
            <w:pPr>
              <w:spacing w:after="0"/>
              <w:rPr>
                <w:sz w:val="20"/>
                <w:szCs w:val="20"/>
                <w:color w:val="auto"/>
              </w:rPr>
            </w:pPr>
            <w:r>
              <w:rPr>
                <w:rFonts w:ascii="Arial" w:cs="Arial" w:eastAsia="Arial" w:hAnsi="Arial"/>
                <w:sz w:val="18"/>
                <w:szCs w:val="18"/>
                <w:b w:val="1"/>
                <w:bCs w:val="1"/>
                <w:color w:val="auto"/>
              </w:rPr>
              <w:t>2.</w:t>
            </w:r>
          </w:p>
        </w:tc>
        <w:tc>
          <w:tcPr>
            <w:tcW w:w="6660" w:type="dxa"/>
            <w:vAlign w:val="bottom"/>
            <w:gridSpan w:val="3"/>
          </w:tcPr>
          <w:p>
            <w:pPr>
              <w:ind w:left="80"/>
              <w:spacing w:after="0"/>
              <w:rPr>
                <w:sz w:val="20"/>
                <w:szCs w:val="20"/>
                <w:color w:val="auto"/>
              </w:rPr>
            </w:pPr>
            <w:r>
              <w:rPr>
                <w:rFonts w:ascii="Arial" w:cs="Arial" w:eastAsia="Arial" w:hAnsi="Arial"/>
                <w:sz w:val="18"/>
                <w:szCs w:val="18"/>
                <w:color w:val="auto"/>
              </w:rPr>
              <w:t>Ratification of the appointment of Deloitte &amp; Touche LLP as Winnebago</w:t>
            </w:r>
          </w:p>
        </w:tc>
        <w:tc>
          <w:tcPr>
            <w:tcW w:w="740" w:type="dxa"/>
            <w:vAlign w:val="bottom"/>
          </w:tcPr>
          <w:p>
            <w:pPr>
              <w:ind w:left="14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7"/>
                <w:szCs w:val="17"/>
                <w:color w:val="auto"/>
              </w:rPr>
              <w:t>For</w:t>
            </w:r>
          </w:p>
        </w:tc>
        <w:tc>
          <w:tcPr>
            <w:tcW w:w="1680" w:type="dxa"/>
            <w:vAlign w:val="bottom"/>
          </w:tcPr>
          <w:p>
            <w:pPr>
              <w:ind w:left="88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7"/>
                <w:szCs w:val="17"/>
                <w:color w:val="auto"/>
              </w:rPr>
              <w:t>Against</w:t>
            </w:r>
          </w:p>
        </w:tc>
        <w:tc>
          <w:tcPr>
            <w:tcW w:w="2140" w:type="dxa"/>
            <w:vAlign w:val="bottom"/>
          </w:tcPr>
          <w:p>
            <w:pPr>
              <w:ind w:left="66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7"/>
                <w:szCs w:val="17"/>
                <w:color w:val="auto"/>
              </w:rPr>
              <w:t>Abstain</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660" w:type="dxa"/>
            <w:vAlign w:val="bottom"/>
            <w:gridSpan w:val="3"/>
          </w:tcPr>
          <w:p>
            <w:pPr>
              <w:ind w:left="80"/>
              <w:spacing w:after="0"/>
              <w:rPr>
                <w:sz w:val="20"/>
                <w:szCs w:val="20"/>
                <w:color w:val="auto"/>
              </w:rPr>
            </w:pPr>
            <w:r>
              <w:rPr>
                <w:rFonts w:ascii="Arial" w:cs="Arial" w:eastAsia="Arial" w:hAnsi="Arial"/>
                <w:sz w:val="18"/>
                <w:szCs w:val="18"/>
                <w:color w:val="auto"/>
              </w:rPr>
              <w:t>Industries, Inc. Independent Registered Public Accountants for our fiscal year</w:t>
            </w:r>
          </w:p>
        </w:tc>
        <w:tc>
          <w:tcPr>
            <w:tcW w:w="7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0" w:type="dxa"/>
            <w:vAlign w:val="bottom"/>
          </w:tcPr>
          <w:p>
            <w:pPr>
              <w:spacing w:after="0"/>
              <w:rPr>
                <w:sz w:val="19"/>
                <w:szCs w:val="19"/>
                <w:color w:val="auto"/>
              </w:rPr>
            </w:pPr>
          </w:p>
        </w:tc>
        <w:tc>
          <w:tcPr>
            <w:tcW w:w="2360" w:type="dxa"/>
            <w:vAlign w:val="bottom"/>
          </w:tcPr>
          <w:p>
            <w:pPr>
              <w:ind w:left="80"/>
              <w:spacing w:after="0"/>
              <w:rPr>
                <w:sz w:val="20"/>
                <w:szCs w:val="20"/>
                <w:color w:val="auto"/>
              </w:rPr>
            </w:pPr>
            <w:r>
              <w:rPr>
                <w:rFonts w:ascii="Arial" w:cs="Arial" w:eastAsia="Arial" w:hAnsi="Arial"/>
                <w:sz w:val="18"/>
                <w:szCs w:val="18"/>
                <w:color w:val="auto"/>
              </w:rPr>
              <w:t>2008.</w:t>
            </w:r>
          </w:p>
        </w:tc>
        <w:tc>
          <w:tcPr>
            <w:tcW w:w="44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ind w:left="280" w:hanging="272"/>
        <w:spacing w:after="0"/>
        <w:tabs>
          <w:tab w:leader="none" w:pos="280" w:val="left"/>
        </w:tabs>
        <w:numPr>
          <w:ilvl w:val="0"/>
          <w:numId w:val="75"/>
        </w:numPr>
        <w:rPr>
          <w:rFonts w:ascii="Arial" w:cs="Arial" w:eastAsia="Arial" w:hAnsi="Arial"/>
          <w:sz w:val="18"/>
          <w:szCs w:val="18"/>
          <w:b w:val="1"/>
          <w:bCs w:val="1"/>
          <w:color w:val="auto"/>
        </w:rPr>
      </w:pPr>
      <w:r>
        <w:rPr>
          <w:rFonts w:ascii="Arial" w:cs="Arial" w:eastAsia="Arial" w:hAnsi="Arial"/>
          <w:sz w:val="18"/>
          <w:szCs w:val="18"/>
          <w:color w:val="auto"/>
        </w:rPr>
        <w:t>To transact such other business as may properly come before the meeting or any adjournment or adjournments thereof.</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tabs>
          <w:tab w:leader="none" w:pos="2520" w:val="left"/>
        </w:tabs>
        <w:rPr>
          <w:sz w:val="20"/>
          <w:szCs w:val="20"/>
          <w:color w:val="auto"/>
        </w:rPr>
      </w:pPr>
      <w:r>
        <w:rPr>
          <w:rFonts w:ascii="Arial" w:cs="Arial" w:eastAsia="Arial" w:hAnsi="Arial"/>
          <w:sz w:val="18"/>
          <w:szCs w:val="18"/>
          <w:color w:val="auto"/>
        </w:rPr>
        <w:t>Address Change?  Mark Box</w:t>
      </w:r>
      <w:r>
        <w:rPr>
          <w:sz w:val="20"/>
          <w:szCs w:val="20"/>
          <w:color w:val="auto"/>
        </w:rPr>
        <w:tab/>
      </w:r>
      <w:r>
        <w:rPr>
          <w:rFonts w:ascii="Arial" w:cs="Arial" w:eastAsia="Arial" w:hAnsi="Arial"/>
          <w:sz w:val="19"/>
          <w:szCs w:val="19"/>
          <w:color w:val="auto"/>
        </w:rPr>
        <w:t xml:space="preserve">o </w:t>
      </w:r>
      <w:r>
        <w:rPr>
          <w:rFonts w:ascii="Arial" w:cs="Arial" w:eastAsia="Arial" w:hAnsi="Arial"/>
          <w:sz w:val="15"/>
          <w:szCs w:val="15"/>
          <w:color w:val="auto"/>
        </w:rPr>
        <w:t>Indicate changes below:</w:t>
      </w: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Date 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175260</wp:posOffset>
            </wp:positionV>
            <wp:extent cx="2907030" cy="5829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90703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Signature(s) in Box</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Please sign exactly as your name(s) appears on Proxy. If held</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in joint tenancy, all persons must sign. Trustees,</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administrators, etc., should include title and authority.</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Corporations should provide full name of corporation and title</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of authorized officer signing the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C482A97"/>
    <w:multiLevelType w:val="hybridMultilevel"/>
    <w:lvl w:ilvl="0">
      <w:lvlJc w:val="left"/>
      <w:lvlText w:val="o"/>
      <w:numFmt w:val="bullet"/>
      <w:start w:val="1"/>
    </w:lvl>
  </w:abstractNum>
  <w:abstractNum w:abstractNumId="1">
    <w:nsid w:val="2463B9EA"/>
    <w:multiLevelType w:val="hybridMultilevel"/>
    <w:lvl w:ilvl="0">
      <w:lvlJc w:val="left"/>
      <w:lvlText w:val="x"/>
      <w:numFmt w:val="bullet"/>
      <w:start w:val="1"/>
    </w:lvl>
  </w:abstractNum>
  <w:abstractNum w:abstractNumId="2">
    <w:nsid w:val="5E884ADC"/>
    <w:multiLevelType w:val="hybridMultilevel"/>
    <w:lvl w:ilvl="0">
      <w:lvlJc w:val="left"/>
      <w:lvlText w:val="o"/>
      <w:numFmt w:val="bullet"/>
      <w:start w:val="1"/>
    </w:lvl>
  </w:abstractNum>
  <w:abstractNum w:abstractNumId="3">
    <w:nsid w:val="51EAD36B"/>
    <w:multiLevelType w:val="hybridMultilevel"/>
    <w:lvl w:ilvl="0">
      <w:lvlJc w:val="left"/>
      <w:lvlText w:val="x"/>
      <w:numFmt w:val="bullet"/>
      <w:start w:val="1"/>
    </w:lvl>
  </w:abstractNum>
  <w:abstractNum w:abstractNumId="4">
    <w:nsid w:val="2D517796"/>
    <w:multiLevelType w:val="hybridMultilevel"/>
    <w:lvl w:ilvl="0">
      <w:lvlJc w:val="left"/>
      <w:lvlText w:val="o"/>
      <w:numFmt w:val="bullet"/>
      <w:start w:val="1"/>
    </w:lvl>
    <w:lvl w:ilvl="1">
      <w:lvlJc w:val="left"/>
      <w:lvlText w:val="(%2)"/>
      <w:numFmt w:val="decimal"/>
      <w:start w:val="1"/>
    </w:lvl>
  </w:abstractNum>
  <w:abstractNum w:abstractNumId="5">
    <w:nsid w:val="580BD78F"/>
    <w:multiLevelType w:val="hybridMultilevel"/>
    <w:lvl w:ilvl="0">
      <w:lvlJc w:val="left"/>
      <w:lvlText w:val="%1."/>
      <w:numFmt w:val="decimal"/>
      <w:start w:val="1"/>
    </w:lvl>
  </w:abstractNum>
  <w:abstractNum w:abstractNumId="6">
    <w:nsid w:val="153EA438"/>
    <w:multiLevelType w:val="hybridMultilevel"/>
    <w:lvl w:ilvl="0">
      <w:lvlJc w:val="left"/>
      <w:lvlText w:val="%1."/>
      <w:numFmt w:val="decimal"/>
      <w:start w:val="3"/>
    </w:lvl>
  </w:abstractNum>
  <w:abstractNum w:abstractNumId="7">
    <w:nsid w:val="3855585C"/>
    <w:multiLevelType w:val="hybridMultilevel"/>
    <w:lvl w:ilvl="0">
      <w:lvlJc w:val="left"/>
      <w:lvlText w:val="(%1)"/>
      <w:numFmt w:val="decimal"/>
      <w:start w:val="1"/>
    </w:lvl>
    <w:lvl w:ilvl="1">
      <w:lvlJc w:val="left"/>
      <w:lvlText w:val="•"/>
      <w:numFmt w:val="bullet"/>
      <w:start w:val="1"/>
    </w:lvl>
  </w:abstractNum>
  <w:abstractNum w:abstractNumId="8">
    <w:nsid w:val="70A64E2A"/>
    <w:multiLevelType w:val="hybridMultilevel"/>
    <w:lvl w:ilvl="0">
      <w:lvlJc w:val="left"/>
      <w:lvlText w:val="(%1)"/>
      <w:numFmt w:val="decimal"/>
      <w:start w:val="3"/>
    </w:lvl>
  </w:abstractNum>
  <w:abstractNum w:abstractNumId="9">
    <w:nsid w:val="6A2342EC"/>
    <w:multiLevelType w:val="hybridMultilevel"/>
    <w:lvl w:ilvl="0">
      <w:lvlJc w:val="left"/>
      <w:lvlText w:val="(%1)"/>
      <w:numFmt w:val="decimal"/>
      <w:start w:val="4"/>
    </w:lvl>
  </w:abstractNum>
  <w:abstractNum w:abstractNumId="10">
    <w:nsid w:val="2A487CB0"/>
    <w:multiLevelType w:val="hybridMultilevel"/>
    <w:lvl w:ilvl="0">
      <w:lvlJc w:val="left"/>
      <w:lvlText w:val="(%1)"/>
      <w:numFmt w:val="decimal"/>
      <w:start w:val="7"/>
    </w:lvl>
  </w:abstractNum>
  <w:abstractNum w:abstractNumId="11">
    <w:nsid w:val="1D4ED43B"/>
    <w:multiLevelType w:val="hybridMultilevel"/>
    <w:lvl w:ilvl="0">
      <w:lvlJc w:val="left"/>
      <w:lvlText w:val="(%1)"/>
      <w:numFmt w:val="decimal"/>
      <w:start w:val="1"/>
    </w:lvl>
  </w:abstractNum>
  <w:abstractNum w:abstractNumId="12">
    <w:nsid w:val="725A06FB"/>
    <w:multiLevelType w:val="hybridMultilevel"/>
    <w:lvl w:ilvl="0">
      <w:lvlJc w:val="left"/>
      <w:lvlText w:val="(%1)"/>
      <w:numFmt w:val="decimal"/>
      <w:start w:val="3"/>
    </w:lvl>
  </w:abstractNum>
  <w:abstractNum w:abstractNumId="13">
    <w:nsid w:val="2CD89A32"/>
    <w:multiLevelType w:val="hybridMultilevel"/>
    <w:lvl w:ilvl="0">
      <w:lvlJc w:val="left"/>
      <w:lvlText w:val="(%1)"/>
      <w:numFmt w:val="decimal"/>
      <w:start w:val="4"/>
    </w:lvl>
  </w:abstractNum>
  <w:abstractNum w:abstractNumId="14">
    <w:nsid w:val="57E4CCAF"/>
    <w:multiLevelType w:val="hybridMultilevel"/>
    <w:lvl w:ilvl="0">
      <w:lvlJc w:val="left"/>
      <w:lvlText w:val="(%1)"/>
      <w:numFmt w:val="decimal"/>
      <w:start w:val="1"/>
    </w:lvl>
  </w:abstractNum>
  <w:abstractNum w:abstractNumId="15">
    <w:nsid w:val="7A6D8D3C"/>
    <w:multiLevelType w:val="hybridMultilevel"/>
    <w:lvl w:ilvl="0">
      <w:lvlJc w:val="left"/>
      <w:lvlText w:val="•"/>
      <w:numFmt w:val="bullet"/>
      <w:start w:val="1"/>
    </w:lvl>
  </w:abstractNum>
  <w:abstractNum w:abstractNumId="16">
    <w:nsid w:val="4B588F54"/>
    <w:multiLevelType w:val="hybridMultilevel"/>
    <w:lvl w:ilvl="0">
      <w:lvlJc w:val="left"/>
      <w:lvlText w:val="(%1)"/>
      <w:numFmt w:val="decimal"/>
      <w:start w:val="3"/>
    </w:lvl>
  </w:abstractNum>
  <w:abstractNum w:abstractNumId="17">
    <w:nsid w:val="542289EC"/>
    <w:multiLevelType w:val="hybridMultilevel"/>
    <w:lvl w:ilvl="0">
      <w:lvlJc w:val="left"/>
      <w:lvlText w:val="•"/>
      <w:numFmt w:val="bullet"/>
      <w:start w:val="1"/>
    </w:lvl>
  </w:abstractNum>
  <w:abstractNum w:abstractNumId="18">
    <w:nsid w:val="6DE91B18"/>
    <w:multiLevelType w:val="hybridMultilevel"/>
    <w:lvl w:ilvl="0">
      <w:lvlJc w:val="left"/>
      <w:lvlText w:val="•"/>
      <w:numFmt w:val="bullet"/>
      <w:start w:val="1"/>
    </w:lvl>
  </w:abstractNum>
  <w:abstractNum w:abstractNumId="19">
    <w:nsid w:val="38437FDB"/>
    <w:multiLevelType w:val="hybridMultilevel"/>
    <w:lvl w:ilvl="0">
      <w:lvlJc w:val="left"/>
      <w:lvlText w:val="•"/>
      <w:numFmt w:val="bullet"/>
      <w:start w:val="1"/>
    </w:lvl>
  </w:abstractNum>
  <w:abstractNum w:abstractNumId="20">
    <w:nsid w:val="7644A45C"/>
    <w:multiLevelType w:val="hybridMultilevel"/>
    <w:lvl w:ilvl="0">
      <w:lvlJc w:val="left"/>
      <w:lvlText w:val="•"/>
      <w:numFmt w:val="bullet"/>
      <w:start w:val="1"/>
    </w:lvl>
  </w:abstractNum>
  <w:abstractNum w:abstractNumId="21">
    <w:nsid w:val="32FFF902"/>
    <w:multiLevelType w:val="hybridMultilevel"/>
    <w:lvl w:ilvl="0">
      <w:lvlJc w:val="left"/>
      <w:lvlText w:val="•"/>
      <w:numFmt w:val="bullet"/>
      <w:start w:val="1"/>
    </w:lvl>
  </w:abstractNum>
  <w:abstractNum w:abstractNumId="22">
    <w:nsid w:val="684A481A"/>
    <w:multiLevelType w:val="hybridMultilevel"/>
    <w:lvl w:ilvl="0">
      <w:lvlJc w:val="left"/>
      <w:lvlText w:val="(%1)"/>
      <w:numFmt w:val="decimal"/>
      <w:start w:val="1"/>
    </w:lvl>
  </w:abstractNum>
  <w:abstractNum w:abstractNumId="23">
    <w:nsid w:val="579478FE"/>
    <w:multiLevelType w:val="hybridMultilevel"/>
    <w:lvl w:ilvl="0">
      <w:lvlJc w:val="left"/>
      <w:lvlText w:val="(%1)"/>
      <w:numFmt w:val="decimal"/>
      <w:start w:val="3"/>
    </w:lvl>
  </w:abstractNum>
  <w:abstractNum w:abstractNumId="24">
    <w:nsid w:val="749ABB43"/>
    <w:multiLevelType w:val="hybridMultilevel"/>
    <w:lvl w:ilvl="0">
      <w:lvlJc w:val="left"/>
      <w:lvlText w:val="(%1)"/>
      <w:numFmt w:val="decimal"/>
      <w:start w:val="4"/>
    </w:lvl>
  </w:abstractNum>
  <w:abstractNum w:abstractNumId="25">
    <w:nsid w:val="3DC240FB"/>
    <w:multiLevelType w:val="hybridMultilevel"/>
    <w:lvl w:ilvl="0">
      <w:lvlJc w:val="left"/>
      <w:lvlText w:val="•"/>
      <w:numFmt w:val="bullet"/>
      <w:start w:val="1"/>
    </w:lvl>
  </w:abstractNum>
  <w:abstractNum w:abstractNumId="26">
    <w:nsid w:val="1BA026FA"/>
    <w:multiLevelType w:val="hybridMultilevel"/>
    <w:lvl w:ilvl="0">
      <w:lvlJc w:val="left"/>
      <w:lvlText w:val="•"/>
      <w:numFmt w:val="bullet"/>
      <w:start w:val="1"/>
    </w:lvl>
  </w:abstractNum>
  <w:abstractNum w:abstractNumId="27">
    <w:nsid w:val="79A1DEAA"/>
    <w:multiLevelType w:val="hybridMultilevel"/>
    <w:lvl w:ilvl="0">
      <w:lvlJc w:val="left"/>
      <w:lvlText w:val="•"/>
      <w:numFmt w:val="bullet"/>
      <w:start w:val="1"/>
    </w:lvl>
  </w:abstractNum>
  <w:abstractNum w:abstractNumId="28">
    <w:nsid w:val="75C6C33A"/>
    <w:multiLevelType w:val="hybridMultilevel"/>
    <w:lvl w:ilvl="0">
      <w:lvlJc w:val="left"/>
      <w:lvlText w:val="•"/>
      <w:numFmt w:val="bullet"/>
      <w:start w:val="1"/>
    </w:lvl>
  </w:abstractNum>
  <w:abstractNum w:abstractNumId="29">
    <w:nsid w:val="12E685FB"/>
    <w:multiLevelType w:val="hybridMultilevel"/>
    <w:lvl w:ilvl="0">
      <w:lvlJc w:val="left"/>
      <w:lvlText w:val="•"/>
      <w:numFmt w:val="bullet"/>
      <w:start w:val="1"/>
    </w:lvl>
  </w:abstractNum>
  <w:abstractNum w:abstractNumId="30">
    <w:nsid w:val="70C6A529"/>
    <w:multiLevelType w:val="hybridMultilevel"/>
    <w:lvl w:ilvl="0">
      <w:lvlJc w:val="left"/>
      <w:lvlText w:val="•"/>
      <w:numFmt w:val="bullet"/>
      <w:start w:val="1"/>
    </w:lvl>
  </w:abstractNum>
  <w:abstractNum w:abstractNumId="31">
    <w:nsid w:val="520EEDD1"/>
    <w:multiLevelType w:val="hybridMultilevel"/>
    <w:lvl w:ilvl="0">
      <w:lvlJc w:val="left"/>
      <w:lvlText w:val="•"/>
      <w:numFmt w:val="bullet"/>
      <w:start w:val="1"/>
    </w:lvl>
  </w:abstractNum>
  <w:abstractNum w:abstractNumId="32">
    <w:nsid w:val="374A3FE6"/>
    <w:multiLevelType w:val="hybridMultilevel"/>
    <w:lvl w:ilvl="0">
      <w:lvlJc w:val="left"/>
      <w:lvlText w:val="•"/>
      <w:numFmt w:val="bullet"/>
      <w:start w:val="1"/>
    </w:lvl>
  </w:abstractNum>
  <w:abstractNum w:abstractNumId="33">
    <w:nsid w:val="4F4EF005"/>
    <w:multiLevelType w:val="hybridMultilevel"/>
    <w:lvl w:ilvl="0">
      <w:lvlJc w:val="left"/>
      <w:lvlText w:val="•"/>
      <w:numFmt w:val="bullet"/>
      <w:start w:val="1"/>
    </w:lvl>
  </w:abstractNum>
  <w:abstractNum w:abstractNumId="34">
    <w:nsid w:val="23F9C13C"/>
    <w:multiLevelType w:val="hybridMultilevel"/>
    <w:lvl w:ilvl="0">
      <w:lvlJc w:val="left"/>
      <w:lvlText w:val="•"/>
      <w:numFmt w:val="bullet"/>
      <w:start w:val="1"/>
    </w:lvl>
  </w:abstractNum>
  <w:abstractNum w:abstractNumId="35">
    <w:nsid w:val="649BB77C"/>
    <w:multiLevelType w:val="hybridMultilevel"/>
    <w:lvl w:ilvl="0">
      <w:lvlJc w:val="left"/>
      <w:lvlText w:val="(%1)"/>
      <w:numFmt w:val="decimal"/>
      <w:start w:val="1"/>
    </w:lvl>
  </w:abstractNum>
  <w:abstractNum w:abstractNumId="36">
    <w:nsid w:val="275AC794"/>
    <w:multiLevelType w:val="hybridMultilevel"/>
    <w:lvl w:ilvl="0">
      <w:lvlJc w:val="left"/>
      <w:lvlText w:val="(%1)"/>
      <w:numFmt w:val="decimal"/>
      <w:start w:val="5"/>
    </w:lvl>
  </w:abstractNum>
  <w:abstractNum w:abstractNumId="37">
    <w:nsid w:val="39386575"/>
    <w:multiLevelType w:val="hybridMultilevel"/>
    <w:lvl w:ilvl="0">
      <w:lvlJc w:val="left"/>
      <w:lvlText w:val="•"/>
      <w:numFmt w:val="bullet"/>
      <w:start w:val="1"/>
    </w:lvl>
  </w:abstractNum>
  <w:abstractNum w:abstractNumId="38">
    <w:nsid w:val="1CF10FD8"/>
    <w:multiLevelType w:val="hybridMultilevel"/>
    <w:lvl w:ilvl="0">
      <w:lvlJc w:val="left"/>
      <w:lvlText w:val="•"/>
      <w:numFmt w:val="bullet"/>
      <w:start w:val="1"/>
    </w:lvl>
  </w:abstractNum>
  <w:abstractNum w:abstractNumId="39">
    <w:nsid w:val="180115BE"/>
    <w:multiLevelType w:val="hybridMultilevel"/>
    <w:lvl w:ilvl="0">
      <w:lvlJc w:val="left"/>
      <w:lvlText w:val="•"/>
      <w:numFmt w:val="bullet"/>
      <w:start w:val="1"/>
    </w:lvl>
  </w:abstractNum>
  <w:abstractNum w:abstractNumId="40">
    <w:nsid w:val="235BA861"/>
    <w:multiLevelType w:val="hybridMultilevel"/>
    <w:lvl w:ilvl="0">
      <w:lvlJc w:val="left"/>
      <w:lvlText w:val="(%1)"/>
      <w:numFmt w:val="decimal"/>
      <w:start w:val="1"/>
    </w:lvl>
  </w:abstractNum>
  <w:abstractNum w:abstractNumId="41">
    <w:nsid w:val="47398C89"/>
    <w:multiLevelType w:val="hybridMultilevel"/>
    <w:lvl w:ilvl="0">
      <w:lvlJc w:val="left"/>
      <w:lvlText w:val="•"/>
      <w:numFmt w:val="bullet"/>
      <w:start w:val="1"/>
    </w:lvl>
  </w:abstractNum>
  <w:abstractNum w:abstractNumId="42">
    <w:nsid w:val="354FE9F9"/>
    <w:multiLevelType w:val="hybridMultilevel"/>
    <w:lvl w:ilvl="0">
      <w:lvlJc w:val="left"/>
      <w:lvlText w:val="(%1)"/>
      <w:numFmt w:val="decimal"/>
      <w:start w:val="1"/>
    </w:lvl>
  </w:abstractNum>
  <w:abstractNum w:abstractNumId="43">
    <w:nsid w:val="15B5AF5C"/>
    <w:multiLevelType w:val="hybridMultilevel"/>
    <w:lvl w:ilvl="0">
      <w:lvlJc w:val="left"/>
      <w:lvlText w:val="(%1)"/>
      <w:numFmt w:val="decimal"/>
      <w:start w:val="5"/>
    </w:lvl>
  </w:abstractNum>
  <w:abstractNum w:abstractNumId="44">
    <w:nsid w:val="741226BB"/>
    <w:multiLevelType w:val="hybridMultilevel"/>
    <w:lvl w:ilvl="0">
      <w:lvlJc w:val="left"/>
      <w:lvlText w:val="(%1)"/>
      <w:numFmt w:val="decimal"/>
      <w:start w:val="6"/>
    </w:lvl>
  </w:abstractNum>
  <w:abstractNum w:abstractNumId="45">
    <w:nsid w:val="D34B6A8"/>
    <w:multiLevelType w:val="hybridMultilevel"/>
    <w:lvl w:ilvl="0">
      <w:lvlJc w:val="left"/>
      <w:lvlText w:val="(%1)"/>
      <w:numFmt w:val="decimal"/>
      <w:start w:val="1"/>
    </w:lvl>
  </w:abstractNum>
  <w:abstractNum w:abstractNumId="46">
    <w:nsid w:val="10233C99"/>
    <w:multiLevelType w:val="hybridMultilevel"/>
    <w:lvl w:ilvl="0">
      <w:lvlJc w:val="left"/>
      <w:lvlText w:val="(%1)"/>
      <w:numFmt w:val="decimal"/>
      <w:start w:val="5"/>
    </w:lvl>
  </w:abstractNum>
  <w:abstractNum w:abstractNumId="47">
    <w:nsid w:val="3F6AB60F"/>
    <w:multiLevelType w:val="hybridMultilevel"/>
    <w:lvl w:ilvl="0">
      <w:lvlJc w:val="left"/>
      <w:lvlText w:val="(%1)"/>
      <w:numFmt w:val="decimal"/>
      <w:start w:val="1"/>
    </w:lvl>
  </w:abstractNum>
  <w:abstractNum w:abstractNumId="48">
    <w:nsid w:val="61574095"/>
    <w:multiLevelType w:val="hybridMultilevel"/>
    <w:lvl w:ilvl="0">
      <w:lvlJc w:val="left"/>
      <w:lvlText w:val="(%1)"/>
      <w:numFmt w:val="decimal"/>
      <w:start w:val="1"/>
    </w:lvl>
  </w:abstractNum>
  <w:abstractNum w:abstractNumId="49">
    <w:nsid w:val="7E0C57B1"/>
    <w:multiLevelType w:val="hybridMultilevel"/>
    <w:lvl w:ilvl="0">
      <w:lvlJc w:val="left"/>
      <w:lvlText w:val="(%1)"/>
      <w:numFmt w:val="decimal"/>
      <w:start w:val="1"/>
    </w:lvl>
  </w:abstractNum>
  <w:abstractNum w:abstractNumId="50">
    <w:nsid w:val="77AE35EB"/>
    <w:multiLevelType w:val="hybridMultilevel"/>
    <w:lvl w:ilvl="0">
      <w:lvlJc w:val="left"/>
      <w:lvlText w:val="(%1)"/>
      <w:numFmt w:val="decimal"/>
      <w:start w:val="4"/>
    </w:lvl>
  </w:abstractNum>
  <w:abstractNum w:abstractNumId="51">
    <w:nsid w:val="579BE4F1"/>
    <w:multiLevelType w:val="hybridMultilevel"/>
    <w:lvl w:ilvl="0">
      <w:lvlJc w:val="left"/>
      <w:lvlText w:val="•"/>
      <w:numFmt w:val="bullet"/>
      <w:start w:val="1"/>
    </w:lvl>
  </w:abstractNum>
  <w:abstractNum w:abstractNumId="52">
    <w:nsid w:val="310C50B3"/>
    <w:multiLevelType w:val="hybridMultilevel"/>
    <w:lvl w:ilvl="0">
      <w:lvlJc w:val="left"/>
      <w:lvlText w:val="•"/>
      <w:numFmt w:val="bullet"/>
      <w:start w:val="1"/>
    </w:lvl>
  </w:abstractNum>
  <w:abstractNum w:abstractNumId="53">
    <w:nsid w:val="5FF87E05"/>
    <w:multiLevelType w:val="hybridMultilevel"/>
    <w:lvl w:ilvl="0">
      <w:lvlJc w:val="left"/>
      <w:lvlText w:val="•"/>
      <w:numFmt w:val="bullet"/>
      <w:start w:val="1"/>
    </w:lvl>
  </w:abstractNum>
  <w:abstractNum w:abstractNumId="54">
    <w:nsid w:val="2F305DEF"/>
    <w:multiLevelType w:val="hybridMultilevel"/>
    <w:lvl w:ilvl="0">
      <w:lvlJc w:val="left"/>
      <w:lvlText w:val="(%1)"/>
      <w:numFmt w:val="decimal"/>
      <w:start w:val="1"/>
    </w:lvl>
  </w:abstractNum>
  <w:abstractNum w:abstractNumId="55">
    <w:nsid w:val="25A70BF7"/>
    <w:multiLevelType w:val="hybridMultilevel"/>
    <w:lvl w:ilvl="0">
      <w:lvlJc w:val="left"/>
      <w:lvlText w:val="(%1)"/>
      <w:numFmt w:val="decimal"/>
      <w:start w:val="6"/>
    </w:lvl>
  </w:abstractNum>
  <w:abstractNum w:abstractNumId="56">
    <w:nsid w:val="1DBABF00"/>
    <w:multiLevelType w:val="hybridMultilevel"/>
    <w:lvl w:ilvl="0">
      <w:lvlJc w:val="left"/>
      <w:lvlText w:val="(%1)"/>
      <w:numFmt w:val="decimal"/>
      <w:start w:val="1"/>
    </w:lvl>
  </w:abstractNum>
  <w:abstractNum w:abstractNumId="57">
    <w:nsid w:val="4AD084E9"/>
    <w:multiLevelType w:val="hybridMultilevel"/>
    <w:lvl w:ilvl="0">
      <w:lvlJc w:val="left"/>
      <w:lvlText w:val="(%1)"/>
      <w:numFmt w:val="decimal"/>
      <w:start w:val="1"/>
    </w:lvl>
  </w:abstractNum>
  <w:abstractNum w:abstractNumId="58">
    <w:nsid w:val="1F48EAA1"/>
    <w:multiLevelType w:val="hybridMultilevel"/>
    <w:lvl w:ilvl="0">
      <w:lvlJc w:val="left"/>
      <w:lvlText w:val="(%1)"/>
      <w:numFmt w:val="decimal"/>
      <w:start w:val="1"/>
    </w:lvl>
  </w:abstractNum>
  <w:abstractNum w:abstractNumId="59">
    <w:nsid w:val="1381823A"/>
    <w:multiLevelType w:val="hybridMultilevel"/>
    <w:lvl w:ilvl="0">
      <w:lvlJc w:val="left"/>
      <w:lvlText w:val="(%1)"/>
      <w:numFmt w:val="decimal"/>
      <w:start w:val="1"/>
    </w:lvl>
  </w:abstractNum>
  <w:abstractNum w:abstractNumId="60">
    <w:nsid w:val="5DB70AE5"/>
    <w:multiLevelType w:val="hybridMultilevel"/>
    <w:lvl w:ilvl="0">
      <w:lvlJc w:val="left"/>
      <w:lvlText w:val="(%1)"/>
      <w:numFmt w:val="decimal"/>
      <w:start w:val="1"/>
    </w:lvl>
  </w:abstractNum>
  <w:abstractNum w:abstractNumId="61">
    <w:nsid w:val="100F8FCA"/>
    <w:multiLevelType w:val="hybridMultilevel"/>
    <w:lvl w:ilvl="0">
      <w:lvlJc w:val="left"/>
      <w:lvlText w:val="(%1)"/>
      <w:numFmt w:val="decimal"/>
      <w:start w:val="1"/>
    </w:lvl>
  </w:abstractNum>
  <w:abstractNum w:abstractNumId="62">
    <w:nsid w:val="6590700B"/>
    <w:multiLevelType w:val="hybridMultilevel"/>
    <w:lvl w:ilvl="0">
      <w:lvlJc w:val="left"/>
      <w:lvlText w:val="%1."/>
      <w:numFmt w:val="decimal"/>
      <w:start w:val="1"/>
    </w:lvl>
  </w:abstractNum>
  <w:abstractNum w:abstractNumId="63">
    <w:nsid w:val="15014ACB"/>
    <w:multiLevelType w:val="hybridMultilevel"/>
    <w:lvl w:ilvl="0">
      <w:lvlJc w:val="left"/>
      <w:lvlText w:val="%1."/>
      <w:numFmt w:val="decimal"/>
      <w:start w:val="3"/>
    </w:lvl>
    <w:lvl w:ilvl="1">
      <w:lvlJc w:val="left"/>
      <w:lvlText w:val="•"/>
      <w:numFmt w:val="bullet"/>
      <w:start w:val="1"/>
    </w:lvl>
  </w:abstractNum>
  <w:abstractNum w:abstractNumId="64">
    <w:nsid w:val="5F5E7FD0"/>
    <w:multiLevelType w:val="hybridMultilevel"/>
    <w:lvl w:ilvl="0">
      <w:lvlJc w:val="left"/>
      <w:lvlText w:val="%1."/>
      <w:numFmt w:val="decimal"/>
      <w:start w:val="4"/>
    </w:lvl>
    <w:lvl w:ilvl="1">
      <w:lvlJc w:val="left"/>
      <w:lvlText w:val="(%2)"/>
      <w:numFmt w:val="decimal"/>
      <w:start w:val="1"/>
    </w:lvl>
  </w:abstractNum>
  <w:abstractNum w:abstractNumId="65">
    <w:nsid w:val="98A3148"/>
    <w:multiLevelType w:val="hybridMultilevel"/>
    <w:lvl w:ilvl="0">
      <w:lvlJc w:val="left"/>
      <w:lvlText w:val="(%1)"/>
      <w:numFmt w:val="decimal"/>
      <w:start w:val="6"/>
    </w:lvl>
  </w:abstractNum>
  <w:abstractNum w:abstractNumId="66">
    <w:nsid w:val="799D0247"/>
    <w:multiLevelType w:val="hybridMultilevel"/>
    <w:lvl w:ilvl="0">
      <w:lvlJc w:val="left"/>
      <w:lvlText w:val="%1."/>
      <w:numFmt w:val="decimal"/>
      <w:start w:val="1"/>
    </w:lvl>
  </w:abstractNum>
  <w:abstractNum w:abstractNumId="67">
    <w:nsid w:val="6B94764"/>
    <w:multiLevelType w:val="hybridMultilevel"/>
    <w:lvl w:ilvl="0">
      <w:lvlJc w:val="left"/>
      <w:lvlText w:val="%1."/>
      <w:numFmt w:val="decimal"/>
      <w:start w:val="5"/>
    </w:lvl>
  </w:abstractNum>
  <w:abstractNum w:abstractNumId="68">
    <w:nsid w:val="42C296BD"/>
    <w:multiLevelType w:val="hybridMultilevel"/>
    <w:lvl w:ilvl="0">
      <w:lvlJc w:val="left"/>
      <w:lvlText w:val="%1."/>
      <w:numFmt w:val="decimal"/>
      <w:start w:val="6"/>
    </w:lvl>
    <w:lvl w:ilvl="1">
      <w:lvlJc w:val="left"/>
      <w:lvlText w:val="(%2)"/>
      <w:numFmt w:val="decimal"/>
      <w:start w:val="1"/>
    </w:lvl>
  </w:abstractNum>
  <w:abstractNum w:abstractNumId="69">
    <w:nsid w:val="168E121F"/>
    <w:multiLevelType w:val="hybridMultilevel"/>
    <w:lvl w:ilvl="0">
      <w:lvlJc w:val="left"/>
      <w:lvlText w:val="%1)"/>
      <w:numFmt w:val="decimal"/>
      <w:start w:val="1"/>
    </w:lvl>
    <w:lvl w:ilvl="1">
      <w:lvlJc w:val="left"/>
      <w:lvlText w:val="•"/>
      <w:numFmt w:val="bullet"/>
      <w:start w:val="1"/>
    </w:lvl>
  </w:abstractNum>
  <w:abstractNum w:abstractNumId="70">
    <w:nsid w:val="1EBA5D23"/>
    <w:multiLevelType w:val="hybridMultilevel"/>
    <w:lvl w:ilvl="0">
      <w:lvlJc w:val="left"/>
      <w:lvlText w:val="%1)"/>
      <w:numFmt w:val="decimal"/>
      <w:start w:val="1"/>
    </w:lvl>
    <w:lvl w:ilvl="1">
      <w:lvlJc w:val="left"/>
      <w:lvlText w:val="•"/>
      <w:numFmt w:val="bullet"/>
      <w:start w:val="1"/>
    </w:lvl>
  </w:abstractNum>
  <w:abstractNum w:abstractNumId="71">
    <w:nsid w:val="661E3F1E"/>
    <w:multiLevelType w:val="hybridMultilevel"/>
    <w:lvl w:ilvl="0">
      <w:lvlJc w:val="left"/>
      <w:lvlText w:val="%1)"/>
      <w:numFmt w:val="decimal"/>
      <w:start w:val="1"/>
    </w:lvl>
  </w:abstractNum>
  <w:abstractNum w:abstractNumId="72">
    <w:nsid w:val="5DC79EA8"/>
    <w:multiLevelType w:val="hybridMultilevel"/>
    <w:lvl w:ilvl="0">
      <w:lvlJc w:val="left"/>
      <w:lvlText w:val="%1)"/>
      <w:numFmt w:val="decimal"/>
      <w:start w:val="1"/>
    </w:lvl>
  </w:abstractNum>
  <w:abstractNum w:abstractNumId="73">
    <w:nsid w:val="540A471C"/>
    <w:multiLevelType w:val="hybridMultilevel"/>
    <w:lvl w:ilvl="0">
      <w:lvlJc w:val="left"/>
      <w:lvlText w:val="%1)"/>
      <w:numFmt w:val="decimal"/>
      <w:start w:val="1"/>
    </w:lvl>
  </w:abstractNum>
  <w:abstractNum w:abstractNumId="74">
    <w:nsid w:val="7BD3EE7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2019-12-11T21:08:40Z</dcterms:created>
  <dcterms:modified xsi:type="dcterms:W3CDTF">2019-12-11T21:08:40Z</dcterms:modified>
</cp:coreProperties>
</file>