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13"/>
          <w:szCs w:val="13"/>
          <w:color w:val="auto"/>
        </w:rPr>
        <w:t>(Mark One)</w:t>
      </w:r>
    </w:p>
    <w:p>
      <w:pPr>
        <w:spacing w:after="0" w:line="34" w:lineRule="exact"/>
        <w:rPr>
          <w:sz w:val="24"/>
          <w:szCs w:val="24"/>
          <w:color w:val="auto"/>
        </w:rPr>
      </w:pPr>
    </w:p>
    <w:p>
      <w:pPr>
        <w:ind w:left="20"/>
        <w:spacing w:after="0" w:line="131" w:lineRule="exact"/>
        <w:rPr>
          <w:sz w:val="20"/>
          <w:szCs w:val="20"/>
          <w:color w:val="auto"/>
        </w:rPr>
      </w:pPr>
      <w:r>
        <w:rPr>
          <w:rFonts w:ascii="MS PGothic" w:cs="MS PGothic" w:eastAsia="MS PGothic" w:hAnsi="MS PGothic"/>
          <w:sz w:val="13"/>
          <w:szCs w:val="13"/>
          <w:color w:val="auto"/>
        </w:rPr>
        <w:t>☒</w:t>
      </w:r>
    </w:p>
    <w:p>
      <w:pPr>
        <w:spacing w:after="0" w:line="38" w:lineRule="exact"/>
        <w:rPr>
          <w:sz w:val="24"/>
          <w:szCs w:val="24"/>
          <w:color w:val="auto"/>
        </w:rPr>
      </w:pPr>
    </w:p>
    <w:p>
      <w:pPr>
        <w:ind w:right="4420" w:firstLine="343"/>
        <w:spacing w:after="0" w:line="356" w:lineRule="auto"/>
        <w:rPr>
          <w:sz w:val="20"/>
          <w:szCs w:val="20"/>
          <w:color w:val="auto"/>
        </w:rPr>
      </w:pPr>
      <w:r>
        <w:rPr>
          <w:rFonts w:ascii="Arial" w:cs="Arial" w:eastAsia="Arial" w:hAnsi="Arial"/>
          <w:sz w:val="13"/>
          <w:szCs w:val="13"/>
          <w:b w:val="1"/>
          <w:bCs w:val="1"/>
          <w:color w:val="auto"/>
        </w:rPr>
        <w:t xml:space="preserve">QUARTERLY REPORT PURSUANT TO SECTION 13 OR 15(d) OF THE SECURITIES EXCHANGE ACT OF 1934 </w:t>
      </w:r>
      <w:r>
        <w:rPr>
          <w:rFonts w:ascii="Arial" w:cs="Arial" w:eastAsia="Arial" w:hAnsi="Arial"/>
          <w:sz w:val="13"/>
          <w:szCs w:val="13"/>
          <w:color w:val="auto"/>
        </w:rPr>
        <w:t>For the quarterly period ended May 25, 2024</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3"/>
          <w:szCs w:val="13"/>
          <w:color w:val="auto"/>
        </w:rPr>
        <w:t>or</w:t>
      </w:r>
    </w:p>
    <w:p>
      <w:pPr>
        <w:spacing w:after="0" w:line="63" w:lineRule="exact"/>
        <w:rPr>
          <w:sz w:val="24"/>
          <w:szCs w:val="24"/>
          <w:color w:val="auto"/>
        </w:rPr>
      </w:pPr>
    </w:p>
    <w:p>
      <w:pPr>
        <w:ind w:left="260" w:right="4500" w:hanging="241"/>
        <w:spacing w:after="0" w:line="340" w:lineRule="auto"/>
        <w:tabs>
          <w:tab w:leader="none" w:pos="2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3"/>
          <w:szCs w:val="13"/>
          <w:color w:val="auto"/>
        </w:rPr>
        <w:t>For the transition period from _________________ to _________________</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3"/>
          <w:szCs w:val="13"/>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2239645</wp:posOffset>
            </wp:positionH>
            <wp:positionV relativeFrom="paragraph">
              <wp:posOffset>53340</wp:posOffset>
            </wp:positionV>
            <wp:extent cx="2687955" cy="774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7955" cy="774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WINNEBAGO INDUSTRIES, INC.</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104"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6"/>
              </w:rPr>
              <w:t>Minnesota</w:t>
            </w:r>
          </w:p>
        </w:tc>
        <w:tc>
          <w:tcPr>
            <w:tcW w:w="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2"/>
          </w:tcPr>
          <w:p>
            <w:pPr>
              <w:jc w:val="right"/>
              <w:ind w:right="2100"/>
              <w:spacing w:after="0"/>
              <w:rPr>
                <w:sz w:val="20"/>
                <w:szCs w:val="20"/>
                <w:color w:val="auto"/>
              </w:rPr>
            </w:pPr>
            <w:r>
              <w:rPr>
                <w:rFonts w:ascii="Arial" w:cs="Arial" w:eastAsia="Arial" w:hAnsi="Arial"/>
                <w:sz w:val="13"/>
                <w:szCs w:val="13"/>
                <w:b w:val="1"/>
                <w:bCs w:val="1"/>
                <w:color w:val="auto"/>
              </w:rPr>
              <w:t>42-0802678</w:t>
            </w:r>
          </w:p>
        </w:tc>
      </w:tr>
      <w:tr>
        <w:trPr>
          <w:trHeight w:val="158"/>
        </w:trPr>
        <w:tc>
          <w:tcPr>
            <w:tcW w:w="7380" w:type="dxa"/>
            <w:vAlign w:val="bottom"/>
            <w:gridSpan w:val="8"/>
          </w:tcPr>
          <w:p>
            <w:pPr>
              <w:jc w:val="center"/>
              <w:ind w:right="1620"/>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920" w:type="dxa"/>
            <w:vAlign w:val="bottom"/>
            <w:gridSpan w:val="2"/>
          </w:tcPr>
          <w:p>
            <w:pPr>
              <w:jc w:val="center"/>
              <w:ind w:right="960"/>
              <w:spacing w:after="0"/>
              <w:rPr>
                <w:sz w:val="20"/>
                <w:szCs w:val="20"/>
                <w:color w:val="auto"/>
              </w:rPr>
            </w:pPr>
            <w:r>
              <w:rPr>
                <w:rFonts w:ascii="Arial" w:cs="Arial" w:eastAsia="Arial" w:hAnsi="Arial"/>
                <w:sz w:val="13"/>
                <w:szCs w:val="13"/>
                <w:color w:val="auto"/>
                <w:w w:val="97"/>
              </w:rPr>
              <w:t>(I.R.S. Employer Identification No.)</w:t>
            </w:r>
          </w:p>
        </w:tc>
      </w:tr>
      <w:tr>
        <w:trPr>
          <w:trHeight w:val="215"/>
        </w:trPr>
        <w:tc>
          <w:tcPr>
            <w:tcW w:w="1680" w:type="dxa"/>
            <w:vAlign w:val="bottom"/>
          </w:tcPr>
          <w:p>
            <w:pPr>
              <w:ind w:left="400"/>
              <w:spacing w:after="0"/>
              <w:rPr>
                <w:sz w:val="20"/>
                <w:szCs w:val="20"/>
                <w:color w:val="auto"/>
              </w:rPr>
            </w:pPr>
            <w:r>
              <w:rPr>
                <w:rFonts w:ascii="Arial" w:cs="Arial" w:eastAsia="Arial" w:hAnsi="Arial"/>
                <w:sz w:val="13"/>
                <w:szCs w:val="13"/>
                <w:b w:val="1"/>
                <w:bCs w:val="1"/>
                <w:color w:val="auto"/>
              </w:rPr>
              <w:t>13200 Pioneer Trail</w:t>
            </w:r>
          </w:p>
        </w:tc>
        <w:tc>
          <w:tcPr>
            <w:tcW w:w="280" w:type="dxa"/>
            <w:vAlign w:val="bottom"/>
          </w:tcPr>
          <w:p>
            <w:pPr>
              <w:spacing w:after="0"/>
              <w:rPr>
                <w:sz w:val="18"/>
                <w:szCs w:val="18"/>
                <w:color w:val="auto"/>
              </w:rPr>
            </w:pPr>
          </w:p>
        </w:tc>
        <w:tc>
          <w:tcPr>
            <w:tcW w:w="2100" w:type="dxa"/>
            <w:vAlign w:val="bottom"/>
          </w:tcPr>
          <w:p>
            <w:pPr>
              <w:ind w:left="620"/>
              <w:spacing w:after="0"/>
              <w:rPr>
                <w:sz w:val="20"/>
                <w:szCs w:val="20"/>
                <w:color w:val="auto"/>
              </w:rPr>
            </w:pPr>
            <w:r>
              <w:rPr>
                <w:rFonts w:ascii="Arial" w:cs="Arial" w:eastAsia="Arial" w:hAnsi="Arial"/>
                <w:sz w:val="13"/>
                <w:szCs w:val="13"/>
                <w:b w:val="1"/>
                <w:bCs w:val="1"/>
                <w:color w:val="auto"/>
              </w:rPr>
              <w:t>Eden Prairie</w:t>
            </w:r>
          </w:p>
        </w:tc>
        <w:tc>
          <w:tcPr>
            <w:tcW w:w="3320" w:type="dxa"/>
            <w:vAlign w:val="bottom"/>
            <w:gridSpan w:val="5"/>
          </w:tcPr>
          <w:p>
            <w:pPr>
              <w:ind w:left="480"/>
              <w:spacing w:after="0"/>
              <w:rPr>
                <w:sz w:val="20"/>
                <w:szCs w:val="20"/>
                <w:color w:val="auto"/>
              </w:rPr>
            </w:pPr>
            <w:r>
              <w:rPr>
                <w:rFonts w:ascii="Arial" w:cs="Arial" w:eastAsia="Arial" w:hAnsi="Arial"/>
                <w:sz w:val="13"/>
                <w:szCs w:val="13"/>
                <w:b w:val="1"/>
                <w:bCs w:val="1"/>
                <w:color w:val="auto"/>
              </w:rPr>
              <w:t>Minnesota</w:t>
            </w:r>
          </w:p>
        </w:tc>
        <w:tc>
          <w:tcPr>
            <w:tcW w:w="3920" w:type="dxa"/>
            <w:vAlign w:val="bottom"/>
            <w:gridSpan w:val="2"/>
          </w:tcPr>
          <w:p>
            <w:pPr>
              <w:jc w:val="right"/>
              <w:ind w:right="2260"/>
              <w:spacing w:after="0"/>
              <w:rPr>
                <w:sz w:val="20"/>
                <w:szCs w:val="20"/>
                <w:color w:val="auto"/>
              </w:rPr>
            </w:pPr>
            <w:r>
              <w:rPr>
                <w:rFonts w:ascii="Arial" w:cs="Arial" w:eastAsia="Arial" w:hAnsi="Arial"/>
                <w:sz w:val="13"/>
                <w:szCs w:val="13"/>
                <w:b w:val="1"/>
                <w:bCs w:val="1"/>
                <w:color w:val="auto"/>
              </w:rPr>
              <w:t>55347</w:t>
            </w:r>
          </w:p>
        </w:tc>
      </w:tr>
      <w:tr>
        <w:trPr>
          <w:trHeight w:val="158"/>
        </w:trPr>
        <w:tc>
          <w:tcPr>
            <w:tcW w:w="168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7"/>
              </w:rPr>
              <w:t>(Address of principal executive offices)</w:t>
            </w:r>
          </w:p>
        </w:tc>
        <w:tc>
          <w:tcPr>
            <w:tcW w:w="7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920" w:type="dxa"/>
            <w:vAlign w:val="bottom"/>
            <w:tcBorders>
              <w:top w:val="single" w:sz="8" w:color="auto"/>
            </w:tcBorders>
            <w:gridSpan w:val="2"/>
          </w:tcPr>
          <w:p>
            <w:pPr>
              <w:jc w:val="center"/>
              <w:ind w:right="960"/>
              <w:spacing w:after="0"/>
              <w:rPr>
                <w:sz w:val="20"/>
                <w:szCs w:val="20"/>
                <w:color w:val="auto"/>
              </w:rPr>
            </w:pPr>
            <w:r>
              <w:rPr>
                <w:rFonts w:ascii="Arial" w:cs="Arial" w:eastAsia="Arial" w:hAnsi="Arial"/>
                <w:sz w:val="13"/>
                <w:szCs w:val="13"/>
                <w:color w:val="auto"/>
                <w:w w:val="97"/>
              </w:rPr>
              <w:t>(Zip Code)</w:t>
            </w:r>
          </w:p>
        </w:tc>
      </w:tr>
      <w:tr>
        <w:trPr>
          <w:trHeight w:val="215"/>
        </w:trPr>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rPr>
              <w:t>952-829-8600</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158"/>
        </w:trPr>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320" w:type="dxa"/>
            <w:vAlign w:val="bottom"/>
            <w:gridSpan w:val="5"/>
          </w:tcPr>
          <w:p>
            <w:pPr>
              <w:jc w:val="center"/>
              <w:ind w:right="140"/>
              <w:spacing w:after="0"/>
              <w:rPr>
                <w:sz w:val="20"/>
                <w:szCs w:val="20"/>
                <w:color w:val="auto"/>
              </w:rPr>
            </w:pPr>
            <w:r>
              <w:rPr>
                <w:rFonts w:ascii="Arial" w:cs="Arial" w:eastAsia="Arial" w:hAnsi="Arial"/>
                <w:sz w:val="13"/>
                <w:szCs w:val="13"/>
                <w:color w:val="auto"/>
                <w:w w:val="97"/>
              </w:rPr>
              <w:t>(Registrant's telephone number, including area code)</w:t>
            </w:r>
          </w:p>
        </w:tc>
        <w:tc>
          <w:tcPr>
            <w:tcW w:w="166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403"/>
        </w:trPr>
        <w:tc>
          <w:tcPr>
            <w:tcW w:w="406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
        </w:trPr>
        <w:tc>
          <w:tcPr>
            <w:tcW w:w="1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r>
      <w:tr>
        <w:trPr>
          <w:trHeight w:val="159"/>
        </w:trPr>
        <w:tc>
          <w:tcPr>
            <w:tcW w:w="1680" w:type="dxa"/>
            <w:vAlign w:val="bottom"/>
            <w:tcBorders>
              <w:left w:val="single" w:sz="8" w:color="auto"/>
              <w:bottom w:val="single" w:sz="8" w:color="auto"/>
            </w:tcBorders>
          </w:tcPr>
          <w:p>
            <w:pPr>
              <w:spacing w:after="0"/>
              <w:rPr>
                <w:sz w:val="13"/>
                <w:szCs w:val="13"/>
                <w:color w:val="auto"/>
              </w:rPr>
            </w:pPr>
          </w:p>
        </w:tc>
        <w:tc>
          <w:tcPr>
            <w:tcW w:w="2380" w:type="dxa"/>
            <w:vAlign w:val="bottom"/>
            <w:tcBorders>
              <w:bottom w:val="single" w:sz="8" w:color="auto"/>
            </w:tcBorders>
            <w:gridSpan w:val="2"/>
          </w:tcPr>
          <w:p>
            <w:pPr>
              <w:jc w:val="center"/>
              <w:ind w:right="876"/>
              <w:spacing w:after="0"/>
              <w:rPr>
                <w:sz w:val="20"/>
                <w:szCs w:val="20"/>
                <w:color w:val="auto"/>
              </w:rPr>
            </w:pPr>
            <w:r>
              <w:rPr>
                <w:rFonts w:ascii="Arial" w:cs="Arial" w:eastAsia="Arial" w:hAnsi="Arial"/>
                <w:sz w:val="13"/>
                <w:szCs w:val="13"/>
                <w:color w:val="auto"/>
                <w:w w:val="96"/>
              </w:rPr>
              <w:t>Title of each class</w:t>
            </w:r>
          </w:p>
        </w:tc>
        <w:tc>
          <w:tcPr>
            <w:tcW w:w="74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6"/>
              </w:rPr>
              <w:t>Trading Symbol(s)</w:t>
            </w:r>
          </w:p>
        </w:tc>
        <w:tc>
          <w:tcPr>
            <w:tcW w:w="86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3"/>
                <w:szCs w:val="13"/>
                <w:color w:val="auto"/>
                <w:w w:val="97"/>
              </w:rPr>
              <w:t>Name of each exchange on which registered</w:t>
            </w:r>
          </w:p>
        </w:tc>
      </w:tr>
      <w:tr>
        <w:trPr>
          <w:trHeight w:val="160"/>
        </w:trPr>
        <w:tc>
          <w:tcPr>
            <w:tcW w:w="4060" w:type="dxa"/>
            <w:vAlign w:val="bottom"/>
            <w:tcBorders>
              <w:left w:val="single" w:sz="8" w:color="auto"/>
              <w:bottom w:val="single" w:sz="8" w:color="auto"/>
            </w:tcBorders>
            <w:gridSpan w:val="3"/>
          </w:tcPr>
          <w:p>
            <w:pPr>
              <w:jc w:val="center"/>
              <w:ind w:left="676"/>
              <w:spacing w:after="0"/>
              <w:rPr>
                <w:sz w:val="20"/>
                <w:szCs w:val="20"/>
                <w:color w:val="auto"/>
              </w:rPr>
            </w:pPr>
            <w:r>
              <w:rPr>
                <w:rFonts w:ascii="Arial" w:cs="Arial" w:eastAsia="Arial" w:hAnsi="Arial"/>
                <w:sz w:val="13"/>
                <w:szCs w:val="13"/>
                <w:color w:val="auto"/>
                <w:w w:val="98"/>
              </w:rPr>
              <w:t>Common Stock, $0.50 par value per share</w:t>
            </w:r>
          </w:p>
        </w:tc>
        <w:tc>
          <w:tcPr>
            <w:tcW w:w="74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2"/>
              </w:rPr>
              <w:t>WGO</w:t>
            </w:r>
          </w:p>
        </w:tc>
        <w:tc>
          <w:tcPr>
            <w:tcW w:w="86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3"/>
                <w:szCs w:val="13"/>
                <w:color w:val="auto"/>
                <w:w w:val="96"/>
              </w:rPr>
              <w:t>New York Stock Exchange</w:t>
            </w:r>
          </w:p>
        </w:tc>
      </w:tr>
    </w:tbl>
    <w:p>
      <w:pPr>
        <w:spacing w:after="0" w:line="244" w:lineRule="exact"/>
        <w:rPr>
          <w:sz w:val="24"/>
          <w:szCs w:val="24"/>
          <w:color w:val="auto"/>
        </w:rPr>
      </w:pPr>
    </w:p>
    <w:p>
      <w:pPr>
        <w:ind w:right="3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ind w:right="8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ind w:right="14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p>
      <w:pPr>
        <w:spacing w:after="0" w:line="150" w:lineRule="exact"/>
        <w:tabs>
          <w:tab w:leader="none" w:pos="1580" w:val="left"/>
          <w:tab w:leader="none" w:pos="28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37" w:lineRule="exact"/>
        <w:rPr>
          <w:sz w:val="24"/>
          <w:szCs w:val="24"/>
          <w:color w:val="auto"/>
        </w:rPr>
      </w:pPr>
    </w:p>
    <w:p>
      <w:pPr>
        <w:ind w:left="140"/>
        <w:spacing w:after="0" w:line="150" w:lineRule="exact"/>
        <w:tabs>
          <w:tab w:leader="none" w:pos="2160" w:val="left"/>
        </w:tabs>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2" w:lineRule="exact"/>
        <w:rPr>
          <w:sz w:val="24"/>
          <w:szCs w:val="24"/>
          <w:color w:val="auto"/>
        </w:rPr>
      </w:pPr>
    </w:p>
    <w:p>
      <w:pPr>
        <w:ind w:right="38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150" w:lineRule="exact"/>
        <w:tabs>
          <w:tab w:leader="none" w:pos="68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3"/>
          <w:szCs w:val="13"/>
          <w:color w:val="auto"/>
        </w:rPr>
        <w:t>As of June 13, 2024, there were 28,954,999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370840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40" w:type="dxa"/>
            <w:vAlign w:val="bottom"/>
            <w:gridSpan w:val="2"/>
          </w:tcPr>
          <w:p>
            <w:pPr>
              <w:jc w:val="center"/>
              <w:ind w:right="2880"/>
              <w:spacing w:after="0"/>
              <w:rPr>
                <w:sz w:val="20"/>
                <w:szCs w:val="20"/>
                <w:color w:val="auto"/>
              </w:rPr>
            </w:pPr>
            <w:r>
              <w:rPr>
                <w:rFonts w:ascii="Arial" w:cs="Arial" w:eastAsia="Arial" w:hAnsi="Arial"/>
                <w:sz w:val="17"/>
                <w:szCs w:val="17"/>
                <w:b w:val="1"/>
                <w:bCs w:val="1"/>
                <w:color w:val="auto"/>
                <w:w w:val="99"/>
              </w:rPr>
              <w:t>Winnebago Industries, Inc.</w:t>
            </w:r>
          </w:p>
        </w:tc>
        <w:tc>
          <w:tcPr>
            <w:tcW w:w="1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gridSpan w:val="3"/>
          </w:tcPr>
          <w:p>
            <w:pPr>
              <w:jc w:val="center"/>
              <w:ind w:right="2680"/>
              <w:spacing w:after="0"/>
              <w:rPr>
                <w:sz w:val="20"/>
                <w:szCs w:val="20"/>
                <w:color w:val="auto"/>
              </w:rPr>
            </w:pPr>
            <w:r>
              <w:rPr>
                <w:rFonts w:ascii="Arial" w:cs="Arial" w:eastAsia="Arial" w:hAnsi="Arial"/>
                <w:sz w:val="17"/>
                <w:szCs w:val="17"/>
                <w:b w:val="1"/>
                <w:bCs w:val="1"/>
                <w:color w:val="auto"/>
                <w:w w:val="99"/>
              </w:rPr>
              <w:t>Quarterly Report on Form 10-Q</w:t>
            </w:r>
          </w:p>
        </w:tc>
        <w:tc>
          <w:tcPr>
            <w:tcW w:w="140" w:type="dxa"/>
            <w:vAlign w:val="bottom"/>
          </w:tcPr>
          <w:p>
            <w:pPr>
              <w:spacing w:after="0"/>
              <w:rPr>
                <w:sz w:val="17"/>
                <w:szCs w:val="17"/>
                <w:color w:val="auto"/>
              </w:rPr>
            </w:pPr>
          </w:p>
        </w:tc>
      </w:tr>
      <w:tr>
        <w:trPr>
          <w:trHeight w:val="232"/>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0" w:type="dxa"/>
            <w:vAlign w:val="bottom"/>
            <w:gridSpan w:val="5"/>
          </w:tcPr>
          <w:p>
            <w:pPr>
              <w:jc w:val="center"/>
              <w:ind w:right="1920"/>
              <w:spacing w:after="0"/>
              <w:rPr>
                <w:sz w:val="20"/>
                <w:szCs w:val="20"/>
                <w:color w:val="auto"/>
              </w:rPr>
            </w:pPr>
            <w:r>
              <w:rPr>
                <w:rFonts w:ascii="Arial" w:cs="Arial" w:eastAsia="Arial" w:hAnsi="Arial"/>
                <w:sz w:val="17"/>
                <w:szCs w:val="17"/>
                <w:b w:val="1"/>
                <w:bCs w:val="1"/>
                <w:color w:val="auto"/>
                <w:w w:val="99"/>
              </w:rPr>
              <w:t>For the Quarterly Period Ended May 25, 2024</w:t>
            </w:r>
          </w:p>
        </w:tc>
        <w:tc>
          <w:tcPr>
            <w:tcW w:w="140" w:type="dxa"/>
            <w:vAlign w:val="bottom"/>
          </w:tcPr>
          <w:p>
            <w:pPr>
              <w:spacing w:after="0"/>
              <w:rPr>
                <w:sz w:val="20"/>
                <w:szCs w:val="20"/>
                <w:color w:val="auto"/>
              </w:rPr>
            </w:pPr>
          </w:p>
        </w:tc>
      </w:tr>
      <w:tr>
        <w:trPr>
          <w:trHeight w:val="403"/>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2"/>
          </w:tcPr>
          <w:p>
            <w:pPr>
              <w:jc w:val="center"/>
              <w:ind w:right="2860"/>
              <w:spacing w:after="0"/>
              <w:rPr>
                <w:sz w:val="20"/>
                <w:szCs w:val="20"/>
                <w:color w:val="auto"/>
              </w:rPr>
            </w:pPr>
            <w:r>
              <w:rPr>
                <w:rFonts w:ascii="Arial" w:cs="Arial" w:eastAsia="Arial" w:hAnsi="Arial"/>
                <w:sz w:val="17"/>
                <w:szCs w:val="17"/>
                <w:b w:val="1"/>
                <w:bCs w:val="1"/>
                <w:color w:val="auto"/>
                <w:w w:val="98"/>
              </w:rPr>
              <w:t>Table of Contents</w:t>
            </w:r>
          </w:p>
        </w:tc>
        <w:tc>
          <w:tcPr>
            <w:tcW w:w="140" w:type="dxa"/>
            <w:vAlign w:val="bottom"/>
          </w:tcPr>
          <w:p>
            <w:pPr>
              <w:spacing w:after="0"/>
              <w:rPr>
                <w:sz w:val="24"/>
                <w:szCs w:val="24"/>
                <w:color w:val="auto"/>
              </w:rPr>
            </w:pPr>
          </w:p>
        </w:tc>
      </w:tr>
      <w:tr>
        <w:trPr>
          <w:trHeight w:val="140"/>
        </w:trPr>
        <w:tc>
          <w:tcPr>
            <w:tcW w:w="840" w:type="dxa"/>
            <w:vAlign w:val="bottom"/>
            <w:gridSpan w:val="5"/>
          </w:tcPr>
          <w:p>
            <w:pPr>
              <w:spacing w:after="0" w:line="140" w:lineRule="exact"/>
              <w:rPr>
                <w:sz w:val="20"/>
                <w:szCs w:val="20"/>
                <w:color w:val="auto"/>
              </w:rPr>
            </w:pPr>
            <w:r>
              <w:rPr>
                <w:rFonts w:ascii="Arial" w:cs="Arial" w:eastAsia="Arial" w:hAnsi="Arial"/>
                <w:sz w:val="13"/>
                <w:szCs w:val="13"/>
                <w:b w:val="1"/>
                <w:bCs w:val="1"/>
                <w:color w:val="0000FF"/>
              </w:rPr>
              <w:t>PART I.</w:t>
            </w:r>
          </w:p>
        </w:tc>
        <w:tc>
          <w:tcPr>
            <w:tcW w:w="8840" w:type="dxa"/>
            <w:vAlign w:val="bottom"/>
            <w:gridSpan w:val="17"/>
          </w:tcPr>
          <w:p>
            <w:pPr>
              <w:spacing w:after="0" w:line="140" w:lineRule="exact"/>
              <w:rPr>
                <w:sz w:val="20"/>
                <w:szCs w:val="20"/>
                <w:color w:val="auto"/>
              </w:rPr>
            </w:pPr>
            <w:r>
              <w:rPr>
                <w:rFonts w:ascii="Arial" w:cs="Arial" w:eastAsia="Arial" w:hAnsi="Arial"/>
                <w:sz w:val="13"/>
                <w:szCs w:val="13"/>
                <w:b w:val="1"/>
                <w:bCs w:val="1"/>
                <w:color w:val="0000FF"/>
              </w:rPr>
              <w:t>FINANCIAL INFORMATION</w:t>
            </w:r>
          </w:p>
        </w:tc>
        <w:tc>
          <w:tcPr>
            <w:tcW w:w="140" w:type="dxa"/>
            <w:vAlign w:val="bottom"/>
          </w:tcPr>
          <w:p>
            <w:pPr>
              <w:jc w:val="right"/>
              <w:spacing w:after="0" w:line="140" w:lineRule="exact"/>
              <w:rPr>
                <w:sz w:val="20"/>
                <w:szCs w:val="20"/>
                <w:color w:val="auto"/>
              </w:rPr>
            </w:pPr>
            <w:r>
              <w:rPr>
                <w:rFonts w:ascii="Arial" w:cs="Arial" w:eastAsia="Arial" w:hAnsi="Arial"/>
                <w:sz w:val="13"/>
                <w:szCs w:val="13"/>
                <w:color w:val="0000FF"/>
              </w:rPr>
              <w:t>3</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20"/>
                <w:szCs w:val="20"/>
                <w:color w:val="auto"/>
              </w:rPr>
            </w:pPr>
            <w:r>
              <w:rPr>
                <w:rFonts w:ascii="Arial" w:cs="Arial" w:eastAsia="Arial" w:hAnsi="Arial"/>
                <w:sz w:val="13"/>
                <w:szCs w:val="13"/>
                <w:color w:val="0000FF"/>
                <w:w w:val="85"/>
              </w:rPr>
              <w:t>Item 1.</w:t>
            </w:r>
          </w:p>
        </w:tc>
        <w:tc>
          <w:tcPr>
            <w:tcW w:w="460" w:type="dxa"/>
            <w:vAlign w:val="bottom"/>
            <w:gridSpan w:val="4"/>
          </w:tcPr>
          <w:p>
            <w:pPr>
              <w:spacing w:after="0"/>
              <w:rPr>
                <w:sz w:val="13"/>
                <w:szCs w:val="13"/>
                <w:color w:val="auto"/>
              </w:rPr>
            </w:pPr>
          </w:p>
        </w:tc>
        <w:tc>
          <w:tcPr>
            <w:tcW w:w="8840" w:type="dxa"/>
            <w:vAlign w:val="bottom"/>
            <w:gridSpan w:val="17"/>
          </w:tcPr>
          <w:p>
            <w:pPr>
              <w:spacing w:after="0"/>
              <w:rPr>
                <w:sz w:val="20"/>
                <w:szCs w:val="20"/>
                <w:color w:val="auto"/>
              </w:rPr>
            </w:pPr>
            <w:r>
              <w:rPr>
                <w:rFonts w:ascii="Arial" w:cs="Arial" w:eastAsia="Arial" w:hAnsi="Arial"/>
                <w:sz w:val="13"/>
                <w:szCs w:val="13"/>
                <w:color w:val="0000FF"/>
              </w:rPr>
              <w:t>Consolidated Financial Statements</w:t>
            </w:r>
          </w:p>
        </w:tc>
        <w:tc>
          <w:tcPr>
            <w:tcW w:w="14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9"/>
          </w:tcPr>
          <w:p>
            <w:pPr>
              <w:spacing w:after="0"/>
              <w:rPr>
                <w:sz w:val="20"/>
                <w:szCs w:val="20"/>
                <w:color w:val="auto"/>
              </w:rPr>
            </w:pPr>
            <w:r>
              <w:rPr>
                <w:rFonts w:ascii="Arial" w:cs="Arial" w:eastAsia="Arial" w:hAnsi="Arial"/>
                <w:sz w:val="13"/>
                <w:szCs w:val="13"/>
                <w:color w:val="0000FF"/>
                <w:w w:val="97"/>
              </w:rPr>
              <w:t>Consolidated Statements of Income</w:t>
            </w:r>
          </w:p>
        </w:tc>
        <w:tc>
          <w:tcPr>
            <w:tcW w:w="6660" w:type="dxa"/>
            <w:vAlign w:val="bottom"/>
            <w:gridSpan w:val="7"/>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9"/>
          </w:tcPr>
          <w:p>
            <w:pPr>
              <w:spacing w:after="0"/>
              <w:rPr>
                <w:sz w:val="20"/>
                <w:szCs w:val="20"/>
                <w:color w:val="auto"/>
              </w:rPr>
            </w:pPr>
            <w:r>
              <w:rPr>
                <w:rFonts w:ascii="Arial" w:cs="Arial" w:eastAsia="Arial" w:hAnsi="Arial"/>
                <w:sz w:val="13"/>
                <w:szCs w:val="13"/>
                <w:color w:val="0000FF"/>
              </w:rPr>
              <w:t>Consolidated Balance Sheets</w:t>
            </w:r>
          </w:p>
        </w:tc>
        <w:tc>
          <w:tcPr>
            <w:tcW w:w="6660" w:type="dxa"/>
            <w:vAlign w:val="bottom"/>
            <w:gridSpan w:val="7"/>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0000FF"/>
              </w:rPr>
              <w:t>4</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80" w:type="dxa"/>
            <w:vAlign w:val="bottom"/>
            <w:gridSpan w:val="16"/>
          </w:tcPr>
          <w:p>
            <w:pPr>
              <w:spacing w:after="0"/>
              <w:rPr>
                <w:sz w:val="20"/>
                <w:szCs w:val="20"/>
                <w:color w:val="auto"/>
              </w:rPr>
            </w:pPr>
            <w:r>
              <w:rPr>
                <w:rFonts w:ascii="Arial" w:cs="Arial" w:eastAsia="Arial" w:hAnsi="Arial"/>
                <w:sz w:val="13"/>
                <w:szCs w:val="13"/>
                <w:color w:val="0000FF"/>
              </w:rPr>
              <w:t>Consolidated Statements of Cash Flows</w:t>
            </w:r>
          </w:p>
        </w:tc>
        <w:tc>
          <w:tcPr>
            <w:tcW w:w="140" w:type="dxa"/>
            <w:vAlign w:val="bottom"/>
          </w:tcPr>
          <w:p>
            <w:pPr>
              <w:jc w:val="right"/>
              <w:spacing w:after="0"/>
              <w:rPr>
                <w:sz w:val="20"/>
                <w:szCs w:val="20"/>
                <w:color w:val="auto"/>
              </w:rPr>
            </w:pPr>
            <w:r>
              <w:rPr>
                <w:rFonts w:ascii="Arial" w:cs="Arial" w:eastAsia="Arial" w:hAnsi="Arial"/>
                <w:sz w:val="13"/>
                <w:szCs w:val="13"/>
                <w:color w:val="0000FF"/>
              </w:rPr>
              <w:t>5</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80" w:type="dxa"/>
            <w:vAlign w:val="bottom"/>
            <w:gridSpan w:val="16"/>
          </w:tcPr>
          <w:p>
            <w:pPr>
              <w:spacing w:after="0"/>
              <w:rPr>
                <w:sz w:val="20"/>
                <w:szCs w:val="20"/>
                <w:color w:val="auto"/>
              </w:rPr>
            </w:pPr>
            <w:r>
              <w:rPr>
                <w:rFonts w:ascii="Arial" w:cs="Arial" w:eastAsia="Arial" w:hAnsi="Arial"/>
                <w:sz w:val="13"/>
                <w:szCs w:val="13"/>
                <w:color w:val="0000FF"/>
              </w:rPr>
              <w:t>Consolidated Statements of Changes in Shareholders' Equity</w:t>
            </w:r>
          </w:p>
        </w:tc>
        <w:tc>
          <w:tcPr>
            <w:tcW w:w="140" w:type="dxa"/>
            <w:vAlign w:val="bottom"/>
          </w:tcPr>
          <w:p>
            <w:pPr>
              <w:jc w:val="right"/>
              <w:spacing w:after="0"/>
              <w:rPr>
                <w:sz w:val="20"/>
                <w:szCs w:val="20"/>
                <w:color w:val="auto"/>
              </w:rPr>
            </w:pPr>
            <w:r>
              <w:rPr>
                <w:rFonts w:ascii="Arial" w:cs="Arial" w:eastAsia="Arial" w:hAnsi="Arial"/>
                <w:sz w:val="13"/>
                <w:szCs w:val="13"/>
                <w:color w:val="0000FF"/>
              </w:rPr>
              <w:t>7</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11"/>
          </w:tcPr>
          <w:p>
            <w:pPr>
              <w:spacing w:after="0"/>
              <w:rPr>
                <w:sz w:val="20"/>
                <w:szCs w:val="20"/>
                <w:color w:val="auto"/>
              </w:rPr>
            </w:pPr>
            <w:r>
              <w:rPr>
                <w:rFonts w:ascii="Arial" w:cs="Arial" w:eastAsia="Arial" w:hAnsi="Arial"/>
                <w:sz w:val="13"/>
                <w:szCs w:val="13"/>
                <w:color w:val="0000FF"/>
                <w:w w:val="97"/>
              </w:rPr>
              <w:t>Notes to Consolidated Financial Statements</w:t>
            </w:r>
          </w:p>
        </w:tc>
        <w:tc>
          <w:tcPr>
            <w:tcW w:w="960" w:type="dxa"/>
            <w:vAlign w:val="bottom"/>
            <w:gridSpan w:val="3"/>
          </w:tcPr>
          <w:p>
            <w:pPr>
              <w:spacing w:after="0"/>
              <w:rPr>
                <w:sz w:val="13"/>
                <w:szCs w:val="13"/>
                <w:color w:val="auto"/>
              </w:rPr>
            </w:pPr>
          </w:p>
        </w:tc>
        <w:tc>
          <w:tcPr>
            <w:tcW w:w="5240" w:type="dxa"/>
            <w:vAlign w:val="bottom"/>
            <w:gridSpan w:val="2"/>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0000FF"/>
              </w:rPr>
              <w:t>9</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50"/>
        </w:trPr>
        <w:tc>
          <w:tcPr>
            <w:tcW w:w="840" w:type="dxa"/>
            <w:vAlign w:val="bottom"/>
            <w:gridSpan w:val="5"/>
          </w:tcPr>
          <w:p>
            <w:pPr>
              <w:spacing w:after="0"/>
              <w:rPr>
                <w:sz w:val="20"/>
                <w:szCs w:val="20"/>
                <w:color w:val="auto"/>
              </w:rPr>
            </w:pPr>
            <w:r>
              <w:rPr>
                <w:rFonts w:ascii="Arial" w:cs="Arial" w:eastAsia="Arial" w:hAnsi="Arial"/>
                <w:sz w:val="13"/>
                <w:szCs w:val="13"/>
                <w:color w:val="0000FF"/>
              </w:rPr>
              <w:t>Item 2.</w:t>
            </w:r>
          </w:p>
        </w:tc>
        <w:tc>
          <w:tcPr>
            <w:tcW w:w="8840" w:type="dxa"/>
            <w:vAlign w:val="bottom"/>
            <w:gridSpan w:val="17"/>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24</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840" w:type="dxa"/>
            <w:vAlign w:val="bottom"/>
            <w:gridSpan w:val="5"/>
          </w:tcPr>
          <w:p>
            <w:pPr>
              <w:spacing w:after="0"/>
              <w:rPr>
                <w:sz w:val="20"/>
                <w:szCs w:val="20"/>
                <w:color w:val="auto"/>
              </w:rPr>
            </w:pPr>
            <w:r>
              <w:rPr>
                <w:rFonts w:ascii="Arial" w:cs="Arial" w:eastAsia="Arial" w:hAnsi="Arial"/>
                <w:sz w:val="13"/>
                <w:szCs w:val="13"/>
                <w:color w:val="0000FF"/>
              </w:rPr>
              <w:t>Item 3.</w:t>
            </w:r>
          </w:p>
        </w:tc>
        <w:tc>
          <w:tcPr>
            <w:tcW w:w="8840" w:type="dxa"/>
            <w:vAlign w:val="bottom"/>
            <w:gridSpan w:val="17"/>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34</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840" w:type="dxa"/>
            <w:vAlign w:val="bottom"/>
            <w:gridSpan w:val="5"/>
          </w:tcPr>
          <w:p>
            <w:pPr>
              <w:spacing w:after="0"/>
              <w:rPr>
                <w:sz w:val="20"/>
                <w:szCs w:val="20"/>
                <w:color w:val="auto"/>
              </w:rPr>
            </w:pPr>
            <w:r>
              <w:rPr>
                <w:rFonts w:ascii="Arial" w:cs="Arial" w:eastAsia="Arial" w:hAnsi="Arial"/>
                <w:sz w:val="13"/>
                <w:szCs w:val="13"/>
                <w:color w:val="0000FF"/>
              </w:rPr>
              <w:t>Item 4.</w:t>
            </w:r>
          </w:p>
        </w:tc>
        <w:tc>
          <w:tcPr>
            <w:tcW w:w="8840" w:type="dxa"/>
            <w:vAlign w:val="bottom"/>
            <w:gridSpan w:val="17"/>
          </w:tcPr>
          <w:p>
            <w:pPr>
              <w:spacing w:after="0"/>
              <w:rPr>
                <w:sz w:val="20"/>
                <w:szCs w:val="20"/>
                <w:color w:val="auto"/>
              </w:rPr>
            </w:pPr>
            <w:r>
              <w:rPr>
                <w:rFonts w:ascii="Arial" w:cs="Arial" w:eastAsia="Arial" w:hAnsi="Arial"/>
                <w:sz w:val="13"/>
                <w:szCs w:val="13"/>
                <w:color w:val="0000FF"/>
              </w:rPr>
              <w:t>Controls and Procedures</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34</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351"/>
        </w:trPr>
        <w:tc>
          <w:tcPr>
            <w:tcW w:w="500" w:type="dxa"/>
            <w:vAlign w:val="bottom"/>
            <w:gridSpan w:val="3"/>
          </w:tcPr>
          <w:p>
            <w:pPr>
              <w:spacing w:after="0"/>
              <w:rPr>
                <w:sz w:val="20"/>
                <w:szCs w:val="20"/>
                <w:color w:val="auto"/>
              </w:rPr>
            </w:pPr>
            <w:r>
              <w:rPr>
                <w:rFonts w:ascii="Arial" w:cs="Arial" w:eastAsia="Arial" w:hAnsi="Arial"/>
                <w:sz w:val="13"/>
                <w:szCs w:val="13"/>
                <w:b w:val="1"/>
                <w:bCs w:val="1"/>
                <w:color w:val="0000FF"/>
                <w:w w:val="96"/>
              </w:rPr>
              <w:t>PART II.</w:t>
            </w:r>
          </w:p>
        </w:tc>
        <w:tc>
          <w:tcPr>
            <w:tcW w:w="340" w:type="dxa"/>
            <w:vAlign w:val="bottom"/>
            <w:gridSpan w:val="2"/>
          </w:tcPr>
          <w:p>
            <w:pPr>
              <w:spacing w:after="0"/>
              <w:rPr>
                <w:sz w:val="24"/>
                <w:szCs w:val="24"/>
                <w:color w:val="auto"/>
              </w:rPr>
            </w:pPr>
          </w:p>
        </w:tc>
        <w:tc>
          <w:tcPr>
            <w:tcW w:w="8840" w:type="dxa"/>
            <w:vAlign w:val="bottom"/>
            <w:gridSpan w:val="17"/>
          </w:tcPr>
          <w:p>
            <w:pPr>
              <w:spacing w:after="0"/>
              <w:rPr>
                <w:sz w:val="20"/>
                <w:szCs w:val="20"/>
                <w:color w:val="auto"/>
              </w:rPr>
            </w:pPr>
            <w:r>
              <w:rPr>
                <w:rFonts w:ascii="Arial" w:cs="Arial" w:eastAsia="Arial" w:hAnsi="Arial"/>
                <w:sz w:val="13"/>
                <w:szCs w:val="13"/>
                <w:b w:val="1"/>
                <w:bCs w:val="1"/>
                <w:color w:val="0000FF"/>
              </w:rPr>
              <w:t>OTHER INFORMATION</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36</w:t>
            </w:r>
          </w:p>
        </w:tc>
      </w:tr>
      <w:tr>
        <w:trPr>
          <w:trHeight w:val="150"/>
        </w:trPr>
        <w:tc>
          <w:tcPr>
            <w:tcW w:w="50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Item 1.</w:t>
            </w:r>
          </w:p>
        </w:tc>
        <w:tc>
          <w:tcPr>
            <w:tcW w:w="340" w:type="dxa"/>
            <w:vAlign w:val="bottom"/>
            <w:gridSpan w:val="2"/>
          </w:tcPr>
          <w:p>
            <w:pPr>
              <w:spacing w:after="0"/>
              <w:rPr>
                <w:sz w:val="13"/>
                <w:szCs w:val="13"/>
                <w:color w:val="auto"/>
              </w:rPr>
            </w:pPr>
          </w:p>
        </w:tc>
        <w:tc>
          <w:tcPr>
            <w:tcW w:w="140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rPr>
              <w:t>Legal Proceedings</w:t>
            </w:r>
          </w:p>
        </w:tc>
        <w:tc>
          <w:tcPr>
            <w:tcW w:w="7440" w:type="dxa"/>
            <w:vAlign w:val="bottom"/>
            <w:gridSpan w:val="11"/>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36</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480" w:type="dxa"/>
            <w:vAlign w:val="bottom"/>
            <w:gridSpan w:val="2"/>
          </w:tcPr>
          <w:p>
            <w:pPr>
              <w:spacing w:after="0"/>
              <w:rPr>
                <w:sz w:val="20"/>
                <w:szCs w:val="20"/>
                <w:color w:val="auto"/>
              </w:rPr>
            </w:pPr>
            <w:r>
              <w:rPr>
                <w:rFonts w:ascii="Arial" w:cs="Arial" w:eastAsia="Arial" w:hAnsi="Arial"/>
                <w:sz w:val="13"/>
                <w:szCs w:val="13"/>
                <w:color w:val="0000FF"/>
                <w:w w:val="94"/>
              </w:rPr>
              <w:t>Item 1A.</w:t>
            </w:r>
          </w:p>
        </w:tc>
        <w:tc>
          <w:tcPr>
            <w:tcW w:w="360" w:type="dxa"/>
            <w:vAlign w:val="bottom"/>
            <w:gridSpan w:val="3"/>
          </w:tcPr>
          <w:p>
            <w:pPr>
              <w:spacing w:after="0"/>
              <w:rPr>
                <w:sz w:val="13"/>
                <w:szCs w:val="13"/>
                <w:color w:val="auto"/>
              </w:rPr>
            </w:pPr>
          </w:p>
        </w:tc>
        <w:tc>
          <w:tcPr>
            <w:tcW w:w="8840" w:type="dxa"/>
            <w:vAlign w:val="bottom"/>
            <w:gridSpan w:val="17"/>
          </w:tcPr>
          <w:p>
            <w:pPr>
              <w:spacing w:after="0"/>
              <w:rPr>
                <w:sz w:val="20"/>
                <w:szCs w:val="20"/>
                <w:color w:val="auto"/>
              </w:rPr>
            </w:pPr>
            <w:r>
              <w:rPr>
                <w:rFonts w:ascii="Arial" w:cs="Arial" w:eastAsia="Arial" w:hAnsi="Arial"/>
                <w:sz w:val="13"/>
                <w:szCs w:val="13"/>
                <w:color w:val="0000FF"/>
              </w:rPr>
              <w:t>Risk Factors</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36</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480" w:type="dxa"/>
            <w:vAlign w:val="bottom"/>
            <w:gridSpan w:val="2"/>
          </w:tcPr>
          <w:p>
            <w:pPr>
              <w:spacing w:after="0"/>
              <w:rPr>
                <w:sz w:val="20"/>
                <w:szCs w:val="20"/>
                <w:color w:val="auto"/>
              </w:rPr>
            </w:pPr>
            <w:r>
              <w:rPr>
                <w:rFonts w:ascii="Arial" w:cs="Arial" w:eastAsia="Arial" w:hAnsi="Arial"/>
                <w:sz w:val="13"/>
                <w:szCs w:val="13"/>
                <w:color w:val="0000FF"/>
              </w:rPr>
              <w:t>Item 2.</w:t>
            </w:r>
          </w:p>
        </w:tc>
        <w:tc>
          <w:tcPr>
            <w:tcW w:w="360" w:type="dxa"/>
            <w:vAlign w:val="bottom"/>
            <w:gridSpan w:val="3"/>
          </w:tcPr>
          <w:p>
            <w:pPr>
              <w:spacing w:after="0"/>
              <w:rPr>
                <w:sz w:val="13"/>
                <w:szCs w:val="13"/>
                <w:color w:val="auto"/>
              </w:rPr>
            </w:pPr>
          </w:p>
        </w:tc>
        <w:tc>
          <w:tcPr>
            <w:tcW w:w="8840" w:type="dxa"/>
            <w:vAlign w:val="bottom"/>
            <w:gridSpan w:val="17"/>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36</w:t>
            </w:r>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40" w:type="dxa"/>
            <w:vAlign w:val="bottom"/>
            <w:gridSpan w:val="10"/>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840" w:type="dxa"/>
            <w:vAlign w:val="bottom"/>
            <w:gridSpan w:val="5"/>
          </w:tcPr>
          <w:p>
            <w:pPr>
              <w:spacing w:after="0"/>
              <w:rPr>
                <w:sz w:val="20"/>
                <w:szCs w:val="20"/>
                <w:color w:val="auto"/>
              </w:rPr>
            </w:pPr>
            <w:r>
              <w:rPr>
                <w:rFonts w:ascii="Arial" w:cs="Arial" w:eastAsia="Arial" w:hAnsi="Arial"/>
                <w:sz w:val="13"/>
                <w:szCs w:val="13"/>
                <w:color w:val="0000FF"/>
              </w:rPr>
              <w:t>Item 5.</w:t>
            </w:r>
          </w:p>
        </w:tc>
        <w:tc>
          <w:tcPr>
            <w:tcW w:w="8840" w:type="dxa"/>
            <w:vAlign w:val="bottom"/>
            <w:gridSpan w:val="17"/>
          </w:tcPr>
          <w:p>
            <w:pPr>
              <w:spacing w:after="0"/>
              <w:rPr>
                <w:sz w:val="20"/>
                <w:szCs w:val="20"/>
                <w:color w:val="auto"/>
              </w:rPr>
            </w:pPr>
            <w:r>
              <w:rPr>
                <w:rFonts w:ascii="Arial" w:cs="Arial" w:eastAsia="Arial" w:hAnsi="Arial"/>
                <w:sz w:val="13"/>
                <w:szCs w:val="13"/>
                <w:color w:val="0000FF"/>
              </w:rPr>
              <w:t>Other Information</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36</w:t>
            </w:r>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840" w:type="dxa"/>
            <w:vAlign w:val="bottom"/>
            <w:gridSpan w:val="5"/>
          </w:tcPr>
          <w:p>
            <w:pPr>
              <w:spacing w:after="0"/>
              <w:rPr>
                <w:sz w:val="20"/>
                <w:szCs w:val="20"/>
                <w:color w:val="auto"/>
              </w:rPr>
            </w:pPr>
            <w:r>
              <w:rPr>
                <w:rFonts w:ascii="Arial" w:cs="Arial" w:eastAsia="Arial" w:hAnsi="Arial"/>
                <w:sz w:val="13"/>
                <w:szCs w:val="13"/>
                <w:color w:val="0000FF"/>
              </w:rPr>
              <w:t>Item 6.</w:t>
            </w:r>
          </w:p>
        </w:tc>
        <w:tc>
          <w:tcPr>
            <w:tcW w:w="8840" w:type="dxa"/>
            <w:vAlign w:val="bottom"/>
            <w:gridSpan w:val="17"/>
          </w:tcPr>
          <w:p>
            <w:pPr>
              <w:spacing w:after="0"/>
              <w:rPr>
                <w:sz w:val="20"/>
                <w:szCs w:val="20"/>
                <w:color w:val="auto"/>
              </w:rPr>
            </w:pPr>
            <w:r>
              <w:rPr>
                <w:rFonts w:ascii="Arial" w:cs="Arial" w:eastAsia="Arial" w:hAnsi="Arial"/>
                <w:sz w:val="13"/>
                <w:szCs w:val="13"/>
                <w:color w:val="0000FF"/>
              </w:rPr>
              <w:t>Exhibits</w:t>
            </w: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37</w:t>
            </w:r>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351"/>
        </w:trPr>
        <w:tc>
          <w:tcPr>
            <w:tcW w:w="840" w:type="dxa"/>
            <w:vAlign w:val="bottom"/>
            <w:gridSpan w:val="5"/>
          </w:tcPr>
          <w:p>
            <w:pPr>
              <w:spacing w:after="0"/>
              <w:rPr>
                <w:sz w:val="20"/>
                <w:szCs w:val="20"/>
                <w:color w:val="auto"/>
              </w:rPr>
            </w:pPr>
            <w:r>
              <w:rPr>
                <w:rFonts w:ascii="Arial" w:cs="Arial" w:eastAsia="Arial" w:hAnsi="Arial"/>
                <w:sz w:val="13"/>
                <w:szCs w:val="13"/>
                <w:b w:val="1"/>
                <w:bCs w:val="1"/>
                <w:color w:val="0000FF"/>
                <w:w w:val="96"/>
              </w:rPr>
              <w:t>SIGNATURES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0000FF"/>
                <w:w w:val="82"/>
              </w:rPr>
              <w:t>38</w:t>
            </w: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39"/>
          </w:cols>
          <w:pgMar w:left="320" w:top="82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716"/>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PART I. FINANCIAL INFORMATION</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Item 1. Consolidated Financial Statements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5"/>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9"/>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Income</w:t>
            </w: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3"/>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(Unaudited)</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Borders>
              <w:bottom w:val="single" w:sz="8" w:color="auto"/>
            </w:tcBorders>
          </w:tcPr>
          <w:p>
            <w:pPr>
              <w:spacing w:after="0"/>
              <w:rPr>
                <w:sz w:val="15"/>
                <w:szCs w:val="15"/>
                <w:color w:val="auto"/>
              </w:rPr>
            </w:pPr>
          </w:p>
        </w:tc>
      </w:tr>
      <w:tr>
        <w:trPr>
          <w:trHeight w:val="118"/>
        </w:trPr>
        <w:tc>
          <w:tcPr>
            <w:tcW w:w="10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May 27,</w:t>
            </w:r>
          </w:p>
        </w:tc>
        <w:tc>
          <w:tcPr>
            <w:tcW w:w="340" w:type="dxa"/>
            <w:vAlign w:val="bottom"/>
          </w:tcPr>
          <w:p>
            <w:pPr>
              <w:spacing w:after="0"/>
              <w:rPr>
                <w:sz w:val="10"/>
                <w:szCs w:val="10"/>
                <w:color w:val="auto"/>
              </w:rPr>
            </w:pPr>
          </w:p>
        </w:tc>
        <w:tc>
          <w:tcPr>
            <w:tcW w:w="136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60" w:type="dxa"/>
            <w:vAlign w:val="bottom"/>
          </w:tcPr>
          <w:p>
            <w:pPr>
              <w:spacing w:after="0"/>
              <w:rPr>
                <w:sz w:val="10"/>
                <w:szCs w:val="10"/>
                <w:color w:val="auto"/>
              </w:rPr>
            </w:pPr>
          </w:p>
        </w:tc>
        <w:tc>
          <w:tcPr>
            <w:tcW w:w="106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w w:val="97"/>
              </w:rPr>
              <w:t>May 27,</w:t>
            </w:r>
          </w:p>
        </w:tc>
      </w:tr>
      <w:tr>
        <w:trPr>
          <w:trHeight w:val="170"/>
        </w:trPr>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per share data)</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r>
      <w:tr>
        <w:trPr>
          <w:trHeight w:val="16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2,719.7</w:t>
            </w:r>
          </w:p>
        </w:tc>
      </w:tr>
      <w:tr>
        <w:trPr>
          <w:trHeight w:val="16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goods sold</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2,261.1</w:t>
            </w:r>
          </w:p>
        </w:tc>
      </w:tr>
      <w:tr>
        <w:trPr>
          <w:trHeight w:val="16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458.6</w:t>
            </w:r>
          </w:p>
        </w:tc>
      </w:tr>
      <w:tr>
        <w:trPr>
          <w:trHeight w:val="15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0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204.4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203.4</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5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operating expenses</w:t>
            </w: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221.3</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215.4</w:t>
            </w:r>
          </w:p>
        </w:tc>
      </w:tr>
      <w:tr>
        <w:trPr>
          <w:trHeight w:val="16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Interest expense, net</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on note repurchase</w:t>
            </w:r>
          </w:p>
        </w:tc>
        <w:tc>
          <w:tcPr>
            <w:tcW w:w="10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Non-operating loss</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6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w:t>
            </w:r>
          </w:p>
        </w:tc>
      </w:tr>
      <w:tr>
        <w:trPr>
          <w:trHeight w:val="16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Provision for income taxes</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r>
      <w:tr>
        <w:trPr>
          <w:trHeight w:val="187"/>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172.1</w:t>
            </w:r>
          </w:p>
        </w:tc>
      </w:tr>
      <w:tr>
        <w:trPr>
          <w:trHeight w:val="20"/>
        </w:trPr>
        <w:tc>
          <w:tcPr>
            <w:tcW w:w="45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Earnings per common share:</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4540" w:type="dxa"/>
            <w:vAlign w:val="bottom"/>
            <w:gridSpan w:val="2"/>
          </w:tcPr>
          <w:p>
            <w:pPr>
              <w:ind w:left="180"/>
              <w:spacing w:after="0"/>
              <w:rPr>
                <w:sz w:val="20"/>
                <w:szCs w:val="20"/>
                <w:color w:val="auto"/>
              </w:rPr>
            </w:pPr>
            <w:r>
              <w:rPr>
                <w:rFonts w:ascii="Arial" w:cs="Arial" w:eastAsia="Arial" w:hAnsi="Arial"/>
                <w:sz w:val="13"/>
                <w:szCs w:val="13"/>
                <w:color w:val="auto"/>
              </w:rPr>
              <w:t>Basic</w:t>
            </w:r>
          </w:p>
        </w:tc>
        <w:tc>
          <w:tcPr>
            <w:tcW w:w="104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0.99</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5.66</w:t>
            </w:r>
          </w:p>
        </w:tc>
      </w:tr>
      <w:tr>
        <w:trPr>
          <w:trHeight w:val="171"/>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r>
      <w:tr>
        <w:trPr>
          <w:trHeight w:val="202"/>
        </w:trPr>
        <w:tc>
          <w:tcPr>
            <w:tcW w:w="45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4540" w:type="dxa"/>
            <w:vAlign w:val="bottom"/>
            <w:gridSpan w:val="2"/>
          </w:tcPr>
          <w:p>
            <w:pPr>
              <w:ind w:left="180"/>
              <w:spacing w:after="0"/>
              <w:rPr>
                <w:sz w:val="20"/>
                <w:szCs w:val="20"/>
                <w:color w:val="auto"/>
              </w:rPr>
            </w:pPr>
            <w:r>
              <w:rPr>
                <w:rFonts w:ascii="Arial" w:cs="Arial" w:eastAsia="Arial" w:hAnsi="Arial"/>
                <w:sz w:val="13"/>
                <w:szCs w:val="13"/>
                <w:color w:val="auto"/>
              </w:rPr>
              <w:t>Basic</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30.4</w:t>
            </w:r>
          </w:p>
        </w:tc>
      </w:tr>
      <w:tr>
        <w:trPr>
          <w:trHeight w:val="171"/>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4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 share data)</w:t>
            </w:r>
          </w:p>
        </w:tc>
        <w:tc>
          <w:tcPr>
            <w:tcW w:w="1160" w:type="dxa"/>
            <w:vAlign w:val="bottom"/>
          </w:tcPr>
          <w:p>
            <w:pPr>
              <w:jc w:val="center"/>
              <w:ind w:left="403"/>
              <w:spacing w:after="0"/>
              <w:rPr>
                <w:sz w:val="20"/>
                <w:szCs w:val="20"/>
                <w:color w:val="auto"/>
              </w:rPr>
            </w:pPr>
            <w:r>
              <w:rPr>
                <w:rFonts w:ascii="Arial" w:cs="Arial" w:eastAsia="Arial" w:hAnsi="Arial"/>
                <w:sz w:val="11"/>
                <w:szCs w:val="11"/>
                <w:b w:val="1"/>
                <w:bCs w:val="1"/>
                <w:color w:val="auto"/>
              </w:rPr>
              <w:t>May 25,</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right"/>
              <w:ind w:right="463"/>
              <w:spacing w:after="0"/>
              <w:rPr>
                <w:sz w:val="20"/>
                <w:szCs w:val="20"/>
                <w:color w:val="auto"/>
              </w:rPr>
            </w:pPr>
            <w:r>
              <w:rPr>
                <w:rFonts w:ascii="Arial" w:cs="Arial" w:eastAsia="Arial" w:hAnsi="Arial"/>
                <w:sz w:val="11"/>
                <w:szCs w:val="11"/>
                <w:b w:val="1"/>
                <w:bCs w:val="1"/>
                <w:color w:val="auto"/>
              </w:rPr>
              <w:t>August 26,</w:t>
            </w:r>
          </w:p>
        </w:tc>
        <w:tc>
          <w:tcPr>
            <w:tcW w:w="0" w:type="dxa"/>
            <w:vAlign w:val="bottom"/>
          </w:tcPr>
          <w:p>
            <w:pPr>
              <w:spacing w:after="0"/>
              <w:rPr>
                <w:sz w:val="1"/>
                <w:szCs w:val="1"/>
                <w:color w:val="auto"/>
              </w:rPr>
            </w:pPr>
          </w:p>
        </w:tc>
      </w:tr>
      <w:tr>
        <w:trPr>
          <w:trHeight w:val="149"/>
        </w:trPr>
        <w:tc>
          <w:tcPr>
            <w:tcW w:w="79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0"/>
        </w:trPr>
        <w:tc>
          <w:tcPr>
            <w:tcW w:w="79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left="403"/>
              <w:spacing w:after="0"/>
              <w:rPr>
                <w:sz w:val="20"/>
                <w:szCs w:val="20"/>
                <w:color w:val="auto"/>
              </w:rPr>
            </w:pPr>
            <w:r>
              <w:rPr>
                <w:rFonts w:ascii="Arial" w:cs="Arial" w:eastAsia="Arial" w:hAnsi="Arial"/>
                <w:sz w:val="11"/>
                <w:szCs w:val="11"/>
                <w:color w:val="auto"/>
              </w:rPr>
              <w:t>(Unaudited)</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20"/>
              <w:spacing w:after="0"/>
              <w:rPr>
                <w:sz w:val="20"/>
                <w:szCs w:val="20"/>
                <w:color w:val="auto"/>
              </w:rPr>
            </w:pPr>
            <w:r>
              <w:rPr>
                <w:rFonts w:ascii="Arial" w:cs="Arial" w:eastAsia="Arial" w:hAnsi="Arial"/>
                <w:sz w:val="11"/>
                <w:szCs w:val="11"/>
                <w:b w:val="1"/>
                <w:bCs w:val="1"/>
                <w:color w:val="auto"/>
              </w:rPr>
              <w:t>Assets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Cash and cash equivalents</w:t>
            </w:r>
          </w:p>
        </w:tc>
        <w:tc>
          <w:tcPr>
            <w:tcW w:w="1160" w:type="dxa"/>
            <w:vAlign w:val="bottom"/>
          </w:tcPr>
          <w:p>
            <w:pPr>
              <w:jc w:val="right"/>
              <w:ind w:right="10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318.1</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309.9</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Receivables, less allowance for credit losses ($0.4 and $0.4, respectively)</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178.5</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Inventories, net</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470.6</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Prepaid expenses and other current assets</w:t>
            </w:r>
          </w:p>
        </w:tc>
        <w:tc>
          <w:tcPr>
            <w:tcW w:w="1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0" w:type="dxa"/>
            <w:vAlign w:val="bottom"/>
          </w:tcPr>
          <w:p>
            <w:pPr>
              <w:spacing w:after="0"/>
              <w:rPr>
                <w:sz w:val="1"/>
                <w:szCs w:val="1"/>
                <w:color w:val="auto"/>
              </w:rPr>
            </w:pPr>
          </w:p>
        </w:tc>
      </w:tr>
      <w:tr>
        <w:trPr>
          <w:trHeight w:val="147"/>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current assets</w:t>
            </w:r>
          </w:p>
        </w:tc>
        <w:tc>
          <w:tcPr>
            <w:tcW w:w="1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983.7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996.7</w:t>
            </w:r>
          </w:p>
        </w:tc>
        <w:tc>
          <w:tcPr>
            <w:tcW w:w="0" w:type="dxa"/>
            <w:vAlign w:val="bottom"/>
          </w:tcPr>
          <w:p>
            <w:pPr>
              <w:spacing w:after="0"/>
              <w:rPr>
                <w:sz w:val="1"/>
                <w:szCs w:val="1"/>
                <w:color w:val="auto"/>
              </w:rPr>
            </w:pPr>
          </w:p>
        </w:tc>
      </w:tr>
      <w:tr>
        <w:trPr>
          <w:trHeight w:val="153"/>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plant, and equipment, net</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327.3</w:t>
            </w:r>
          </w:p>
        </w:tc>
        <w:tc>
          <w:tcPr>
            <w:tcW w:w="0" w:type="dxa"/>
            <w:vAlign w:val="bottom"/>
          </w:tcPr>
          <w:p>
            <w:pPr>
              <w:spacing w:after="0"/>
              <w:rPr>
                <w:sz w:val="1"/>
                <w:szCs w:val="1"/>
                <w:color w:val="auto"/>
              </w:rPr>
            </w:pPr>
          </w:p>
        </w:tc>
      </w:tr>
      <w:tr>
        <w:trPr>
          <w:trHeight w:val="156"/>
        </w:trPr>
        <w:tc>
          <w:tcPr>
            <w:tcW w:w="7940" w:type="dxa"/>
            <w:vAlign w:val="bottom"/>
          </w:tcPr>
          <w:p>
            <w:pPr>
              <w:ind w:left="20"/>
              <w:spacing w:after="0"/>
              <w:rPr>
                <w:sz w:val="20"/>
                <w:szCs w:val="20"/>
                <w:color w:val="auto"/>
              </w:rPr>
            </w:pPr>
            <w:r>
              <w:rPr>
                <w:rFonts w:ascii="Arial" w:cs="Arial" w:eastAsia="Arial" w:hAnsi="Arial"/>
                <w:sz w:val="11"/>
                <w:szCs w:val="11"/>
                <w:color w:val="auto"/>
              </w:rPr>
              <w:t>Goodwill</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514.5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514.5</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intangible assets, net</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502.0</w:t>
            </w:r>
          </w:p>
        </w:tc>
        <w:tc>
          <w:tcPr>
            <w:tcW w:w="0" w:type="dxa"/>
            <w:vAlign w:val="bottom"/>
          </w:tcPr>
          <w:p>
            <w:pPr>
              <w:spacing w:after="0"/>
              <w:rPr>
                <w:sz w:val="1"/>
                <w:szCs w:val="1"/>
                <w:color w:val="auto"/>
              </w:rPr>
            </w:pPr>
          </w:p>
        </w:tc>
      </w:tr>
      <w:tr>
        <w:trPr>
          <w:trHeight w:val="156"/>
        </w:trPr>
        <w:tc>
          <w:tcPr>
            <w:tcW w:w="7940" w:type="dxa"/>
            <w:vAlign w:val="bottom"/>
          </w:tcPr>
          <w:p>
            <w:pPr>
              <w:ind w:left="20"/>
              <w:spacing w:after="0"/>
              <w:rPr>
                <w:sz w:val="20"/>
                <w:szCs w:val="20"/>
                <w:color w:val="auto"/>
              </w:rPr>
            </w:pPr>
            <w:r>
              <w:rPr>
                <w:rFonts w:ascii="Arial" w:cs="Arial" w:eastAsia="Arial" w:hAnsi="Arial"/>
                <w:sz w:val="11"/>
                <w:szCs w:val="11"/>
                <w:color w:val="auto"/>
              </w:rPr>
              <w:t>Investment in life insurance</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29.3</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assets</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56"/>
        </w:trPr>
        <w:tc>
          <w:tcPr>
            <w:tcW w:w="7940" w:type="dxa"/>
            <w:vAlign w:val="bottom"/>
          </w:tcPr>
          <w:p>
            <w:pPr>
              <w:ind w:left="20"/>
              <w:spacing w:after="0"/>
              <w:rPr>
                <w:sz w:val="20"/>
                <w:szCs w:val="20"/>
                <w:color w:val="auto"/>
              </w:rPr>
            </w:pPr>
            <w:r>
              <w:rPr>
                <w:rFonts w:ascii="Arial" w:cs="Arial" w:eastAsia="Arial" w:hAnsi="Arial"/>
                <w:sz w:val="11"/>
                <w:szCs w:val="11"/>
                <w:color w:val="auto"/>
              </w:rPr>
              <w:t>Deferred income tax assets, net</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long-term assets</w:t>
            </w:r>
          </w:p>
        </w:tc>
        <w:tc>
          <w:tcPr>
            <w:tcW w:w="1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53"/>
        </w:trPr>
        <w:tc>
          <w:tcPr>
            <w:tcW w:w="794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1160" w:type="dxa"/>
            <w:vAlign w:val="bottom"/>
            <w:tcBorders>
              <w:bottom w:val="single" w:sz="8" w:color="auto"/>
            </w:tcBorders>
          </w:tcPr>
          <w:p>
            <w:pPr>
              <w:jc w:val="right"/>
              <w:ind w:right="102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2,425.0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2,432.4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Accounts payable</w:t>
            </w:r>
          </w:p>
        </w:tc>
        <w:tc>
          <w:tcPr>
            <w:tcW w:w="1160" w:type="dxa"/>
            <w:vAlign w:val="bottom"/>
          </w:tcPr>
          <w:p>
            <w:pPr>
              <w:jc w:val="right"/>
              <w:ind w:right="102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146.9</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Income taxes payable</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Current maturities of long-term debt, net</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Accrued expenses:</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180"/>
              <w:spacing w:after="0"/>
              <w:rPr>
                <w:sz w:val="20"/>
                <w:szCs w:val="20"/>
                <w:color w:val="auto"/>
              </w:rPr>
            </w:pPr>
            <w:r>
              <w:rPr>
                <w:rFonts w:ascii="Arial" w:cs="Arial" w:eastAsia="Arial" w:hAnsi="Arial"/>
                <w:sz w:val="11"/>
                <w:szCs w:val="11"/>
                <w:color w:val="auto"/>
              </w:rPr>
              <w:t>Accrued compensation</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Product warranties</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97.8</w:t>
            </w:r>
          </w:p>
        </w:tc>
        <w:tc>
          <w:tcPr>
            <w:tcW w:w="0" w:type="dxa"/>
            <w:vAlign w:val="bottom"/>
          </w:tcPr>
          <w:p>
            <w:pPr>
              <w:spacing w:after="0"/>
              <w:rPr>
                <w:sz w:val="1"/>
                <w:szCs w:val="1"/>
                <w:color w:val="auto"/>
              </w:rPr>
            </w:pPr>
          </w:p>
        </w:tc>
      </w:tr>
      <w:tr>
        <w:trPr>
          <w:trHeight w:val="156"/>
        </w:trPr>
        <w:tc>
          <w:tcPr>
            <w:tcW w:w="7940" w:type="dxa"/>
            <w:vAlign w:val="bottom"/>
          </w:tcPr>
          <w:p>
            <w:pPr>
              <w:ind w:left="180"/>
              <w:spacing w:after="0"/>
              <w:rPr>
                <w:sz w:val="20"/>
                <w:szCs w:val="20"/>
                <w:color w:val="auto"/>
              </w:rPr>
            </w:pPr>
            <w:r>
              <w:rPr>
                <w:rFonts w:ascii="Arial" w:cs="Arial" w:eastAsia="Arial" w:hAnsi="Arial"/>
                <w:sz w:val="11"/>
                <w:szCs w:val="11"/>
                <w:color w:val="auto"/>
              </w:rPr>
              <w:t>Self-insurance</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Promotional</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156"/>
        </w:trPr>
        <w:tc>
          <w:tcPr>
            <w:tcW w:w="7940" w:type="dxa"/>
            <w:vAlign w:val="bottom"/>
          </w:tcPr>
          <w:p>
            <w:pPr>
              <w:ind w:left="180"/>
              <w:spacing w:after="0"/>
              <w:rPr>
                <w:sz w:val="20"/>
                <w:szCs w:val="20"/>
                <w:color w:val="auto"/>
              </w:rPr>
            </w:pPr>
            <w:r>
              <w:rPr>
                <w:rFonts w:ascii="Arial" w:cs="Arial" w:eastAsia="Arial" w:hAnsi="Arial"/>
                <w:sz w:val="11"/>
                <w:szCs w:val="11"/>
                <w:color w:val="auto"/>
              </w:rPr>
              <w:t>Accrued interest and dividends</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current liabilities</w:t>
            </w:r>
          </w:p>
        </w:tc>
        <w:tc>
          <w:tcPr>
            <w:tcW w:w="1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0" w:type="dxa"/>
            <w:vAlign w:val="bottom"/>
          </w:tcPr>
          <w:p>
            <w:pPr>
              <w:spacing w:after="0"/>
              <w:rPr>
                <w:sz w:val="1"/>
                <w:szCs w:val="1"/>
                <w:color w:val="auto"/>
              </w:rPr>
            </w:pPr>
          </w:p>
        </w:tc>
      </w:tr>
      <w:tr>
        <w:trPr>
          <w:trHeight w:val="147"/>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current liabilities</w:t>
            </w:r>
          </w:p>
        </w:tc>
        <w:tc>
          <w:tcPr>
            <w:tcW w:w="1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401.8</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396.0</w:t>
            </w:r>
          </w:p>
        </w:tc>
        <w:tc>
          <w:tcPr>
            <w:tcW w:w="0" w:type="dxa"/>
            <w:vAlign w:val="bottom"/>
          </w:tcPr>
          <w:p>
            <w:pPr>
              <w:spacing w:after="0"/>
              <w:rPr>
                <w:sz w:val="1"/>
                <w:szCs w:val="1"/>
                <w:color w:val="auto"/>
              </w:rPr>
            </w:pPr>
          </w:p>
        </w:tc>
      </w:tr>
      <w:tr>
        <w:trPr>
          <w:trHeight w:val="142"/>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Non-current liabilities</w:t>
            </w: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Long-term debt, net</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636.4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592.4</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income tax liabilities, net</w:t>
            </w:r>
          </w:p>
        </w:tc>
        <w:tc>
          <w:tcPr>
            <w:tcW w:w="1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Unrecognized tax benefits</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Long-term operating lease liabilities</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Deferred compensation benefits, net of current portion</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long-term liabilities</w:t>
            </w:r>
          </w:p>
        </w:tc>
        <w:tc>
          <w:tcPr>
            <w:tcW w:w="1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1"/>
                <w:szCs w:val="11"/>
                <w:b w:val="1"/>
                <w:bCs w:val="1"/>
                <w:color w:val="auto"/>
              </w:rPr>
              <w:t>Total liabilities</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1,106.6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1,064.3</w:t>
            </w:r>
          </w:p>
        </w:tc>
        <w:tc>
          <w:tcPr>
            <w:tcW w:w="0" w:type="dxa"/>
            <w:vAlign w:val="bottom"/>
          </w:tcPr>
          <w:p>
            <w:pPr>
              <w:spacing w:after="0"/>
              <w:rPr>
                <w:sz w:val="1"/>
                <w:szCs w:val="1"/>
                <w:color w:val="auto"/>
              </w:rPr>
            </w:pPr>
          </w:p>
        </w:tc>
      </w:tr>
      <w:tr>
        <w:trPr>
          <w:trHeight w:val="139"/>
        </w:trPr>
        <w:tc>
          <w:tcPr>
            <w:tcW w:w="7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Contingent liabilities and commitments (Note 11)</w:t>
            </w: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20"/>
              <w:spacing w:after="0"/>
              <w:rPr>
                <w:sz w:val="20"/>
                <w:szCs w:val="20"/>
                <w:color w:val="auto"/>
              </w:rPr>
            </w:pPr>
            <w:r>
              <w:rPr>
                <w:rFonts w:ascii="Arial" w:cs="Arial" w:eastAsia="Arial" w:hAnsi="Arial"/>
                <w:sz w:val="11"/>
                <w:szCs w:val="11"/>
                <w:color w:val="auto"/>
              </w:rPr>
              <w:t>Shareholders' equity:</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Preferred stock, par value $0.01: 10.0 shares authorized; zero shares issued and outstanding</w:t>
            </w:r>
          </w:p>
        </w:tc>
        <w:tc>
          <w:tcPr>
            <w:tcW w:w="1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Common stock, par value $0.50: 120.0 shares authorized; 51.8 shares issued</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w:t>
            </w:r>
          </w:p>
        </w:tc>
        <w:tc>
          <w:tcPr>
            <w:tcW w:w="0" w:type="dxa"/>
            <w:vAlign w:val="bottom"/>
          </w:tcPr>
          <w:p>
            <w:pPr>
              <w:spacing w:after="0"/>
              <w:rPr>
                <w:sz w:val="1"/>
                <w:szCs w:val="1"/>
                <w:color w:val="auto"/>
              </w:rPr>
            </w:pPr>
          </w:p>
        </w:tc>
      </w:tr>
      <w:tr>
        <w:trPr>
          <w:trHeight w:val="156"/>
        </w:trPr>
        <w:tc>
          <w:tcPr>
            <w:tcW w:w="794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1,762.3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1,747.8</w:t>
            </w: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other comprehensive loss</w:t>
            </w: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56"/>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Treasury stock, at cost: 22.8 and 22.0 shares, respectively</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(602.9)</w:t>
            </w:r>
          </w:p>
        </w:tc>
        <w:tc>
          <w:tcPr>
            <w:tcW w:w="0" w:type="dxa"/>
            <w:vAlign w:val="bottom"/>
          </w:tcPr>
          <w:p>
            <w:pPr>
              <w:spacing w:after="0"/>
              <w:rPr>
                <w:sz w:val="1"/>
                <w:szCs w:val="1"/>
                <w:color w:val="auto"/>
              </w:rPr>
            </w:pPr>
          </w:p>
        </w:tc>
      </w:tr>
      <w:tr>
        <w:trPr>
          <w:trHeight w:val="153"/>
        </w:trPr>
        <w:tc>
          <w:tcPr>
            <w:tcW w:w="794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Total shareholders' equity</w:t>
            </w:r>
          </w:p>
        </w:tc>
        <w:tc>
          <w:tcPr>
            <w:tcW w:w="1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1,318.4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1,368.1</w:t>
            </w:r>
          </w:p>
        </w:tc>
        <w:tc>
          <w:tcPr>
            <w:tcW w:w="0" w:type="dxa"/>
            <w:vAlign w:val="bottom"/>
          </w:tcPr>
          <w:p>
            <w:pPr>
              <w:spacing w:after="0"/>
              <w:rPr>
                <w:sz w:val="1"/>
                <w:szCs w:val="1"/>
                <w:color w:val="auto"/>
              </w:rPr>
            </w:pPr>
          </w:p>
        </w:tc>
      </w:tr>
      <w:tr>
        <w:trPr>
          <w:trHeight w:val="150"/>
        </w:trPr>
        <w:tc>
          <w:tcPr>
            <w:tcW w:w="7940" w:type="dxa"/>
            <w:vAlign w:val="bottom"/>
          </w:tcPr>
          <w:p>
            <w:pPr>
              <w:ind w:left="20"/>
              <w:spacing w:after="0"/>
              <w:rPr>
                <w:sz w:val="20"/>
                <w:szCs w:val="20"/>
                <w:color w:val="auto"/>
              </w:rPr>
            </w:pPr>
            <w:r>
              <w:rPr>
                <w:rFonts w:ascii="Arial" w:cs="Arial" w:eastAsia="Arial" w:hAnsi="Arial"/>
                <w:sz w:val="11"/>
                <w:szCs w:val="11"/>
                <w:b w:val="1"/>
                <w:bCs w:val="1"/>
                <w:color w:val="auto"/>
              </w:rPr>
              <w:t>Total liabilities and shareholders' equity</w:t>
            </w:r>
          </w:p>
        </w:tc>
        <w:tc>
          <w:tcPr>
            <w:tcW w:w="1160" w:type="dxa"/>
            <w:vAlign w:val="bottom"/>
            <w:tcBorders>
              <w:bottom w:val="single" w:sz="8" w:color="auto"/>
            </w:tcBorders>
          </w:tcPr>
          <w:p>
            <w:pPr>
              <w:jc w:val="right"/>
              <w:ind w:right="102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2,425.0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2,432.4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Operating activities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right="3120" w:hanging="63"/>
        <w:spacing w:after="0" w:line="301" w:lineRule="auto"/>
        <w:rPr>
          <w:sz w:val="20"/>
          <w:szCs w:val="20"/>
          <w:color w:val="auto"/>
        </w:rPr>
      </w:pPr>
      <w:r>
        <w:rPr>
          <w:rFonts w:ascii="Arial" w:cs="Arial" w:eastAsia="Arial" w:hAnsi="Arial"/>
          <w:sz w:val="11"/>
          <w:szCs w:val="11"/>
          <w:color w:val="auto"/>
        </w:rPr>
        <w:t>Adjustments to reconcile net income to net cash provided by operating activities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00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1"/>
          <w:szCs w:val="11"/>
          <w:color w:val="auto"/>
        </w:rPr>
        <w:t>Amortization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Last in, first-out ("LIFO") expense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Deferred income taxes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Loss on note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Contingent consideration fair value adjustment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Payments of earnout liability above acquisition-date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net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Change in operating assets and liabilities, net of assets and liabilities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Receivables, net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Prepaid expenses and other assets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Income taxes and unrecognized tax benefits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61530" cy="100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Investing activities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Acquisition of business, net of cash acquired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Proceeds from the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net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Borrowings on long-term debt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for convertible note bond hedge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Proceeds from issuance of convertible note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Proceeds from partial unwind of convertible note bond hedge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for partial unwind of convertible note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of cash dividends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for 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of debt issuance costs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Payments of earnout liability up to acquisition-date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net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at beginning of period</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34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2"/>
          </w:tcPr>
          <w:p>
            <w:pPr>
              <w:ind w:left="260"/>
              <w:spacing w:after="0" w:line="112" w:lineRule="exact"/>
              <w:rPr>
                <w:sz w:val="20"/>
                <w:szCs w:val="20"/>
                <w:color w:val="auto"/>
              </w:rPr>
            </w:pPr>
            <w:r>
              <w:rPr>
                <w:rFonts w:ascii="Arial" w:cs="Arial" w:eastAsia="Arial" w:hAnsi="Arial"/>
                <w:sz w:val="11"/>
                <w:szCs w:val="11"/>
                <w:b w:val="1"/>
                <w:bCs w:val="1"/>
                <w:color w:val="auto"/>
              </w:rPr>
              <w:t>May 25,</w:t>
            </w:r>
          </w:p>
        </w:tc>
        <w:tc>
          <w:tcPr>
            <w:tcW w:w="3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543"/>
              <w:spacing w:after="0" w:line="112" w:lineRule="exact"/>
              <w:rPr>
                <w:sz w:val="20"/>
                <w:szCs w:val="20"/>
                <w:color w:val="auto"/>
              </w:rPr>
            </w:pPr>
            <w:r>
              <w:rPr>
                <w:rFonts w:ascii="Arial" w:cs="Arial" w:eastAsia="Arial" w:hAnsi="Arial"/>
                <w:sz w:val="11"/>
                <w:szCs w:val="11"/>
                <w:b w:val="1"/>
                <w:bCs w:val="1"/>
                <w:color w:val="auto"/>
              </w:rPr>
              <w:t>May 27,</w:t>
            </w:r>
          </w:p>
        </w:tc>
      </w:tr>
      <w:tr>
        <w:trPr>
          <w:trHeight w:val="144"/>
        </w:trPr>
        <w:tc>
          <w:tcPr>
            <w:tcW w:w="340" w:type="dxa"/>
            <w:vAlign w:val="bottom"/>
          </w:tcPr>
          <w:p>
            <w:pPr>
              <w:spacing w:after="0"/>
              <w:rPr>
                <w:sz w:val="12"/>
                <w:szCs w:val="12"/>
                <w:color w:val="auto"/>
              </w:rPr>
            </w:pPr>
          </w:p>
        </w:tc>
        <w:tc>
          <w:tcPr>
            <w:tcW w:w="1280" w:type="dxa"/>
            <w:vAlign w:val="bottom"/>
          </w:tcPr>
          <w:p>
            <w:pPr>
              <w:jc w:val="right"/>
              <w:ind w:right="62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2023</w:t>
            </w:r>
          </w:p>
        </w:tc>
      </w:tr>
      <w:tr>
        <w:trPr>
          <w:trHeight w:val="302"/>
        </w:trPr>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24"/>
                <w:szCs w:val="24"/>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172.1</w:t>
            </w:r>
          </w:p>
        </w:tc>
      </w:tr>
      <w:tr>
        <w:trPr>
          <w:trHeight w:val="318"/>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20.9</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12.0</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8.2</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(13.3)</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318"/>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49.8</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15.8</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12.6</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(81.3)</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62"/>
        </w:trPr>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w:t>
            </w:r>
          </w:p>
        </w:tc>
      </w:tr>
      <w:tr>
        <w:trPr>
          <w:trHeight w:val="153"/>
        </w:trPr>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103.2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156.4</w:t>
            </w:r>
          </w:p>
        </w:tc>
      </w:tr>
      <w:tr>
        <w:trPr>
          <w:trHeight w:val="462"/>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(68.0)</w:t>
            </w:r>
          </w:p>
        </w:tc>
      </w:tr>
      <w:tr>
        <w:trPr>
          <w:trHeight w:val="159"/>
        </w:trPr>
        <w:tc>
          <w:tcPr>
            <w:tcW w:w="3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(87.5)</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62"/>
        </w:trPr>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r>
      <w:tr>
        <w:trPr>
          <w:trHeight w:val="153"/>
        </w:trPr>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(154.4)</w:t>
            </w:r>
          </w:p>
        </w:tc>
      </w:tr>
      <w:tr>
        <w:trPr>
          <w:trHeight w:val="462"/>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2,652.2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2,840.2</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(2,596.0)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(2,840.2)</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(25.1)</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(24.9)</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(8.7)</w:t>
            </w:r>
          </w:p>
        </w:tc>
      </w:tr>
      <w:tr>
        <w:trPr>
          <w:trHeight w:val="162"/>
        </w:trPr>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r>
      <w:tr>
        <w:trPr>
          <w:trHeight w:val="153"/>
        </w:trPr>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(58.3)</w:t>
            </w:r>
          </w:p>
        </w:tc>
      </w:tr>
      <w:tr>
        <w:trPr>
          <w:trHeight w:val="303"/>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(56.3)</w:t>
            </w:r>
          </w:p>
        </w:tc>
      </w:tr>
      <w:tr>
        <w:trPr>
          <w:trHeight w:val="162"/>
        </w:trPr>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309.9</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282.2</w:t>
            </w:r>
          </w:p>
        </w:tc>
      </w:tr>
      <w:tr>
        <w:trPr>
          <w:trHeight w:val="150"/>
        </w:trPr>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40"/>
          </w:cols>
          <w:pgMar w:left="300" w:top="129" w:right="3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w:t>
            </w:r>
          </w:p>
        </w:tc>
        <w:tc>
          <w:tcPr>
            <w:tcW w:w="3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6"/>
        </w:trPr>
        <w:tc>
          <w:tcPr>
            <w:tcW w:w="5440" w:type="dxa"/>
            <w:vAlign w:val="bottom"/>
          </w:tcPr>
          <w:p>
            <w:pPr>
              <w:ind w:left="120"/>
              <w:spacing w:after="0"/>
              <w:rPr>
                <w:sz w:val="20"/>
                <w:szCs w:val="20"/>
                <w:color w:val="auto"/>
              </w:rPr>
            </w:pPr>
            <w:r>
              <w:rPr>
                <w:rFonts w:ascii="Arial" w:cs="Arial" w:eastAsia="Arial" w:hAnsi="Arial"/>
                <w:sz w:val="11"/>
                <w:szCs w:val="11"/>
                <w:color w:val="auto"/>
              </w:rPr>
              <w:t>Income taxes paid, net</w:t>
            </w:r>
          </w:p>
        </w:tc>
        <w:tc>
          <w:tcPr>
            <w:tcW w:w="322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12.6</w:t>
            </w:r>
          </w:p>
        </w:tc>
        <w:tc>
          <w:tcPr>
            <w:tcW w:w="78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54.9</w:t>
            </w:r>
          </w:p>
        </w:tc>
      </w:tr>
      <w:tr>
        <w:trPr>
          <w:trHeight w:val="162"/>
        </w:trPr>
        <w:tc>
          <w:tcPr>
            <w:tcW w:w="54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Interest paid</w:t>
            </w:r>
          </w:p>
        </w:tc>
        <w:tc>
          <w:tcPr>
            <w:tcW w:w="3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13.9</w:t>
            </w: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r>
      <w:tr>
        <w:trPr>
          <w:trHeight w:val="170"/>
        </w:trPr>
        <w:tc>
          <w:tcPr>
            <w:tcW w:w="5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9"/>
        </w:trPr>
        <w:tc>
          <w:tcPr>
            <w:tcW w:w="5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3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6"/>
        </w:trPr>
        <w:tc>
          <w:tcPr>
            <w:tcW w:w="5440" w:type="dxa"/>
            <w:vAlign w:val="bottom"/>
          </w:tcPr>
          <w:p>
            <w:pPr>
              <w:ind w:left="120"/>
              <w:spacing w:after="0"/>
              <w:rPr>
                <w:sz w:val="20"/>
                <w:szCs w:val="20"/>
                <w:color w:val="auto"/>
              </w:rPr>
            </w:pPr>
            <w:r>
              <w:rPr>
                <w:rFonts w:ascii="Arial" w:cs="Arial" w:eastAsia="Arial" w:hAnsi="Arial"/>
                <w:sz w:val="11"/>
                <w:szCs w:val="11"/>
                <w:color w:val="auto"/>
              </w:rPr>
              <w:t>Capital expenditures in accounts payable</w:t>
            </w:r>
          </w:p>
        </w:tc>
        <w:tc>
          <w:tcPr>
            <w:tcW w:w="322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2.2</w:t>
            </w:r>
          </w:p>
        </w:tc>
        <w:tc>
          <w:tcPr>
            <w:tcW w:w="78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2"/>
        </w:trPr>
        <w:tc>
          <w:tcPr>
            <w:tcW w:w="54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Dividends declared not yet paid</w:t>
            </w:r>
          </w:p>
        </w:tc>
        <w:tc>
          <w:tcPr>
            <w:tcW w:w="3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10.0</w:t>
            </w: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r>
      <w:tr>
        <w:trPr>
          <w:trHeight w:val="156"/>
        </w:trPr>
        <w:tc>
          <w:tcPr>
            <w:tcW w:w="5440" w:type="dxa"/>
            <w:vAlign w:val="bottom"/>
          </w:tcPr>
          <w:p>
            <w:pPr>
              <w:ind w:left="120"/>
              <w:spacing w:after="0"/>
              <w:rPr>
                <w:sz w:val="20"/>
                <w:szCs w:val="20"/>
                <w:color w:val="auto"/>
              </w:rPr>
            </w:pPr>
            <w:r>
              <w:rPr>
                <w:rFonts w:ascii="Arial" w:cs="Arial" w:eastAsia="Arial" w:hAnsi="Arial"/>
                <w:sz w:val="11"/>
                <w:szCs w:val="11"/>
                <w:color w:val="auto"/>
              </w:rPr>
              <w:t>Increase in lease assets in exchange for lease liabilities:</w:t>
            </w:r>
          </w:p>
        </w:tc>
        <w:tc>
          <w:tcPr>
            <w:tcW w:w="3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54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leases</w:t>
            </w:r>
          </w:p>
        </w:tc>
        <w:tc>
          <w:tcPr>
            <w:tcW w:w="3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9.8</w:t>
            </w: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53"/>
        </w:trPr>
        <w:tc>
          <w:tcPr>
            <w:tcW w:w="5440" w:type="dxa"/>
            <w:vAlign w:val="bottom"/>
          </w:tcPr>
          <w:p>
            <w:pPr>
              <w:ind w:left="180"/>
              <w:spacing w:after="0"/>
              <w:rPr>
                <w:sz w:val="20"/>
                <w:szCs w:val="20"/>
                <w:color w:val="auto"/>
              </w:rPr>
            </w:pPr>
            <w:r>
              <w:rPr>
                <w:rFonts w:ascii="Arial" w:cs="Arial" w:eastAsia="Arial" w:hAnsi="Arial"/>
                <w:sz w:val="11"/>
                <w:szCs w:val="11"/>
                <w:color w:val="auto"/>
              </w:rPr>
              <w:t>Finance leases</w:t>
            </w:r>
          </w:p>
        </w:tc>
        <w:tc>
          <w:tcPr>
            <w:tcW w:w="322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1.2</w:t>
            </w:r>
          </w:p>
        </w:tc>
        <w:tc>
          <w:tcPr>
            <w:tcW w:w="7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May 25, 2024</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Common Shares</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rPr>
              <w:t>Accumulated Other</w:t>
            </w:r>
          </w:p>
        </w:tc>
        <w:tc>
          <w:tcPr>
            <w:tcW w:w="186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1"/>
                <w:szCs w:val="11"/>
                <w:b w:val="1"/>
                <w:bCs w:val="1"/>
                <w:color w:val="auto"/>
              </w:rPr>
              <w:t>Treasury Stock</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5"/>
                <w:szCs w:val="5"/>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74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 share data)</w:t>
            </w:r>
          </w:p>
        </w:tc>
        <w:tc>
          <w:tcPr>
            <w:tcW w:w="8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2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Comprehensive Income</w:t>
            </w:r>
          </w:p>
        </w:tc>
        <w:tc>
          <w:tcPr>
            <w:tcW w:w="8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9"/>
                <w:szCs w:val="9"/>
                <w:color w:val="auto"/>
              </w:rPr>
            </w:pPr>
          </w:p>
        </w:tc>
        <w:tc>
          <w:tcPr>
            <w:tcW w:w="8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Amount</w:t>
            </w: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(Loss)</w:t>
            </w: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February 24, 2024</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188.1</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1,751.6</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(640.6)</w:t>
            </w: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1,324.6</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3.4</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24"/>
        </w:trPr>
        <w:tc>
          <w:tcPr>
            <w:tcW w:w="2740" w:type="dxa"/>
            <w:vAlign w:val="bottom"/>
            <w:shd w:val="clear" w:color="auto" w:fill="CCEEFF"/>
          </w:tcPr>
          <w:p>
            <w:pPr>
              <w:ind w:left="120"/>
              <w:spacing w:after="0" w:line="124"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0.2</w:t>
            </w:r>
          </w:p>
        </w:tc>
        <w:tc>
          <w:tcPr>
            <w:tcW w:w="5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(0.2)</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(0.3)</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Common stock dividends; $0.62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29.0</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May 25,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191.1</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1,762.3</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(660.5)</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1,318.4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gridSpan w:val="3"/>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7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May 27, 2023</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Common Shares</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rPr>
              <w:t>Accumulated Other</w:t>
            </w:r>
          </w:p>
        </w:tc>
        <w:tc>
          <w:tcPr>
            <w:tcW w:w="186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1"/>
                <w:szCs w:val="11"/>
                <w:b w:val="1"/>
                <w:bCs w:val="1"/>
                <w:color w:val="auto"/>
              </w:rPr>
              <w:t>Treasury Stock</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5"/>
                <w:szCs w:val="5"/>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74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 share data)</w:t>
            </w:r>
          </w:p>
        </w:tc>
        <w:tc>
          <w:tcPr>
            <w:tcW w:w="8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2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Comprehensive Income</w:t>
            </w:r>
          </w:p>
        </w:tc>
        <w:tc>
          <w:tcPr>
            <w:tcW w:w="8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9"/>
                <w:szCs w:val="9"/>
                <w:color w:val="auto"/>
              </w:rPr>
            </w:pPr>
          </w:p>
        </w:tc>
        <w:tc>
          <w:tcPr>
            <w:tcW w:w="8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Amount</w:t>
            </w: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(Loss)</w:t>
            </w: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February 25, 2023</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193.9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1,671.0</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(553.1)</w:t>
            </w: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1,337.3</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1.7</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24"/>
        </w:trPr>
        <w:tc>
          <w:tcPr>
            <w:tcW w:w="2740" w:type="dxa"/>
            <w:vAlign w:val="bottom"/>
            <w:shd w:val="clear" w:color="auto" w:fill="CCEEFF"/>
          </w:tcPr>
          <w:p>
            <w:pPr>
              <w:ind w:left="120"/>
              <w:spacing w:after="0" w:line="124"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(0.4)</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(20.0)</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Common stock dividends; $0.54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59.1</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59.1</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May 27,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195.5</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1,713.4</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(573.1)</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1,361.3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Nine Months Ended May 25, 2024</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Common Shares</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rPr>
              <w:t>Accumulated Other</w:t>
            </w:r>
          </w:p>
        </w:tc>
        <w:tc>
          <w:tcPr>
            <w:tcW w:w="186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1"/>
                <w:szCs w:val="11"/>
                <w:b w:val="1"/>
                <w:bCs w:val="1"/>
                <w:color w:val="auto"/>
              </w:rPr>
              <w:t>Treasury Stock</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5"/>
                <w:szCs w:val="5"/>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74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 share data)</w:t>
            </w:r>
          </w:p>
        </w:tc>
        <w:tc>
          <w:tcPr>
            <w:tcW w:w="8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2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Comprehensive Income</w:t>
            </w:r>
          </w:p>
        </w:tc>
        <w:tc>
          <w:tcPr>
            <w:tcW w:w="8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9"/>
                <w:szCs w:val="9"/>
                <w:color w:val="auto"/>
              </w:rPr>
            </w:pPr>
          </w:p>
        </w:tc>
        <w:tc>
          <w:tcPr>
            <w:tcW w:w="8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Amount</w:t>
            </w: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(Loss)</w:t>
            </w: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August 26, 2023</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197.7</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1,747.8</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(602.9)</w:t>
            </w: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1,368.1</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Partial repurchase of convertible notes</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(22.2)</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Partial unwind of convertible note bond hedge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Partial unwind of convertible note warrant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(25.3)</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24"/>
        </w:trPr>
        <w:tc>
          <w:tcPr>
            <w:tcW w:w="2740" w:type="dxa"/>
            <w:vAlign w:val="bottom"/>
            <w:shd w:val="clear" w:color="auto" w:fill="CCEEFF"/>
          </w:tcPr>
          <w:p>
            <w:pPr>
              <w:ind w:left="120"/>
              <w:spacing w:after="0" w:line="124" w:lineRule="exact"/>
              <w:rPr>
                <w:sz w:val="20"/>
                <w:szCs w:val="20"/>
                <w:color w:val="auto"/>
              </w:rPr>
            </w:pPr>
            <w:r>
              <w:rPr>
                <w:rFonts w:ascii="Arial" w:cs="Arial" w:eastAsia="Arial" w:hAnsi="Arial"/>
                <w:sz w:val="11"/>
                <w:szCs w:val="11"/>
                <w:color w:val="auto"/>
              </w:rPr>
              <w:t>Convertible note bond hedge purchase, net of tax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(51.9)</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$16.8</w:t>
            </w:r>
          </w:p>
        </w:tc>
        <w:tc>
          <w:tcPr>
            <w:tcW w:w="82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Issuance of convertible note warrant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31.3</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21"/>
        </w:trPr>
        <w:tc>
          <w:tcPr>
            <w:tcW w:w="2740" w:type="dxa"/>
            <w:vAlign w:val="bottom"/>
          </w:tcPr>
          <w:p>
            <w:pPr>
              <w:ind w:left="120"/>
              <w:spacing w:after="0" w:line="121"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(5.3)</w:t>
            </w:r>
          </w:p>
        </w:tc>
        <w:tc>
          <w:tcPr>
            <w:tcW w:w="16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0.2</w:t>
            </w:r>
          </w:p>
        </w:tc>
        <w:tc>
          <w:tcPr>
            <w:tcW w:w="18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6.7</w:t>
            </w:r>
          </w:p>
        </w:tc>
        <w:tc>
          <w:tcPr>
            <w:tcW w:w="540" w:type="dxa"/>
            <w:vAlign w:val="bottom"/>
          </w:tcPr>
          <w:p>
            <w:pPr>
              <w:spacing w:after="0"/>
              <w:rPr>
                <w:sz w:val="10"/>
                <w:szCs w:val="10"/>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Common stock dividends; $0.93 per share</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(27.6)</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Arial" w:cs="Arial" w:eastAsia="Arial" w:hAnsi="Arial"/>
                <w:sz w:val="11"/>
                <w:szCs w:val="11"/>
                <w:color w:val="auto"/>
              </w:rPr>
              <w:t>Balances at May 25,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w:t>
            </w:r>
          </w:p>
        </w:tc>
        <w:tc>
          <w:tcPr>
            <w:tcW w:w="74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191.1</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1,762.3</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(660.5)</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1,318.4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7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Nine Months Ended May 27, 2023</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Common Shares</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rPr>
              <w:t>Accumulated Other</w:t>
            </w:r>
          </w:p>
        </w:tc>
        <w:tc>
          <w:tcPr>
            <w:tcW w:w="186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1"/>
                <w:szCs w:val="11"/>
                <w:b w:val="1"/>
                <w:bCs w:val="1"/>
                <w:color w:val="auto"/>
              </w:rPr>
              <w:t>Treasury Stock</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5"/>
                <w:szCs w:val="5"/>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74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 share data)</w:t>
            </w:r>
          </w:p>
        </w:tc>
        <w:tc>
          <w:tcPr>
            <w:tcW w:w="8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2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Comprehensive Income</w:t>
            </w:r>
          </w:p>
        </w:tc>
        <w:tc>
          <w:tcPr>
            <w:tcW w:w="8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9"/>
                <w:szCs w:val="9"/>
                <w:color w:val="auto"/>
              </w:rPr>
            </w:pPr>
          </w:p>
        </w:tc>
        <w:tc>
          <w:tcPr>
            <w:tcW w:w="8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Amount</w:t>
            </w: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(Loss)</w:t>
            </w: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August 27, 2022</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256.3</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1,537.5</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(556.2)</w:t>
            </w: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1,263.0</w:t>
            </w:r>
          </w:p>
        </w:tc>
        <w:tc>
          <w:tcPr>
            <w:tcW w:w="0" w:type="dxa"/>
            <w:vAlign w:val="bottom"/>
          </w:tcPr>
          <w:p>
            <w:pPr>
              <w:spacing w:after="0"/>
              <w:rPr>
                <w:sz w:val="1"/>
                <w:szCs w:val="1"/>
                <w:color w:val="auto"/>
              </w:rPr>
            </w:pPr>
          </w:p>
        </w:tc>
      </w:tr>
      <w:tr>
        <w:trPr>
          <w:trHeight w:val="121"/>
        </w:trPr>
        <w:tc>
          <w:tcPr>
            <w:tcW w:w="2740" w:type="dxa"/>
            <w:vAlign w:val="bottom"/>
          </w:tcPr>
          <w:p>
            <w:pPr>
              <w:ind w:left="120"/>
              <w:spacing w:after="0" w:line="121" w:lineRule="exact"/>
              <w:rPr>
                <w:sz w:val="20"/>
                <w:szCs w:val="20"/>
                <w:color w:val="auto"/>
              </w:rPr>
            </w:pPr>
            <w:r>
              <w:rPr>
                <w:rFonts w:ascii="Arial" w:cs="Arial" w:eastAsia="Arial" w:hAnsi="Arial"/>
                <w:sz w:val="11"/>
                <w:szCs w:val="11"/>
                <w:color w:val="auto"/>
              </w:rPr>
              <w:t>Adoption of Accounting Standards Update (ASU)</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(62.0)</w:t>
            </w:r>
          </w:p>
        </w:tc>
        <w:tc>
          <w:tcPr>
            <w:tcW w:w="16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29.0</w:t>
            </w:r>
          </w:p>
        </w:tc>
        <w:tc>
          <w:tcPr>
            <w:tcW w:w="140" w:type="dxa"/>
            <w:vAlign w:val="bottom"/>
          </w:tcPr>
          <w:p>
            <w:pPr>
              <w:spacing w:after="0"/>
              <w:rPr>
                <w:sz w:val="10"/>
                <w:szCs w:val="10"/>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rPr>
                <w:sz w:val="20"/>
                <w:szCs w:val="20"/>
                <w:color w:val="auto"/>
              </w:rPr>
            </w:pPr>
            <w:r>
              <w:rPr>
                <w:rFonts w:ascii="Arial" w:cs="Arial" w:eastAsia="Arial" w:hAnsi="Arial"/>
                <w:sz w:val="11"/>
                <w:szCs w:val="11"/>
                <w:color w:val="auto"/>
              </w:rPr>
              <w:t>2020-06</w:t>
            </w:r>
          </w:p>
        </w:tc>
        <w:tc>
          <w:tcPr>
            <w:tcW w:w="8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21"/>
        </w:trPr>
        <w:tc>
          <w:tcPr>
            <w:tcW w:w="2740" w:type="dxa"/>
            <w:vAlign w:val="bottom"/>
          </w:tcPr>
          <w:p>
            <w:pPr>
              <w:ind w:left="120"/>
              <w:spacing w:after="0" w:line="121"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0.4</w:t>
            </w:r>
          </w:p>
        </w:tc>
        <w:tc>
          <w:tcPr>
            <w:tcW w:w="18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8.0</w:t>
            </w:r>
          </w:p>
        </w:tc>
        <w:tc>
          <w:tcPr>
            <w:tcW w:w="540" w:type="dxa"/>
            <w:vAlign w:val="bottom"/>
          </w:tcPr>
          <w:p>
            <w:pPr>
              <w:spacing w:after="0"/>
              <w:rPr>
                <w:sz w:val="10"/>
                <w:szCs w:val="10"/>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0" w:type="dxa"/>
            <w:vAlign w:val="bottom"/>
          </w:tcPr>
          <w:p>
            <w:pPr>
              <w:spacing w:after="0"/>
              <w:rPr>
                <w:sz w:val="1"/>
                <w:szCs w:val="1"/>
                <w:color w:val="auto"/>
              </w:rPr>
            </w:pPr>
          </w:p>
        </w:tc>
      </w:tr>
      <w:tr>
        <w:trPr>
          <w:trHeight w:val="156"/>
        </w:trPr>
        <w:tc>
          <w:tcPr>
            <w:tcW w:w="2740" w:type="dxa"/>
            <w:vAlign w:val="bottom"/>
          </w:tcPr>
          <w:p>
            <w:pPr>
              <w:ind w:left="120"/>
              <w:spacing w:after="0"/>
              <w:rPr>
                <w:sz w:val="20"/>
                <w:szCs w:val="20"/>
                <w:color w:val="auto"/>
              </w:rPr>
            </w:pPr>
            <w:r>
              <w:rPr>
                <w:rFonts w:ascii="Arial" w:cs="Arial" w:eastAsia="Arial" w:hAnsi="Arial"/>
                <w:sz w:val="11"/>
                <w:szCs w:val="11"/>
                <w:color w:val="auto"/>
              </w:rPr>
              <w:t>Common stock dividends; $0.81 per share</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(25.2)</w:t>
            </w:r>
          </w:p>
        </w:tc>
        <w:tc>
          <w:tcPr>
            <w:tcW w:w="14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172.1</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172.1</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May 27,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74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25.9</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195.5</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1,713.4</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(573.1)</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1,361.3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3"/>
          <w:szCs w:val="13"/>
          <w:i w:val="1"/>
          <w:iCs w:val="1"/>
          <w:color w:val="auto"/>
        </w:rPr>
        <w:t>(All amounts are in millions, except share and per share data, unless otherwise designated)</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2"/>
          <w:szCs w:val="12"/>
          <w:b w:val="1"/>
          <w:bCs w:val="1"/>
          <w:color w:val="auto"/>
        </w:rPr>
        <w:t>Basis of Presentation</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 consolidated financial statements include the accounts of Winnebago Industries, Inc. and its wholly owned subsidiaries. Intercompany account balances and transactions have been eliminated in consolidation.</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use of the terms "Winnebago Industries," "Winnebago," "we," "our," and "us" in this Quarterly Report on Form 10-Q, unless the context otherwise requires, refers to Winnebago Industries, Inc. and its wholly owned subsidiaries.</w:t>
      </w:r>
    </w:p>
    <w:p>
      <w:pPr>
        <w:spacing w:after="0" w:line="167"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169"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26, 2023 filed with the SEC. Interim results of operations are not necessarily indicative of the results to be expected for the full fiscal year ending August 31, 2024.</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Comprehensive Income</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Comprehensive income represents the change in stockholders’ equity from transactions and other events and circumstances from sources other than shareholders. As of May 25, 2024 and May 27, 2023, the difference between comprehensive income and net income was not material.</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84" w:lineRule="exact"/>
        <w:rPr>
          <w:sz w:val="20"/>
          <w:szCs w:val="20"/>
          <w:color w:val="auto"/>
        </w:rPr>
      </w:pPr>
    </w:p>
    <w:p>
      <w:pPr>
        <w:ind w:right="340"/>
        <w:spacing w:after="0" w:line="283" w:lineRule="auto"/>
        <w:rPr>
          <w:sz w:val="20"/>
          <w:szCs w:val="20"/>
          <w:color w:val="auto"/>
        </w:rPr>
      </w:pPr>
      <w:r>
        <w:rPr>
          <w:rFonts w:ascii="Arial" w:cs="Arial" w:eastAsia="Arial" w:hAnsi="Arial"/>
          <w:sz w:val="13"/>
          <w:szCs w:val="13"/>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 xml:space="preserve">In March 2024, the SEC adopted a final rule under SEC Release No. 33-11275, </w:t>
      </w:r>
      <w:r>
        <w:rPr>
          <w:rFonts w:ascii="Arial" w:cs="Arial" w:eastAsia="Arial" w:hAnsi="Arial"/>
          <w:sz w:val="13"/>
          <w:szCs w:val="13"/>
          <w:i w:val="1"/>
          <w:iCs w:val="1"/>
          <w:color w:val="auto"/>
        </w:rPr>
        <w:t>The Enhancement and Standardization of Climate-Related Disclosures for Investors</w:t>
      </w:r>
      <w:r>
        <w:rPr>
          <w:rFonts w:ascii="Arial" w:cs="Arial" w:eastAsia="Arial" w:hAnsi="Arial"/>
          <w:sz w:val="13"/>
          <w:szCs w:val="13"/>
          <w:color w:val="auto"/>
        </w:rPr>
        <w:t>. The new rule will require disclosure of greenhouse gas emissions, including Scope 1 and Scope 2 emissions; climate-related risks, governance, and oversight; and the financial impacts of severe weather events and other natural conditions, subject to certain materiality thresholds. These disclosures are required to be phased in to our annual reporting beginning in Fiscal 2026. However, in April 2024, the SEC stayed the implementation of this rule pending the outcome of legal challenges. We continue to monitor developments and evaluate the impact of adoption on our Consolidated Financial Statements and related disclosures.</w:t>
      </w:r>
    </w:p>
    <w:p>
      <w:pPr>
        <w:spacing w:after="0" w:line="164" w:lineRule="exact"/>
        <w:rPr>
          <w:sz w:val="20"/>
          <w:szCs w:val="20"/>
          <w:color w:val="auto"/>
        </w:rPr>
      </w:pPr>
    </w:p>
    <w:p>
      <w:pPr>
        <w:ind w:right="320"/>
        <w:spacing w:after="0" w:line="261" w:lineRule="auto"/>
        <w:rPr>
          <w:sz w:val="20"/>
          <w:szCs w:val="20"/>
          <w:color w:val="auto"/>
        </w:rPr>
      </w:pPr>
      <w:r>
        <w:rPr>
          <w:rFonts w:ascii="Arial" w:cs="Arial" w:eastAsia="Arial" w:hAnsi="Arial"/>
          <w:sz w:val="13"/>
          <w:szCs w:val="13"/>
          <w:color w:val="auto"/>
        </w:rPr>
        <w:t xml:space="preserve">In December 2023, the Financial Accounting Standards Board ("FASB") issued ASU 2023-09, </w:t>
      </w:r>
      <w:r>
        <w:rPr>
          <w:rFonts w:ascii="Arial" w:cs="Arial" w:eastAsia="Arial" w:hAnsi="Arial"/>
          <w:sz w:val="13"/>
          <w:szCs w:val="13"/>
          <w:i w:val="1"/>
          <w:iCs w:val="1"/>
          <w:color w:val="auto"/>
        </w:rPr>
        <w:t>Income Taxes (Topic 740): Improvements to Income Tax Disclosures</w:t>
      </w:r>
      <w:r>
        <w:rPr>
          <w:rFonts w:ascii="Arial" w:cs="Arial" w:eastAsia="Arial" w:hAnsi="Arial"/>
          <w:sz w:val="13"/>
          <w:szCs w:val="13"/>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 xml:space="preserve">In November 2023, the FASB issued ASU 2023-07, </w:t>
      </w:r>
      <w:r>
        <w:rPr>
          <w:rFonts w:ascii="Arial" w:cs="Arial" w:eastAsia="Arial" w:hAnsi="Arial"/>
          <w:sz w:val="13"/>
          <w:szCs w:val="13"/>
          <w:i w:val="1"/>
          <w:iCs w:val="1"/>
          <w:color w:val="auto"/>
        </w:rPr>
        <w:t>Segment Reporting (Topic 280): Improvements to Reportable Segment Disclosures</w:t>
      </w:r>
      <w:r>
        <w:rPr>
          <w:rFonts w:ascii="Arial" w:cs="Arial" w:eastAsia="Arial" w:hAnsi="Arial"/>
          <w:sz w:val="13"/>
          <w:szCs w:val="13"/>
          <w:color w:val="auto"/>
        </w:rPr>
        <w:t>, which requires incremental disclosures about significant segment expenses regularly provided to the Chief Operating Decision Maker. The new guidance is effective for annual reporting periods beginning after December 15, 2023, and interim periods within fiscal years beginning after December 15, 2024. We are currently evaluating the impact of the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Business Combinations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Lithionics Battery, LLC</w:t>
      </w:r>
    </w:p>
    <w:p>
      <w:pPr>
        <w:spacing w:after="0" w:line="95" w:lineRule="exact"/>
        <w:rPr>
          <w:sz w:val="20"/>
          <w:szCs w:val="20"/>
          <w:color w:val="auto"/>
        </w:rPr>
      </w:pPr>
    </w:p>
    <w:p>
      <w:pPr>
        <w:ind w:right="100"/>
        <w:spacing w:after="0" w:line="309" w:lineRule="auto"/>
        <w:rPr>
          <w:sz w:val="20"/>
          <w:szCs w:val="20"/>
          <w:color w:val="auto"/>
        </w:rPr>
      </w:pPr>
      <w:r>
        <w:rPr>
          <w:rFonts w:ascii="Arial" w:cs="Arial" w:eastAsia="Arial" w:hAnsi="Arial"/>
          <w:sz w:val="12"/>
          <w:szCs w:val="12"/>
          <w:color w:val="auto"/>
        </w:rPr>
        <w:t>On April 28, 2023, we purchased 100% of the equity interests of Lithionics Battery, LLC and Lithionics LLC (collectively, "Lithionics"), a premier lithium-ion battery solutions provider to the recreational equipment and specialty vehicle markets. Pro forma results of operations for this acquisition have not been presented as the impact on our consolidated financial statements was not material.</w:t>
      </w:r>
    </w:p>
    <w:p>
      <w:pPr>
        <w:spacing w:after="0" w:line="143"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Total transaction costs related to the Lithionics acquisition of $3.1 million were expensed during the third quarter of Fiscal 2023. Transaction costs are included in selling, general and administrative expenses in the accompanying Consolidated Statements of Income.</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2"/>
          <w:szCs w:val="12"/>
          <w:b w:val="1"/>
          <w:bCs w:val="1"/>
          <w:color w:val="auto"/>
        </w:rPr>
        <w:t>Business Segments</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We have eight operating segments: 1) Grand Design towables, 2) Winnebago towables, 3) Winnebago motorhomes, 4) Newmar motorhomes, 5) Chris-Craft marine, 6) Barletta marine, 7) Winnebago specialty vehicles, and 8)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159" w:lineRule="exact"/>
        <w:rPr>
          <w:sz w:val="20"/>
          <w:szCs w:val="20"/>
          <w:color w:val="auto"/>
        </w:rPr>
      </w:pPr>
    </w:p>
    <w:p>
      <w:pPr>
        <w:ind w:right="140"/>
        <w:spacing w:after="0" w:line="281" w:lineRule="auto"/>
        <w:rPr>
          <w:sz w:val="20"/>
          <w:szCs w:val="20"/>
          <w:color w:val="auto"/>
        </w:rPr>
      </w:pPr>
      <w:r>
        <w:rPr>
          <w:rFonts w:ascii="Arial" w:cs="Arial" w:eastAsia="Arial" w:hAnsi="Arial"/>
          <w:sz w:val="12"/>
          <w:szCs w:val="12"/>
          <w:color w:val="auto"/>
        </w:rPr>
        <w:t>Our three reportable segments are: Towable RV (an aggregation of the Grand Design towables and the Winnebago towables operating segments); Motorhome RV (an aggregation of the Winnebago motorhomes and Newmar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149" w:lineRule="exact"/>
        <w:rPr>
          <w:sz w:val="20"/>
          <w:szCs w:val="20"/>
          <w:color w:val="auto"/>
        </w:rPr>
      </w:pPr>
    </w:p>
    <w:p>
      <w:pPr>
        <w:ind w:right="220"/>
        <w:spacing w:after="0" w:line="283" w:lineRule="auto"/>
        <w:rPr>
          <w:sz w:val="20"/>
          <w:szCs w:val="20"/>
          <w:color w:val="auto"/>
        </w:rPr>
      </w:pPr>
      <w:r>
        <w:rPr>
          <w:rFonts w:ascii="Arial" w:cs="Arial" w:eastAsia="Arial" w:hAnsi="Arial"/>
          <w:sz w:val="13"/>
          <w:szCs w:val="13"/>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26, 2023.</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change in fair value of note receivable, contingent consideration fair value adjustment, loss on note repurchase,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0"/>
        </w:trPr>
        <w:tc>
          <w:tcPr>
            <w:tcW w:w="4540" w:type="dxa"/>
            <w:vAlign w:val="bottom"/>
            <w:gridSpan w:val="2"/>
          </w:tcPr>
          <w:p>
            <w:pPr>
              <w:spacing w:after="0"/>
              <w:rPr>
                <w:sz w:val="20"/>
                <w:szCs w:val="20"/>
                <w:color w:val="auto"/>
              </w:rPr>
            </w:pPr>
            <w:r>
              <w:rPr>
                <w:rFonts w:ascii="Arial" w:cs="Arial" w:eastAsia="Arial" w:hAnsi="Arial"/>
                <w:sz w:val="13"/>
                <w:szCs w:val="13"/>
                <w:color w:val="auto"/>
              </w:rPr>
              <w:t>Financial information by reportable segment is as follows: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right"/>
              <w:ind w:right="996"/>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020" w:type="dxa"/>
            <w:vAlign w:val="bottom"/>
            <w:gridSpan w:val="2"/>
          </w:tcPr>
          <w:p>
            <w:pPr>
              <w:jc w:val="right"/>
              <w:ind w:right="560"/>
              <w:spacing w:after="0" w:line="118" w:lineRule="exact"/>
              <w:rPr>
                <w:sz w:val="20"/>
                <w:szCs w:val="20"/>
                <w:color w:val="auto"/>
              </w:rPr>
            </w:pPr>
            <w:r>
              <w:rPr>
                <w:rFonts w:ascii="Arial" w:cs="Arial" w:eastAsia="Arial" w:hAnsi="Arial"/>
                <w:sz w:val="13"/>
                <w:szCs w:val="13"/>
                <w:b w:val="1"/>
                <w:bCs w:val="1"/>
                <w:color w:val="auto"/>
                <w:w w:val="93"/>
              </w:rPr>
              <w:t>May 27,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jc w:val="right"/>
              <w:ind w:right="16"/>
              <w:spacing w:after="0" w:line="118" w:lineRule="exact"/>
              <w:rPr>
                <w:sz w:val="20"/>
                <w:szCs w:val="20"/>
                <w:color w:val="auto"/>
              </w:rPr>
            </w:pPr>
            <w:r>
              <w:rPr>
                <w:rFonts w:ascii="Arial" w:cs="Arial" w:eastAsia="Arial" w:hAnsi="Arial"/>
                <w:sz w:val="13"/>
                <w:szCs w:val="13"/>
                <w:b w:val="1"/>
                <w:bCs w:val="1"/>
                <w:color w:val="auto"/>
              </w:rPr>
              <w:t>May 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rPr>
              <w:t>May 27,</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Towable RV</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386.3</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384.1</w:t>
            </w:r>
          </w:p>
        </w:tc>
        <w:tc>
          <w:tcPr>
            <w:tcW w:w="58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w w:val="96"/>
              </w:rPr>
              <w:t>1,001.8</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1,073.9</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971.8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1,242.4</w:t>
            </w: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Marine</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129.0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245.0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373.3</w:t>
            </w: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62"/>
        </w:trPr>
        <w:tc>
          <w:tcPr>
            <w:tcW w:w="4540" w:type="dxa"/>
            <w:vAlign w:val="bottom"/>
            <w:gridSpan w:val="2"/>
          </w:tcPr>
          <w:p>
            <w:pPr>
              <w:ind w:left="120"/>
              <w:spacing w:after="0"/>
              <w:rPr>
                <w:sz w:val="20"/>
                <w:szCs w:val="20"/>
                <w:color w:val="auto"/>
              </w:rPr>
            </w:pPr>
            <w:r>
              <w:rPr>
                <w:rFonts w:ascii="Arial" w:cs="Arial" w:eastAsia="Arial" w:hAnsi="Arial"/>
                <w:sz w:val="13"/>
                <w:szCs w:val="13"/>
                <w:color w:val="auto"/>
              </w:rPr>
              <w:t>Consolidated</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786.0</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900.8</w:t>
            </w:r>
          </w:p>
        </w:tc>
        <w:tc>
          <w:tcPr>
            <w:tcW w:w="58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w w:val="96"/>
              </w:rPr>
              <w:t>2,252.6</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2,719.7</w:t>
            </w:r>
          </w:p>
        </w:tc>
        <w:tc>
          <w:tcPr>
            <w:tcW w:w="0" w:type="dxa"/>
            <w:vAlign w:val="bottom"/>
          </w:tcPr>
          <w:p>
            <w:pPr>
              <w:spacing w:after="0"/>
              <w:rPr>
                <w:sz w:val="1"/>
                <w:szCs w:val="1"/>
                <w:color w:val="auto"/>
              </w:rPr>
            </w:pPr>
          </w:p>
        </w:tc>
      </w:tr>
      <w:tr>
        <w:trPr>
          <w:trHeight w:val="71"/>
        </w:trPr>
        <w:tc>
          <w:tcPr>
            <w:tcW w:w="1000" w:type="dxa"/>
            <w:vAlign w:val="bottom"/>
            <w:tcBorders>
              <w:bottom w:val="single" w:sz="8" w:color="CCEEFF"/>
            </w:tcBorders>
          </w:tcPr>
          <w:p>
            <w:pPr>
              <w:spacing w:after="0"/>
              <w:rPr>
                <w:sz w:val="5"/>
                <w:szCs w:val="5"/>
                <w:color w:val="auto"/>
              </w:rPr>
            </w:pPr>
          </w:p>
        </w:tc>
        <w:tc>
          <w:tcPr>
            <w:tcW w:w="3540" w:type="dxa"/>
            <w:vAlign w:val="bottom"/>
            <w:tcBorders>
              <w:bottom w:val="single" w:sz="8" w:color="CCEEFF"/>
            </w:tcBorders>
          </w:tcPr>
          <w:p>
            <w:pPr>
              <w:spacing w:after="0"/>
              <w:rPr>
                <w:sz w:val="5"/>
                <w:szCs w:val="5"/>
                <w:color w:val="auto"/>
              </w:rPr>
            </w:pPr>
          </w:p>
        </w:tc>
        <w:tc>
          <w:tcPr>
            <w:tcW w:w="340" w:type="dxa"/>
            <w:vAlign w:val="bottom"/>
            <w:tcBorders>
              <w:top w:val="single" w:sz="8" w:color="auto"/>
              <w:bottom w:val="single" w:sz="8" w:color="auto"/>
            </w:tcBorders>
          </w:tcPr>
          <w:p>
            <w:pPr>
              <w:spacing w:after="0"/>
              <w:rPr>
                <w:sz w:val="5"/>
                <w:szCs w:val="5"/>
                <w:color w:val="auto"/>
              </w:rPr>
            </w:pPr>
          </w:p>
        </w:tc>
        <w:tc>
          <w:tcPr>
            <w:tcW w:w="128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54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Adjusted EBITDA</w:t>
            </w:r>
          </w:p>
        </w:tc>
        <w:tc>
          <w:tcPr>
            <w:tcW w:w="34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53.8</w:t>
            </w: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Motorhome RV</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26.8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60.7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Corporate / All Other</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(20.7)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82"/>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Consolidated</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96.4</w:t>
            </w: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1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Towable RV</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3.4</w:t>
            </w:r>
          </w:p>
        </w:tc>
        <w:tc>
          <w:tcPr>
            <w:tcW w:w="58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Marine</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2"/>
        </w:trPr>
        <w:tc>
          <w:tcPr>
            <w:tcW w:w="4540" w:type="dxa"/>
            <w:vAlign w:val="bottom"/>
            <w:gridSpan w:val="2"/>
          </w:tcPr>
          <w:p>
            <w:pPr>
              <w:ind w:left="120"/>
              <w:spacing w:after="0"/>
              <w:rPr>
                <w:sz w:val="20"/>
                <w:szCs w:val="20"/>
                <w:color w:val="auto"/>
              </w:rPr>
            </w:pPr>
            <w:r>
              <w:rPr>
                <w:rFonts w:ascii="Arial" w:cs="Arial" w:eastAsia="Arial" w:hAnsi="Arial"/>
                <w:sz w:val="13"/>
                <w:szCs w:val="13"/>
                <w:color w:val="auto"/>
              </w:rPr>
              <w:t>Consolidated</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18.6</w:t>
            </w:r>
          </w:p>
        </w:tc>
        <w:tc>
          <w:tcPr>
            <w:tcW w:w="58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33.8</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May 25,</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636"/>
              <w:spacing w:after="0"/>
              <w:rPr>
                <w:sz w:val="20"/>
                <w:szCs w:val="20"/>
                <w:color w:val="auto"/>
              </w:rPr>
            </w:pPr>
            <w:r>
              <w:rPr>
                <w:rFonts w:ascii="Arial" w:cs="Arial" w:eastAsia="Arial" w:hAnsi="Arial"/>
                <w:sz w:val="13"/>
                <w:szCs w:val="13"/>
                <w:b w:val="1"/>
                <w:bCs w:val="1"/>
                <w:color w:val="auto"/>
              </w:rPr>
              <w:t>August 26,</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2024</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Towable RV</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773.2</w:t>
            </w:r>
          </w:p>
        </w:tc>
        <w:tc>
          <w:tcPr>
            <w:tcW w:w="5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751.2</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802.2</w:t>
            </w:r>
          </w:p>
        </w:tc>
        <w:tc>
          <w:tcPr>
            <w:tcW w:w="0" w:type="dxa"/>
            <w:vAlign w:val="bottom"/>
          </w:tcPr>
          <w:p>
            <w:pPr>
              <w:spacing w:after="0"/>
              <w:rPr>
                <w:sz w:val="1"/>
                <w:szCs w:val="1"/>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Marine</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410.1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426.9</w:t>
            </w: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477.6</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452.1</w:t>
            </w:r>
          </w:p>
        </w:tc>
        <w:tc>
          <w:tcPr>
            <w:tcW w:w="0" w:type="dxa"/>
            <w:vAlign w:val="bottom"/>
          </w:tcPr>
          <w:p>
            <w:pPr>
              <w:spacing w:after="0"/>
              <w:rPr>
                <w:sz w:val="1"/>
                <w:szCs w:val="1"/>
                <w:color w:val="auto"/>
              </w:rPr>
            </w:pPr>
          </w:p>
        </w:tc>
      </w:tr>
      <w:tr>
        <w:trPr>
          <w:trHeight w:val="162"/>
        </w:trPr>
        <w:tc>
          <w:tcPr>
            <w:tcW w:w="4540" w:type="dxa"/>
            <w:vAlign w:val="bottom"/>
            <w:gridSpan w:val="2"/>
          </w:tcPr>
          <w:p>
            <w:pPr>
              <w:ind w:left="120"/>
              <w:spacing w:after="0"/>
              <w:rPr>
                <w:sz w:val="20"/>
                <w:szCs w:val="20"/>
                <w:color w:val="auto"/>
              </w:rPr>
            </w:pPr>
            <w:r>
              <w:rPr>
                <w:rFonts w:ascii="Arial" w:cs="Arial" w:eastAsia="Arial" w:hAnsi="Arial"/>
                <w:sz w:val="13"/>
                <w:szCs w:val="13"/>
                <w:color w:val="auto"/>
              </w:rPr>
              <w:t>Consolidated</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2,425.0</w:t>
            </w:r>
          </w:p>
        </w:tc>
        <w:tc>
          <w:tcPr>
            <w:tcW w:w="5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2,432.4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vMerge w:val="restart"/>
          </w:tcPr>
          <w:p>
            <w:pPr>
              <w:jc w:val="right"/>
              <w:ind w:right="376"/>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9"/>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710"/>
        </w:trPr>
        <w:tc>
          <w:tcPr>
            <w:tcW w:w="4540" w:type="dxa"/>
            <w:vAlign w:val="bottom"/>
            <w:gridSpan w:val="2"/>
          </w:tcPr>
          <w:p>
            <w:pPr>
              <w:spacing w:after="0"/>
              <w:rPr>
                <w:sz w:val="20"/>
                <w:szCs w:val="20"/>
                <w:color w:val="auto"/>
              </w:rPr>
            </w:pPr>
            <w:r>
              <w:rPr>
                <w:rFonts w:ascii="Arial" w:cs="Arial" w:eastAsia="Arial" w:hAnsi="Arial"/>
                <w:sz w:val="13"/>
                <w:szCs w:val="13"/>
                <w:color w:val="auto"/>
              </w:rPr>
              <w:t>Reconciliation of net income to consolidated Adjusted EBITDA is as follows: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3"/>
                <w:szCs w:val="13"/>
                <w:b w:val="1"/>
                <w:bCs w:val="1"/>
                <w:color w:val="auto"/>
              </w:rPr>
              <w:t>Nine Months Ended</w:t>
            </w:r>
          </w:p>
        </w:tc>
      </w:tr>
      <w:tr>
        <w:trPr>
          <w:trHeight w:val="160"/>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Pr>
          <w:p>
            <w:pPr>
              <w:spacing w:after="0"/>
              <w:rPr>
                <w:sz w:val="13"/>
                <w:szCs w:val="13"/>
                <w:color w:val="auto"/>
              </w:rPr>
            </w:pPr>
          </w:p>
        </w:tc>
        <w:tc>
          <w:tcPr>
            <w:tcW w:w="1460" w:type="dxa"/>
            <w:vAlign w:val="bottom"/>
            <w:gridSpan w:val="2"/>
          </w:tcPr>
          <w:p>
            <w:pPr>
              <w:ind w:left="160"/>
              <w:spacing w:after="0"/>
              <w:rPr>
                <w:sz w:val="20"/>
                <w:szCs w:val="20"/>
                <w:color w:val="auto"/>
              </w:rPr>
            </w:pPr>
            <w:r>
              <w:rPr>
                <w:rFonts w:ascii="Arial" w:cs="Arial" w:eastAsia="Arial" w:hAnsi="Arial"/>
                <w:sz w:val="13"/>
                <w:szCs w:val="13"/>
                <w:b w:val="1"/>
                <w:bCs w:val="1"/>
                <w:color w:val="auto"/>
              </w:rPr>
              <w:t>May 25, 2024</w:t>
            </w: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May 27, 2023</w:t>
            </w: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May 25, 2024</w:t>
            </w:r>
          </w:p>
        </w:tc>
        <w:tc>
          <w:tcPr>
            <w:tcW w:w="260" w:type="dxa"/>
            <w:vAlign w:val="bottom"/>
          </w:tcPr>
          <w:p>
            <w:pPr>
              <w:spacing w:after="0"/>
              <w:rPr>
                <w:sz w:val="13"/>
                <w:szCs w:val="13"/>
                <w:color w:val="auto"/>
              </w:rPr>
            </w:pPr>
          </w:p>
        </w:tc>
        <w:tc>
          <w:tcPr>
            <w:tcW w:w="1360" w:type="dxa"/>
            <w:vAlign w:val="bottom"/>
          </w:tcPr>
          <w:p>
            <w:pPr>
              <w:jc w:val="right"/>
              <w:ind w:right="356"/>
              <w:spacing w:after="0"/>
              <w:rPr>
                <w:sz w:val="20"/>
                <w:szCs w:val="20"/>
                <w:color w:val="auto"/>
              </w:rPr>
            </w:pPr>
            <w:r>
              <w:rPr>
                <w:rFonts w:ascii="Arial" w:cs="Arial" w:eastAsia="Arial" w:hAnsi="Arial"/>
                <w:sz w:val="13"/>
                <w:szCs w:val="13"/>
                <w:b w:val="1"/>
                <w:bCs w:val="1"/>
                <w:color w:val="auto"/>
              </w:rPr>
              <w:t>May 27, 2023</w:t>
            </w:r>
          </w:p>
        </w:tc>
      </w:tr>
      <w:tr>
        <w:trPr>
          <w:trHeight w:val="160"/>
        </w:trPr>
        <w:tc>
          <w:tcPr>
            <w:tcW w:w="4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172.1</w:t>
            </w: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Interest expense, net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Depreciation</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59"/>
        </w:trPr>
        <w:tc>
          <w:tcPr>
            <w:tcW w:w="4540" w:type="dxa"/>
            <w:vAlign w:val="bottom"/>
            <w:gridSpan w:val="2"/>
          </w:tcPr>
          <w:p>
            <w:pPr>
              <w:ind w:left="120"/>
              <w:spacing w:after="0"/>
              <w:rPr>
                <w:sz w:val="20"/>
                <w:szCs w:val="20"/>
                <w:color w:val="auto"/>
              </w:rPr>
            </w:pPr>
            <w:r>
              <w:rPr>
                <w:rFonts w:ascii="Arial" w:cs="Arial" w:eastAsia="Arial" w:hAnsi="Arial"/>
                <w:sz w:val="13"/>
                <w:szCs w:val="13"/>
                <w:color w:val="auto"/>
              </w:rPr>
              <w:t>EBITDA</w:t>
            </w: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273.8</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Change in fair value of note receivable</w:t>
            </w:r>
          </w:p>
        </w:tc>
        <w:tc>
          <w:tcPr>
            <w:tcW w:w="2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Contingent consideration fair value adjustment</w:t>
            </w: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Loss on note repurchase</w:t>
            </w:r>
          </w:p>
        </w:tc>
        <w:tc>
          <w:tcPr>
            <w:tcW w:w="2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62"/>
        </w:trPr>
        <w:tc>
          <w:tcPr>
            <w:tcW w:w="4540" w:type="dxa"/>
            <w:vAlign w:val="bottom"/>
            <w:gridSpan w:val="2"/>
          </w:tcPr>
          <w:p>
            <w:pPr>
              <w:ind w:left="120"/>
              <w:spacing w:after="0"/>
              <w:rPr>
                <w:sz w:val="20"/>
                <w:szCs w:val="20"/>
                <w:color w:val="auto"/>
              </w:rPr>
            </w:pPr>
            <w:r>
              <w:rPr>
                <w:rFonts w:ascii="Arial" w:cs="Arial" w:eastAsia="Arial" w:hAnsi="Arial"/>
                <w:sz w:val="13"/>
                <w:szCs w:val="13"/>
                <w:color w:val="auto"/>
              </w:rPr>
              <w:t>Adjusted EBITDA</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w:t>
            </w: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2"/>
          <w:szCs w:val="12"/>
          <w:b w:val="1"/>
          <w:bCs w:val="1"/>
          <w:color w:val="auto"/>
        </w:rPr>
        <w:t>Investments and Fair Value Measurements</w:t>
      </w:r>
    </w:p>
    <w:p>
      <w:pPr>
        <w:spacing w:after="0" w:line="126"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Unadjusted quoted prices which are available in active markets for identical assets or liabilities accessible at the measurement date.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quoted prices included in Level 1 inputs that are observable for the asset or liability, either directly or indirectly, for substantially the full term of the asset or liability.</w:t>
      </w:r>
    </w:p>
    <w:p>
      <w:pPr>
        <w:spacing w:after="0" w:line="202" w:lineRule="exact"/>
        <w:rPr>
          <w:sz w:val="20"/>
          <w:szCs w:val="20"/>
          <w:color w:val="auto"/>
        </w:rPr>
      </w:pPr>
    </w:p>
    <w:p>
      <w:pPr>
        <w:ind w:left="520" w:right="80"/>
        <w:spacing w:after="0" w:line="283"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for the asset or liability used to measure fair value to the extent that observable inputs are not available, thereby allowing for situations in which there is little, if</w:t>
      </w:r>
      <w:r>
        <w:rPr>
          <w:rFonts w:ascii="Arial" w:cs="Arial" w:eastAsia="Arial" w:hAnsi="Arial"/>
          <w:sz w:val="13"/>
          <w:szCs w:val="13"/>
          <w:i w:val="1"/>
          <w:iCs w:val="1"/>
          <w:color w:val="auto"/>
        </w:rPr>
        <w:t xml:space="preserve"> </w:t>
      </w:r>
      <w:r>
        <w:rPr>
          <w:rFonts w:ascii="Arial" w:cs="Arial" w:eastAsia="Arial" w:hAnsi="Arial"/>
          <w:sz w:val="13"/>
          <w:szCs w:val="13"/>
          <w:color w:val="auto"/>
        </w:rPr>
        <w:t>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5"/>
              </w:rPr>
              <w:t>Table of Contents</w:t>
            </w:r>
          </w:p>
        </w:tc>
        <w:tc>
          <w:tcPr>
            <w:tcW w:w="35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4540" w:type="dxa"/>
            <w:vAlign w:val="bottom"/>
            <w:gridSpan w:val="4"/>
          </w:tcPr>
          <w:p>
            <w:pPr>
              <w:spacing w:after="0"/>
              <w:rPr>
                <w:sz w:val="20"/>
                <w:szCs w:val="20"/>
                <w:color w:val="auto"/>
              </w:rPr>
            </w:pPr>
            <w:r>
              <w:rPr>
                <w:rFonts w:ascii="Arial" w:cs="Arial" w:eastAsia="Arial" w:hAnsi="Arial"/>
                <w:sz w:val="13"/>
                <w:szCs w:val="13"/>
                <w:b w:val="1"/>
                <w:bCs w:val="1"/>
                <w:color w:val="auto"/>
                <w:w w:val="97"/>
              </w:rPr>
              <w:t>Assets and Liabilities that are Measured at Fair Value on a Recurring Basis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760" w:type="dxa"/>
            <w:vAlign w:val="bottom"/>
            <w:gridSpan w:val="5"/>
          </w:tcPr>
          <w:p>
            <w:pPr>
              <w:spacing w:after="0"/>
              <w:rPr>
                <w:sz w:val="20"/>
                <w:szCs w:val="20"/>
                <w:color w:val="auto"/>
              </w:rPr>
            </w:pPr>
            <w:r>
              <w:rPr>
                <w:rFonts w:ascii="Arial" w:cs="Arial" w:eastAsia="Arial" w:hAnsi="Arial"/>
                <w:sz w:val="13"/>
                <w:szCs w:val="13"/>
                <w:color w:val="auto"/>
              </w:rPr>
              <w:t>Financial assets and liabilities measured at fair value on a recurring basis are as follows: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center"/>
              <w:ind w:left="285"/>
              <w:spacing w:after="0"/>
              <w:rPr>
                <w:sz w:val="20"/>
                <w:szCs w:val="20"/>
                <w:color w:val="auto"/>
              </w:rPr>
            </w:pPr>
            <w:r>
              <w:rPr>
                <w:rFonts w:ascii="Arial" w:cs="Arial" w:eastAsia="Arial" w:hAnsi="Arial"/>
                <w:sz w:val="13"/>
                <w:szCs w:val="13"/>
                <w:b w:val="1"/>
                <w:bCs w:val="1"/>
                <w:color w:val="auto"/>
                <w:w w:val="98"/>
              </w:rPr>
              <w:t>Fair Value at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98"/>
              </w:rPr>
              <w:t>Fair Value Hierarchy</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jc w:val="center"/>
              <w:ind w:left="305"/>
              <w:spacing w:after="0" w:line="107" w:lineRule="exact"/>
              <w:rPr>
                <w:sz w:val="20"/>
                <w:szCs w:val="20"/>
                <w:color w:val="auto"/>
              </w:rPr>
            </w:pPr>
            <w:r>
              <w:rPr>
                <w:rFonts w:ascii="Arial" w:cs="Arial" w:eastAsia="Arial" w:hAnsi="Arial"/>
                <w:sz w:val="12"/>
                <w:szCs w:val="12"/>
                <w:b w:val="1"/>
                <w:bCs w:val="1"/>
                <w:color w:val="auto"/>
              </w:rPr>
              <w:t>May 25,</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9"/>
                <w:szCs w:val="9"/>
                <w:color w:val="auto"/>
              </w:rPr>
            </w:pPr>
          </w:p>
        </w:tc>
        <w:tc>
          <w:tcPr>
            <w:tcW w:w="15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9"/>
              </w:rPr>
              <w:t>Level 2</w:t>
            </w:r>
          </w:p>
        </w:tc>
        <w:tc>
          <w:tcPr>
            <w:tcW w:w="340" w:type="dxa"/>
            <w:vAlign w:val="bottom"/>
          </w:tcPr>
          <w:p>
            <w:pPr>
              <w:spacing w:after="0"/>
              <w:rPr>
                <w:sz w:val="9"/>
                <w:szCs w:val="9"/>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220" w:type="dxa"/>
            <w:vAlign w:val="bottom"/>
          </w:tcPr>
          <w:p>
            <w:pPr>
              <w:jc w:val="center"/>
              <w:ind w:left="285"/>
              <w:spacing w:after="0"/>
              <w:rPr>
                <w:sz w:val="20"/>
                <w:szCs w:val="20"/>
                <w:color w:val="auto"/>
              </w:rPr>
            </w:pPr>
            <w:r>
              <w:rPr>
                <w:rFonts w:ascii="Arial" w:cs="Arial" w:eastAsia="Arial" w:hAnsi="Arial"/>
                <w:sz w:val="13"/>
                <w:szCs w:val="13"/>
                <w:b w:val="1"/>
                <w:bCs w:val="1"/>
                <w:color w:val="auto"/>
                <w:w w:val="96"/>
              </w:rPr>
              <w:t>2024</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Borders>
              <w:top w:val="single" w:sz="8" w:color="auto"/>
            </w:tcBorders>
            <w:shd w:val="clear" w:color="auto" w:fill="CCEEFF"/>
          </w:tcPr>
          <w:p>
            <w:pPr>
              <w:spacing w:after="0"/>
              <w:rPr>
                <w:sz w:val="13"/>
                <w:szCs w:val="13"/>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Assets that fund deferred compensation</w:t>
            </w:r>
          </w:p>
        </w:tc>
        <w:tc>
          <w:tcPr>
            <w:tcW w:w="12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gridSpan w:val="3"/>
          </w:tcPr>
          <w:p>
            <w:pPr>
              <w:ind w:left="100"/>
              <w:spacing w:after="0"/>
              <w:rPr>
                <w:sz w:val="20"/>
                <w:szCs w:val="20"/>
                <w:color w:val="auto"/>
              </w:rPr>
            </w:pPr>
            <w:r>
              <w:rPr>
                <w:rFonts w:ascii="Arial" w:cs="Arial" w:eastAsia="Arial" w:hAnsi="Arial"/>
                <w:sz w:val="13"/>
                <w:szCs w:val="13"/>
                <w:color w:val="auto"/>
              </w:rPr>
              <w:t>Domestic equity funds</w:t>
            </w:r>
          </w:p>
        </w:tc>
        <w:tc>
          <w:tcPr>
            <w:tcW w:w="1220" w:type="dxa"/>
            <w:vAlign w:val="bottom"/>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3"/>
          </w:tcPr>
          <w:p>
            <w:pPr>
              <w:ind w:left="12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International equity funds</w:t>
            </w:r>
          </w:p>
        </w:tc>
        <w:tc>
          <w:tcPr>
            <w:tcW w:w="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3"/>
                <w:szCs w:val="13"/>
                <w:color w:val="auto"/>
              </w:rPr>
              <w:t>Total assets at fair value</w:t>
            </w:r>
          </w:p>
        </w:tc>
        <w:tc>
          <w:tcPr>
            <w:tcW w:w="1220" w:type="dxa"/>
            <w:vAlign w:val="bottom"/>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3"/>
          </w:tcPr>
          <w:p>
            <w:pPr>
              <w:ind w:left="12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center"/>
              <w:ind w:left="305"/>
              <w:spacing w:after="0"/>
              <w:rPr>
                <w:sz w:val="20"/>
                <w:szCs w:val="20"/>
                <w:color w:val="auto"/>
              </w:rPr>
            </w:pPr>
            <w:r>
              <w:rPr>
                <w:rFonts w:ascii="Arial" w:cs="Arial" w:eastAsia="Arial" w:hAnsi="Arial"/>
                <w:sz w:val="13"/>
                <w:szCs w:val="13"/>
                <w:b w:val="1"/>
                <w:bCs w:val="1"/>
                <w:color w:val="auto"/>
                <w:w w:val="95"/>
              </w:rPr>
              <w:t>Fair Value at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97"/>
              </w:rPr>
              <w:t>Fair Value Hierarchy</w:t>
            </w: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jc w:val="center"/>
              <w:ind w:left="305"/>
              <w:spacing w:after="0" w:line="107" w:lineRule="exact"/>
              <w:rPr>
                <w:sz w:val="20"/>
                <w:szCs w:val="20"/>
                <w:color w:val="auto"/>
              </w:rPr>
            </w:pPr>
            <w:r>
              <w:rPr>
                <w:rFonts w:ascii="Arial" w:cs="Arial" w:eastAsia="Arial" w:hAnsi="Arial"/>
                <w:sz w:val="12"/>
                <w:szCs w:val="12"/>
                <w:b w:val="1"/>
                <w:bCs w:val="1"/>
                <w:color w:val="auto"/>
              </w:rPr>
              <w:t>August 26,</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9"/>
                <w:szCs w:val="9"/>
                <w:color w:val="auto"/>
              </w:rPr>
            </w:pPr>
          </w:p>
        </w:tc>
        <w:tc>
          <w:tcPr>
            <w:tcW w:w="15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Level 2</w:t>
            </w:r>
          </w:p>
        </w:tc>
        <w:tc>
          <w:tcPr>
            <w:tcW w:w="340" w:type="dxa"/>
            <w:vAlign w:val="bottom"/>
          </w:tcPr>
          <w:p>
            <w:pPr>
              <w:spacing w:after="0"/>
              <w:rPr>
                <w:sz w:val="9"/>
                <w:szCs w:val="9"/>
                <w:color w:val="auto"/>
              </w:rPr>
            </w:pPr>
          </w:p>
        </w:tc>
        <w:tc>
          <w:tcPr>
            <w:tcW w:w="128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220" w:type="dxa"/>
            <w:vAlign w:val="bottom"/>
          </w:tcPr>
          <w:p>
            <w:pPr>
              <w:jc w:val="center"/>
              <w:ind w:left="305"/>
              <w:spacing w:after="0"/>
              <w:rPr>
                <w:sz w:val="20"/>
                <w:szCs w:val="20"/>
                <w:color w:val="auto"/>
              </w:rPr>
            </w:pPr>
            <w:r>
              <w:rPr>
                <w:rFonts w:ascii="Arial" w:cs="Arial" w:eastAsia="Arial" w:hAnsi="Arial"/>
                <w:sz w:val="13"/>
                <w:szCs w:val="13"/>
                <w:b w:val="1"/>
                <w:bCs w:val="1"/>
                <w:color w:val="auto"/>
              </w:rPr>
              <w:t>2023</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Assets that fund deferred compensation</w:t>
            </w:r>
          </w:p>
        </w:tc>
        <w:tc>
          <w:tcPr>
            <w:tcW w:w="12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gridSpan w:val="3"/>
          </w:tcPr>
          <w:p>
            <w:pPr>
              <w:ind w:left="100"/>
              <w:spacing w:after="0"/>
              <w:rPr>
                <w:sz w:val="20"/>
                <w:szCs w:val="20"/>
                <w:color w:val="auto"/>
              </w:rPr>
            </w:pPr>
            <w:r>
              <w:rPr>
                <w:rFonts w:ascii="Arial" w:cs="Arial" w:eastAsia="Arial" w:hAnsi="Arial"/>
                <w:sz w:val="13"/>
                <w:szCs w:val="13"/>
                <w:color w:val="auto"/>
              </w:rPr>
              <w:t>Domestic equity funds</w:t>
            </w:r>
          </w:p>
        </w:tc>
        <w:tc>
          <w:tcPr>
            <w:tcW w:w="1220" w:type="dxa"/>
            <w:vAlign w:val="bottom"/>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3"/>
          </w:tcPr>
          <w:p>
            <w:pPr>
              <w:ind w:left="12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International equity funds</w:t>
            </w:r>
          </w:p>
        </w:tc>
        <w:tc>
          <w:tcPr>
            <w:tcW w:w="1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gridSpan w:val="2"/>
            <w:shd w:val="clear" w:color="auto" w:fill="CCEEFF"/>
          </w:tcPr>
          <w:p>
            <w:pPr>
              <w:ind w:left="1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3"/>
                <w:szCs w:val="13"/>
                <w:color w:val="auto"/>
              </w:rPr>
              <w:t>Total assets at fair value</w:t>
            </w:r>
          </w:p>
        </w:tc>
        <w:tc>
          <w:tcPr>
            <w:tcW w:w="1220" w:type="dxa"/>
            <w:vAlign w:val="bottom"/>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3"/>
          </w:tcPr>
          <w:p>
            <w:pPr>
              <w:ind w:left="12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 w:type="dxa"/>
            <w:vAlign w:val="bottom"/>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3"/>
                <w:szCs w:val="13"/>
                <w:color w:val="auto"/>
              </w:rPr>
              <w:t>Contingent consideration</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Earnout liability</w:t>
            </w:r>
          </w:p>
        </w:tc>
        <w:tc>
          <w:tcPr>
            <w:tcW w:w="1220" w:type="dxa"/>
            <w:vAlign w:val="bottom"/>
            <w:tcBorders>
              <w:bottom w:val="single" w:sz="8" w:color="auto"/>
            </w:tcBorders>
            <w:shd w:val="clear" w:color="auto" w:fill="CCEEFF"/>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gridSpan w:val="2"/>
            <w:shd w:val="clear" w:color="auto" w:fill="CCEEFF"/>
          </w:tcPr>
          <w:p>
            <w:pPr>
              <w:ind w:left="1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3"/>
                <w:szCs w:val="13"/>
                <w:color w:val="auto"/>
              </w:rPr>
              <w:t>Total liabilities at fair value</w:t>
            </w:r>
          </w:p>
        </w:tc>
        <w:tc>
          <w:tcPr>
            <w:tcW w:w="1220" w:type="dxa"/>
            <w:vAlign w:val="bottom"/>
          </w:tcPr>
          <w:p>
            <w:pPr>
              <w:jc w:val="right"/>
              <w:ind w:right="110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gridSpan w:val="3"/>
          </w:tcPr>
          <w:p>
            <w:pPr>
              <w:ind w:left="12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Assets that Fund Deferred Compensation</w:t>
      </w:r>
    </w:p>
    <w:p>
      <w:pPr>
        <w:spacing w:after="0" w:line="82" w:lineRule="exact"/>
        <w:rPr>
          <w:sz w:val="20"/>
          <w:szCs w:val="20"/>
          <w:color w:val="auto"/>
        </w:rPr>
      </w:pPr>
    </w:p>
    <w:p>
      <w:pPr>
        <w:ind w:right="140"/>
        <w:spacing w:after="0" w:line="292" w:lineRule="auto"/>
        <w:rPr>
          <w:sz w:val="20"/>
          <w:szCs w:val="20"/>
          <w:color w:val="auto"/>
        </w:rPr>
      </w:pPr>
      <w:r>
        <w:rPr>
          <w:rFonts w:ascii="Arial" w:cs="Arial" w:eastAsia="Arial" w:hAnsi="Arial"/>
          <w:sz w:val="12"/>
          <w:szCs w:val="12"/>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26, 2023 for additional information regarding these plans.</w:t>
      </w:r>
    </w:p>
    <w:p>
      <w:pPr>
        <w:spacing w:after="0" w:line="154"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assets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 Consideration</w:t>
      </w:r>
    </w:p>
    <w:p>
      <w:pPr>
        <w:spacing w:after="0" w:line="93" w:lineRule="exact"/>
        <w:rPr>
          <w:sz w:val="20"/>
          <w:szCs w:val="20"/>
          <w:color w:val="auto"/>
        </w:rPr>
      </w:pPr>
    </w:p>
    <w:p>
      <w:pPr>
        <w:ind w:right="20"/>
        <w:spacing w:after="0" w:line="281" w:lineRule="auto"/>
        <w:rPr>
          <w:sz w:val="20"/>
          <w:szCs w:val="20"/>
          <w:color w:val="auto"/>
        </w:rPr>
      </w:pPr>
      <w:r>
        <w:rPr>
          <w:rFonts w:ascii="Arial" w:cs="Arial" w:eastAsia="Arial" w:hAnsi="Arial"/>
          <w:sz w:val="12"/>
          <w:szCs w:val="12"/>
          <w:color w:val="auto"/>
        </w:rPr>
        <w:t>Contingent consideration represents the earnout liability related to the Barletta acquisition and is valued using a probability-weighted scenario analysis of projected gross profit results and discounted at a risk-free rate, which is classified as Level 3. In the third quarter of Fiscal 2024, we paid $20.5 million to settle the remaining earnout obligations associated with calendar year 2023. Comparatively, in the third quarter of Fiscal 2023, we paid $22.0 million to settle earnout obligations associated with calendar year 2022. Refer to Note 2 in the Notes to Consolidated Financial Statements included in Item 8 of Part II of our Annual Report on Form 10-K for the fiscal year ended August 26, 2023 for additional information regarding the contingent consideration earnout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reconciliation of the beginning and ending balances of the contingent consideration: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Borders>
              <w:bottom w:val="single" w:sz="8" w:color="auto"/>
            </w:tcBorders>
          </w:tcPr>
          <w:p>
            <w:pPr>
              <w:spacing w:after="0"/>
              <w:rPr>
                <w:sz w:val="14"/>
                <w:szCs w:val="14"/>
                <w:color w:val="auto"/>
              </w:rPr>
            </w:pPr>
          </w:p>
        </w:tc>
      </w:tr>
      <w:tr>
        <w:trPr>
          <w:trHeight w:val="118"/>
        </w:trPr>
        <w:tc>
          <w:tcPr>
            <w:tcW w:w="4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1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May 27,</w:t>
            </w:r>
          </w:p>
        </w:tc>
        <w:tc>
          <w:tcPr>
            <w:tcW w:w="340" w:type="dxa"/>
            <w:vAlign w:val="bottom"/>
          </w:tcPr>
          <w:p>
            <w:pPr>
              <w:spacing w:after="0"/>
              <w:rPr>
                <w:sz w:val="10"/>
                <w:szCs w:val="10"/>
                <w:color w:val="auto"/>
              </w:rPr>
            </w:pPr>
          </w:p>
        </w:tc>
        <w:tc>
          <w:tcPr>
            <w:tcW w:w="136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60" w:type="dxa"/>
            <w:vAlign w:val="bottom"/>
          </w:tcPr>
          <w:p>
            <w:pPr>
              <w:spacing w:after="0"/>
              <w:rPr>
                <w:sz w:val="10"/>
                <w:szCs w:val="10"/>
                <w:color w:val="auto"/>
              </w:rPr>
            </w:pPr>
          </w:p>
        </w:tc>
        <w:tc>
          <w:tcPr>
            <w:tcW w:w="106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w w:val="97"/>
              </w:rPr>
              <w:t>May 27,</w:t>
            </w:r>
          </w:p>
        </w:tc>
      </w:tr>
      <w:tr>
        <w:trPr>
          <w:trHeight w:val="17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fair value - contingent consideration</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r>
      <w:tr>
        <w:trPr>
          <w:trHeight w:val="169"/>
        </w:trPr>
        <w:tc>
          <w:tcPr>
            <w:tcW w:w="4540" w:type="dxa"/>
            <w:vAlign w:val="bottom"/>
          </w:tcPr>
          <w:p>
            <w:pPr>
              <w:ind w:left="180"/>
              <w:spacing w:after="0"/>
              <w:rPr>
                <w:sz w:val="20"/>
                <w:szCs w:val="20"/>
                <w:color w:val="auto"/>
              </w:rPr>
            </w:pPr>
            <w:r>
              <w:rPr>
                <w:rFonts w:ascii="Arial" w:cs="Arial" w:eastAsia="Arial" w:hAnsi="Arial"/>
                <w:sz w:val="13"/>
                <w:szCs w:val="13"/>
                <w:color w:val="auto"/>
              </w:rPr>
              <w:t>Fair value adjustments</w:t>
            </w:r>
          </w:p>
        </w:tc>
        <w:tc>
          <w:tcPr>
            <w:tcW w:w="3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Settlements</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69"/>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fair value - contingent consideration</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Measured at Fair Value on a Nonrecurring Basis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financial instruments are measured at fair value on a nonrecurring basis. These assets primarily include goodwill, intangible assets, property, plant and equipment, and right-of-use lease assets. These assets were originally recognized at amounts equal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0"/>
        <w:spacing w:after="0" w:line="261" w:lineRule="auto"/>
        <w:rPr>
          <w:sz w:val="20"/>
          <w:szCs w:val="20"/>
          <w:color w:val="auto"/>
        </w:rPr>
      </w:pPr>
      <w:r>
        <w:rPr>
          <w:rFonts w:ascii="Arial" w:cs="Arial" w:eastAsia="Arial" w:hAnsi="Arial"/>
          <w:sz w:val="13"/>
          <w:szCs w:val="13"/>
          <w:color w:val="auto"/>
        </w:rPr>
        <w:t>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nine months ended May 25, 2024 or May 27, 2023.</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Not Measured at Fair Value</w:t>
      </w:r>
    </w:p>
    <w:p>
      <w:pPr>
        <w:spacing w:after="0" w:line="95" w:lineRule="exact"/>
        <w:rPr>
          <w:sz w:val="20"/>
          <w:szCs w:val="20"/>
          <w:color w:val="auto"/>
        </w:rPr>
      </w:pPr>
    </w:p>
    <w:p>
      <w:pPr>
        <w:jc w:val="both"/>
        <w:ind w:right="220"/>
        <w:spacing w:after="0" w:line="252" w:lineRule="auto"/>
        <w:rPr>
          <w:sz w:val="20"/>
          <w:szCs w:val="20"/>
          <w:color w:val="auto"/>
        </w:rPr>
      </w:pPr>
      <w:r>
        <w:rPr>
          <w:rFonts w:ascii="Arial" w:cs="Arial" w:eastAsia="Arial" w:hAnsi="Arial"/>
          <w:sz w:val="13"/>
          <w:szCs w:val="13"/>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9 in the Notes to Consolidated Financial Statements included in Item 1 of Part I of this Quarterly Report on Form 10-Q for the fair value of our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20"/>
                <w:szCs w:val="20"/>
                <w:color w:val="auto"/>
              </w:rPr>
            </w:pPr>
            <w:r>
              <w:rPr>
                <w:rFonts w:ascii="Arial" w:cs="Arial" w:eastAsia="Arial" w:hAnsi="Arial"/>
                <w:sz w:val="13"/>
                <w:szCs w:val="13"/>
                <w:b w:val="1"/>
                <w:bCs w:val="1"/>
                <w:color w:val="auto"/>
              </w:rPr>
              <w:t>Note 5.  Inventories</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6900" w:type="dxa"/>
            <w:vAlign w:val="bottom"/>
          </w:tcPr>
          <w:p>
            <w:pPr>
              <w:spacing w:after="0"/>
              <w:rPr>
                <w:sz w:val="20"/>
                <w:szCs w:val="20"/>
                <w:color w:val="auto"/>
              </w:rPr>
            </w:pPr>
            <w:r>
              <w:rPr>
                <w:rFonts w:ascii="Arial" w:cs="Arial" w:eastAsia="Arial" w:hAnsi="Arial"/>
                <w:sz w:val="13"/>
                <w:szCs w:val="13"/>
                <w:color w:val="auto"/>
              </w:rPr>
              <w:t>Inventories consist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left="636"/>
              <w:spacing w:after="0"/>
              <w:rPr>
                <w:sz w:val="20"/>
                <w:szCs w:val="20"/>
                <w:color w:val="auto"/>
              </w:rPr>
            </w:pPr>
            <w:r>
              <w:rPr>
                <w:rFonts w:ascii="Arial" w:cs="Arial" w:eastAsia="Arial" w:hAnsi="Arial"/>
                <w:sz w:val="13"/>
                <w:szCs w:val="13"/>
                <w:b w:val="1"/>
                <w:bCs w:val="1"/>
                <w:color w:val="auto"/>
                <w:w w:val="97"/>
              </w:rPr>
              <w:t>May 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August 26,</w:t>
            </w:r>
          </w:p>
        </w:tc>
        <w:tc>
          <w:tcPr>
            <w:tcW w:w="0" w:type="dxa"/>
            <w:vAlign w:val="bottom"/>
          </w:tcPr>
          <w:p>
            <w:pPr>
              <w:spacing w:after="0"/>
              <w:rPr>
                <w:sz w:val="1"/>
                <w:szCs w:val="1"/>
                <w:color w:val="auto"/>
              </w:rPr>
            </w:pPr>
          </w:p>
        </w:tc>
      </w:tr>
      <w:tr>
        <w:trPr>
          <w:trHeight w:val="17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540" w:type="dxa"/>
            <w:vAlign w:val="bottom"/>
            <w:tcBorders>
              <w:bottom w:val="single" w:sz="8" w:color="auto"/>
            </w:tcBorders>
            <w:gridSpan w:val="2"/>
          </w:tcPr>
          <w:p>
            <w:pPr>
              <w:jc w:val="center"/>
              <w:ind w:left="796"/>
              <w:spacing w:after="0"/>
              <w:rPr>
                <w:sz w:val="20"/>
                <w:szCs w:val="20"/>
                <w:color w:val="auto"/>
              </w:rPr>
            </w:pPr>
            <w:r>
              <w:rPr>
                <w:rFonts w:ascii="Arial" w:cs="Arial" w:eastAsia="Arial" w:hAnsi="Arial"/>
                <w:sz w:val="13"/>
                <w:szCs w:val="13"/>
                <w:b w:val="1"/>
                <w:bCs w:val="1"/>
                <w:color w:val="auto"/>
                <w:w w:val="96"/>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1540" w:type="dxa"/>
            <w:vAlign w:val="bottom"/>
            <w:gridSpan w:val="2"/>
            <w:shd w:val="clear" w:color="auto" w:fill="CCEEFF"/>
          </w:tcPr>
          <w:p>
            <w:pPr>
              <w:jc w:val="right"/>
              <w:ind w:right="1216"/>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155.7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1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266.2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159"/>
        </w:trPr>
        <w:tc>
          <w:tcPr>
            <w:tcW w:w="6900" w:type="dxa"/>
            <w:vAlign w:val="bottom"/>
          </w:tcPr>
          <w:p>
            <w:pPr>
              <w:ind w:left="12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489.3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Excess of First-in, first-out ("FIFO") over LIFO cost</w:t>
            </w:r>
          </w:p>
        </w:tc>
        <w:tc>
          <w:tcPr>
            <w:tcW w:w="1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62"/>
        </w:trPr>
        <w:tc>
          <w:tcPr>
            <w:tcW w:w="6900" w:type="dxa"/>
            <w:vAlign w:val="bottom"/>
          </w:tcPr>
          <w:p>
            <w:pPr>
              <w:ind w:left="120"/>
              <w:spacing w:after="0"/>
              <w:rPr>
                <w:sz w:val="20"/>
                <w:szCs w:val="20"/>
                <w:color w:val="auto"/>
              </w:rPr>
            </w:pPr>
            <w:r>
              <w:rPr>
                <w:rFonts w:ascii="Arial" w:cs="Arial" w:eastAsia="Arial" w:hAnsi="Arial"/>
                <w:sz w:val="13"/>
                <w:szCs w:val="13"/>
                <w:color w:val="auto"/>
              </w:rPr>
              <w:t>Inventories, net</w:t>
            </w:r>
          </w:p>
        </w:tc>
        <w:tc>
          <w:tcPr>
            <w:tcW w:w="1540" w:type="dxa"/>
            <w:vAlign w:val="bottom"/>
            <w:gridSpan w:val="2"/>
          </w:tcPr>
          <w:p>
            <w:pPr>
              <w:jc w:val="right"/>
              <w:ind w:right="1216"/>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441.5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60"/>
              <w:spacing w:after="0"/>
              <w:rPr>
                <w:sz w:val="20"/>
                <w:szCs w:val="20"/>
                <w:color w:val="auto"/>
              </w:rPr>
            </w:pPr>
            <w:r>
              <w:rPr>
                <w:rFonts w:ascii="Arial" w:cs="Arial" w:eastAsia="Arial" w:hAnsi="Arial"/>
                <w:sz w:val="13"/>
                <w:szCs w:val="13"/>
                <w:color w:val="auto"/>
              </w:rPr>
              <w:t>470.6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Inventory valuation methods consist of the following:</w:t>
            </w: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left="636"/>
              <w:spacing w:after="0"/>
              <w:rPr>
                <w:sz w:val="20"/>
                <w:szCs w:val="20"/>
                <w:color w:val="auto"/>
              </w:rPr>
            </w:pPr>
            <w:r>
              <w:rPr>
                <w:rFonts w:ascii="Arial" w:cs="Arial" w:eastAsia="Arial" w:hAnsi="Arial"/>
                <w:sz w:val="13"/>
                <w:szCs w:val="13"/>
                <w:b w:val="1"/>
                <w:bCs w:val="1"/>
                <w:color w:val="auto"/>
                <w:w w:val="97"/>
              </w:rPr>
              <w:t>May 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August 26,</w:t>
            </w:r>
          </w:p>
        </w:tc>
        <w:tc>
          <w:tcPr>
            <w:tcW w:w="0" w:type="dxa"/>
            <w:vAlign w:val="bottom"/>
          </w:tcPr>
          <w:p>
            <w:pPr>
              <w:spacing w:after="0"/>
              <w:rPr>
                <w:sz w:val="1"/>
                <w:szCs w:val="1"/>
                <w:color w:val="auto"/>
              </w:rPr>
            </w:pPr>
          </w:p>
        </w:tc>
      </w:tr>
      <w:tr>
        <w:trPr>
          <w:trHeight w:val="17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540" w:type="dxa"/>
            <w:vAlign w:val="bottom"/>
            <w:tcBorders>
              <w:bottom w:val="single" w:sz="8" w:color="auto"/>
            </w:tcBorders>
            <w:gridSpan w:val="2"/>
          </w:tcPr>
          <w:p>
            <w:pPr>
              <w:jc w:val="center"/>
              <w:ind w:left="796"/>
              <w:spacing w:after="0"/>
              <w:rPr>
                <w:sz w:val="20"/>
                <w:szCs w:val="20"/>
                <w:color w:val="auto"/>
              </w:rPr>
            </w:pPr>
            <w:r>
              <w:rPr>
                <w:rFonts w:ascii="Arial" w:cs="Arial" w:eastAsia="Arial" w:hAnsi="Arial"/>
                <w:sz w:val="13"/>
                <w:szCs w:val="13"/>
                <w:b w:val="1"/>
                <w:bCs w:val="1"/>
                <w:color w:val="auto"/>
                <w:w w:val="96"/>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LIFO basis</w:t>
            </w:r>
          </w:p>
        </w:tc>
        <w:tc>
          <w:tcPr>
            <w:tcW w:w="1540" w:type="dxa"/>
            <w:vAlign w:val="bottom"/>
            <w:gridSpan w:val="2"/>
            <w:shd w:val="clear" w:color="auto" w:fill="CCEEFF"/>
          </w:tcPr>
          <w:p>
            <w:pPr>
              <w:jc w:val="right"/>
              <w:ind w:right="1216"/>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266.1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262.6</w:t>
            </w: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FIFO basis</w:t>
            </w: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223.2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255.9</w:t>
            </w:r>
          </w:p>
        </w:tc>
        <w:tc>
          <w:tcPr>
            <w:tcW w:w="0" w:type="dxa"/>
            <w:vAlign w:val="bottom"/>
          </w:tcPr>
          <w:p>
            <w:pPr>
              <w:spacing w:after="0"/>
              <w:rPr>
                <w:sz w:val="1"/>
                <w:szCs w:val="1"/>
                <w:color w:val="auto"/>
              </w:rPr>
            </w:pPr>
          </w:p>
        </w:tc>
      </w:tr>
      <w:tr>
        <w:trPr>
          <w:trHeight w:val="182"/>
        </w:trPr>
        <w:tc>
          <w:tcPr>
            <w:tcW w:w="6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540" w:type="dxa"/>
            <w:vAlign w:val="bottom"/>
            <w:gridSpan w:val="2"/>
            <w:shd w:val="clear" w:color="auto" w:fill="CCEEFF"/>
          </w:tcPr>
          <w:p>
            <w:pPr>
              <w:jc w:val="right"/>
              <w:ind w:right="1216"/>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489.3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w w:val="98"/>
              </w:rPr>
              <w:t>The above inventory value, before reduction for the LIFO reserve, approximates replacement cost at the respective dates.</w:t>
            </w: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900" w:type="dxa"/>
            <w:vAlign w:val="bottom"/>
          </w:tcPr>
          <w:p>
            <w:pPr>
              <w:spacing w:after="0"/>
              <w:rPr>
                <w:sz w:val="20"/>
                <w:szCs w:val="20"/>
                <w:color w:val="auto"/>
              </w:rPr>
            </w:pPr>
            <w:r>
              <w:rPr>
                <w:rFonts w:ascii="Arial" w:cs="Arial" w:eastAsia="Arial" w:hAnsi="Arial"/>
                <w:sz w:val="13"/>
                <w:szCs w:val="13"/>
                <w:b w:val="1"/>
                <w:bCs w:val="1"/>
                <w:color w:val="auto"/>
              </w:rPr>
              <w:t>Note 6.  Property, Plant, and Equipment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3"/>
                <w:szCs w:val="13"/>
                <w:color w:val="auto"/>
              </w:rPr>
              <w:t>Property, plant, and equipment is stated at cost, net of accumulated depreciation, and consists of the following:</w:t>
            </w: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36"/>
              <w:spacing w:after="0"/>
              <w:rPr>
                <w:sz w:val="20"/>
                <w:szCs w:val="20"/>
                <w:color w:val="auto"/>
              </w:rPr>
            </w:pPr>
            <w:r>
              <w:rPr>
                <w:rFonts w:ascii="Arial" w:cs="Arial" w:eastAsia="Arial" w:hAnsi="Arial"/>
                <w:sz w:val="13"/>
                <w:szCs w:val="13"/>
                <w:b w:val="1"/>
                <w:bCs w:val="1"/>
                <w:color w:val="auto"/>
              </w:rPr>
              <w:t>May 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auto"/>
              </w:rPr>
              <w:t>August 26,</w:t>
            </w:r>
          </w:p>
        </w:tc>
        <w:tc>
          <w:tcPr>
            <w:tcW w:w="0" w:type="dxa"/>
            <w:vAlign w:val="bottom"/>
          </w:tcPr>
          <w:p>
            <w:pPr>
              <w:spacing w:after="0"/>
              <w:rPr>
                <w:sz w:val="1"/>
                <w:szCs w:val="1"/>
                <w:color w:val="auto"/>
              </w:rPr>
            </w:pPr>
          </w:p>
        </w:tc>
      </w:tr>
      <w:tr>
        <w:trPr>
          <w:trHeight w:val="17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54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Buildings and building improvements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247.3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Software</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52.7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Transportation</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Property, plant, and equipment, gross</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Property, plant, and equipment, net</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color w:val="auto"/>
        </w:rPr>
        <w:t>Depreciation expense was $8.9 million and $7.6 million for the three months ended May 25, 2024 and May 27, 2023, respectively; and $25.5 million and $20.9 million for the nine months ended May 25, 2024 and May 27, 2023,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Note 7.  Goodwill and Intangible Assets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60" w:type="dxa"/>
            <w:vAlign w:val="bottom"/>
            <w:gridSpan w:val="2"/>
          </w:tcPr>
          <w:p>
            <w:pPr>
              <w:spacing w:after="0"/>
              <w:rPr>
                <w:sz w:val="20"/>
                <w:szCs w:val="20"/>
                <w:color w:val="auto"/>
              </w:rPr>
            </w:pPr>
            <w:r>
              <w:rPr>
                <w:rFonts w:ascii="Arial" w:cs="Arial" w:eastAsia="Arial" w:hAnsi="Arial"/>
                <w:sz w:val="13"/>
                <w:szCs w:val="13"/>
                <w:color w:val="auto"/>
              </w:rPr>
              <w:t>The carrying amount of goodwill by reportable segment is as follows: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Towable</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Motorhome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Marine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Corporate / All Other</w:t>
            </w:r>
          </w:p>
        </w:tc>
        <w:tc>
          <w:tcPr>
            <w:tcW w:w="300" w:type="dxa"/>
            <w:vAlign w:val="bottom"/>
          </w:tcPr>
          <w:p>
            <w:pPr>
              <w:spacing w:after="0"/>
              <w:rPr>
                <w:sz w:val="13"/>
                <w:szCs w:val="13"/>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4160" w:type="dxa"/>
            <w:vAlign w:val="bottom"/>
            <w:gridSpan w:val="2"/>
            <w:vMerge w:val="restart"/>
          </w:tcPr>
          <w:p>
            <w:pPr>
              <w:ind w:left="20"/>
              <w:spacing w:after="0"/>
              <w:rPr>
                <w:sz w:val="20"/>
                <w:szCs w:val="20"/>
                <w:color w:val="auto"/>
              </w:rPr>
            </w:pPr>
            <w:r>
              <w:rPr>
                <w:rFonts w:ascii="Arial" w:cs="Arial" w:eastAsia="Arial" w:hAnsi="Arial"/>
                <w:sz w:val="11"/>
                <w:szCs w:val="11"/>
                <w:color w:val="auto"/>
              </w:rPr>
              <w:t>(in millions)</w:t>
            </w:r>
          </w:p>
        </w:tc>
        <w:tc>
          <w:tcPr>
            <w:tcW w:w="50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9"/>
              </w:rPr>
              <w:t>RV</w:t>
            </w:r>
          </w:p>
        </w:tc>
        <w:tc>
          <w:tcPr>
            <w:tcW w:w="180" w:type="dxa"/>
            <w:vAlign w:val="bottom"/>
          </w:tcPr>
          <w:p>
            <w:pPr>
              <w:spacing w:after="0"/>
              <w:rPr>
                <w:sz w:val="9"/>
                <w:szCs w:val="9"/>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RV</w:t>
            </w: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41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16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Balances at May 25, 2024 and August 26, 2023</w:t>
            </w:r>
            <w:r>
              <w:rPr>
                <w:rFonts w:ascii="Arial" w:cs="Arial" w:eastAsia="Arial" w:hAnsi="Arial"/>
                <w:sz w:val="16"/>
                <w:szCs w:val="16"/>
                <w:color w:val="auto"/>
                <w:vertAlign w:val="superscript"/>
              </w:rPr>
              <w:t>(1)</w:t>
            </w:r>
          </w:p>
        </w:tc>
        <w:tc>
          <w:tcPr>
            <w:tcW w:w="5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166.4</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248"/>
        </w:trPr>
        <w:tc>
          <w:tcPr>
            <w:tcW w:w="4160" w:type="dxa"/>
            <w:vAlign w:val="bottom"/>
            <w:gridSpan w:val="2"/>
          </w:tcPr>
          <w:p>
            <w:pPr>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1"/>
                <w:szCs w:val="11"/>
                <w:color w:val="auto"/>
              </w:rPr>
              <w:t>There was no activity in the nine months ended May 25, 2024.</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No impairments were recorded for non-financial assets in the nine months ended May 25, 2024 or May 27, 2023. However, factors such as a sustained decline in revenues and earnings, or other adverse changes in macroeconomic conditions could result in an impairment charge to our Chris-Craft reporting unit in a future reporting period. We will perform a quantitative impairment assessment of the Chris-Craft reporting unit during the fourth quarter of Fiscal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20"/>
                <w:szCs w:val="20"/>
                <w:color w:val="auto"/>
              </w:rPr>
            </w:pPr>
            <w:r>
              <w:rPr>
                <w:rFonts w:ascii="Arial" w:cs="Arial" w:eastAsia="Arial" w:hAnsi="Arial"/>
                <w:sz w:val="13"/>
                <w:szCs w:val="13"/>
                <w:color w:val="auto"/>
              </w:rPr>
              <w:t>Other intangible assets, net of accumulated amortization, consist of the following:</w:t>
            </w: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93"/>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500"/>
              <w:spacing w:after="0"/>
              <w:rPr>
                <w:sz w:val="20"/>
                <w:szCs w:val="20"/>
                <w:color w:val="auto"/>
              </w:rPr>
            </w:pPr>
            <w:r>
              <w:rPr>
                <w:rFonts w:ascii="Arial" w:cs="Arial" w:eastAsia="Arial" w:hAnsi="Arial"/>
                <w:sz w:val="13"/>
                <w:szCs w:val="13"/>
                <w:b w:val="1"/>
                <w:bCs w:val="1"/>
                <w:color w:val="auto"/>
              </w:rPr>
              <w:t>May 25, 2024</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6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Gross Carrying 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Accumulated Amortization</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Net Carrying Value</w:t>
            </w: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Finite-lived trade name</w:t>
            </w:r>
          </w:p>
        </w:tc>
        <w:tc>
          <w:tcPr>
            <w:tcW w:w="2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Dealer networks/customer relationships</w:t>
            </w: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Backlog</w:t>
            </w:r>
          </w:p>
        </w:tc>
        <w:tc>
          <w:tcPr>
            <w:tcW w:w="2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r>
      <w:tr>
        <w:trPr>
          <w:trHeight w:val="16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Non-compete agreements</w:t>
            </w: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r>
        <w:trPr>
          <w:trHeight w:val="18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August 26, 2023</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6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Gross Carrying 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Accumulated Amortization</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Carrying Value</w:t>
            </w:r>
          </w:p>
        </w:tc>
        <w:tc>
          <w:tcPr>
            <w:tcW w:w="400" w:type="dxa"/>
            <w:vAlign w:val="bottom"/>
            <w:tcBorders>
              <w:bottom w:val="single" w:sz="8" w:color="auto"/>
            </w:tcBorders>
          </w:tcPr>
          <w:p>
            <w:pPr>
              <w:spacing w:after="0"/>
              <w:rPr>
                <w:sz w:val="13"/>
                <w:szCs w:val="13"/>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352.3</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Finite-lived trade name</w:t>
            </w:r>
          </w:p>
        </w:tc>
        <w:tc>
          <w:tcPr>
            <w:tcW w:w="2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Dealer networks/customer relationships</w:t>
            </w: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108.0</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Backlog</w:t>
            </w:r>
          </w:p>
        </w:tc>
        <w:tc>
          <w:tcPr>
            <w:tcW w:w="2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r>
      <w:tr>
        <w:trPr>
          <w:trHeight w:val="16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Non-compete agreements</w:t>
            </w: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18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502.0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374"/>
        </w:trPr>
        <w:tc>
          <w:tcPr>
            <w:tcW w:w="7080" w:type="dxa"/>
            <w:vAlign w:val="bottom"/>
            <w:gridSpan w:val="4"/>
          </w:tcPr>
          <w:p>
            <w:pPr>
              <w:spacing w:after="0"/>
              <w:rPr>
                <w:sz w:val="20"/>
                <w:szCs w:val="20"/>
                <w:color w:val="auto"/>
              </w:rPr>
            </w:pPr>
            <w:r>
              <w:rPr>
                <w:rFonts w:ascii="Arial" w:cs="Arial" w:eastAsia="Arial" w:hAnsi="Arial"/>
                <w:sz w:val="13"/>
                <w:szCs w:val="13"/>
                <w:color w:val="auto"/>
                <w:w w:val="99"/>
              </w:rPr>
              <w:t>The weighted average remaining amortization period for intangible assets as of May 25, 2024 was approximately six years.</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0"/>
        </w:trPr>
        <w:tc>
          <w:tcPr>
            <w:tcW w:w="5160" w:type="dxa"/>
            <w:vAlign w:val="bottom"/>
            <w:gridSpan w:val="2"/>
          </w:tcPr>
          <w:p>
            <w:pPr>
              <w:spacing w:after="0"/>
              <w:rPr>
                <w:sz w:val="20"/>
                <w:szCs w:val="20"/>
                <w:color w:val="auto"/>
              </w:rPr>
            </w:pPr>
            <w:r>
              <w:rPr>
                <w:rFonts w:ascii="Arial" w:cs="Arial" w:eastAsia="Arial" w:hAnsi="Arial"/>
                <w:sz w:val="13"/>
                <w:szCs w:val="13"/>
                <w:color w:val="auto"/>
                <w:w w:val="98"/>
              </w:rPr>
              <w:t>Estimated future amortization expense related to finite-lived intangible assets is as follows: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w w:val="98"/>
              </w:rPr>
              <w:t>Amortization</w:t>
            </w:r>
          </w:p>
        </w:tc>
        <w:tc>
          <w:tcPr>
            <w:tcW w:w="400" w:type="dxa"/>
            <w:vAlign w:val="bottom"/>
            <w:tcBorders>
              <w:bottom w:val="single" w:sz="8" w:color="auto"/>
            </w:tcBorders>
          </w:tcPr>
          <w:p>
            <w:pPr>
              <w:spacing w:after="0"/>
              <w:rPr>
                <w:sz w:val="15"/>
                <w:szCs w:val="15"/>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Fiscal 2024</w:t>
            </w:r>
          </w:p>
        </w:tc>
        <w:tc>
          <w:tcPr>
            <w:tcW w:w="2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Fiscal 2025</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2026</w:t>
            </w: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Fiscal 2027</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2028</w:t>
            </w: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Fiscal 2029</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r>
      <w:tr>
        <w:trPr>
          <w:trHeight w:val="162"/>
        </w:trPr>
        <w:tc>
          <w:tcPr>
            <w:tcW w:w="4920" w:type="dxa"/>
            <w:vAlign w:val="bottom"/>
          </w:tcPr>
          <w:p>
            <w:pPr>
              <w:ind w:left="120"/>
              <w:spacing w:after="0"/>
              <w:rPr>
                <w:sz w:val="20"/>
                <w:szCs w:val="20"/>
                <w:color w:val="auto"/>
              </w:rPr>
            </w:pPr>
            <w:r>
              <w:rPr>
                <w:rFonts w:ascii="Arial" w:cs="Arial" w:eastAsia="Arial" w:hAnsi="Arial"/>
                <w:sz w:val="13"/>
                <w:szCs w:val="13"/>
                <w:color w:val="auto"/>
              </w:rPr>
              <w:t>Total amortization expense remaining</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132.8</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2"/>
          <w:szCs w:val="12"/>
          <w:b w:val="1"/>
          <w:bCs w:val="1"/>
          <w:color w:val="auto"/>
        </w:rPr>
        <w:t>Product Warranties</w:t>
      </w:r>
    </w:p>
    <w:p>
      <w:pPr>
        <w:spacing w:after="0" w:line="190"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70" w:lineRule="exact"/>
        <w:rPr>
          <w:sz w:val="20"/>
          <w:szCs w:val="20"/>
          <w:color w:val="auto"/>
        </w:rPr>
      </w:pPr>
    </w:p>
    <w:p>
      <w:pPr>
        <w:ind w:right="300"/>
        <w:spacing w:after="0" w:line="252" w:lineRule="auto"/>
        <w:rPr>
          <w:sz w:val="20"/>
          <w:szCs w:val="20"/>
          <w:color w:val="auto"/>
        </w:rPr>
      </w:pPr>
      <w:r>
        <w:rPr>
          <w:rFonts w:ascii="Arial" w:cs="Arial" w:eastAsia="Arial" w:hAnsi="Arial"/>
          <w:sz w:val="13"/>
          <w:szCs w:val="13"/>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20"/>
                <w:szCs w:val="20"/>
                <w:color w:val="auto"/>
              </w:rPr>
            </w:pPr>
            <w:r>
              <w:rPr>
                <w:rFonts w:ascii="Arial" w:cs="Arial" w:eastAsia="Arial" w:hAnsi="Arial"/>
                <w:sz w:val="13"/>
                <w:szCs w:val="13"/>
                <w:color w:val="auto"/>
              </w:rPr>
              <w:t>Changes in the product warranty liability are as follows:</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45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Borders>
              <w:bottom w:val="single" w:sz="8" w:color="auto"/>
            </w:tcBorders>
          </w:tcPr>
          <w:p>
            <w:pPr>
              <w:spacing w:after="0"/>
              <w:rPr>
                <w:sz w:val="15"/>
                <w:szCs w:val="15"/>
                <w:color w:val="auto"/>
              </w:rPr>
            </w:pPr>
          </w:p>
        </w:tc>
      </w:tr>
      <w:tr>
        <w:trPr>
          <w:trHeight w:val="118"/>
        </w:trPr>
        <w:tc>
          <w:tcPr>
            <w:tcW w:w="454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May 27,</w:t>
            </w:r>
          </w:p>
        </w:tc>
        <w:tc>
          <w:tcPr>
            <w:tcW w:w="340" w:type="dxa"/>
            <w:vAlign w:val="bottom"/>
          </w:tcPr>
          <w:p>
            <w:pPr>
              <w:spacing w:after="0"/>
              <w:rPr>
                <w:sz w:val="10"/>
                <w:szCs w:val="10"/>
                <w:color w:val="auto"/>
              </w:rPr>
            </w:pPr>
          </w:p>
        </w:tc>
        <w:tc>
          <w:tcPr>
            <w:tcW w:w="136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60" w:type="dxa"/>
            <w:vAlign w:val="bottom"/>
          </w:tcPr>
          <w:p>
            <w:pPr>
              <w:spacing w:after="0"/>
              <w:rPr>
                <w:sz w:val="10"/>
                <w:szCs w:val="10"/>
                <w:color w:val="auto"/>
              </w:rPr>
            </w:pPr>
          </w:p>
        </w:tc>
        <w:tc>
          <w:tcPr>
            <w:tcW w:w="106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w w:val="97"/>
              </w:rPr>
              <w:t>May 27,</w:t>
            </w:r>
          </w:p>
        </w:tc>
      </w:tr>
      <w:tr>
        <w:trPr>
          <w:trHeight w:val="17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r>
      <w:tr>
        <w:trPr>
          <w:trHeight w:val="170"/>
        </w:trPr>
        <w:tc>
          <w:tcPr>
            <w:tcW w:w="4540" w:type="dxa"/>
            <w:vAlign w:val="bottom"/>
          </w:tcPr>
          <w:p>
            <w:pPr>
              <w:ind w:left="120"/>
              <w:spacing w:after="0" w:line="170" w:lineRule="exact"/>
              <w:rPr>
                <w:sz w:val="20"/>
                <w:szCs w:val="20"/>
                <w:color w:val="auto"/>
              </w:rPr>
            </w:pPr>
            <w:r>
              <w:rPr>
                <w:rFonts w:ascii="Arial" w:cs="Arial" w:eastAsia="Arial" w:hAnsi="Arial"/>
                <w:sz w:val="13"/>
                <w:szCs w:val="13"/>
                <w:color w:val="auto"/>
              </w:rPr>
              <w:t>Business acquisition</w:t>
            </w:r>
            <w:r>
              <w:rPr>
                <w:rFonts w:ascii="Arial" w:cs="Arial" w:eastAsia="Arial" w:hAnsi="Arial"/>
                <w:sz w:val="16"/>
                <w:szCs w:val="16"/>
                <w:color w:val="auto"/>
                <w:vertAlign w:val="superscript"/>
              </w:rPr>
              <w:t>(1)</w:t>
            </w:r>
          </w:p>
        </w:tc>
        <w:tc>
          <w:tcPr>
            <w:tcW w:w="10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r>
      <w:tr>
        <w:trPr>
          <w:trHeight w:val="169"/>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Claims paid</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w:t>
            </w:r>
          </w:p>
        </w:tc>
      </w:tr>
      <w:tr>
        <w:trPr>
          <w:trHeight w:val="18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20" w:hanging="115"/>
        <w:spacing w:after="0"/>
        <w:tabs>
          <w:tab w:leader="none" w:pos="120"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Refer to Note 2 in the Notes to Consolidated Financial Statements included in Item 1 of Part I of this Quarterly Report on Form 10-Q for more information on the acquisition of Lithionics on April 28,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20"/>
                <w:szCs w:val="20"/>
                <w:color w:val="auto"/>
              </w:rPr>
            </w:pPr>
            <w:r>
              <w:rPr>
                <w:rFonts w:ascii="Arial" w:cs="Arial" w:eastAsia="Arial" w:hAnsi="Arial"/>
                <w:sz w:val="13"/>
                <w:szCs w:val="13"/>
                <w:b w:val="1"/>
                <w:bCs w:val="1"/>
                <w:color w:val="auto"/>
              </w:rPr>
              <w:t>Note 9.   Debt</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34"/>
        </w:trPr>
        <w:tc>
          <w:tcPr>
            <w:tcW w:w="7080" w:type="dxa"/>
            <w:vAlign w:val="bottom"/>
          </w:tcPr>
          <w:p>
            <w:pPr>
              <w:spacing w:after="0"/>
              <w:rPr>
                <w:sz w:val="20"/>
                <w:szCs w:val="20"/>
                <w:color w:val="auto"/>
              </w:rPr>
            </w:pPr>
            <w:r>
              <w:rPr>
                <w:rFonts w:ascii="Arial" w:cs="Arial" w:eastAsia="Arial" w:hAnsi="Arial"/>
                <w:sz w:val="13"/>
                <w:szCs w:val="13"/>
                <w:color w:val="auto"/>
              </w:rPr>
              <w:t>The following table summarizes our outstanding debt:</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0"/>
        </w:trPr>
        <w:tc>
          <w:tcPr>
            <w:tcW w:w="7080" w:type="dxa"/>
            <w:vAlign w:val="bottom"/>
          </w:tcPr>
          <w:p>
            <w:pPr>
              <w:spacing w:after="0"/>
              <w:rPr>
                <w:sz w:val="12"/>
                <w:szCs w:val="12"/>
                <w:color w:val="auto"/>
              </w:rPr>
            </w:pPr>
          </w:p>
        </w:tc>
        <w:tc>
          <w:tcPr>
            <w:tcW w:w="1460" w:type="dxa"/>
            <w:vAlign w:val="bottom"/>
          </w:tcPr>
          <w:p>
            <w:pPr>
              <w:jc w:val="right"/>
              <w:ind w:right="136"/>
              <w:spacing w:after="0" w:line="141"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right"/>
              <w:ind w:right="636"/>
              <w:spacing w:after="0" w:line="141" w:lineRule="exact"/>
              <w:rPr>
                <w:sz w:val="20"/>
                <w:szCs w:val="20"/>
                <w:color w:val="auto"/>
              </w:rPr>
            </w:pPr>
            <w:r>
              <w:rPr>
                <w:rFonts w:ascii="Arial" w:cs="Arial" w:eastAsia="Arial" w:hAnsi="Arial"/>
                <w:sz w:val="13"/>
                <w:szCs w:val="13"/>
                <w:b w:val="1"/>
                <w:bCs w:val="1"/>
                <w:color w:val="auto"/>
              </w:rPr>
              <w:t>August 26,</w:t>
            </w:r>
          </w:p>
        </w:tc>
      </w:tr>
      <w:tr>
        <w:trPr>
          <w:trHeight w:val="17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2023</w:t>
            </w:r>
          </w:p>
        </w:tc>
      </w:tr>
      <w:tr>
        <w:trPr>
          <w:trHeight w:val="160"/>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ABL Credit Facility</w:t>
            </w:r>
          </w:p>
        </w:tc>
        <w:tc>
          <w:tcPr>
            <w:tcW w:w="1460" w:type="dxa"/>
            <w:vAlign w:val="bottom"/>
            <w:shd w:val="clear" w:color="auto" w:fill="CCEEFF"/>
          </w:tcPr>
          <w:p>
            <w:pPr>
              <w:jc w:val="right"/>
              <w:ind w:right="131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080" w:type="dxa"/>
            <w:vAlign w:val="bottom"/>
          </w:tcPr>
          <w:p>
            <w:pPr>
              <w:ind w:left="20"/>
              <w:spacing w:after="0"/>
              <w:rPr>
                <w:sz w:val="20"/>
                <w:szCs w:val="20"/>
                <w:color w:val="auto"/>
              </w:rPr>
            </w:pPr>
            <w:r>
              <w:rPr>
                <w:rFonts w:ascii="Arial" w:cs="Arial" w:eastAsia="Arial" w:hAnsi="Arial"/>
                <w:sz w:val="13"/>
                <w:szCs w:val="13"/>
                <w:color w:val="auto"/>
              </w:rPr>
              <w:t>Senior Secured Notes</w:t>
            </w:r>
          </w:p>
        </w:tc>
        <w:tc>
          <w:tcPr>
            <w:tcW w:w="1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171"/>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 Convertible Notes</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2025 Convertible Notes</w:t>
            </w:r>
          </w:p>
        </w:tc>
        <w:tc>
          <w:tcPr>
            <w:tcW w:w="1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w:t>
            </w:r>
          </w:p>
        </w:tc>
      </w:tr>
      <w:tr>
        <w:trPr>
          <w:trHeight w:val="162"/>
        </w:trPr>
        <w:tc>
          <w:tcPr>
            <w:tcW w:w="7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debt, gross</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r>
      <w:tr>
        <w:trPr>
          <w:trHeight w:val="169"/>
        </w:trPr>
        <w:tc>
          <w:tcPr>
            <w:tcW w:w="7080" w:type="dxa"/>
            <w:vAlign w:val="bottom"/>
          </w:tcPr>
          <w:p>
            <w:pPr>
              <w:ind w:left="20"/>
              <w:spacing w:after="0"/>
              <w:rPr>
                <w:sz w:val="20"/>
                <w:szCs w:val="20"/>
                <w:color w:val="auto"/>
              </w:rPr>
            </w:pPr>
            <w:r>
              <w:rPr>
                <w:rFonts w:ascii="Arial" w:cs="Arial" w:eastAsia="Arial" w:hAnsi="Arial"/>
                <w:sz w:val="13"/>
                <w:szCs w:val="13"/>
                <w:color w:val="auto"/>
              </w:rPr>
              <w:t>Unamortized debt issuance costs, net</w:t>
            </w:r>
          </w:p>
        </w:tc>
        <w:tc>
          <w:tcPr>
            <w:tcW w:w="1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maturities of long-term debt, net</w:t>
            </w:r>
          </w:p>
        </w:tc>
        <w:tc>
          <w:tcPr>
            <w:tcW w:w="1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7080" w:type="dxa"/>
            <w:vAlign w:val="bottom"/>
          </w:tcPr>
          <w:p>
            <w:pPr>
              <w:ind w:left="120"/>
              <w:spacing w:after="0"/>
              <w:rPr>
                <w:sz w:val="20"/>
                <w:szCs w:val="20"/>
                <w:color w:val="auto"/>
              </w:rPr>
            </w:pPr>
            <w:r>
              <w:rPr>
                <w:rFonts w:ascii="Arial" w:cs="Arial" w:eastAsia="Arial" w:hAnsi="Arial"/>
                <w:sz w:val="13"/>
                <w:szCs w:val="13"/>
                <w:color w:val="auto"/>
              </w:rPr>
              <w:t>Long-term debt, net</w:t>
            </w:r>
          </w:p>
        </w:tc>
        <w:tc>
          <w:tcPr>
            <w:tcW w:w="1460" w:type="dxa"/>
            <w:vAlign w:val="bottom"/>
            <w:tcBorders>
              <w:bottom w:val="single" w:sz="8" w:color="auto"/>
            </w:tcBorders>
          </w:tcPr>
          <w:p>
            <w:pPr>
              <w:jc w:val="right"/>
              <w:ind w:right="13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592.4</w:t>
            </w:r>
          </w:p>
        </w:tc>
      </w:tr>
      <w:tr>
        <w:trPr>
          <w:trHeight w:val="20"/>
        </w:trPr>
        <w:tc>
          <w:tcPr>
            <w:tcW w:w="7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Agreements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On July 15, 2022, we amended and restated our asset-backed revolving credit agreement ("ABL Credit Facility") to, among other things, increase the commitments available from $192.5 million to</w:t>
      </w:r>
    </w:p>
    <w:p>
      <w:pPr>
        <w:spacing w:after="0" w:line="18"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Senior Secured Notes</w:t>
      </w:r>
    </w:p>
    <w:p>
      <w:pPr>
        <w:spacing w:after="0" w:line="84" w:lineRule="exact"/>
        <w:rPr>
          <w:sz w:val="20"/>
          <w:szCs w:val="20"/>
          <w:color w:val="auto"/>
        </w:rPr>
      </w:pPr>
    </w:p>
    <w:p>
      <w:pPr>
        <w:ind w:right="360"/>
        <w:spacing w:after="0" w:line="309" w:lineRule="auto"/>
        <w:rPr>
          <w:sz w:val="20"/>
          <w:szCs w:val="20"/>
          <w:color w:val="auto"/>
        </w:rPr>
      </w:pPr>
      <w:r>
        <w:rPr>
          <w:rFonts w:ascii="Arial" w:cs="Arial" w:eastAsia="Arial" w:hAnsi="Arial"/>
          <w:sz w:val="12"/>
          <w:szCs w:val="12"/>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redeemed or repurchased. Interest on the Senior Secured Notes accrues starting July 8, 2020 and is payable semi-annually in arrears on January 15 and July 15 of each year, which began on January 15, 2021.</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2030 Convertible Notes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3"/>
          <w:szCs w:val="13"/>
          <w:color w:val="auto"/>
        </w:rPr>
        <w:t>On January 23, 2024, we issued $350.0 million in aggregate principal amount of 3.25% unsecured convertible senior notes due 2030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161" w:lineRule="exact"/>
        <w:rPr>
          <w:sz w:val="20"/>
          <w:szCs w:val="20"/>
          <w:color w:val="auto"/>
        </w:rPr>
      </w:pPr>
    </w:p>
    <w:p>
      <w:pPr>
        <w:jc w:val="both"/>
        <w:ind w:right="200"/>
        <w:spacing w:after="0" w:line="261" w:lineRule="auto"/>
        <w:rPr>
          <w:sz w:val="20"/>
          <w:szCs w:val="20"/>
          <w:color w:val="auto"/>
        </w:rPr>
      </w:pPr>
      <w:r>
        <w:rPr>
          <w:rFonts w:ascii="Arial" w:cs="Arial" w:eastAsia="Arial" w:hAnsi="Arial"/>
          <w:sz w:val="13"/>
          <w:szCs w:val="13"/>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May 25, 2024, there have been no changes to the initial conversion rate.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July 15, 2029, the 2030 Convertible Notes will be convertible only under the following circumstances:</w:t>
      </w:r>
    </w:p>
    <w:p>
      <w:pPr>
        <w:spacing w:after="0" w:line="286" w:lineRule="exact"/>
        <w:rPr>
          <w:sz w:val="20"/>
          <w:szCs w:val="20"/>
          <w:color w:val="auto"/>
        </w:rPr>
      </w:pPr>
    </w:p>
    <w:p>
      <w:pPr>
        <w:ind w:left="520" w:right="120" w:hanging="260"/>
        <w:spacing w:after="0" w:line="26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during any calendar quarter commencing after the calendar quarter ended on March 31, 2024 (and only during such calendar quarter), if the last reported sale price per share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53" w:lineRule="exact"/>
        <w:rPr>
          <w:rFonts w:ascii="Arial" w:cs="Arial" w:eastAsia="Arial" w:hAnsi="Arial"/>
          <w:sz w:val="13"/>
          <w:szCs w:val="13"/>
          <w:color w:val="auto"/>
        </w:rPr>
      </w:pPr>
    </w:p>
    <w:p>
      <w:pPr>
        <w:ind w:left="520" w:right="100" w:hanging="260"/>
        <w:spacing w:after="0" w:line="26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during the five consecutive business day period immediately after any five consecutive trading day period (the "measurement period to the 2030 Convertible Notes") in which the trading price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53" w:lineRule="exact"/>
        <w:rPr>
          <w:rFonts w:ascii="Arial" w:cs="Arial" w:eastAsia="Arial" w:hAnsi="Arial"/>
          <w:sz w:val="13"/>
          <w:szCs w:val="13"/>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upon the occurrence of certain specified corporate events set forth in the Indenture to the 2030 Convertible Notes; or</w:t>
      </w:r>
    </w:p>
    <w:p>
      <w:pPr>
        <w:spacing w:after="0" w:line="94" w:lineRule="exact"/>
        <w:rPr>
          <w:rFonts w:ascii="Arial" w:cs="Arial" w:eastAsia="Arial" w:hAnsi="Arial"/>
          <w:sz w:val="13"/>
          <w:szCs w:val="13"/>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we call such 2030 Convertible Notes for redemption (as described below).</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defined in the indenture to the 2030 Convertible Notes). The redemption price will be equal to the principal amount of the 2030 Convertible Notes to be redeemed, plus accrued and unpaid interest, if any, to, but excluding, the redemption date.</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 and are expected generally to reduce the potential dilution and/or offset any cash payments we are required to make in excess of the principal amount due, as the case may be, upon conversion of the 2030 Convertible Notes in the event that the market price of our common stock is greater than the strike price of the 2030 Hedge Transactions, which was initially $87.93 per share (subject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adjustment under the terms of the 2030 Hedge Transactions), corresponding to the initial conversion price of the 2030 Convertible Notes.</w:t>
      </w:r>
    </w:p>
    <w:p>
      <w:pPr>
        <w:spacing w:after="0" w:line="190" w:lineRule="exact"/>
        <w:rPr>
          <w:sz w:val="20"/>
          <w:szCs w:val="20"/>
          <w:color w:val="auto"/>
        </w:rPr>
      </w:pPr>
    </w:p>
    <w:p>
      <w:pPr>
        <w:ind w:right="260"/>
        <w:spacing w:after="0" w:line="280" w:lineRule="auto"/>
        <w:rPr>
          <w:sz w:val="20"/>
          <w:szCs w:val="20"/>
          <w:color w:val="auto"/>
        </w:rPr>
      </w:pPr>
      <w:r>
        <w:rPr>
          <w:rFonts w:ascii="Arial" w:cs="Arial" w:eastAsia="Arial" w:hAnsi="Arial"/>
          <w:sz w:val="12"/>
          <w:szCs w:val="12"/>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The initial strike price of the 2030 warrants is $135.28 per share (subject to adjustment under the terms of the 2030 Warrant Transactions), which is approximately 100% above the last reported sale price of our common stock on January 18, 2024. The 2030 Warrant Transactions could have a dilutive effect to our stockholders to the extent that the market price per share of our common stock, as measured under the terms of the 2030 Warrant Transactions, exceeds the applicable strike price of the warrants.</w:t>
      </w:r>
    </w:p>
    <w:p>
      <w:pPr>
        <w:spacing w:after="0" w:line="118" w:lineRule="exact"/>
        <w:rPr>
          <w:sz w:val="20"/>
          <w:szCs w:val="20"/>
          <w:color w:val="auto"/>
        </w:rPr>
      </w:pPr>
    </w:p>
    <w:p>
      <w:pPr>
        <w:jc w:val="both"/>
        <w:ind w:right="60"/>
        <w:spacing w:after="0" w:line="266" w:lineRule="auto"/>
        <w:rPr>
          <w:sz w:val="20"/>
          <w:szCs w:val="20"/>
          <w:color w:val="auto"/>
        </w:rPr>
      </w:pPr>
      <w:r>
        <w:rPr>
          <w:rFonts w:ascii="Arial" w:cs="Arial" w:eastAsia="Arial" w:hAnsi="Arial"/>
          <w:sz w:val="13"/>
          <w:szCs w:val="13"/>
          <w:color w:val="auto"/>
        </w:rPr>
        <w:t>The 2030 Hedge Transactions and the 2030 Warrant Transactions are separate transactions,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Treatment of the 2030 Convertible Notes and Related 2030 Hedge Transactions and 2030 Warrant Transactions</w:t>
      </w:r>
    </w:p>
    <w:p>
      <w:pPr>
        <w:spacing w:after="0" w:line="82"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$3.3 million and $4.4 million of interest expense during the three and nine months ended May 25, 2024,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net after-tax cost incurred in connection with the 2030 Call Spread Transactions was $20.6 million. These transactions are classified as equity and are not remeasured each reporting period.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2025 Convertible Notes</w:t>
      </w:r>
    </w:p>
    <w:p>
      <w:pPr>
        <w:spacing w:after="0" w:line="95"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On November 1, 2019, we issued $300.0 million in aggregate principal amount of 1.5% unsecured convertible senior notes due 2025 (“2025 Convertible Notes”). The net proceeds from the issuance of the 2025 Convertible Notes, after deducting the initial purchasers' transaction fees and offering expense payable by us, were approximately $290.2 million. The 2025 Convertible Notes bear interest at the annual rate of 1.5%, payable on April 1 and October 1 of each year, beginning on April 1, 2020, and will mature on April 1, 2025, unless earlier converted or repurchased by us.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2025 Convertible Notes will be convertible into cash, shares of our common stock or a combination thereof, at our election, at an initial conversion rate of 15.6906 shares of common stock</w:t>
      </w:r>
    </w:p>
    <w:p>
      <w:pPr>
        <w:spacing w:after="0" w:line="1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per $1,000 principal amount of 2025 Convertible Notes, which is equivalent to an initial conversion price of approximately $63.73 per share, as adjusted pursuant to the terms of the indenture governing the 2025 Convertible Notes. The 2025 Convertible Notes may be converted at any time on or after October 1, 2024, until the close of business on the second scheduled trading day immediately preceding the maturity date.</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conversion rate of the 2025 Convertible Notes may be adjusted in certain circumstances, including in connection with a conversion of the 2025 Convertible Notes made following certain fundamental changes and under other circumstances set forth in the indenture to the 2025 Convertible Notes. As of May 25, 2024, the conversion rate was 15.9923 shares of common stock per $1,000 principal amount of 2025 Convertible Notes, which is equivalent to a conversion price of approximately $62.53. The difference between the initial conversion rate and the conversion rate as of May 25, 2024 is due to cash dividends that have been declared following the issuance of the 2025 Convertible Notes.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It is our current intent to settle all conversions of the 2025 Convertible Notes in cash. Our ability to cash settle may be limited depending on the stock price at the time of conversion.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October 1, 2024, the 2025 Convertible Notes will be convertible only under the following circumstances:</w:t>
      </w:r>
    </w:p>
    <w:p>
      <w:pPr>
        <w:spacing w:after="0" w:line="275" w:lineRule="exact"/>
        <w:rPr>
          <w:sz w:val="20"/>
          <w:szCs w:val="20"/>
          <w:color w:val="auto"/>
        </w:rPr>
      </w:pPr>
    </w:p>
    <w:p>
      <w:pPr>
        <w:ind w:left="520" w:right="100" w:hanging="260"/>
        <w:spacing w:after="0" w:line="261" w:lineRule="auto"/>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63" w:lineRule="exact"/>
        <w:rPr>
          <w:rFonts w:ascii="Arial" w:cs="Arial" w:eastAsia="Arial" w:hAnsi="Arial"/>
          <w:sz w:val="13"/>
          <w:szCs w:val="13"/>
          <w:color w:val="auto"/>
        </w:rPr>
      </w:pPr>
    </w:p>
    <w:p>
      <w:pPr>
        <w:jc w:val="both"/>
        <w:ind w:left="520" w:right="160" w:hanging="260"/>
        <w:spacing w:after="0" w:line="252" w:lineRule="auto"/>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during the five consecutive business day period after any five consecutive trading day period (the "measurement period to the 2025 Convertible Notes") in which the trading price per $1,000 principal amount of 2025 Convertible Notes for each trading day of the measurement period to the 2025 Convertible Notes was less than 98% of the product of the last reported sale price of the common stock and the conversion rate for the 2025 Convertible Notes on each such trading day; or</w:t>
      </w:r>
    </w:p>
    <w:p>
      <w:pPr>
        <w:spacing w:after="0" w:line="70" w:lineRule="exact"/>
        <w:rPr>
          <w:rFonts w:ascii="Arial" w:cs="Arial" w:eastAsia="Arial" w:hAnsi="Arial"/>
          <w:sz w:val="13"/>
          <w:szCs w:val="13"/>
          <w:color w:val="auto"/>
        </w:rPr>
      </w:pPr>
    </w:p>
    <w:p>
      <w:pPr>
        <w:ind w:left="520" w:hanging="260"/>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upon the occurrence of certain specified corporate events set forth in the indenture for the 2025 Convertible Notes.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We may not redeem the 2025 Convertible Notes at our option prior to the maturity date, and no sinking fund is provided for the 2025 Convertible Notes.</w:t>
      </w:r>
    </w:p>
    <w:p>
      <w:pPr>
        <w:spacing w:after="0" w:line="190" w:lineRule="exact"/>
        <w:rPr>
          <w:sz w:val="20"/>
          <w:szCs w:val="20"/>
          <w:color w:val="auto"/>
        </w:rPr>
      </w:pPr>
    </w:p>
    <w:p>
      <w:pPr>
        <w:ind w:right="240"/>
        <w:spacing w:after="0" w:line="327" w:lineRule="auto"/>
        <w:rPr>
          <w:sz w:val="20"/>
          <w:szCs w:val="20"/>
          <w:color w:val="auto"/>
        </w:rPr>
      </w:pPr>
      <w:r>
        <w:rPr>
          <w:rFonts w:ascii="Arial" w:cs="Arial" w:eastAsia="Arial" w:hAnsi="Arial"/>
          <w:sz w:val="12"/>
          <w:szCs w:val="12"/>
          <w:color w:val="auto"/>
        </w:rPr>
        <w:t>On October 29, 2019 and October 30, 2019, in connection with the offering of the 2025 Convertible Notes, we entered into privately negotiated convertible note hedge transactions (collectively, the “2025 Hedge Transactions”) that cover, subject to customary anti-dilution adjustments, the number of shares of our common stock that initially underlie the 2025 Convertible Notes.</w:t>
      </w:r>
    </w:p>
    <w:p>
      <w:pPr>
        <w:spacing w:after="0" w:line="123" w:lineRule="exact"/>
        <w:rPr>
          <w:sz w:val="20"/>
          <w:szCs w:val="20"/>
          <w:color w:val="auto"/>
        </w:rPr>
      </w:pPr>
    </w:p>
    <w:p>
      <w:pPr>
        <w:ind w:right="440"/>
        <w:spacing w:after="0" w:line="261" w:lineRule="auto"/>
        <w:rPr>
          <w:sz w:val="20"/>
          <w:szCs w:val="20"/>
          <w:color w:val="auto"/>
        </w:rPr>
      </w:pPr>
      <w:r>
        <w:rPr>
          <w:rFonts w:ascii="Arial" w:cs="Arial" w:eastAsia="Arial" w:hAnsi="Arial"/>
          <w:sz w:val="13"/>
          <w:szCs w:val="13"/>
          <w:color w:val="auto"/>
        </w:rPr>
        <w:t>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underlie the 2025 Convertible Notes, subject to customary anti-dilution adjustments.</w:t>
      </w:r>
    </w:p>
    <w:p>
      <w:pPr>
        <w:spacing w:after="0" w:line="128"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The 2025 Hedge Transactions and the 2025 Warrant Transactions are separate transactions, in each case, and are not part of the terms of the 2025 Convertible Notes and will not affect any holder’s rights under the 2025 Convertible Notes. Holders of the 2025 Convertible Notes will not have any rights with respect to the 2025 Call Spread Transactions.</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for the nine months ended May 25,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Treatment of the 2025 Convertible Notes and Related 2025 Hedge Transactions and 2025 Warrant Transactions</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2025 Convertible Notes are accounted for as a single liability measured at amortized cost. Interest expense, representing the amortization of the remaining debt issuance costs as well as the contractual interest expense are amortized using an effective interest rate of 2.1% over the term of the 2025 Convertible Notes. We recorded $0.3 million and $1.6 million of interest expense during the three months ended May 25, 2024 and May 27, 2023, respectively; and we recorded $3.0 million and $4.7 million of interest expense during the nine months ended May 25, 2024 and May 27,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2025 Call Spread Transactions are classified as equity and are not remeasured each reporting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6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7080" w:type="dxa"/>
            <w:vAlign w:val="bottom"/>
            <w:gridSpan w:val="2"/>
          </w:tcPr>
          <w:p>
            <w:pPr>
              <w:spacing w:after="0"/>
              <w:rPr>
                <w:sz w:val="20"/>
                <w:szCs w:val="20"/>
                <w:color w:val="auto"/>
              </w:rPr>
            </w:pPr>
            <w:r>
              <w:rPr>
                <w:rFonts w:ascii="Arial" w:cs="Arial" w:eastAsia="Arial" w:hAnsi="Arial"/>
                <w:sz w:val="13"/>
                <w:szCs w:val="13"/>
                <w:b w:val="1"/>
                <w:bCs w:val="1"/>
                <w:color w:val="auto"/>
              </w:rPr>
              <w:t>Fair Value and Future Maturities</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80" w:type="dxa"/>
            <w:vAlign w:val="bottom"/>
            <w:gridSpan w:val="2"/>
          </w:tcPr>
          <w:p>
            <w:pPr>
              <w:spacing w:after="0"/>
              <w:rPr>
                <w:sz w:val="20"/>
                <w:szCs w:val="20"/>
                <w:color w:val="auto"/>
              </w:rPr>
            </w:pPr>
            <w:r>
              <w:rPr>
                <w:rFonts w:ascii="Arial" w:cs="Arial" w:eastAsia="Arial" w:hAnsi="Arial"/>
                <w:sz w:val="13"/>
                <w:szCs w:val="13"/>
                <w:color w:val="auto"/>
              </w:rPr>
              <w:t>The fair value of outstanding debt obligations, gross is as follows:</w:t>
            </w: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460" w:type="dxa"/>
            <w:vAlign w:val="bottom"/>
          </w:tcPr>
          <w:p>
            <w:pPr>
              <w:jc w:val="right"/>
              <w:ind w:right="136"/>
              <w:spacing w:after="0"/>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jc w:val="center"/>
              <w:ind w:right="336"/>
              <w:spacing w:after="0"/>
              <w:rPr>
                <w:sz w:val="20"/>
                <w:szCs w:val="20"/>
                <w:color w:val="auto"/>
              </w:rPr>
            </w:pPr>
            <w:r>
              <w:rPr>
                <w:rFonts w:ascii="Arial" w:cs="Arial" w:eastAsia="Arial" w:hAnsi="Arial"/>
                <w:sz w:val="13"/>
                <w:szCs w:val="13"/>
                <w:b w:val="1"/>
                <w:bCs w:val="1"/>
                <w:color w:val="auto"/>
                <w:w w:val="99"/>
              </w:rPr>
              <w:t>August 26,</w:t>
            </w:r>
          </w:p>
        </w:tc>
        <w:tc>
          <w:tcPr>
            <w:tcW w:w="0" w:type="dxa"/>
            <w:vAlign w:val="bottom"/>
          </w:tcPr>
          <w:p>
            <w:pPr>
              <w:spacing w:after="0"/>
              <w:rPr>
                <w:sz w:val="1"/>
                <w:szCs w:val="1"/>
                <w:color w:val="auto"/>
              </w:rPr>
            </w:pPr>
          </w:p>
        </w:tc>
      </w:tr>
      <w:tr>
        <w:trPr>
          <w:trHeight w:val="170"/>
        </w:trPr>
        <w:tc>
          <w:tcPr>
            <w:tcW w:w="70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16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ABL Credit Facility</w:t>
            </w:r>
          </w:p>
        </w:tc>
        <w:tc>
          <w:tcPr>
            <w:tcW w:w="1460" w:type="dxa"/>
            <w:vAlign w:val="bottom"/>
            <w:shd w:val="clear" w:color="auto" w:fill="CCEEFF"/>
          </w:tcPr>
          <w:p>
            <w:pPr>
              <w:jc w:val="right"/>
              <w:ind w:right="131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Senior Secured Notes</w:t>
            </w:r>
          </w:p>
        </w:tc>
        <w:tc>
          <w:tcPr>
            <w:tcW w:w="1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295.0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7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2030 Convertible Notes</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2025 Convertible Notes</w:t>
            </w:r>
          </w:p>
        </w:tc>
        <w:tc>
          <w:tcPr>
            <w:tcW w:w="1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w:t>
            </w:r>
          </w:p>
        </w:tc>
        <w:tc>
          <w:tcPr>
            <w:tcW w:w="0" w:type="dxa"/>
            <w:vAlign w:val="bottom"/>
          </w:tcPr>
          <w:p>
            <w:pPr>
              <w:spacing w:after="0"/>
              <w:rPr>
                <w:sz w:val="1"/>
                <w:szCs w:val="1"/>
                <w:color w:val="auto"/>
              </w:rPr>
            </w:pPr>
          </w:p>
        </w:tc>
      </w:tr>
      <w:tr>
        <w:trPr>
          <w:trHeight w:val="187"/>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debt, gross</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Aggregate contractual maturities of debt in future fiscal years are as follows:</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0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1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Remainder of Fiscal 2024</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Fiscal 2025</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7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2026</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Fiscal 2027</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2028</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69"/>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Fiscal 2029</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1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62"/>
        </w:trPr>
        <w:tc>
          <w:tcPr>
            <w:tcW w:w="70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We were in compliance with all of our financial debt covenants as of May 25, 2024.</w:t>
      </w:r>
    </w:p>
    <w:p>
      <w:pPr>
        <w:spacing w:after="0" w:line="201"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Refer to Note 9 in the Notes to Consolidated Financial Statements included in Item 8 of Part II of our Annual Report on Form 10-K for the fiscal year ended August 26, 2023 for additional information regarding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20"/>
                <w:szCs w:val="20"/>
                <w:color w:val="auto"/>
              </w:rPr>
            </w:pPr>
            <w:r>
              <w:rPr>
                <w:rFonts w:ascii="Arial" w:cs="Arial" w:eastAsia="Arial" w:hAnsi="Arial"/>
                <w:sz w:val="13"/>
                <w:szCs w:val="13"/>
                <w:b w:val="1"/>
                <w:bCs w:val="1"/>
                <w:color w:val="auto"/>
              </w:rPr>
              <w:t>Note 10.  Employee and Retiree Benefits</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4"/>
        </w:trPr>
        <w:tc>
          <w:tcPr>
            <w:tcW w:w="7180" w:type="dxa"/>
            <w:vAlign w:val="bottom"/>
          </w:tcPr>
          <w:p>
            <w:pPr>
              <w:spacing w:after="0"/>
              <w:rPr>
                <w:sz w:val="20"/>
                <w:szCs w:val="20"/>
                <w:color w:val="auto"/>
              </w:rPr>
            </w:pPr>
            <w:r>
              <w:rPr>
                <w:rFonts w:ascii="Arial" w:cs="Arial" w:eastAsia="Arial" w:hAnsi="Arial"/>
                <w:sz w:val="13"/>
                <w:szCs w:val="13"/>
                <w:color w:val="auto"/>
              </w:rPr>
              <w:t>Deferred compensation liabilities are as follows:</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0"/>
        </w:trPr>
        <w:tc>
          <w:tcPr>
            <w:tcW w:w="7180" w:type="dxa"/>
            <w:vAlign w:val="bottom"/>
          </w:tcPr>
          <w:p>
            <w:pPr>
              <w:spacing w:after="0"/>
              <w:rPr>
                <w:sz w:val="12"/>
                <w:szCs w:val="12"/>
                <w:color w:val="auto"/>
              </w:rPr>
            </w:pPr>
          </w:p>
        </w:tc>
        <w:tc>
          <w:tcPr>
            <w:tcW w:w="154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May 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jc w:val="right"/>
              <w:ind w:right="576"/>
              <w:spacing w:after="0" w:line="141" w:lineRule="exact"/>
              <w:rPr>
                <w:sz w:val="20"/>
                <w:szCs w:val="20"/>
                <w:color w:val="auto"/>
              </w:rPr>
            </w:pPr>
            <w:r>
              <w:rPr>
                <w:rFonts w:ascii="Arial" w:cs="Arial" w:eastAsia="Arial" w:hAnsi="Arial"/>
                <w:sz w:val="13"/>
                <w:szCs w:val="13"/>
                <w:b w:val="1"/>
                <w:bCs w:val="1"/>
                <w:color w:val="auto"/>
              </w:rPr>
              <w:t>August 26,</w:t>
            </w:r>
          </w:p>
        </w:tc>
      </w:tr>
      <w:tr>
        <w:trPr>
          <w:trHeight w:val="17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2023</w:t>
            </w:r>
          </w:p>
        </w:tc>
      </w:tr>
      <w:tr>
        <w:trPr>
          <w:trHeight w:val="160"/>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Non-qualified deferred compensation</w:t>
            </w:r>
          </w:p>
        </w:tc>
        <w:tc>
          <w:tcPr>
            <w:tcW w:w="1540" w:type="dxa"/>
            <w:vAlign w:val="bottom"/>
            <w:shd w:val="clear" w:color="auto" w:fill="CCEEFF"/>
          </w:tcPr>
          <w:p>
            <w:pPr>
              <w:jc w:val="right"/>
              <w:ind w:right="137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9"/>
        </w:trPr>
        <w:tc>
          <w:tcPr>
            <w:tcW w:w="7180" w:type="dxa"/>
            <w:vAlign w:val="bottom"/>
          </w:tcPr>
          <w:p>
            <w:pPr>
              <w:ind w:left="20"/>
              <w:spacing w:after="0"/>
              <w:rPr>
                <w:sz w:val="20"/>
                <w:szCs w:val="20"/>
                <w:color w:val="auto"/>
              </w:rPr>
            </w:pPr>
            <w:r>
              <w:rPr>
                <w:rFonts w:ascii="Arial" w:cs="Arial" w:eastAsia="Arial" w:hAnsi="Arial"/>
                <w:sz w:val="13"/>
                <w:szCs w:val="13"/>
                <w:color w:val="auto"/>
              </w:rPr>
              <w:t>Supplemental executive retirement plan</w:t>
            </w:r>
          </w:p>
        </w:tc>
        <w:tc>
          <w:tcPr>
            <w:tcW w:w="1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Executive deferred compensation plan</w:t>
            </w:r>
          </w:p>
        </w:tc>
        <w:tc>
          <w:tcPr>
            <w:tcW w:w="15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59"/>
        </w:trPr>
        <w:tc>
          <w:tcPr>
            <w:tcW w:w="7180" w:type="dxa"/>
            <w:vAlign w:val="bottom"/>
          </w:tcPr>
          <w:p>
            <w:pPr>
              <w:ind w:left="120"/>
              <w:spacing w:after="0"/>
              <w:rPr>
                <w:sz w:val="20"/>
                <w:szCs w:val="20"/>
                <w:color w:val="auto"/>
              </w:rPr>
            </w:pPr>
            <w:r>
              <w:rPr>
                <w:rFonts w:ascii="Arial" w:cs="Arial" w:eastAsia="Arial" w:hAnsi="Arial"/>
                <w:sz w:val="13"/>
                <w:szCs w:val="13"/>
                <w:color w:val="auto"/>
              </w:rPr>
              <w:t>Total deferred compensation benefits</w:t>
            </w:r>
          </w:p>
        </w:tc>
        <w:tc>
          <w:tcPr>
            <w:tcW w:w="1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71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Less: current portion</w:t>
            </w:r>
            <w:r>
              <w:rPr>
                <w:rFonts w:ascii="Arial" w:cs="Arial" w:eastAsia="Arial" w:hAnsi="Arial"/>
                <w:sz w:val="16"/>
                <w:szCs w:val="16"/>
                <w:color w:val="auto"/>
                <w:vertAlign w:val="superscript"/>
              </w:rPr>
              <w:t>(1)</w:t>
            </w:r>
          </w:p>
        </w:tc>
        <w:tc>
          <w:tcPr>
            <w:tcW w:w="15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0"/>
        </w:trPr>
        <w:tc>
          <w:tcPr>
            <w:tcW w:w="7180" w:type="dxa"/>
            <w:vAlign w:val="bottom"/>
          </w:tcPr>
          <w:p>
            <w:pPr>
              <w:ind w:left="120"/>
              <w:spacing w:after="0"/>
              <w:rPr>
                <w:sz w:val="20"/>
                <w:szCs w:val="20"/>
                <w:color w:val="auto"/>
              </w:rPr>
            </w:pPr>
            <w:r>
              <w:rPr>
                <w:rFonts w:ascii="Arial" w:cs="Arial" w:eastAsia="Arial" w:hAnsi="Arial"/>
                <w:sz w:val="13"/>
                <w:szCs w:val="13"/>
                <w:color w:val="auto"/>
              </w:rPr>
              <w:t>Deferred compensation benefits, net of current portion</w:t>
            </w:r>
          </w:p>
        </w:tc>
        <w:tc>
          <w:tcPr>
            <w:tcW w:w="1540" w:type="dxa"/>
            <w:vAlign w:val="bottom"/>
            <w:tcBorders>
              <w:bottom w:val="single" w:sz="8" w:color="auto"/>
            </w:tcBorders>
          </w:tcPr>
          <w:p>
            <w:pPr>
              <w:jc w:val="right"/>
              <w:ind w:right="1376"/>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r>
      <w:tr>
        <w:trPr>
          <w:trHeight w:val="20"/>
        </w:trPr>
        <w:tc>
          <w:tcPr>
            <w:tcW w:w="7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20" w:hanging="115"/>
        <w:spacing w:after="0"/>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0"/>
          <w:szCs w:val="10"/>
          <w:color w:val="auto"/>
        </w:rPr>
        <w:t>Included in accrued compensation on the Consolidated Balance Sheets.</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2"/>
          <w:szCs w:val="12"/>
          <w:b w:val="1"/>
          <w:bCs w:val="1"/>
          <w:color w:val="auto"/>
        </w:rPr>
        <w:t>Contingent Liabilities and Commitments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Commitments</w:t>
      </w:r>
    </w:p>
    <w:p>
      <w:pPr>
        <w:spacing w:after="0" w:line="95" w:lineRule="exact"/>
        <w:rPr>
          <w:sz w:val="20"/>
          <w:szCs w:val="20"/>
          <w:color w:val="auto"/>
        </w:rPr>
      </w:pPr>
    </w:p>
    <w:p>
      <w:pPr>
        <w:jc w:val="both"/>
        <w:ind w:right="480"/>
        <w:spacing w:after="0" w:line="309" w:lineRule="auto"/>
        <w:rPr>
          <w:sz w:val="20"/>
          <w:szCs w:val="20"/>
          <w:color w:val="auto"/>
        </w:rPr>
      </w:pPr>
      <w:r>
        <w:rPr>
          <w:rFonts w:ascii="Arial" w:cs="Arial" w:eastAsia="Arial" w:hAnsi="Arial"/>
          <w:sz w:val="12"/>
          <w:szCs w:val="12"/>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total contingent liability on all of our repurchase agreements was approximately $1,924.5 million and $1,816.7 million at May 25, 2024 and August 26, 2023, respectively.</w:t>
      </w:r>
    </w:p>
    <w:p>
      <w:pPr>
        <w:spacing w:after="0" w:line="19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at May 25, 2024 and August 26, 2023.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There was no material activity related to repurchase agreements during the nine months ended May 25, 2024 and May 27, 2023.</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84"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Revenue</w:t>
      </w:r>
    </w:p>
    <w:p>
      <w:pPr>
        <w:spacing w:after="0" w:line="201"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Borders>
              <w:bottom w:val="single" w:sz="8" w:color="auto"/>
            </w:tcBorders>
          </w:tcPr>
          <w:p>
            <w:pPr>
              <w:spacing w:after="0"/>
              <w:rPr>
                <w:sz w:val="14"/>
                <w:szCs w:val="14"/>
                <w:color w:val="auto"/>
              </w:rPr>
            </w:pPr>
          </w:p>
        </w:tc>
      </w:tr>
      <w:tr>
        <w:trPr>
          <w:trHeight w:val="118"/>
        </w:trPr>
        <w:tc>
          <w:tcPr>
            <w:tcW w:w="454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May 27,</w:t>
            </w:r>
          </w:p>
        </w:tc>
        <w:tc>
          <w:tcPr>
            <w:tcW w:w="340" w:type="dxa"/>
            <w:vAlign w:val="bottom"/>
          </w:tcPr>
          <w:p>
            <w:pPr>
              <w:spacing w:after="0"/>
              <w:rPr>
                <w:sz w:val="10"/>
                <w:szCs w:val="10"/>
                <w:color w:val="auto"/>
              </w:rPr>
            </w:pPr>
          </w:p>
        </w:tc>
        <w:tc>
          <w:tcPr>
            <w:tcW w:w="136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60" w:type="dxa"/>
            <w:vAlign w:val="bottom"/>
          </w:tcPr>
          <w:p>
            <w:pPr>
              <w:spacing w:after="0"/>
              <w:rPr>
                <w:sz w:val="10"/>
                <w:szCs w:val="10"/>
                <w:color w:val="auto"/>
              </w:rPr>
            </w:pPr>
          </w:p>
        </w:tc>
        <w:tc>
          <w:tcPr>
            <w:tcW w:w="106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w w:val="97"/>
              </w:rPr>
              <w:t>May 27,</w:t>
            </w:r>
          </w:p>
        </w:tc>
      </w:tr>
      <w:tr>
        <w:trPr>
          <w:trHeight w:val="17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Fifth Wheel</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548.0</w:t>
            </w: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Travel Trailer</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475.3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494.7</w:t>
            </w:r>
          </w:p>
        </w:tc>
      </w:tr>
      <w:tr>
        <w:trPr>
          <w:trHeight w:val="171"/>
        </w:trPr>
        <w:tc>
          <w:tcPr>
            <w:tcW w:w="4540" w:type="dxa"/>
            <w:vAlign w:val="bottom"/>
            <w:shd w:val="clear" w:color="auto" w:fill="CCEEFF"/>
          </w:tcPr>
          <w:p>
            <w:pPr>
              <w:ind w:left="1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59"/>
        </w:trPr>
        <w:tc>
          <w:tcPr>
            <w:tcW w:w="4540" w:type="dxa"/>
            <w:vAlign w:val="bottom"/>
          </w:tcPr>
          <w:p>
            <w:pPr>
              <w:ind w:left="180"/>
              <w:spacing w:after="0"/>
              <w:rPr>
                <w:sz w:val="20"/>
                <w:szCs w:val="20"/>
                <w:color w:val="auto"/>
              </w:rPr>
            </w:pPr>
            <w:r>
              <w:rPr>
                <w:rFonts w:ascii="Arial" w:cs="Arial" w:eastAsia="Arial" w:hAnsi="Arial"/>
                <w:sz w:val="13"/>
                <w:szCs w:val="13"/>
                <w:color w:val="auto"/>
              </w:rPr>
              <w:t>Total Towable RV</w:t>
            </w:r>
          </w:p>
        </w:tc>
        <w:tc>
          <w:tcPr>
            <w:tcW w:w="10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386.3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1,001.8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1,073.9</w:t>
            </w: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Class A</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124.4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420.2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580.7</w:t>
            </w: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B</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366.4</w:t>
            </w:r>
          </w:p>
        </w:tc>
      </w:tr>
      <w:tr>
        <w:trPr>
          <w:trHeight w:val="170"/>
        </w:trPr>
        <w:tc>
          <w:tcPr>
            <w:tcW w:w="454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Class C and Other</w:t>
            </w:r>
            <w:r>
              <w:rPr>
                <w:rFonts w:ascii="Arial" w:cs="Arial" w:eastAsia="Arial" w:hAnsi="Arial"/>
                <w:sz w:val="16"/>
                <w:szCs w:val="16"/>
                <w:color w:val="auto"/>
                <w:vertAlign w:val="superscript"/>
              </w:rPr>
              <w:t>(1)</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295.3</w:t>
            </w:r>
          </w:p>
        </w:tc>
      </w:tr>
      <w:tr>
        <w:trPr>
          <w:trHeight w:val="160"/>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Motorhome RV</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1,242.4</w:t>
            </w: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Marine</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245.0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373.3</w:t>
            </w:r>
          </w:p>
        </w:tc>
      </w:tr>
      <w:tr>
        <w:trPr>
          <w:trHeight w:val="171"/>
        </w:trPr>
        <w:tc>
          <w:tcPr>
            <w:tcW w:w="454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Corporate / All Other</w:t>
            </w:r>
            <w:r>
              <w:rPr>
                <w:rFonts w:ascii="Arial" w:cs="Arial" w:eastAsia="Arial" w:hAnsi="Arial"/>
                <w:sz w:val="16"/>
                <w:szCs w:val="16"/>
                <w:color w:val="auto"/>
                <w:vertAlign w:val="superscript"/>
              </w:rPr>
              <w:t>(2)</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60"/>
        </w:trPr>
        <w:tc>
          <w:tcPr>
            <w:tcW w:w="4540" w:type="dxa"/>
            <w:vAlign w:val="bottom"/>
          </w:tcPr>
          <w:p>
            <w:pPr>
              <w:ind w:left="280"/>
              <w:spacing w:after="0"/>
              <w:rPr>
                <w:sz w:val="20"/>
                <w:szCs w:val="20"/>
                <w:color w:val="auto"/>
              </w:rPr>
            </w:pPr>
            <w:r>
              <w:rPr>
                <w:rFonts w:ascii="Arial" w:cs="Arial" w:eastAsia="Arial" w:hAnsi="Arial"/>
                <w:sz w:val="13"/>
                <w:szCs w:val="13"/>
                <w:color w:val="auto"/>
              </w:rPr>
              <w:t>Consolidated Net Revenues</w:t>
            </w: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786.0</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900.8</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2,252.6</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2,719.7</w:t>
            </w:r>
          </w:p>
        </w:tc>
      </w:tr>
      <w:tr>
        <w:trPr>
          <w:trHeight w:val="20"/>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7"/>
          <w:szCs w:val="17"/>
          <w:color w:val="auto"/>
          <w:vertAlign w:val="superscript"/>
        </w:rPr>
      </w:pPr>
      <w:r>
        <w:rPr>
          <w:rFonts w:ascii="Arial" w:cs="Arial" w:eastAsia="Arial" w:hAnsi="Arial"/>
          <w:sz w:val="11"/>
          <w:szCs w:val="11"/>
          <w:color w:val="auto"/>
        </w:rPr>
        <w:t>Relates to parts, accessories, services, and other miscellaneous revenue.</w:t>
      </w:r>
    </w:p>
    <w:p>
      <w:pPr>
        <w:ind w:left="200" w:right="160" w:hanging="195"/>
        <w:spacing w:after="0" w:line="205" w:lineRule="auto"/>
        <w:tabs>
          <w:tab w:leader="none" w:pos="236" w:val="left"/>
        </w:tabs>
        <w:numPr>
          <w:ilvl w:val="0"/>
          <w:numId w:val="6"/>
        </w:numPr>
        <w:rPr>
          <w:rFonts w:ascii="Arial" w:cs="Arial" w:eastAsia="Arial" w:hAnsi="Arial"/>
          <w:sz w:val="17"/>
          <w:szCs w:val="17"/>
          <w:color w:val="auto"/>
          <w:vertAlign w:val="superscript"/>
        </w:rPr>
      </w:pPr>
      <w:r>
        <w:rPr>
          <w:rFonts w:ascii="Arial" w:cs="Arial" w:eastAsia="Arial" w:hAnsi="Arial"/>
          <w:sz w:val="11"/>
          <w:szCs w:val="11"/>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178"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Risk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 single dealer organization accounted for more than 10% of net revenue for the nine months ended May 25, 2024 or May 27, 2023.</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Stock-Based Compensation</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On December 14, 2023, our shareholders approved the Amended and Restated 2019 Omnibus Incentive Plan (“Restated Plan”) as detailed in our Proxy Statement for the 2023 Annual Meeting of Shareholders. The Restated Plan continues to allow us to grant or issue non-qualified stock options, incentive stock options, share awards, and other equity compensation to key employees and to non-employee directors. The number of shares of our Common Stock that may be awarded and issued under the Restated Plan is 2.4 million, plus the shares still available under the 2019 Omnibus Incentive Plan (“2019 Plan”) and the shares subject to any awards outstanding under the 2014 Omnibus Equity, Performance Award, and Incentive Compensation Plan (“2014 Plan”). Awards under the 2014 Plan that are outstanding on December 14, 2023 will continue to be subject to the terms of the 2014 Plan, as applicable. Shares remaining available for future awards under the 2014 Plan were not carried over into the Restated Plan.</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Stock-based compensation expense was $3.4 million and $1.7 million for the three months ended May 25, 2024 and May 27, 2023, respectively; and $11.5 million and $8.2 million for the nine months ended May 25, 2024 and May 27, 2023, respectively. Compensation expense is recognized over the requisite service or performance period of the award, unless accelerated by certain retirement eligibility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Income Taxes</w:t>
      </w:r>
    </w:p>
    <w:p>
      <w:pPr>
        <w:spacing w:after="0" w:line="190"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Our effective tax rate was 18.4% and 21.4% for the three months ended May 25, 2024 and May 27, 2023, respectively, and 34.5% and 23.4% for the nine months ended May 25, 2024 and May 27, 2023, respectively. The decrease in tax rate for the three months ended May 25, 2024 compared to the three months ended May 27, 2023 was driven primarily by an increase in research and development ("R&amp;D") credits year-over-year and a favorable reserve release in the current year over decreased income. The increase in tax rate for the nine months ended May 25, 2024 compared to the nine months ended May 27, 2023 was driven primarily by the impact of the non-deductible loss on note repurchase during the second quarter of Fiscal 2024.</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As of May 25, 2024, $3.1 million of U.S. federal income taxes payable was included in income taxes payable on the Consolidated Balance Sheets. Comparatively, as of August 26, 2023, $10.7 million of U.S. federal income taxes receivable was included in prepaid expenses and other current assets on the Consolidated Balance Sheets.</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We file a U.S. Federal tax return, as well as returns in various international and state jurisdictions. As of May 25, 2024, our U.S. Federal returns from Fiscal 2020 to present are subject to review by the Internal Revenue Service. With limited exceptions, U.S. state returns from Fiscal 2020 to present continue to be subject to review by state taxing jurisdictions. We are currently under review by certain U.S. state tax authorities for Fiscal 2020 through Fiscal 2021.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Note 15. Earnings Per Share</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40" w:type="dxa"/>
            <w:vAlign w:val="bottom"/>
            <w:gridSpan w:val="2"/>
          </w:tcPr>
          <w:p>
            <w:pPr>
              <w:spacing w:after="0"/>
              <w:rPr>
                <w:sz w:val="20"/>
                <w:szCs w:val="20"/>
                <w:color w:val="auto"/>
              </w:rPr>
            </w:pPr>
            <w:r>
              <w:rPr>
                <w:rFonts w:ascii="Arial" w:cs="Arial" w:eastAsia="Arial" w:hAnsi="Arial"/>
                <w:sz w:val="13"/>
                <w:szCs w:val="13"/>
                <w:color w:val="auto"/>
              </w:rPr>
              <w:t>Basic and diluted earnings per share are calculated as follows: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May 25,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May 27,</w:t>
            </w:r>
          </w:p>
        </w:tc>
        <w:tc>
          <w:tcPr>
            <w:tcW w:w="340" w:type="dxa"/>
            <w:vAlign w:val="bottom"/>
          </w:tcPr>
          <w:p>
            <w:pPr>
              <w:spacing w:after="0"/>
              <w:rPr>
                <w:sz w:val="10"/>
                <w:szCs w:val="10"/>
                <w:color w:val="auto"/>
              </w:rPr>
            </w:pPr>
          </w:p>
        </w:tc>
        <w:tc>
          <w:tcPr>
            <w:tcW w:w="1360" w:type="dxa"/>
            <w:vAlign w:val="bottom"/>
            <w:gridSpan w:val="2"/>
          </w:tcPr>
          <w:p>
            <w:pPr>
              <w:ind w:left="240"/>
              <w:spacing w:after="0" w:line="118" w:lineRule="exact"/>
              <w:rPr>
                <w:sz w:val="20"/>
                <w:szCs w:val="20"/>
                <w:color w:val="auto"/>
              </w:rPr>
            </w:pPr>
            <w:r>
              <w:rPr>
                <w:rFonts w:ascii="Arial" w:cs="Arial" w:eastAsia="Arial" w:hAnsi="Arial"/>
                <w:sz w:val="13"/>
                <w:szCs w:val="13"/>
                <w:b w:val="1"/>
                <w:bCs w:val="1"/>
                <w:color w:val="auto"/>
              </w:rPr>
              <w:t>May 25,</w:t>
            </w:r>
          </w:p>
        </w:tc>
        <w:tc>
          <w:tcPr>
            <w:tcW w:w="560" w:type="dxa"/>
            <w:vAlign w:val="bottom"/>
          </w:tcPr>
          <w:p>
            <w:pPr>
              <w:spacing w:after="0"/>
              <w:rPr>
                <w:sz w:val="10"/>
                <w:szCs w:val="10"/>
                <w:color w:val="auto"/>
              </w:rPr>
            </w:pPr>
          </w:p>
        </w:tc>
        <w:tc>
          <w:tcPr>
            <w:tcW w:w="106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w w:val="97"/>
              </w:rPr>
              <w:t>May 27,</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per share data)</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04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Weighted average common shares outstanding</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62"/>
        </w:trPr>
        <w:tc>
          <w:tcPr>
            <w:tcW w:w="4540" w:type="dxa"/>
            <w:vAlign w:val="bottom"/>
            <w:gridSpan w:val="2"/>
          </w:tcPr>
          <w:p>
            <w:pPr>
              <w:ind w:left="180"/>
              <w:spacing w:after="0" w:line="161" w:lineRule="exact"/>
              <w:rPr>
                <w:sz w:val="20"/>
                <w:szCs w:val="20"/>
                <w:color w:val="auto"/>
              </w:rPr>
            </w:pPr>
            <w:r>
              <w:rPr>
                <w:rFonts w:ascii="Arial" w:cs="Arial" w:eastAsia="Arial" w:hAnsi="Arial"/>
                <w:sz w:val="13"/>
                <w:szCs w:val="13"/>
                <w:color w:val="auto"/>
              </w:rPr>
              <w:t>Basic earnings per common share</w:t>
            </w:r>
            <w:r>
              <w:rPr>
                <w:rFonts w:ascii="Arial" w:cs="Arial" w:eastAsia="Arial" w:hAnsi="Arial"/>
                <w:sz w:val="16"/>
                <w:szCs w:val="16"/>
                <w:color w:val="auto"/>
                <w:vertAlign w:val="superscript"/>
              </w:rPr>
              <w:t>(1)</w:t>
            </w: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0.99</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Interest expense on convertible notes, net of tax</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0"/>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Diluted net income</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Weighted average common shares outstanding</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69"/>
        </w:trPr>
        <w:tc>
          <w:tcPr>
            <w:tcW w:w="4540" w:type="dxa"/>
            <w:vAlign w:val="bottom"/>
            <w:gridSpan w:val="2"/>
          </w:tcPr>
          <w:p>
            <w:pPr>
              <w:ind w:left="100"/>
              <w:spacing w:after="0"/>
              <w:rPr>
                <w:sz w:val="20"/>
                <w:szCs w:val="20"/>
                <w:color w:val="auto"/>
              </w:rPr>
            </w:pPr>
            <w:r>
              <w:rPr>
                <w:rFonts w:ascii="Arial" w:cs="Arial" w:eastAsia="Arial" w:hAnsi="Arial"/>
                <w:sz w:val="13"/>
                <w:szCs w:val="13"/>
                <w:color w:val="auto"/>
              </w:rPr>
              <w:t>Dilutive impact of stock compensation awards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Dilutive impact of convertible notes</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9"/>
        </w:trPr>
        <w:tc>
          <w:tcPr>
            <w:tcW w:w="4540" w:type="dxa"/>
            <w:vAlign w:val="bottom"/>
            <w:gridSpan w:val="2"/>
          </w:tcPr>
          <w:p>
            <w:pPr>
              <w:ind w:left="100"/>
              <w:spacing w:after="0"/>
              <w:rPr>
                <w:sz w:val="20"/>
                <w:szCs w:val="20"/>
                <w:color w:val="auto"/>
              </w:rPr>
            </w:pPr>
            <w:r>
              <w:rPr>
                <w:rFonts w:ascii="Arial" w:cs="Arial" w:eastAsia="Arial" w:hAnsi="Arial"/>
                <w:sz w:val="13"/>
                <w:szCs w:val="13"/>
                <w:color w:val="auto"/>
              </w:rPr>
              <w:t>Weighted average common shares outstanding, assuming dilution</w:t>
            </w:r>
          </w:p>
        </w:tc>
        <w:tc>
          <w:tcPr>
            <w:tcW w:w="10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13"/>
        </w:trPr>
        <w:tc>
          <w:tcPr>
            <w:tcW w:w="454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540" w:type="dxa"/>
            <w:vAlign w:val="bottom"/>
            <w:gridSpan w:val="2"/>
          </w:tcPr>
          <w:p>
            <w:pPr>
              <w:ind w:left="100"/>
              <w:spacing w:after="0" w:line="128" w:lineRule="exact"/>
              <w:rPr>
                <w:sz w:val="20"/>
                <w:szCs w:val="20"/>
                <w:color w:val="auto"/>
              </w:rPr>
            </w:pPr>
            <w:r>
              <w:rPr>
                <w:rFonts w:ascii="Arial" w:cs="Arial" w:eastAsia="Arial" w:hAnsi="Arial"/>
                <w:sz w:val="13"/>
                <w:szCs w:val="13"/>
                <w:color w:val="auto"/>
              </w:rPr>
              <w:t>Anti-dilutive securities excluded from weighted average common shares</w:t>
            </w:r>
          </w:p>
        </w:tc>
        <w:tc>
          <w:tcPr>
            <w:tcW w:w="10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4540" w:type="dxa"/>
            <w:vAlign w:val="bottom"/>
            <w:gridSpan w:val="2"/>
          </w:tcPr>
          <w:p>
            <w:pPr>
              <w:ind w:left="100"/>
              <w:spacing w:after="0"/>
              <w:rPr>
                <w:sz w:val="20"/>
                <w:szCs w:val="20"/>
                <w:color w:val="auto"/>
              </w:rPr>
            </w:pPr>
            <w:r>
              <w:rPr>
                <w:rFonts w:ascii="Arial" w:cs="Arial" w:eastAsia="Arial" w:hAnsi="Arial"/>
                <w:sz w:val="13"/>
                <w:szCs w:val="13"/>
                <w:color w:val="auto"/>
              </w:rPr>
              <w:t>outstanding, assuming dilution</w:t>
            </w:r>
          </w:p>
        </w:tc>
        <w:tc>
          <w:tcPr>
            <w:tcW w:w="10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gridSpan w:val="2"/>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40" w:type="dxa"/>
            <w:vAlign w:val="bottom"/>
            <w:gridSpan w:val="2"/>
          </w:tcPr>
          <w:p>
            <w:pPr>
              <w:ind w:left="180"/>
              <w:spacing w:after="0" w:line="161" w:lineRule="exact"/>
              <w:rPr>
                <w:sz w:val="20"/>
                <w:szCs w:val="20"/>
                <w:color w:val="auto"/>
              </w:rPr>
            </w:pPr>
            <w:r>
              <w:rPr>
                <w:rFonts w:ascii="Arial" w:cs="Arial" w:eastAsia="Arial" w:hAnsi="Arial"/>
                <w:sz w:val="13"/>
                <w:szCs w:val="13"/>
                <w:color w:val="auto"/>
              </w:rPr>
              <w:t>Diluted earnings per common share</w:t>
            </w:r>
            <w:r>
              <w:rPr>
                <w:rFonts w:ascii="Arial" w:cs="Arial" w:eastAsia="Arial" w:hAnsi="Arial"/>
                <w:sz w:val="16"/>
                <w:szCs w:val="16"/>
                <w:color w:val="auto"/>
                <w:vertAlign w:val="superscript"/>
              </w:rPr>
              <w:t>(1)</w:t>
            </w: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7"/>
          <w:szCs w:val="17"/>
          <w:color w:val="auto"/>
          <w:vertAlign w:val="superscript"/>
        </w:rPr>
      </w:pPr>
      <w:r>
        <w:rPr>
          <w:rFonts w:ascii="Arial" w:cs="Arial" w:eastAsia="Arial" w:hAnsi="Arial"/>
          <w:sz w:val="11"/>
          <w:szCs w:val="11"/>
          <w:color w:val="auto"/>
        </w:rPr>
        <w:t>Earnings per share amounts are calculated based on unrounded numbers and therefore may not recalculate using the rounded numbers provided.</w:t>
      </w:r>
    </w:p>
    <w:p>
      <w:pPr>
        <w:spacing w:after="0" w:line="219"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As the 2025 Convertible Notes will be convertible into cash, shares of our common stock or a combination thereof, at our election, the 2025 Convertible Notes are assumed to be converted into common stock at the beginning of the reporting period, and the resulting shares are included in the denominator of the calculation. In addition,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terms "Winnebago," "we," "us," and "our," unless the context otherwise requires, refer to Winnebago Industries, Inc. and its wholly-owned subsidiaries.</w:t>
      </w:r>
    </w:p>
    <w:p>
      <w:pPr>
        <w:spacing w:after="0" w:line="201" w:lineRule="exact"/>
        <w:rPr>
          <w:sz w:val="20"/>
          <w:szCs w:val="20"/>
          <w:color w:val="auto"/>
        </w:rPr>
      </w:pPr>
    </w:p>
    <w:p>
      <w:pPr>
        <w:jc w:val="both"/>
        <w:ind w:right="180"/>
        <w:spacing w:after="0" w:line="261" w:lineRule="auto"/>
        <w:rPr>
          <w:sz w:val="20"/>
          <w:szCs w:val="20"/>
          <w:color w:val="auto"/>
        </w:rPr>
      </w:pPr>
      <w:r>
        <w:rPr>
          <w:rFonts w:ascii="Arial" w:cs="Arial" w:eastAsia="Arial" w:hAnsi="Arial"/>
          <w:sz w:val="13"/>
          <w:szCs w:val="13"/>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159" w:lineRule="exact"/>
        <w:rPr>
          <w:sz w:val="20"/>
          <w:szCs w:val="20"/>
          <w:color w:val="auto"/>
        </w:rPr>
      </w:pPr>
    </w:p>
    <w:p>
      <w:pPr>
        <w:ind w:right="260"/>
        <w:spacing w:after="0" w:line="261" w:lineRule="auto"/>
        <w:rPr>
          <w:sz w:val="20"/>
          <w:szCs w:val="20"/>
          <w:color w:val="auto"/>
        </w:rPr>
      </w:pPr>
      <w:r>
        <w:rPr>
          <w:rFonts w:ascii="Arial" w:cs="Arial" w:eastAsia="Arial" w:hAnsi="Arial"/>
          <w:sz w:val="13"/>
          <w:szCs w:val="13"/>
          <w:color w:val="auto"/>
        </w:rPr>
        <w:t>Our MD&amp;A should be read in conjunction with the Consolidated Financial Statements and related Notes included in Item 1 of Part I of this Quarterly Report on Form 10-Q and our Annual Report on Form 10-K for the fiscal year ended August 26, 2023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95"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Known Trends and Uncertainties</w:t>
      </w:r>
    </w:p>
    <w:p>
      <w:pPr>
        <w:spacing w:after="0" w:line="84"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auto"/>
        </w:rPr>
        <w:t>Our business continues to be challenged by macroeconomic conditions impacting retail consumers and our dealers, such as inflation and elevated interest rates. These factors have contributed to lower consumer spending and reduced short-term demand for large discretionary products such as RVs and marine products. In response, our dealers continue to exercise caution when managing stocking levels. In the first nine months of Fiscal 2024, these trends resulted in decreased sales due to declines in unit volume. We anticipate that as consumer demand stabilizes, dealers will exhibit a willingness to maintain stable inventory levels and ordering patterns. We continue to produce and ship in accordance with dealer demand as evidenced and requested by dealer orders.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Despite the current economic uncertainty, we believe in the long-term health of consumer demand for RV and marine products.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95"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Included in "Results of Operations" below for the three and nine months ended May 25, 2024 compared to the comparable prior year period is a reconciliation of EBITDA and Adjusted EBITDA from net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change in fair value of note receivable, contingent consideration fair value adjustment, loss on note repurchase, and non-operating income or loss.</w:t>
      </w:r>
    </w:p>
    <w:p>
      <w:pPr>
        <w:spacing w:after="0" w:line="150"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potential acquisitions; and (e) to ensure compliance with covenants and restricted activities under the terms of our ABL Credit Facility and outstanding notes, as further described in Note 9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Three Months Ended May 25, 2024 Compared to Three Months Ended May 27, 2023</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an analysis of changes in key items included in the Consolidated Statements of Income for the three months ended May 25, 2024 compared to the three months ended May 27,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1"/>
                <w:szCs w:val="11"/>
                <w:color w:val="auto"/>
              </w:rPr>
              <w:t>($ in millions, except per share data)</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May 25, 2024</w:t>
            </w:r>
          </w:p>
        </w:tc>
        <w:tc>
          <w:tcPr>
            <w:tcW w:w="1460" w:type="dxa"/>
            <w:vAlign w:val="bottom"/>
            <w:gridSpan w:val="2"/>
          </w:tcPr>
          <w:p>
            <w:pPr>
              <w:ind w:left="180"/>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May 27, 2023</w:t>
            </w:r>
          </w:p>
        </w:tc>
        <w:tc>
          <w:tcPr>
            <w:tcW w:w="1460" w:type="dxa"/>
            <w:vAlign w:val="bottom"/>
            <w:gridSpan w:val="2"/>
          </w:tcPr>
          <w:p>
            <w:pPr>
              <w:ind w:left="200"/>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ind w:left="20"/>
              <w:spacing w:after="0" w:line="161" w:lineRule="exact"/>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360" w:type="dxa"/>
            <w:vAlign w:val="bottom"/>
          </w:tcPr>
          <w:p>
            <w:pPr>
              <w:jc w:val="right"/>
              <w:ind w:right="256"/>
              <w:spacing w:after="0" w:line="161" w:lineRule="exact"/>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786.0</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900.8</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6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667.8</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85.0 %</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749.4</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59"/>
        </w:trPr>
        <w:tc>
          <w:tcPr>
            <w:tcW w:w="2620" w:type="dxa"/>
            <w:vAlign w:val="bottom"/>
          </w:tcPr>
          <w:p>
            <w:pPr>
              <w:ind w:left="20"/>
              <w:spacing w:after="0"/>
              <w:rPr>
                <w:sz w:val="20"/>
                <w:szCs w:val="20"/>
                <w:color w:val="auto"/>
              </w:rPr>
            </w:pPr>
            <w:r>
              <w:rPr>
                <w:rFonts w:ascii="Arial" w:cs="Arial" w:eastAsia="Arial" w:hAnsi="Arial"/>
                <w:sz w:val="13"/>
                <w:szCs w:val="13"/>
                <w:color w:val="auto"/>
                <w:w w:val="98"/>
              </w:rPr>
              <w:t>Selling, general, and administrative expenses</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7.4 %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3.7 %</w:t>
            </w:r>
          </w:p>
        </w:tc>
      </w:tr>
      <w:tr>
        <w:trPr>
          <w:trHeight w:val="17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r>
      <w:tr>
        <w:trPr>
          <w:trHeight w:val="15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9.5 %</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5.2 %</w:t>
            </w: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Interest expense, net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13.1 %</w:t>
            </w:r>
          </w:p>
        </w:tc>
      </w:tr>
      <w:tr>
        <w:trPr>
          <w:trHeight w:val="17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883.6 %</w:t>
            </w:r>
          </w:p>
        </w:tc>
      </w:tr>
      <w:tr>
        <w:trPr>
          <w:trHeight w:val="159"/>
        </w:trPr>
        <w:tc>
          <w:tcPr>
            <w:tcW w:w="26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4.5 %</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8.3 %</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(39.6)</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(52.8)%</w:t>
            </w:r>
          </w:p>
        </w:tc>
      </w:tr>
      <w:tr>
        <w:trPr>
          <w:trHeight w:val="1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w:t>
            </w: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6.6 %</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2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Diluted earnings per share</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0.96</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(0.75)</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7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Diluted weighted average shares outstanding</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bl>
    <w:p>
      <w:pPr>
        <w:spacing w:after="0" w:line="21" w:lineRule="exact"/>
        <w:rPr>
          <w:sz w:val="20"/>
          <w:szCs w:val="20"/>
          <w:color w:val="auto"/>
        </w:rPr>
      </w:pPr>
    </w:p>
    <w:p>
      <w:pPr>
        <w:ind w:left="220" w:hanging="215"/>
        <w:spacing w:after="0"/>
        <w:tabs>
          <w:tab w:leader="none" w:pos="22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product mix and lower volume related to market conditions.</w:t>
      </w:r>
    </w:p>
    <w:p>
      <w:pPr>
        <w:spacing w:after="0" w:line="190"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Gross profit as a percentage of revenue decreased primarily due to deleverage, operational efficiency challenges, and higher warranty expense due to a favorable prior year trend, partially offset by cost containment efforts.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Operating expenses increased primarily due to strategic investments and increased amortization related to Lithionics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change in our effective tax rate was primarily driven by an increase in R&amp;D credits year-over-year and a favorable reserve release in the current year over decreased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716"/>
        </w:trPr>
        <w:tc>
          <w:tcPr>
            <w:tcW w:w="79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Non-GAAP Reconciliation</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7"/>
        </w:trPr>
        <w:tc>
          <w:tcPr>
            <w:tcW w:w="9660" w:type="dxa"/>
            <w:vAlign w:val="bottom"/>
            <w:gridSpan w:val="5"/>
          </w:tcPr>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the three months ended May 25, 2024 and May 27, 2023:</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3"/>
        </w:trPr>
        <w:tc>
          <w:tcPr>
            <w:tcW w:w="10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3"/>
                <w:szCs w:val="13"/>
                <w:b w:val="1"/>
                <w:bCs w:val="1"/>
                <w:color w:val="auto"/>
              </w:rPr>
              <w:t>Three Months Ended</w:t>
            </w:r>
          </w:p>
        </w:tc>
      </w:tr>
      <w:tr>
        <w:trPr>
          <w:trHeight w:val="160"/>
        </w:trPr>
        <w:tc>
          <w:tcPr>
            <w:tcW w:w="796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May 25, 2024</w:t>
            </w:r>
          </w:p>
        </w:tc>
        <w:tc>
          <w:tcPr>
            <w:tcW w:w="260" w:type="dxa"/>
            <w:vAlign w:val="bottom"/>
          </w:tcPr>
          <w:p>
            <w:pPr>
              <w:spacing w:after="0"/>
              <w:rPr>
                <w:sz w:val="13"/>
                <w:szCs w:val="13"/>
                <w:color w:val="auto"/>
              </w:rPr>
            </w:pPr>
          </w:p>
        </w:tc>
        <w:tc>
          <w:tcPr>
            <w:tcW w:w="1360" w:type="dxa"/>
            <w:vAlign w:val="bottom"/>
          </w:tcPr>
          <w:p>
            <w:pPr>
              <w:jc w:val="right"/>
              <w:ind w:right="356"/>
              <w:spacing w:after="0"/>
              <w:rPr>
                <w:sz w:val="20"/>
                <w:szCs w:val="20"/>
                <w:color w:val="auto"/>
              </w:rPr>
            </w:pPr>
            <w:r>
              <w:rPr>
                <w:rFonts w:ascii="Arial" w:cs="Arial" w:eastAsia="Arial" w:hAnsi="Arial"/>
                <w:sz w:val="13"/>
                <w:szCs w:val="13"/>
                <w:b w:val="1"/>
                <w:bCs w:val="1"/>
                <w:color w:val="auto"/>
              </w:rPr>
              <w:t>May 27, 2023</w:t>
            </w:r>
          </w:p>
        </w:tc>
      </w:tr>
      <w:tr>
        <w:trPr>
          <w:trHeight w:val="160"/>
        </w:trPr>
        <w:tc>
          <w:tcPr>
            <w:tcW w:w="7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r>
      <w:tr>
        <w:trPr>
          <w:trHeight w:val="169"/>
        </w:trPr>
        <w:tc>
          <w:tcPr>
            <w:tcW w:w="7960" w:type="dxa"/>
            <w:vAlign w:val="bottom"/>
            <w:gridSpan w:val="2"/>
          </w:tcPr>
          <w:p>
            <w:pPr>
              <w:ind w:left="20"/>
              <w:spacing w:after="0"/>
              <w:rPr>
                <w:sz w:val="20"/>
                <w:szCs w:val="20"/>
                <w:color w:val="auto"/>
              </w:rPr>
            </w:pPr>
            <w:r>
              <w:rPr>
                <w:rFonts w:ascii="Arial" w:cs="Arial" w:eastAsia="Arial" w:hAnsi="Arial"/>
                <w:sz w:val="13"/>
                <w:szCs w:val="13"/>
                <w:color w:val="auto"/>
              </w:rPr>
              <w:t>Interest expense, net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9"/>
        </w:trPr>
        <w:tc>
          <w:tcPr>
            <w:tcW w:w="7960" w:type="dxa"/>
            <w:vAlign w:val="bottom"/>
            <w:gridSpan w:val="2"/>
          </w:tcPr>
          <w:p>
            <w:pPr>
              <w:ind w:left="20"/>
              <w:spacing w:after="0"/>
              <w:rPr>
                <w:sz w:val="20"/>
                <w:szCs w:val="20"/>
                <w:color w:val="auto"/>
              </w:rPr>
            </w:pPr>
            <w:r>
              <w:rPr>
                <w:rFonts w:ascii="Arial" w:cs="Arial" w:eastAsia="Arial" w:hAnsi="Arial"/>
                <w:sz w:val="13"/>
                <w:szCs w:val="13"/>
                <w:color w:val="auto"/>
              </w:rPr>
              <w:t>Depreciation</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59"/>
        </w:trPr>
        <w:tc>
          <w:tcPr>
            <w:tcW w:w="7960" w:type="dxa"/>
            <w:vAlign w:val="bottom"/>
            <w:gridSpan w:val="2"/>
          </w:tcPr>
          <w:p>
            <w:pPr>
              <w:ind w:left="120"/>
              <w:spacing w:after="0"/>
              <w:rPr>
                <w:sz w:val="20"/>
                <w:szCs w:val="20"/>
                <w:color w:val="auto"/>
              </w:rPr>
            </w:pPr>
            <w:r>
              <w:rPr>
                <w:rFonts w:ascii="Arial" w:cs="Arial" w:eastAsia="Arial" w:hAnsi="Arial"/>
                <w:sz w:val="13"/>
                <w:szCs w:val="13"/>
                <w:color w:val="auto"/>
              </w:rPr>
              <w:t>EBITDA</w:t>
            </w: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92.3</w:t>
            </w:r>
          </w:p>
        </w:tc>
      </w:tr>
      <w:tr>
        <w:trPr>
          <w:trHeight w:val="17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9"/>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Non-operating loss</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187"/>
        </w:trPr>
        <w:tc>
          <w:tcPr>
            <w:tcW w:w="7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Adjusted EBITDA</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RV segment for the three months ended May 25, 2024 compared to the three months ended May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236"/>
              <w:spacing w:after="0" w:line="161" w:lineRule="exact"/>
              <w:rPr>
                <w:sz w:val="20"/>
                <w:szCs w:val="20"/>
                <w:color w:val="auto"/>
              </w:rPr>
            </w:pPr>
            <w:r>
              <w:rPr>
                <w:rFonts w:ascii="Arial" w:cs="Arial" w:eastAsia="Arial" w:hAnsi="Arial"/>
                <w:sz w:val="13"/>
                <w:szCs w:val="13"/>
                <w:b w:val="1"/>
                <w:bCs w:val="1"/>
                <w:color w:val="auto"/>
                <w:w w:val="92"/>
              </w:rPr>
              <w:t>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56"/>
              <w:spacing w:after="0" w:line="161" w:lineRule="exact"/>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386.3</w:t>
            </w:r>
          </w:p>
        </w:tc>
        <w:tc>
          <w:tcPr>
            <w:tcW w:w="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384.1</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14.0 %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(22.0)%</w:t>
            </w:r>
          </w:p>
        </w:tc>
      </w:tr>
      <w:tr>
        <w:trPr>
          <w:trHeight w:val="213"/>
        </w:trPr>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1"/>
        </w:trPr>
        <w:tc>
          <w:tcPr>
            <w:tcW w:w="2620" w:type="dxa"/>
            <w:vAlign w:val="bottom"/>
          </w:tcPr>
          <w:p>
            <w:pPr>
              <w:ind w:left="20"/>
              <w:spacing w:after="0"/>
              <w:rPr>
                <w:sz w:val="20"/>
                <w:szCs w:val="20"/>
                <w:color w:val="auto"/>
              </w:rPr>
            </w:pPr>
            <w:r>
              <w:rPr>
                <w:rFonts w:ascii="Arial" w:cs="Arial" w:eastAsia="Arial" w:hAnsi="Arial"/>
                <w:sz w:val="13"/>
                <w:szCs w:val="13"/>
                <w:color w:val="auto"/>
              </w:rPr>
              <w:t>Average Selling Price ("ASP")</w:t>
            </w:r>
            <w:r>
              <w:rPr>
                <w:rFonts w:ascii="Arial" w:cs="Arial" w:eastAsia="Arial" w:hAnsi="Arial"/>
                <w:sz w:val="16"/>
                <w:szCs w:val="16"/>
                <w:color w:val="auto"/>
                <w:vertAlign w:val="superscript"/>
              </w:rPr>
              <w:t>(2)</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41,638</w:t>
            </w:r>
          </w:p>
        </w:tc>
        <w:tc>
          <w:tcPr>
            <w:tcW w:w="80" w:type="dxa"/>
            <w:vAlign w:val="bottom"/>
          </w:tcPr>
          <w:p>
            <w:pPr>
              <w:spacing w:after="0"/>
              <w:rPr>
                <w:sz w:val="19"/>
                <w:szCs w:val="19"/>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44,070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(2,432)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246"/>
        </w:trPr>
        <w:tc>
          <w:tcPr>
            <w:tcW w:w="2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May 25, 2024</w:t>
            </w:r>
          </w:p>
        </w:tc>
        <w:tc>
          <w:tcPr>
            <w:tcW w:w="1660" w:type="dxa"/>
            <w:vAlign w:val="bottom"/>
            <w:gridSpan w:val="3"/>
          </w:tcPr>
          <w:p>
            <w:pPr>
              <w:jc w:val="right"/>
              <w:ind w:right="560"/>
              <w:spacing w:after="0" w:line="161"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6"/>
                <w:szCs w:val="16"/>
                <w:b w:val="1"/>
                <w:bCs w:val="1"/>
                <w:color w:val="auto"/>
                <w:vertAlign w:val="superscript"/>
              </w:rPr>
              <w:t>(3)</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May 27, 2023</w:t>
            </w:r>
          </w:p>
        </w:tc>
        <w:tc>
          <w:tcPr>
            <w:tcW w:w="1460" w:type="dxa"/>
            <w:vAlign w:val="bottom"/>
            <w:gridSpan w:val="2"/>
          </w:tcPr>
          <w:p>
            <w:pPr>
              <w:jc w:val="center"/>
              <w:ind w:right="80"/>
              <w:spacing w:after="0" w:line="161" w:lineRule="exact"/>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1340" w:type="dxa"/>
            <w:vAlign w:val="bottom"/>
            <w:gridSpan w:val="3"/>
          </w:tcPr>
          <w:p>
            <w:pPr>
              <w:ind w:left="260"/>
              <w:spacing w:after="0"/>
              <w:rPr>
                <w:sz w:val="20"/>
                <w:szCs w:val="20"/>
                <w:color w:val="auto"/>
              </w:rPr>
            </w:pPr>
            <w:r>
              <w:rPr>
                <w:rFonts w:ascii="Arial" w:cs="Arial" w:eastAsia="Arial" w:hAnsi="Arial"/>
                <w:sz w:val="13"/>
                <w:szCs w:val="13"/>
                <w:b w:val="1"/>
                <w:bCs w:val="1"/>
                <w:color w:val="auto"/>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66.1 %</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6,376</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73.2 %</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3,143</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33.9 %</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2,339</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34.4 %</w:t>
            </w:r>
          </w:p>
        </w:tc>
      </w:tr>
      <w:tr>
        <w:trPr>
          <w:trHeight w:val="187"/>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Towable RV</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9,263</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8,715</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5"/>
        <w:spacing w:after="0"/>
        <w:tabs>
          <w:tab w:leader="none" w:pos="22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205" w:lineRule="auto"/>
        <w:tabs>
          <w:tab w:leader="none" w:pos="220" w:val="left"/>
        </w:tabs>
        <w:numPr>
          <w:ilvl w:val="0"/>
          <w:numId w:val="9"/>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40" w:hanging="235"/>
        <w:spacing w:after="0" w:line="180"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1"/>
          <w:szCs w:val="11"/>
          <w:color w:val="auto"/>
        </w:rPr>
        <w:t>Percentages may not add due to rounding differences.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Net revenues increased primarily due to an increase in unit volume, partially offset by a reduction in average selling price per unit related to product mix.</w:t>
      </w:r>
    </w:p>
    <w:p>
      <w:pPr>
        <w:spacing w:after="0" w:line="190" w:lineRule="exact"/>
        <w:rPr>
          <w:sz w:val="20"/>
          <w:szCs w:val="20"/>
          <w:color w:val="auto"/>
        </w:rPr>
      </w:pPr>
    </w:p>
    <w:p>
      <w:pPr>
        <w:ind w:right="640"/>
        <w:spacing w:after="0" w:line="266" w:lineRule="auto"/>
        <w:rPr>
          <w:sz w:val="20"/>
          <w:szCs w:val="20"/>
          <w:color w:val="auto"/>
        </w:rPr>
      </w:pPr>
      <w:r>
        <w:rPr>
          <w:rFonts w:ascii="Arial" w:cs="Arial" w:eastAsia="Arial" w:hAnsi="Arial"/>
          <w:sz w:val="13"/>
          <w:szCs w:val="13"/>
          <w:color w:val="auto"/>
        </w:rPr>
        <w:t>Adjusted EBITDA margin decreased primarily due to operational efficiency challenges and higher warranty expense due to a favorable prior year trend, partially offset by lower discounts and allowances.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 RV</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Motorhome RV segment for the three months ended May 25, 2024 compared to the three months ended May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1"/>
                <w:szCs w:val="11"/>
                <w:color w:val="auto"/>
              </w:rPr>
              <w:t>(in millions, except ASP and units)</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May 25, 2024</w:t>
            </w:r>
          </w:p>
        </w:tc>
        <w:tc>
          <w:tcPr>
            <w:tcW w:w="1460" w:type="dxa"/>
            <w:vAlign w:val="bottom"/>
            <w:gridSpan w:val="2"/>
          </w:tcPr>
          <w:p>
            <w:pPr>
              <w:jc w:val="center"/>
              <w:ind w:right="80"/>
              <w:spacing w:after="0" w:line="161" w:lineRule="exact"/>
              <w:rPr>
                <w:sz w:val="20"/>
                <w:szCs w:val="20"/>
                <w:color w:val="auto"/>
              </w:rPr>
            </w:pPr>
            <w:r>
              <w:rPr>
                <w:rFonts w:ascii="Arial" w:cs="Arial" w:eastAsia="Arial" w:hAnsi="Arial"/>
                <w:sz w:val="13"/>
                <w:szCs w:val="13"/>
                <w:b w:val="1"/>
                <w:bCs w:val="1"/>
                <w:color w:val="auto"/>
                <w:w w:val="96"/>
              </w:rPr>
              <w:t>% of Revenues</w:t>
            </w:r>
            <w:r>
              <w:rPr>
                <w:rFonts w:ascii="Arial" w:cs="Arial" w:eastAsia="Arial" w:hAnsi="Arial"/>
                <w:sz w:val="16"/>
                <w:szCs w:val="16"/>
                <w:b w:val="1"/>
                <w:bCs w:val="1"/>
                <w:color w:val="auto"/>
                <w:w w:val="96"/>
                <w:vertAlign w:val="superscript"/>
              </w:rPr>
              <w:t>(1)</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May 27, 2023</w:t>
            </w:r>
          </w:p>
        </w:tc>
        <w:tc>
          <w:tcPr>
            <w:tcW w:w="1460" w:type="dxa"/>
            <w:vAlign w:val="bottom"/>
            <w:gridSpan w:val="2"/>
          </w:tcPr>
          <w:p>
            <w:pPr>
              <w:jc w:val="center"/>
              <w:ind w:right="60"/>
              <w:spacing w:after="0" w:line="161" w:lineRule="exact"/>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ind w:left="20"/>
              <w:spacing w:after="0" w:line="161" w:lineRule="exact"/>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360" w:type="dxa"/>
            <w:vAlign w:val="bottom"/>
          </w:tcPr>
          <w:p>
            <w:pPr>
              <w:jc w:val="right"/>
              <w:ind w:right="256"/>
              <w:spacing w:after="0" w:line="161" w:lineRule="exact"/>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299.0</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213"/>
        </w:trPr>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97"/>
        </w:trPr>
        <w:tc>
          <w:tcPr>
            <w:tcW w:w="2620" w:type="dxa"/>
            <w:vAlign w:val="bottom"/>
          </w:tcPr>
          <w:p>
            <w:pPr>
              <w:ind w:left="20"/>
              <w:spacing w:after="0"/>
              <w:rPr>
                <w:sz w:val="20"/>
                <w:szCs w:val="20"/>
                <w:color w:val="auto"/>
              </w:rPr>
            </w:pPr>
            <w:r>
              <w:rPr>
                <w:rFonts w:ascii="Arial" w:cs="Arial" w:eastAsia="Arial" w:hAnsi="Arial"/>
                <w:sz w:val="25"/>
                <w:szCs w:val="25"/>
                <w:color w:val="auto"/>
                <w:vertAlign w:val="subscript"/>
              </w:rPr>
              <w:t>ASP</w:t>
            </w:r>
            <w:r>
              <w:rPr>
                <w:rFonts w:ascii="Arial" w:cs="Arial" w:eastAsia="Arial" w:hAnsi="Arial"/>
                <w:sz w:val="8"/>
                <w:szCs w:val="8"/>
                <w:color w:val="auto"/>
              </w:rPr>
              <w:t>(2)</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183,568</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177,612</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5,956</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3.4 %</w:t>
            </w:r>
          </w:p>
        </w:tc>
      </w:tr>
      <w:tr>
        <w:trPr>
          <w:trHeight w:val="170"/>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May 25, 2024</w:t>
            </w:r>
          </w:p>
        </w:tc>
        <w:tc>
          <w:tcPr>
            <w:tcW w:w="1460" w:type="dxa"/>
            <w:vAlign w:val="bottom"/>
            <w:gridSpan w:val="2"/>
          </w:tcPr>
          <w:p>
            <w:pPr>
              <w:jc w:val="center"/>
              <w:ind w:right="80"/>
              <w:spacing w:after="0" w:line="161" w:lineRule="exact"/>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May 27, 2023</w:t>
            </w:r>
          </w:p>
        </w:tc>
        <w:tc>
          <w:tcPr>
            <w:tcW w:w="1460" w:type="dxa"/>
            <w:vAlign w:val="bottom"/>
            <w:gridSpan w:val="2"/>
          </w:tcPr>
          <w:p>
            <w:pPr>
              <w:jc w:val="center"/>
              <w:ind w:right="80"/>
              <w:spacing w:after="0" w:line="161" w:lineRule="exact"/>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1340" w:type="dxa"/>
            <w:vAlign w:val="bottom"/>
            <w:gridSpan w:val="3"/>
          </w:tcPr>
          <w:p>
            <w:pPr>
              <w:ind w:left="260"/>
              <w:spacing w:after="0"/>
              <w:rPr>
                <w:sz w:val="20"/>
                <w:szCs w:val="20"/>
                <w:color w:val="auto"/>
              </w:rPr>
            </w:pPr>
            <w:r>
              <w:rPr>
                <w:rFonts w:ascii="Arial" w:cs="Arial" w:eastAsia="Arial" w:hAnsi="Arial"/>
                <w:sz w:val="13"/>
                <w:szCs w:val="13"/>
                <w:b w:val="1"/>
                <w:bCs w:val="1"/>
                <w:color w:val="auto"/>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24.6 %</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Class B</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476</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28.3 %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47.8 %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(542)</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(53.2)%</w:t>
            </w:r>
          </w:p>
        </w:tc>
      </w:tr>
      <w:tr>
        <w:trPr>
          <w:trHeight w:val="1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33.6 %</w:t>
            </w:r>
          </w:p>
        </w:tc>
      </w:tr>
      <w:tr>
        <w:trPr>
          <w:trHeight w:val="162"/>
        </w:trPr>
        <w:tc>
          <w:tcPr>
            <w:tcW w:w="2620" w:type="dxa"/>
            <w:vAlign w:val="bottom"/>
          </w:tcPr>
          <w:p>
            <w:pPr>
              <w:ind w:left="120"/>
              <w:spacing w:after="0"/>
              <w:rPr>
                <w:sz w:val="20"/>
                <w:szCs w:val="20"/>
                <w:color w:val="auto"/>
              </w:rPr>
            </w:pPr>
            <w:r>
              <w:rPr>
                <w:rFonts w:ascii="Arial" w:cs="Arial" w:eastAsia="Arial" w:hAnsi="Arial"/>
                <w:sz w:val="13"/>
                <w:szCs w:val="13"/>
                <w:color w:val="auto"/>
              </w:rPr>
              <w:t>Total Motorhome RV</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2,131</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5"/>
        <w:spacing w:after="0"/>
        <w:tabs>
          <w:tab w:leader="none" w:pos="220" w:val="left"/>
        </w:tabs>
        <w:numPr>
          <w:ilvl w:val="0"/>
          <w:numId w:val="10"/>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205" w:lineRule="auto"/>
        <w:tabs>
          <w:tab w:leader="none" w:pos="220" w:val="left"/>
        </w:tabs>
        <w:numPr>
          <w:ilvl w:val="0"/>
          <w:numId w:val="10"/>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40" w:hanging="235"/>
        <w:spacing w:after="0" w:line="180" w:lineRule="auto"/>
        <w:tabs>
          <w:tab w:leader="none" w:pos="240" w:val="left"/>
        </w:tabs>
        <w:numPr>
          <w:ilvl w:val="0"/>
          <w:numId w:val="10"/>
        </w:numPr>
        <w:rPr>
          <w:rFonts w:ascii="Arial" w:cs="Arial" w:eastAsia="Arial" w:hAnsi="Arial"/>
          <w:sz w:val="16"/>
          <w:szCs w:val="16"/>
          <w:color w:val="auto"/>
          <w:vertAlign w:val="superscript"/>
        </w:rPr>
      </w:pPr>
      <w:r>
        <w:rPr>
          <w:rFonts w:ascii="Arial" w:cs="Arial" w:eastAsia="Arial" w:hAnsi="Arial"/>
          <w:sz w:val="11"/>
          <w:szCs w:val="11"/>
          <w:color w:val="auto"/>
        </w:rPr>
        <w:t>Percentages may not add due to rounding differences.</w:t>
      </w:r>
    </w:p>
    <w:p>
      <w:pPr>
        <w:spacing w:after="0" w:line="177"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Net revenues decreased primarily due to a decline in unit volume related to market conditions and higher levels of discounts and allowances, partially offset by price increases related to higher motorized chassis costs.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primarily due to deleverage and operational efficiency challenges, partially offset by cost containment efforts.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Marine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Marine segment for the three months ended May 25, 2024 compared to the three months ended May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236"/>
              <w:spacing w:after="0" w:line="161" w:lineRule="exact"/>
              <w:rPr>
                <w:sz w:val="20"/>
                <w:szCs w:val="20"/>
                <w:color w:val="auto"/>
              </w:rPr>
            </w:pPr>
            <w:r>
              <w:rPr>
                <w:rFonts w:ascii="Arial" w:cs="Arial" w:eastAsia="Arial" w:hAnsi="Arial"/>
                <w:sz w:val="13"/>
                <w:szCs w:val="13"/>
                <w:b w:val="1"/>
                <w:bCs w:val="1"/>
                <w:color w:val="auto"/>
                <w:w w:val="92"/>
              </w:rPr>
              <w:t>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56"/>
              <w:spacing w:after="0" w:line="161" w:lineRule="exact"/>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17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r>
      <w:tr>
        <w:trPr>
          <w:trHeight w:val="169"/>
        </w:trPr>
        <w:tc>
          <w:tcPr>
            <w:tcW w:w="26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8.5</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9.7 %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17.3</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13.4 %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(50.9)%</w:t>
            </w:r>
          </w:p>
        </w:tc>
      </w:tr>
      <w:tr>
        <w:trPr>
          <w:trHeight w:val="203"/>
        </w:trPr>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78,595</w:t>
            </w:r>
          </w:p>
        </w:tc>
        <w:tc>
          <w:tcPr>
            <w:tcW w:w="174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81,492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(2,897)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44"/>
        </w:trPr>
        <w:tc>
          <w:tcPr>
            <w:tcW w:w="2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200" w:type="dxa"/>
            <w:vAlign w:val="bottom"/>
          </w:tcPr>
          <w:p>
            <w:pPr>
              <w:spacing w:after="0"/>
              <w:rPr>
                <w:sz w:val="13"/>
                <w:szCs w:val="13"/>
                <w:color w:val="auto"/>
              </w:rPr>
            </w:pPr>
          </w:p>
        </w:tc>
        <w:tc>
          <w:tcPr>
            <w:tcW w:w="1240" w:type="dxa"/>
            <w:vAlign w:val="bottom"/>
          </w:tcPr>
          <w:p>
            <w:pPr>
              <w:jc w:val="right"/>
              <w:ind w:right="25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ind w:left="260"/>
              <w:spacing w:after="0"/>
              <w:rPr>
                <w:sz w:val="20"/>
                <w:szCs w:val="20"/>
                <w:color w:val="auto"/>
              </w:rPr>
            </w:pPr>
            <w:r>
              <w:rPr>
                <w:rFonts w:ascii="Arial" w:cs="Arial" w:eastAsia="Arial" w:hAnsi="Arial"/>
                <w:sz w:val="13"/>
                <w:szCs w:val="13"/>
                <w:b w:val="1"/>
                <w:bCs w:val="1"/>
                <w:color w:val="auto"/>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85"/>
        </w:trPr>
        <w:tc>
          <w:tcPr>
            <w:tcW w:w="2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5"/>
        <w:spacing w:after="0"/>
        <w:tabs>
          <w:tab w:leader="none" w:pos="22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180" w:lineRule="auto"/>
        <w:tabs>
          <w:tab w:leader="none" w:pos="220" w:val="left"/>
        </w:tabs>
        <w:numPr>
          <w:ilvl w:val="0"/>
          <w:numId w:val="11"/>
        </w:numPr>
        <w:rPr>
          <w:rFonts w:ascii="Arial" w:cs="Arial" w:eastAsia="Arial" w:hAnsi="Arial"/>
          <w:sz w:val="16"/>
          <w:szCs w:val="16"/>
          <w:color w:val="auto"/>
          <w:vertAlign w:val="superscript"/>
        </w:rPr>
      </w:pPr>
      <w:r>
        <w:rPr>
          <w:rFonts w:ascii="Arial" w:cs="Arial" w:eastAsia="Arial" w:hAnsi="Arial"/>
          <w:sz w:val="11"/>
          <w:szCs w:val="11"/>
          <w:color w:val="auto"/>
        </w:rPr>
        <w:t>ASP excludes off-invoice dealer incentives.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a decline in unit volume related to market conditions and product mix.</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deleverage, partially offset by cost containment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Nine Months Ended May 25, 2024 Compared to the Nine Months Ended May 27,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an analysis of changes in key items included in the Consolidated Statements of Income for the nine months ended May 25, 2024 compared to the nine months ended May 27,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3020" w:type="dxa"/>
            <w:vAlign w:val="bottom"/>
          </w:tcPr>
          <w:p>
            <w:pPr>
              <w:ind w:left="20"/>
              <w:spacing w:after="0"/>
              <w:rPr>
                <w:sz w:val="20"/>
                <w:szCs w:val="20"/>
                <w:color w:val="auto"/>
              </w:rPr>
            </w:pPr>
            <w:r>
              <w:rPr>
                <w:rFonts w:ascii="Arial" w:cs="Arial" w:eastAsia="Arial" w:hAnsi="Arial"/>
                <w:sz w:val="11"/>
                <w:szCs w:val="11"/>
                <w:color w:val="auto"/>
              </w:rPr>
              <w:t>($ in millions, except per share data)</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May 25, 2024</w:t>
            </w:r>
          </w:p>
        </w:tc>
        <w:tc>
          <w:tcPr>
            <w:tcW w:w="1460" w:type="dxa"/>
            <w:vAlign w:val="bottom"/>
            <w:gridSpan w:val="2"/>
          </w:tcPr>
          <w:p>
            <w:pPr>
              <w:ind w:left="200"/>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May 27, 2023</w:t>
            </w:r>
          </w:p>
        </w:tc>
        <w:tc>
          <w:tcPr>
            <w:tcW w:w="1460" w:type="dxa"/>
            <w:vAlign w:val="bottom"/>
            <w:gridSpan w:val="2"/>
          </w:tcPr>
          <w:p>
            <w:pPr>
              <w:ind w:left="200"/>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ind w:left="20"/>
              <w:spacing w:after="0" w:line="161" w:lineRule="exact"/>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360" w:type="dxa"/>
            <w:vAlign w:val="bottom"/>
          </w:tcPr>
          <w:p>
            <w:pPr>
              <w:jc w:val="right"/>
              <w:ind w:right="256"/>
              <w:spacing w:after="0" w:line="161" w:lineRule="exact"/>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2,252.6</w:t>
            </w:r>
          </w:p>
        </w:tc>
        <w:tc>
          <w:tcPr>
            <w:tcW w:w="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2,719.7</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(467.2)</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6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w:t>
            </w: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2,261.1</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(347.8)</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16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458.6</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159"/>
        </w:trPr>
        <w:tc>
          <w:tcPr>
            <w:tcW w:w="302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204.4</w:t>
            </w:r>
          </w:p>
        </w:tc>
        <w:tc>
          <w:tcPr>
            <w:tcW w:w="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203.4</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7.5 %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0.5 %</w:t>
            </w: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40.0 %</w:t>
            </w:r>
          </w:p>
        </w:tc>
      </w:tr>
      <w:tr>
        <w:trPr>
          <w:trHeight w:val="15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221.3</w:t>
            </w:r>
          </w:p>
        </w:tc>
        <w:tc>
          <w:tcPr>
            <w:tcW w:w="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9.8 %</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215.4</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2.7 %</w:t>
            </w:r>
          </w:p>
        </w:tc>
      </w:tr>
      <w:tr>
        <w:trPr>
          <w:trHeight w:val="16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Interest expense, net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15.2</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note repurchase</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Non-operating loss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158.0 %</w:t>
            </w:r>
          </w:p>
        </w:tc>
      </w:tr>
      <w:tr>
        <w:trPr>
          <w:trHeight w:val="16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r>
      <w:tr>
        <w:trPr>
          <w:trHeight w:val="16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w:t>
            </w:r>
          </w:p>
        </w:tc>
      </w:tr>
      <w:tr>
        <w:trPr>
          <w:trHeight w:val="18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r>
      <w:tr>
        <w:trPr>
          <w:trHeight w:val="167"/>
        </w:trPr>
        <w:tc>
          <w:tcPr>
            <w:tcW w:w="3020" w:type="dxa"/>
            <w:vAlign w:val="bottom"/>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30.6</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(13.8)%</w:t>
            </w:r>
          </w:p>
        </w:tc>
      </w:tr>
    </w:tbl>
    <w:p>
      <w:pPr>
        <w:spacing w:after="0" w:line="66" w:lineRule="exact"/>
        <w:rPr>
          <w:sz w:val="20"/>
          <w:szCs w:val="20"/>
          <w:color w:val="auto"/>
        </w:rPr>
      </w:pPr>
    </w:p>
    <w:p>
      <w:pPr>
        <w:ind w:left="220" w:hanging="215"/>
        <w:spacing w:after="0"/>
        <w:tabs>
          <w:tab w:leader="none" w:pos="22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 In addition, percentages may not add in total due to rounding.</w:t>
      </w:r>
    </w:p>
    <w:p>
      <w:pPr>
        <w:spacing w:after="0" w:line="16"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NM:</w:t>
      </w:r>
      <w:r>
        <w:rPr>
          <w:rFonts w:ascii="Arial" w:cs="Arial" w:eastAsia="Arial" w:hAnsi="Arial"/>
          <w:sz w:val="11"/>
          <w:szCs w:val="11"/>
          <w:color w:val="auto"/>
        </w:rPr>
        <w:t xml:space="preserve"> Not meaningful.</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product mix and lower volume related to market conditions.</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Gross profit as a percentage of revenue decreased primarily due to deleverage, higher warranty expense due to a favorable prior year trend and operational efficiency challenges, partially offset by cost containment efforts.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Operating expenses increased primarily due to increased amortization related to Lithionics intangible assets and strategic investments, partially offset by lower incentive-based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Interest expense, net decreased primarily due to higher interest income on short-term investments as a result of increased interest rates.</w:t>
      </w:r>
    </w:p>
    <w:p>
      <w:pPr>
        <w:spacing w:after="0" w:line="190"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color w:val="auto"/>
        </w:rPr>
        <w:t>The loss on note repurchase recorded in the nine months ended May 25, 2024 is related to the refinancing of the 2025 Convertible Notes. Refer to Note 9 in the Notes to Consolidated Financial Statements included in Item 1 of Part I of this Quarterly Report on Form 10-Q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increased primarily due to the impact of the non-deductible loss on note repurchase.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4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Non-GAAP Reconciliation</w:t>
            </w: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460" w:type="dxa"/>
            <w:vAlign w:val="bottom"/>
            <w:gridSpan w:val="6"/>
          </w:tcPr>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the nine months ended May 25, 2024 and May 27, 2023:</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216"/>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410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3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Arial" w:cs="Arial" w:eastAsia="Arial" w:hAnsi="Arial"/>
                <w:sz w:val="13"/>
                <w:szCs w:val="13"/>
                <w:b w:val="1"/>
                <w:bCs w:val="1"/>
                <w:color w:val="auto"/>
              </w:rPr>
              <w:t>May 25, 2024</w:t>
            </w:r>
          </w:p>
        </w:tc>
        <w:tc>
          <w:tcPr>
            <w:tcW w:w="300" w:type="dxa"/>
            <w:vAlign w:val="bottom"/>
          </w:tcPr>
          <w:p>
            <w:pPr>
              <w:spacing w:after="0"/>
              <w:rPr>
                <w:sz w:val="13"/>
                <w:szCs w:val="13"/>
                <w:color w:val="auto"/>
              </w:rPr>
            </w:pPr>
          </w:p>
        </w:tc>
        <w:tc>
          <w:tcPr>
            <w:tcW w:w="1520" w:type="dxa"/>
            <w:vAlign w:val="bottom"/>
          </w:tcPr>
          <w:p>
            <w:pPr>
              <w:jc w:val="right"/>
              <w:ind w:right="456"/>
              <w:spacing w:after="0"/>
              <w:rPr>
                <w:sz w:val="20"/>
                <w:szCs w:val="20"/>
                <w:color w:val="auto"/>
              </w:rPr>
            </w:pPr>
            <w:r>
              <w:rPr>
                <w:rFonts w:ascii="Arial" w:cs="Arial" w:eastAsia="Arial" w:hAnsi="Arial"/>
                <w:sz w:val="13"/>
                <w:szCs w:val="13"/>
                <w:b w:val="1"/>
                <w:bCs w:val="1"/>
                <w:color w:val="auto"/>
              </w:rPr>
              <w:t>May 27, 2023</w:t>
            </w:r>
          </w:p>
        </w:tc>
        <w:tc>
          <w:tcPr>
            <w:tcW w:w="0" w:type="dxa"/>
            <w:vAlign w:val="bottom"/>
          </w:tcPr>
          <w:p>
            <w:pPr>
              <w:spacing w:after="0"/>
              <w:rPr>
                <w:sz w:val="1"/>
                <w:szCs w:val="1"/>
                <w:color w:val="auto"/>
              </w:rPr>
            </w:pPr>
          </w:p>
        </w:tc>
      </w:tr>
      <w:tr>
        <w:trPr>
          <w:trHeight w:val="160"/>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7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69"/>
        </w:trPr>
        <w:tc>
          <w:tcPr>
            <w:tcW w:w="4100" w:type="dxa"/>
            <w:vAlign w:val="bottom"/>
            <w:gridSpan w:val="2"/>
          </w:tcPr>
          <w:p>
            <w:pPr>
              <w:ind w:left="20"/>
              <w:spacing w:after="0"/>
              <w:rPr>
                <w:sz w:val="20"/>
                <w:szCs w:val="20"/>
                <w:color w:val="auto"/>
              </w:rPr>
            </w:pPr>
            <w:r>
              <w:rPr>
                <w:rFonts w:ascii="Arial" w:cs="Arial" w:eastAsia="Arial" w:hAnsi="Arial"/>
                <w:sz w:val="13"/>
                <w:szCs w:val="13"/>
                <w:color w:val="auto"/>
              </w:rPr>
              <w:t>Interest expense, net</w:t>
            </w: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71"/>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69"/>
        </w:trPr>
        <w:tc>
          <w:tcPr>
            <w:tcW w:w="4100" w:type="dxa"/>
            <w:vAlign w:val="bottom"/>
            <w:gridSpan w:val="2"/>
          </w:tcPr>
          <w:p>
            <w:pPr>
              <w:ind w:left="20"/>
              <w:spacing w:after="0"/>
              <w:rPr>
                <w:sz w:val="20"/>
                <w:szCs w:val="20"/>
                <w:color w:val="auto"/>
              </w:rPr>
            </w:pPr>
            <w:r>
              <w:rPr>
                <w:rFonts w:ascii="Arial" w:cs="Arial" w:eastAsia="Arial" w:hAnsi="Arial"/>
                <w:sz w:val="13"/>
                <w:szCs w:val="13"/>
                <w:color w:val="auto"/>
              </w:rPr>
              <w:t>Depreciation</w:t>
            </w: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71"/>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34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9"/>
        </w:trPr>
        <w:tc>
          <w:tcPr>
            <w:tcW w:w="4100" w:type="dxa"/>
            <w:vAlign w:val="bottom"/>
            <w:gridSpan w:val="2"/>
          </w:tcPr>
          <w:p>
            <w:pPr>
              <w:ind w:left="120"/>
              <w:spacing w:after="0"/>
              <w:rPr>
                <w:sz w:val="20"/>
                <w:szCs w:val="20"/>
                <w:color w:val="auto"/>
              </w:rPr>
            </w:pPr>
            <w:r>
              <w:rPr>
                <w:rFonts w:ascii="Arial" w:cs="Arial" w:eastAsia="Arial" w:hAnsi="Arial"/>
                <w:sz w:val="13"/>
                <w:szCs w:val="13"/>
                <w:color w:val="auto"/>
              </w:rPr>
              <w:t>EBITDA</w:t>
            </w:r>
          </w:p>
        </w:tc>
        <w:tc>
          <w:tcPr>
            <w:tcW w:w="3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273.8</w:t>
            </w:r>
          </w:p>
        </w:tc>
        <w:tc>
          <w:tcPr>
            <w:tcW w:w="0" w:type="dxa"/>
            <w:vAlign w:val="bottom"/>
          </w:tcPr>
          <w:p>
            <w:pPr>
              <w:spacing w:after="0"/>
              <w:rPr>
                <w:sz w:val="1"/>
                <w:szCs w:val="1"/>
                <w:color w:val="auto"/>
              </w:rPr>
            </w:pPr>
          </w:p>
        </w:tc>
      </w:tr>
      <w:tr>
        <w:trPr>
          <w:trHeight w:val="171"/>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3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9"/>
        </w:trPr>
        <w:tc>
          <w:tcPr>
            <w:tcW w:w="4100" w:type="dxa"/>
            <w:vAlign w:val="bottom"/>
            <w:gridSpan w:val="2"/>
          </w:tcPr>
          <w:p>
            <w:pPr>
              <w:ind w:left="20"/>
              <w:spacing w:after="0"/>
              <w:rPr>
                <w:sz w:val="20"/>
                <w:szCs w:val="20"/>
                <w:color w:val="auto"/>
              </w:rPr>
            </w:pPr>
            <w:r>
              <w:rPr>
                <w:rFonts w:ascii="Arial" w:cs="Arial" w:eastAsia="Arial" w:hAnsi="Arial"/>
                <w:sz w:val="13"/>
                <w:szCs w:val="13"/>
                <w:color w:val="auto"/>
              </w:rPr>
              <w:t>Change in fair value of note receivable</w:t>
            </w: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Contingent consideration fair value adjustment</w:t>
            </w:r>
          </w:p>
        </w:tc>
        <w:tc>
          <w:tcPr>
            <w:tcW w:w="3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4100" w:type="dxa"/>
            <w:vAlign w:val="bottom"/>
            <w:gridSpan w:val="2"/>
          </w:tcPr>
          <w:p>
            <w:pPr>
              <w:ind w:left="20"/>
              <w:spacing w:after="0"/>
              <w:rPr>
                <w:sz w:val="20"/>
                <w:szCs w:val="20"/>
                <w:color w:val="auto"/>
              </w:rPr>
            </w:pPr>
            <w:r>
              <w:rPr>
                <w:rFonts w:ascii="Arial" w:cs="Arial" w:eastAsia="Arial" w:hAnsi="Arial"/>
                <w:sz w:val="13"/>
                <w:szCs w:val="13"/>
                <w:color w:val="auto"/>
              </w:rPr>
              <w:t>Loss on note repurchase</w:t>
            </w: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34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2"/>
        </w:trPr>
        <w:tc>
          <w:tcPr>
            <w:tcW w:w="4100" w:type="dxa"/>
            <w:vAlign w:val="bottom"/>
            <w:gridSpan w:val="2"/>
          </w:tcPr>
          <w:p>
            <w:pPr>
              <w:ind w:left="120"/>
              <w:spacing w:after="0"/>
              <w:rPr>
                <w:sz w:val="20"/>
                <w:szCs w:val="20"/>
                <w:color w:val="auto"/>
              </w:rPr>
            </w:pPr>
            <w:r>
              <w:rPr>
                <w:rFonts w:ascii="Arial" w:cs="Arial" w:eastAsia="Arial" w:hAnsi="Arial"/>
                <w:sz w:val="13"/>
                <w:szCs w:val="13"/>
                <w:color w:val="auto"/>
              </w:rPr>
              <w:t>Adjusted EBITDA</w:t>
            </w:r>
          </w:p>
        </w:tc>
        <w:tc>
          <w:tcPr>
            <w:tcW w:w="3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281.8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40" w:type="dxa"/>
            <w:vAlign w:val="bottom"/>
            <w:vMerge w:val="restart"/>
          </w:tcPr>
          <w:p>
            <w:pPr>
              <w:jc w:val="right"/>
              <w:ind w:right="1756"/>
              <w:spacing w:after="0"/>
              <w:rPr>
                <w:sz w:val="20"/>
                <w:szCs w:val="20"/>
                <w:color w:val="auto"/>
              </w:rPr>
            </w:pPr>
            <w:r>
              <w:rPr>
                <w:rFonts w:ascii="Arial" w:cs="Arial" w:eastAsia="Arial" w:hAnsi="Arial"/>
                <w:sz w:val="13"/>
                <w:szCs w:val="13"/>
                <w:color w:val="auto"/>
              </w:rPr>
              <w:t>29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5"/>
        </w:trPr>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00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RV segment for the nine months ended May 25, 2024 compared to the nine months ended May 27,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3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96"/>
              <w:spacing w:after="0" w:line="161" w:lineRule="exact"/>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1,001.8</w:t>
            </w:r>
          </w:p>
        </w:tc>
        <w:tc>
          <w:tcPr>
            <w:tcW w:w="17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1,073.9</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9"/>
        </w:trPr>
        <w:tc>
          <w:tcPr>
            <w:tcW w:w="30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101.8</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10.2 %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129.4</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12.0 %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213"/>
        </w:trPr>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41,841</w:t>
            </w:r>
          </w:p>
        </w:tc>
        <w:tc>
          <w:tcPr>
            <w:tcW w:w="170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46,018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(4,177)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244"/>
        </w:trPr>
        <w:tc>
          <w:tcPr>
            <w:tcW w:w="3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6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216"/>
              <w:spacing w:after="0" w:line="161"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6"/>
                <w:szCs w:val="16"/>
                <w:b w:val="1"/>
                <w:bCs w:val="1"/>
                <w:color w:val="auto"/>
                <w:vertAlign w:val="superscript"/>
              </w:rPr>
              <w:t>(3)</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216"/>
              <w:spacing w:after="0" w:line="161"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6"/>
                <w:szCs w:val="16"/>
                <w:b w:val="1"/>
                <w:bCs w:val="1"/>
                <w:color w:val="auto"/>
                <w:vertAlign w:val="superscript"/>
              </w:rPr>
              <w:t>(3)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6"/>
              </w:rPr>
              <w:t>Unit Change</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Change</w:t>
            </w:r>
          </w:p>
        </w:tc>
      </w:tr>
      <w:tr>
        <w:trPr>
          <w:trHeight w:val="160"/>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67.0 %</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68.8 %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6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7,869</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33.0 %</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7,293</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r>
      <w:tr>
        <w:trPr>
          <w:trHeight w:val="182"/>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Towable RV</w:t>
            </w: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23,856</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23,342</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8"/>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0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9"/>
        </w:trPr>
        <w:tc>
          <w:tcPr>
            <w:tcW w:w="3000" w:type="dxa"/>
            <w:vAlign w:val="bottom"/>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4,734</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5,297</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71"/>
        </w:trPr>
        <w:tc>
          <w:tcPr>
            <w:tcW w:w="3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17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r>
      <w:tr>
        <w:trPr>
          <w:trHeight w:val="170"/>
        </w:trPr>
        <w:tc>
          <w:tcPr>
            <w:tcW w:w="300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20,218</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bl>
    <w:p>
      <w:pPr>
        <w:spacing w:after="0" w:line="20" w:lineRule="exact"/>
        <w:rPr>
          <w:sz w:val="20"/>
          <w:szCs w:val="20"/>
          <w:color w:val="auto"/>
        </w:rPr>
      </w:pPr>
    </w:p>
    <w:p>
      <w:pPr>
        <w:ind w:left="220" w:hanging="215"/>
        <w:spacing w:after="0"/>
        <w:tabs>
          <w:tab w:leader="none" w:pos="220"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189" w:lineRule="auto"/>
        <w:tabs>
          <w:tab w:leader="none" w:pos="22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40" w:hanging="235"/>
        <w:spacing w:after="0" w:line="205" w:lineRule="auto"/>
        <w:tabs>
          <w:tab w:leader="none" w:pos="24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ind w:left="200" w:right="40" w:hanging="195"/>
        <w:spacing w:after="0" w:line="205" w:lineRule="auto"/>
        <w:tabs>
          <w:tab w:leader="none" w:pos="236"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a reduction in average selling price per unit related to product mix and targeted price reductions, partially offset by an increase in unit volume.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primarily due to deleverage and higher warranty expense due to a favorable prior year trend, partially offset by lower discounts and allowances.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due to current market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 RV</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Motorhome RV segment for the nine months ended May 25, 2024 compared to the nine months ended May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96"/>
              <w:spacing w:after="0" w:line="161" w:lineRule="exact"/>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971.8</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(270.6)</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60.7</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6.2 %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119.6</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9.6 %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(49.3)%</w:t>
            </w:r>
          </w:p>
        </w:tc>
      </w:tr>
      <w:tr>
        <w:trPr>
          <w:trHeight w:val="213"/>
        </w:trPr>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189,356</w:t>
            </w:r>
          </w:p>
        </w:tc>
        <w:tc>
          <w:tcPr>
            <w:tcW w:w="1660" w:type="dxa"/>
            <w:vAlign w:val="bottom"/>
            <w:gridSpan w:val="4"/>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182,326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7,030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3.9 %</w:t>
            </w:r>
          </w:p>
        </w:tc>
      </w:tr>
      <w:tr>
        <w:trPr>
          <w:trHeight w:val="244"/>
        </w:trPr>
        <w:tc>
          <w:tcPr>
            <w:tcW w:w="3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16"/>
              <w:spacing w:after="0" w:line="161"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6"/>
                <w:szCs w:val="16"/>
                <w:b w:val="1"/>
                <w:bCs w:val="1"/>
                <w:color w:val="auto"/>
                <w:vertAlign w:val="superscript"/>
              </w:rPr>
              <w:t>(3)</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96"/>
              <w:spacing w:after="0" w:line="161"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6"/>
                <w:szCs w:val="16"/>
                <w:b w:val="1"/>
                <w:bCs w:val="1"/>
                <w:color w:val="auto"/>
                <w:vertAlign w:val="superscript"/>
              </w:rPr>
              <w:t>(3)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9"/>
              </w:rPr>
              <w:t>Unit Change</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Change</w:t>
            </w:r>
          </w:p>
        </w:tc>
      </w:tr>
      <w:tr>
        <w:trPr>
          <w:trHeight w:val="16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24.3 %</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Class B</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1,815</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34.8 %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3,233</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47.5 %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(1,418)</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40.8 %</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15.8 %</w:t>
            </w:r>
          </w:p>
        </w:tc>
      </w:tr>
      <w:tr>
        <w:trPr>
          <w:trHeight w:val="162"/>
        </w:trPr>
        <w:tc>
          <w:tcPr>
            <w:tcW w:w="3020" w:type="dxa"/>
            <w:vAlign w:val="bottom"/>
          </w:tcPr>
          <w:p>
            <w:pPr>
              <w:ind w:left="120"/>
              <w:spacing w:after="0"/>
              <w:rPr>
                <w:sz w:val="20"/>
                <w:szCs w:val="20"/>
                <w:color w:val="auto"/>
              </w:rPr>
            </w:pPr>
            <w:r>
              <w:rPr>
                <w:rFonts w:ascii="Arial" w:cs="Arial" w:eastAsia="Arial" w:hAnsi="Arial"/>
                <w:sz w:val="13"/>
                <w:szCs w:val="13"/>
                <w:color w:val="auto"/>
              </w:rPr>
              <w:t>Total Motorhome RV</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5,212</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6,804</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(1,592)</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9"/>
        </w:trPr>
        <w:tc>
          <w:tcPr>
            <w:tcW w:w="3020" w:type="dxa"/>
            <w:vAlign w:val="bottom"/>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1,596</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4,595</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(2,999)</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(65.3)%</w:t>
            </w:r>
          </w:p>
        </w:tc>
      </w:tr>
      <w:tr>
        <w:trPr>
          <w:trHeight w:val="171"/>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354.9</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4,386</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bl>
    <w:p>
      <w:pPr>
        <w:spacing w:after="0" w:line="10" w:lineRule="exact"/>
        <w:rPr>
          <w:sz w:val="20"/>
          <w:szCs w:val="20"/>
          <w:color w:val="auto"/>
        </w:rPr>
      </w:pPr>
    </w:p>
    <w:p>
      <w:pPr>
        <w:ind w:left="220" w:hanging="215"/>
        <w:spacing w:after="0"/>
        <w:tabs>
          <w:tab w:leader="none" w:pos="220"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205" w:lineRule="auto"/>
        <w:tabs>
          <w:tab w:leader="none" w:pos="22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40" w:hanging="235"/>
        <w:spacing w:after="0" w:line="205" w:lineRule="auto"/>
        <w:tabs>
          <w:tab w:leader="none" w:pos="24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ind w:left="200" w:hanging="195"/>
        <w:spacing w:after="0" w:line="205" w:lineRule="auto"/>
        <w:tabs>
          <w:tab w:leader="none" w:pos="236"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156" w:lineRule="exact"/>
        <w:rPr>
          <w:sz w:val="20"/>
          <w:szCs w:val="20"/>
          <w:color w:val="auto"/>
        </w:rPr>
      </w:pPr>
    </w:p>
    <w:p>
      <w:pPr>
        <w:ind w:right="480"/>
        <w:spacing w:after="0" w:line="266" w:lineRule="auto"/>
        <w:rPr>
          <w:sz w:val="20"/>
          <w:szCs w:val="20"/>
          <w:color w:val="auto"/>
        </w:rPr>
      </w:pPr>
      <w:r>
        <w:rPr>
          <w:rFonts w:ascii="Arial" w:cs="Arial" w:eastAsia="Arial" w:hAnsi="Arial"/>
          <w:sz w:val="13"/>
          <w:szCs w:val="13"/>
          <w:color w:val="auto"/>
        </w:rPr>
        <w:t>Net revenues decreased primarily due to a decline in unit volume related to market conditions and higher levels of discounts and allowances, partially offset by price increases related to higher motorized chassis cost.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margin decreased due to deleverage, higher discounts and allowances, higher warranty expense and operational efficiency challenges, partially offset by cost containment efforts.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due to current market conditions and a cautious dealer network.</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Marine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Marine segment for the nine months ended May 25, 2024 compared to the nine months ended May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16"/>
              <w:spacing w:after="0" w:line="161"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96"/>
              <w:spacing w:after="0" w:line="161" w:lineRule="exact"/>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w:t>
            </w: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373.3</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8.2 %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50.2</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13.5 %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213"/>
        </w:trPr>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80,819</w:t>
            </w:r>
          </w:p>
        </w:tc>
        <w:tc>
          <w:tcPr>
            <w:tcW w:w="16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82,582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(1,763)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44"/>
        </w:trPr>
        <w:tc>
          <w:tcPr>
            <w:tcW w:w="3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6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160" w:type="dxa"/>
            <w:vAlign w:val="bottom"/>
          </w:tcPr>
          <w:p>
            <w:pPr>
              <w:spacing w:after="0"/>
              <w:rPr>
                <w:sz w:val="13"/>
                <w:szCs w:val="13"/>
                <w:color w:val="auto"/>
              </w:rPr>
            </w:pPr>
          </w:p>
        </w:tc>
        <w:tc>
          <w:tcPr>
            <w:tcW w:w="1100" w:type="dxa"/>
            <w:vAlign w:val="bottom"/>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Unit Change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 Change</w:t>
            </w:r>
          </w:p>
        </w:tc>
      </w:tr>
      <w:tr>
        <w:trPr>
          <w:trHeight w:val="185"/>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6"/>
              <w:spacing w:after="0"/>
              <w:rPr>
                <w:sz w:val="20"/>
                <w:szCs w:val="20"/>
                <w:color w:val="auto"/>
              </w:rPr>
            </w:pPr>
            <w:r>
              <w:rPr>
                <w:rFonts w:ascii="Arial" w:cs="Arial" w:eastAsia="Arial" w:hAnsi="Arial"/>
                <w:sz w:val="13"/>
                <w:szCs w:val="13"/>
                <w:b w:val="1"/>
                <w:bCs w:val="1"/>
                <w:color w:val="auto"/>
              </w:rPr>
              <w:t>May 25, 2024</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May 27, 2023</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r>
      <w:tr>
        <w:trPr>
          <w:trHeight w:val="160"/>
        </w:trPr>
        <w:tc>
          <w:tcPr>
            <w:tcW w:w="30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(3)</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9"/>
        </w:trPr>
        <w:tc>
          <w:tcPr>
            <w:tcW w:w="3020" w:type="dxa"/>
            <w:vAlign w:val="bottom"/>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642</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(706)</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1"/>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r>
      <w:tr>
        <w:trPr>
          <w:trHeight w:val="170"/>
        </w:trPr>
        <w:tc>
          <w:tcPr>
            <w:tcW w:w="3020" w:type="dxa"/>
            <w:vAlign w:val="bottom"/>
          </w:tcPr>
          <w:p>
            <w:pPr>
              <w:ind w:left="20"/>
              <w:spacing w:after="0" w:line="170" w:lineRule="exact"/>
              <w:rPr>
                <w:sz w:val="20"/>
                <w:szCs w:val="20"/>
                <w:color w:val="auto"/>
              </w:rPr>
            </w:pPr>
            <w:r>
              <w:rPr>
                <w:rFonts w:ascii="Arial" w:cs="Arial" w:eastAsia="Arial" w:hAnsi="Arial"/>
                <w:sz w:val="13"/>
                <w:szCs w:val="13"/>
                <w:b w:val="1"/>
                <w:bCs w:val="1"/>
                <w:color w:val="auto"/>
              </w:rPr>
              <w:t>Dealer Inventory</w:t>
            </w:r>
            <w:r>
              <w:rPr>
                <w:rFonts w:ascii="Arial" w:cs="Arial" w:eastAsia="Arial" w:hAnsi="Arial"/>
                <w:sz w:val="16"/>
                <w:szCs w:val="16"/>
                <w:b w:val="1"/>
                <w:bCs w:val="1"/>
                <w:color w:val="auto"/>
                <w:vertAlign w:val="superscript"/>
              </w:rPr>
              <w:t>(4)</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3,400</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4,109</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bl>
    <w:p>
      <w:pPr>
        <w:spacing w:after="0" w:line="10" w:lineRule="exact"/>
        <w:rPr>
          <w:sz w:val="20"/>
          <w:szCs w:val="20"/>
          <w:color w:val="auto"/>
        </w:rPr>
      </w:pPr>
    </w:p>
    <w:p>
      <w:pPr>
        <w:ind w:left="220" w:hanging="215"/>
        <w:spacing w:after="0"/>
        <w:tabs>
          <w:tab w:leader="none" w:pos="220"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205" w:lineRule="auto"/>
        <w:tabs>
          <w:tab w:leader="none" w:pos="220" w:val="left"/>
        </w:tabs>
        <w:numPr>
          <w:ilvl w:val="0"/>
          <w:numId w:val="15"/>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00" w:right="40" w:hanging="195"/>
        <w:spacing w:after="0" w:line="197" w:lineRule="auto"/>
        <w:tabs>
          <w:tab w:leader="none" w:pos="236"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40" w:hanging="235"/>
        <w:spacing w:after="0" w:line="180" w:lineRule="auto"/>
        <w:tabs>
          <w:tab w:leader="none" w:pos="240" w:val="left"/>
        </w:tabs>
        <w:numPr>
          <w:ilvl w:val="0"/>
          <w:numId w:val="15"/>
        </w:numPr>
        <w:rPr>
          <w:rFonts w:ascii="Arial" w:cs="Arial" w:eastAsia="Arial" w:hAnsi="Arial"/>
          <w:sz w:val="16"/>
          <w:szCs w:val="16"/>
          <w:color w:val="auto"/>
          <w:vertAlign w:val="superscript"/>
        </w:rPr>
      </w:pPr>
      <w:r>
        <w:rPr>
          <w:rFonts w:ascii="Arial" w:cs="Arial" w:eastAsia="Arial" w:hAnsi="Arial"/>
          <w:sz w:val="11"/>
          <w:szCs w:val="11"/>
          <w:color w:val="auto"/>
        </w:rPr>
        <w:t>Due to the nature of the Marine industry, this amount includes a higher proportion of retail sold units than our other segments.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a decline in unit volume related to market conditions and product mix.</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deleverage and operational efficiency challenges, partially offset by lower incentive-based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20"/>
                <w:szCs w:val="20"/>
                <w:color w:val="auto"/>
              </w:rPr>
            </w:pPr>
            <w:r>
              <w:rPr>
                <w:rFonts w:ascii="Arial" w:cs="Arial" w:eastAsia="Arial" w:hAnsi="Arial"/>
                <w:sz w:val="13"/>
                <w:szCs w:val="13"/>
                <w:color w:val="auto"/>
              </w:rPr>
              <w:t>Backlog decreased primarily driven by a cautious dealer network.</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6"/>
        </w:trPr>
        <w:tc>
          <w:tcPr>
            <w:tcW w:w="7440" w:type="dxa"/>
            <w:vAlign w:val="bottom"/>
          </w:tcPr>
          <w:p>
            <w:pPr>
              <w:spacing w:after="0"/>
              <w:rPr>
                <w:sz w:val="20"/>
                <w:szCs w:val="20"/>
                <w:color w:val="auto"/>
              </w:rPr>
            </w:pPr>
            <w:r>
              <w:rPr>
                <w:rFonts w:ascii="Arial" w:cs="Arial" w:eastAsia="Arial" w:hAnsi="Arial"/>
                <w:sz w:val="13"/>
                <w:szCs w:val="13"/>
                <w:b w:val="1"/>
                <w:bCs w:val="1"/>
                <w:color w:val="auto"/>
              </w:rPr>
              <w:t>Analysis of Financial Condition, Liquidity, and Resources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6"/>
        </w:trPr>
        <w:tc>
          <w:tcPr>
            <w:tcW w:w="7440" w:type="dxa"/>
            <w:vAlign w:val="bottom"/>
          </w:tcPr>
          <w:p>
            <w:pPr>
              <w:spacing w:after="0"/>
              <w:rPr>
                <w:sz w:val="20"/>
                <w:szCs w:val="20"/>
                <w:color w:val="auto"/>
              </w:rPr>
            </w:pPr>
            <w:r>
              <w:rPr>
                <w:rFonts w:ascii="Arial" w:cs="Arial" w:eastAsia="Arial" w:hAnsi="Arial"/>
                <w:sz w:val="13"/>
                <w:szCs w:val="13"/>
                <w:b w:val="1"/>
                <w:bCs w:val="1"/>
                <w:i w:val="1"/>
                <w:iCs w:val="1"/>
                <w:color w:val="auto"/>
              </w:rPr>
              <w:t>Cash Flows</w:t>
            </w:r>
          </w:p>
        </w:tc>
        <w:tc>
          <w:tcPr>
            <w:tcW w:w="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8"/>
        </w:trPr>
        <w:tc>
          <w:tcPr>
            <w:tcW w:w="7440" w:type="dxa"/>
            <w:vAlign w:val="bottom"/>
          </w:tcPr>
          <w:p>
            <w:pPr>
              <w:spacing w:after="0"/>
              <w:rPr>
                <w:sz w:val="20"/>
                <w:szCs w:val="20"/>
                <w:color w:val="auto"/>
              </w:rPr>
            </w:pPr>
            <w:r>
              <w:rPr>
                <w:rFonts w:ascii="Arial" w:cs="Arial" w:eastAsia="Arial" w:hAnsi="Arial"/>
                <w:sz w:val="13"/>
                <w:szCs w:val="13"/>
                <w:color w:val="auto"/>
              </w:rPr>
              <w:t>The following table summarizes our cash flows from operations: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83"/>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320" w:type="dxa"/>
            <w:vAlign w:val="bottom"/>
            <w:tcBorders>
              <w:bottom w:val="single" w:sz="8" w:color="auto"/>
            </w:tcBorders>
          </w:tcPr>
          <w:p>
            <w:pPr>
              <w:spacing w:after="0"/>
              <w:rPr>
                <w:sz w:val="15"/>
                <w:szCs w:val="15"/>
                <w:color w:val="auto"/>
              </w:rPr>
            </w:pPr>
          </w:p>
        </w:tc>
      </w:tr>
      <w:tr>
        <w:trPr>
          <w:trHeight w:val="160"/>
        </w:trPr>
        <w:tc>
          <w:tcPr>
            <w:tcW w:w="74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300" w:type="dxa"/>
            <w:vAlign w:val="bottom"/>
          </w:tcPr>
          <w:p>
            <w:pPr>
              <w:spacing w:after="0"/>
              <w:rPr>
                <w:sz w:val="13"/>
                <w:szCs w:val="13"/>
                <w:color w:val="auto"/>
              </w:rPr>
            </w:pPr>
          </w:p>
        </w:tc>
        <w:tc>
          <w:tcPr>
            <w:tcW w:w="1660" w:type="dxa"/>
            <w:vAlign w:val="bottom"/>
            <w:gridSpan w:val="2"/>
          </w:tcPr>
          <w:p>
            <w:pPr>
              <w:ind w:left="240"/>
              <w:spacing w:after="0"/>
              <w:rPr>
                <w:sz w:val="20"/>
                <w:szCs w:val="20"/>
                <w:color w:val="auto"/>
              </w:rPr>
            </w:pPr>
            <w:r>
              <w:rPr>
                <w:rFonts w:ascii="Arial" w:cs="Arial" w:eastAsia="Arial" w:hAnsi="Arial"/>
                <w:sz w:val="13"/>
                <w:szCs w:val="13"/>
                <w:b w:val="1"/>
                <w:bCs w:val="1"/>
                <w:color w:val="auto"/>
              </w:rPr>
              <w:t>May 25, 2024</w:t>
            </w:r>
          </w:p>
        </w:tc>
        <w:tc>
          <w:tcPr>
            <w:tcW w:w="560" w:type="dxa"/>
            <w:vAlign w:val="bottom"/>
          </w:tcPr>
          <w:p>
            <w:pPr>
              <w:spacing w:after="0"/>
              <w:rPr>
                <w:sz w:val="13"/>
                <w:szCs w:val="13"/>
                <w:color w:val="auto"/>
              </w:rPr>
            </w:pPr>
          </w:p>
        </w:tc>
        <w:tc>
          <w:tcPr>
            <w:tcW w:w="1320" w:type="dxa"/>
            <w:vAlign w:val="bottom"/>
          </w:tcPr>
          <w:p>
            <w:pPr>
              <w:jc w:val="right"/>
              <w:ind w:right="476"/>
              <w:spacing w:after="0"/>
              <w:rPr>
                <w:sz w:val="20"/>
                <w:szCs w:val="20"/>
                <w:color w:val="auto"/>
              </w:rPr>
            </w:pPr>
            <w:r>
              <w:rPr>
                <w:rFonts w:ascii="Arial" w:cs="Arial" w:eastAsia="Arial" w:hAnsi="Arial"/>
                <w:sz w:val="13"/>
                <w:szCs w:val="13"/>
                <w:b w:val="1"/>
                <w:bCs w:val="1"/>
                <w:color w:val="auto"/>
                <w:w w:val="95"/>
              </w:rPr>
              <w:t>May 27, 2023</w:t>
            </w:r>
          </w:p>
        </w:tc>
      </w:tr>
      <w:tr>
        <w:trPr>
          <w:trHeight w:val="16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cash provided by (used in):</w:t>
            </w:r>
          </w:p>
        </w:tc>
        <w:tc>
          <w:tcPr>
            <w:tcW w:w="3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9"/>
        </w:trPr>
        <w:tc>
          <w:tcPr>
            <w:tcW w:w="7440" w:type="dxa"/>
            <w:vAlign w:val="bottom"/>
          </w:tcPr>
          <w:p>
            <w:pPr>
              <w:ind w:left="120"/>
              <w:spacing w:after="0"/>
              <w:rPr>
                <w:sz w:val="20"/>
                <w:szCs w:val="20"/>
                <w:color w:val="auto"/>
              </w:rPr>
            </w:pPr>
            <w:r>
              <w:rPr>
                <w:rFonts w:ascii="Arial" w:cs="Arial" w:eastAsia="Arial" w:hAnsi="Arial"/>
                <w:sz w:val="13"/>
                <w:szCs w:val="13"/>
                <w:color w:val="auto"/>
              </w:rPr>
              <w:t>Operating activities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103.2</w:t>
            </w:r>
          </w:p>
        </w:tc>
        <w:tc>
          <w:tcPr>
            <w:tcW w:w="100" w:type="dxa"/>
            <w:vAlign w:val="bottom"/>
          </w:tcPr>
          <w:p>
            <w:pPr>
              <w:spacing w:after="0"/>
              <w:rPr>
                <w:sz w:val="14"/>
                <w:szCs w:val="14"/>
                <w:color w:val="auto"/>
              </w:rPr>
            </w:pPr>
          </w:p>
        </w:tc>
        <w:tc>
          <w:tcPr>
            <w:tcW w:w="5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156.4</w:t>
            </w:r>
          </w:p>
        </w:tc>
      </w:tr>
      <w:tr>
        <w:trPr>
          <w:trHeight w:val="171"/>
        </w:trPr>
        <w:tc>
          <w:tcPr>
            <w:tcW w:w="7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Investing activities</w:t>
            </w: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(154.4)</w:t>
            </w:r>
          </w:p>
        </w:tc>
      </w:tr>
      <w:tr>
        <w:trPr>
          <w:trHeight w:val="169"/>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Financing activities</w:t>
            </w: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r>
      <w:tr>
        <w:trPr>
          <w:trHeight w:val="18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decrease in cash and cash equivalents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82"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During the nine months ended May 25, 2024, net cash provided by operating activities was $103.2 million compared to net cash provided by operating activities of $156.4 million in the same period last year. The decrease in operating cash flow is primarily driven by lower profitability adjusted for non-cash items and an increase in accounts receivable due to timing of invoicing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collections, partially offset by favorable changes in accounts payable due to lower purchasing requirements and timing of payments.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9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Cash used in investing activities decreased primarily due to our acquisition of Lithionics during the third quarter of Fiscal 2023 and elevated capital expenditures in the first nine months of Fiscal 2023 to support operational expansion and organic growth.</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Cash used in financing activities increased primarily due to higher share repurchases compared to prior year, partially offset by $39.1 million of net cash proceeds related to the debt refinancing.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and Capital</w:t>
      </w:r>
    </w:p>
    <w:p>
      <w:pPr>
        <w:spacing w:after="0" w:line="95"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We maintain a $350.0 million asset-based revolving credit facility ("ABL Credit Facility") with a maturity date of July 15, 2027, subject to certain factors which may accelerate the maturity date. As of May 25, 2024, we had no borrowings against the ABL Credit Facility.</w:t>
      </w:r>
    </w:p>
    <w:p>
      <w:pPr>
        <w:spacing w:after="0" w:line="167" w:lineRule="exact"/>
        <w:rPr>
          <w:sz w:val="20"/>
          <w:szCs w:val="20"/>
          <w:color w:val="auto"/>
        </w:rPr>
      </w:pPr>
    </w:p>
    <w:p>
      <w:pPr>
        <w:jc w:val="both"/>
        <w:ind w:right="280"/>
        <w:spacing w:after="0" w:line="266" w:lineRule="auto"/>
        <w:rPr>
          <w:sz w:val="20"/>
          <w:szCs w:val="20"/>
          <w:color w:val="auto"/>
        </w:rPr>
      </w:pPr>
      <w:r>
        <w:rPr>
          <w:rFonts w:ascii="Arial" w:cs="Arial" w:eastAsia="Arial" w:hAnsi="Arial"/>
          <w:sz w:val="13"/>
          <w:szCs w:val="13"/>
          <w:color w:val="auto"/>
        </w:rPr>
        <w:t>As of May 25, 2024, we had $318.1 million in cash and cash equivalents and $350.0 million in unused ABL Credit Facility. Our cash and cash equivalent balances consist of high quality, short-term money market instruments.</w:t>
      </w:r>
    </w:p>
    <w:p>
      <w:pPr>
        <w:spacing w:after="0" w:line="157" w:lineRule="exact"/>
        <w:rPr>
          <w:sz w:val="20"/>
          <w:szCs w:val="20"/>
          <w:color w:val="auto"/>
        </w:rPr>
      </w:pPr>
    </w:p>
    <w:p>
      <w:pPr>
        <w:jc w:val="both"/>
        <w:ind w:right="280"/>
        <w:spacing w:after="0" w:line="261" w:lineRule="auto"/>
        <w:rPr>
          <w:sz w:val="20"/>
          <w:szCs w:val="20"/>
          <w:color w:val="auto"/>
        </w:rPr>
      </w:pPr>
      <w:r>
        <w:rPr>
          <w:rFonts w:ascii="Arial" w:cs="Arial" w:eastAsia="Arial" w:hAnsi="Arial"/>
          <w:sz w:val="13"/>
          <w:szCs w:val="13"/>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2025 Convertible Notes, the Senior Secured Notes, and the ABL Credit Facility, and will continue to monitor counterparty risk on an on-going basis.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Working Capital</w:t>
      </w:r>
    </w:p>
    <w:p>
      <w:pPr>
        <w:spacing w:after="0" w:line="95"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Working capital at May 25, 2024 and August 26, 2023 was $581.9 million and $600.7 million, respectively. We currently expect cash on hand, funds generated from operations, and the borrowing available under our ABL Credit Facility to be sufficient to cover both short-term and long-term operating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84" w:lineRule="exact"/>
        <w:rPr>
          <w:sz w:val="20"/>
          <w:szCs w:val="20"/>
          <w:color w:val="auto"/>
        </w:rPr>
      </w:pPr>
    </w:p>
    <w:p>
      <w:pPr>
        <w:ind w:right="180"/>
        <w:spacing w:after="0" w:line="309" w:lineRule="auto"/>
        <w:rPr>
          <w:sz w:val="20"/>
          <w:szCs w:val="20"/>
          <w:color w:val="auto"/>
        </w:rPr>
      </w:pPr>
      <w:r>
        <w:rPr>
          <w:rFonts w:ascii="Arial" w:cs="Arial" w:eastAsia="Arial" w:hAnsi="Arial"/>
          <w:sz w:val="12"/>
          <w:szCs w:val="12"/>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43"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On August 17, 2022, our Board of Directors authorized a new share repurchase program in the amount of $350.0 million with no time restriction on the authorization, which took effect immediately and replaced the prior program. In the nine months ended May 25, 2024, we repurchased approximately 989,000 shares of our own common stock at a cost of $60.0 million under this authorization, and approximately 74,000 shares at a cost of $4.3 million to satisfy tax obligations on employee equity awards vested. We continually evaluate if share repurchases reflect a prudent use of our capital and, subject to compliance with our ABL Credit Facility and Senior Secured Notes, we may purchase shares in the future. As of May 25, 2024, we have $240.0 million remaining on our Board approved repurchase authorization.</w:t>
      </w:r>
    </w:p>
    <w:p>
      <w:pPr>
        <w:spacing w:after="0" w:line="179"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auto"/>
        </w:rPr>
        <w:t>On May 15, 2024, our Board of Directors approved a quarterly cash dividend of $0.31 per share payable on June 26, 2024, to common stockholders of record at the close of business on June 12, 2024.</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84"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There have been no material changes in our contractual obligations since the end of Fiscal 2023. See our Annual Report on Form 10-K for the fiscal year ended August 26, 2023 for additional information regarding our contractual obligations and commercial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describe our critical accounting policies in Note 1 in the Notes to Consolidated Financial Statements included in Item 8 of Part II of our Annual Report on Form 10-K for the fiscal year</w:t>
      </w:r>
    </w:p>
    <w:p>
      <w:pPr>
        <w:spacing w:after="0" w:line="18" w:lineRule="exact"/>
        <w:rPr>
          <w:sz w:val="20"/>
          <w:szCs w:val="20"/>
          <w:color w:val="auto"/>
        </w:rPr>
      </w:pPr>
    </w:p>
    <w:p>
      <w:pPr>
        <w:ind w:right="280"/>
        <w:spacing w:after="0" w:line="253" w:lineRule="auto"/>
        <w:rPr>
          <w:sz w:val="20"/>
          <w:szCs w:val="20"/>
          <w:color w:val="auto"/>
        </w:rPr>
      </w:pPr>
      <w:r>
        <w:rPr>
          <w:rFonts w:ascii="Arial" w:cs="Arial" w:eastAsia="Arial" w:hAnsi="Arial"/>
          <w:sz w:val="13"/>
          <w:szCs w:val="13"/>
          <w:color w:val="auto"/>
        </w:rPr>
        <w:t>ended August 26, 2023. We discuss our critical accounting estimates in Item 7 of Part II of our Annual Report on Form 10-K for the fiscal year ended August 26, 2023. There have been no material changes to our critical accounting policies or critical accounting estimates since the end of Fiscal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For a summary of recently issued applicable accounting pronouncements, see Note 1 in the Notes to Consolidated Financial Statements included in Item 1 of Part I of this Quarterly Report on Form 10-Q.</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 Under the Private Securities Litigation Reform Act</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26, 2023,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1"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economic uncertainty in key markets and a worsening of domestic and global economic conditions or low levels of economic growth.</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Availability of financing for RV and marine dealers.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Competition and new product introductions by competitors.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innovate and commercialize new products.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manage our inventory to meet demand.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 related to cyclicality and seasonality of our business.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 related to independent dealers.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 related to dealer consolidation or the loss of a significant dealer.</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increase in repurchase obligations.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retain relationships with our suppliers and obtain components.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Business or production disruptions.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Inadequate management of dealer inventory levels.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material and component costs, including availability and price of fuel and other raw materials.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integrate mergers and acquisitions.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attract and retain qualified personnel and changes in market compensation rates.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Exposure to warranty claims.</w:t>
      </w:r>
    </w:p>
    <w:p>
      <w:pPr>
        <w:ind w:left="520" w:right="640" w:hanging="260"/>
        <w:spacing w:after="0" w:line="246"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protect our information technology systems from data security, cyberattacks, and network disruption risks and the ability to successfully upgrade and evolve our information technology systems.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Ability to retain brand reputation and related exposure to product liability claims.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Governmental regulation, including for climate change.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attention to environmental, social, and governance ("ESG") matters, and our ability to meet our commitments.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 of goodwill and trade names.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related to our 2025 Convertible Notes, 2030 Convertible Notes and Senior Secured Notes, including our ability to satisfy our obligations under these notes.</w:t>
      </w:r>
    </w:p>
    <w:p>
      <w:pPr>
        <w:spacing w:after="0" w:line="182"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84"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ABL Credit Facility, which is our only floating rate debt instrument, remains undrawn as of May 25, 2024.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93"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Internal Control Over Financial Reporting</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There were no changes in our internal control over financial reporting that occurred during the third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For a description of our legal proceedings, see Note 11 in the Notes to Consolidated Financial Statements included in Item 1 of Part I of this Quarterly Report on Form 10-Q.</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There have been no material changes from the risk factors previously disclosed in Part I, Item 1A, </w:t>
      </w:r>
      <w:r>
        <w:rPr>
          <w:rFonts w:ascii="Arial" w:cs="Arial" w:eastAsia="Arial" w:hAnsi="Arial"/>
          <w:sz w:val="13"/>
          <w:szCs w:val="13"/>
          <w:i w:val="1"/>
          <w:iCs w:val="1"/>
          <w:color w:val="auto"/>
        </w:rPr>
        <w:t>Risk Factors</w:t>
      </w:r>
      <w:r>
        <w:rPr>
          <w:rFonts w:ascii="Arial" w:cs="Arial" w:eastAsia="Arial" w:hAnsi="Arial"/>
          <w:sz w:val="13"/>
          <w:szCs w:val="13"/>
          <w:color w:val="auto"/>
        </w:rPr>
        <w:t>, of our Annual Report on Form 10-K for the fiscal year ended August 26,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(c) Stock Repurchases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Purchases of our common stock during each fiscal month of the third quarter of Fiscal 2024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 Shares</w:t>
            </w:r>
          </w:p>
        </w:tc>
        <w:tc>
          <w:tcPr>
            <w:tcW w:w="13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Average Price Paid</w:t>
            </w:r>
          </w:p>
        </w:tc>
        <w:tc>
          <w:tcPr>
            <w:tcW w:w="27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Total Number of Shares Purchased as Part of</w:t>
            </w:r>
          </w:p>
        </w:tc>
        <w:tc>
          <w:tcPr>
            <w:tcW w:w="2880" w:type="dxa"/>
            <w:vAlign w:val="bottom"/>
            <w:gridSpan w:val="2"/>
          </w:tcPr>
          <w:p>
            <w:pPr>
              <w:ind w:left="120"/>
              <w:spacing w:after="0"/>
              <w:rPr>
                <w:sz w:val="20"/>
                <w:szCs w:val="20"/>
                <w:color w:val="auto"/>
              </w:rPr>
            </w:pPr>
            <w:r>
              <w:rPr>
                <w:rFonts w:ascii="Arial" w:cs="Arial" w:eastAsia="Arial" w:hAnsi="Arial"/>
                <w:sz w:val="13"/>
                <w:szCs w:val="13"/>
                <w:b w:val="1"/>
                <w:bCs w:val="1"/>
                <w:color w:val="auto"/>
                <w:w w:val="97"/>
              </w:rPr>
              <w:t>Approximate Dollar Value of Shares That May</w:t>
            </w:r>
          </w:p>
        </w:tc>
        <w:tc>
          <w:tcPr>
            <w:tcW w:w="0" w:type="dxa"/>
            <w:vAlign w:val="bottom"/>
          </w:tcPr>
          <w:p>
            <w:pPr>
              <w:spacing w:after="0"/>
              <w:rPr>
                <w:sz w:val="1"/>
                <w:szCs w:val="1"/>
                <w:color w:val="auto"/>
              </w:rPr>
            </w:pPr>
          </w:p>
        </w:tc>
      </w:tr>
      <w:tr>
        <w:trPr>
          <w:trHeight w:val="127"/>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tcPr>
          <w:p>
            <w:pPr>
              <w:jc w:val="right"/>
              <w:ind w:right="196"/>
              <w:spacing w:after="0" w:line="128" w:lineRule="exact"/>
              <w:rPr>
                <w:sz w:val="20"/>
                <w:szCs w:val="20"/>
                <w:color w:val="auto"/>
              </w:rPr>
            </w:pPr>
            <w:r>
              <w:rPr>
                <w:rFonts w:ascii="Arial" w:cs="Arial" w:eastAsia="Arial" w:hAnsi="Arial"/>
                <w:sz w:val="13"/>
                <w:szCs w:val="13"/>
                <w:b w:val="1"/>
                <w:bCs w:val="1"/>
                <w:color w:val="auto"/>
              </w:rPr>
              <w:t>Yet Be Purchased Under the Plans or</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ind w:right="296"/>
              <w:spacing w:after="0" w:line="170"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6"/>
                <w:szCs w:val="16"/>
                <w:b w:val="1"/>
                <w:bCs w:val="1"/>
                <w:color w:val="auto"/>
                <w:vertAlign w:val="superscript"/>
              </w:rPr>
              <w:t>(1,2)</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per Share</w:t>
            </w:r>
          </w:p>
        </w:tc>
        <w:tc>
          <w:tcPr>
            <w:tcW w:w="2760" w:type="dxa"/>
            <w:vAlign w:val="bottom"/>
            <w:tcBorders>
              <w:bottom w:val="single" w:sz="8" w:color="auto"/>
            </w:tcBorders>
          </w:tcPr>
          <w:p>
            <w:pPr>
              <w:jc w:val="right"/>
              <w:ind w:right="36"/>
              <w:spacing w:after="0" w:line="170" w:lineRule="exact"/>
              <w:rPr>
                <w:sz w:val="20"/>
                <w:szCs w:val="20"/>
                <w:color w:val="auto"/>
              </w:rPr>
            </w:pPr>
            <w:r>
              <w:rPr>
                <w:rFonts w:ascii="Arial" w:cs="Arial" w:eastAsia="Arial" w:hAnsi="Arial"/>
                <w:sz w:val="13"/>
                <w:szCs w:val="13"/>
                <w:b w:val="1"/>
                <w:bCs w:val="1"/>
                <w:color w:val="auto"/>
                <w:w w:val="99"/>
              </w:rPr>
              <w:t>Publicly Announced Plans or Programs</w:t>
            </w:r>
            <w:r>
              <w:rPr>
                <w:rFonts w:ascii="Arial" w:cs="Arial" w:eastAsia="Arial" w:hAnsi="Arial"/>
                <w:sz w:val="16"/>
                <w:szCs w:val="16"/>
                <w:b w:val="1"/>
                <w:bCs w:val="1"/>
                <w:color w:val="auto"/>
                <w:w w:val="99"/>
                <w:vertAlign w:val="superscript"/>
              </w:rPr>
              <w:t>(1,2)</w:t>
            </w: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jc w:val="right"/>
              <w:ind w:right="676"/>
              <w:spacing w:after="0" w:line="170" w:lineRule="exact"/>
              <w:rPr>
                <w:sz w:val="20"/>
                <w:szCs w:val="20"/>
                <w:color w:val="auto"/>
              </w:rPr>
            </w:pPr>
            <w:r>
              <w:rPr>
                <w:rFonts w:ascii="Arial" w:cs="Arial" w:eastAsia="Arial" w:hAnsi="Arial"/>
                <w:sz w:val="13"/>
                <w:szCs w:val="13"/>
                <w:b w:val="1"/>
                <w:bCs w:val="1"/>
                <w:color w:val="auto"/>
              </w:rPr>
              <w:t>Programs</w:t>
            </w:r>
            <w:r>
              <w:rPr>
                <w:rFonts w:ascii="Arial" w:cs="Arial" w:eastAsia="Arial" w:hAnsi="Arial"/>
                <w:sz w:val="16"/>
                <w:szCs w:val="16"/>
                <w:b w:val="1"/>
                <w:bCs w:val="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1"/>
                <w:szCs w:val="11"/>
                <w:color w:val="auto"/>
              </w:rPr>
              <w:t>(in millions)</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2/25/24 - 3/30/24</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72.01</w:t>
            </w:r>
          </w:p>
        </w:tc>
        <w:tc>
          <w:tcPr>
            <w:tcW w:w="2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3"/>
                <w:szCs w:val="13"/>
                <w:color w:val="auto"/>
              </w:rPr>
              <w:t>3/31/24 - 4/27/24</w:t>
            </w:r>
          </w:p>
        </w:tc>
        <w:tc>
          <w:tcPr>
            <w:tcW w:w="15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4/28/24 - 5/25/24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319,166</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62.84</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318,275</w:t>
            </w:r>
          </w:p>
        </w:tc>
        <w:tc>
          <w:tcPr>
            <w:tcW w:w="280" w:type="dxa"/>
            <w:vAlign w:val="bottom"/>
            <w:shd w:val="clear" w:color="auto" w:fill="CCEEFF"/>
          </w:tcPr>
          <w:p>
            <w:pPr>
              <w:spacing w:after="0"/>
              <w:rPr>
                <w:sz w:val="14"/>
                <w:szCs w:val="14"/>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0" w:type="dxa"/>
            <w:vAlign w:val="bottom"/>
          </w:tcPr>
          <w:p>
            <w:pPr>
              <w:spacing w:after="0"/>
              <w:rPr>
                <w:sz w:val="1"/>
                <w:szCs w:val="1"/>
                <w:color w:val="auto"/>
              </w:rPr>
            </w:pPr>
          </w:p>
        </w:tc>
      </w:tr>
      <w:tr>
        <w:trPr>
          <w:trHeight w:val="162"/>
        </w:trPr>
        <w:tc>
          <w:tcPr>
            <w:tcW w:w="2660" w:type="dxa"/>
            <w:vAlign w:val="bottom"/>
          </w:tcPr>
          <w:p>
            <w:pPr>
              <w:ind w:left="1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319,523</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62.85</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318,275</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2600" w:type="dxa"/>
            <w:vAlign w:val="bottom"/>
          </w:tcPr>
          <w:p>
            <w:pPr>
              <w:jc w:val="right"/>
              <w:spacing w:after="0"/>
              <w:rPr>
                <w:sz w:val="20"/>
                <w:szCs w:val="20"/>
                <w:color w:val="auto"/>
              </w:rPr>
            </w:pPr>
            <w:r>
              <w:rPr>
                <w:rFonts w:ascii="Arial" w:cs="Arial" w:eastAsia="Arial" w:hAnsi="Arial"/>
                <w:sz w:val="13"/>
                <w:szCs w:val="13"/>
                <w:color w:val="auto"/>
              </w:rPr>
              <w:t>240.0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200" w:hanging="195"/>
        <w:spacing w:after="0"/>
        <w:tabs>
          <w:tab w:leader="none" w:pos="20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table are shown in whole numbers.</w:t>
      </w:r>
    </w:p>
    <w:p>
      <w:pPr>
        <w:ind w:left="200" w:hanging="195"/>
        <w:spacing w:after="0" w:line="189" w:lineRule="auto"/>
        <w:tabs>
          <w:tab w:leader="none" w:pos="200" w:val="left"/>
        </w:tabs>
        <w:numPr>
          <w:ilvl w:val="0"/>
          <w:numId w:val="17"/>
        </w:numPr>
        <w:rPr>
          <w:rFonts w:ascii="Arial" w:cs="Arial" w:eastAsia="Arial" w:hAnsi="Arial"/>
          <w:sz w:val="14"/>
          <w:szCs w:val="14"/>
          <w:color w:val="auto"/>
          <w:vertAlign w:val="superscript"/>
        </w:rPr>
      </w:pPr>
      <w:r>
        <w:rPr>
          <w:rFonts w:ascii="Arial" w:cs="Arial" w:eastAsia="Arial" w:hAnsi="Arial"/>
          <w:sz w:val="10"/>
          <w:szCs w:val="10"/>
          <w:color w:val="auto"/>
        </w:rPr>
        <w:t>Shares not purchased as part of a publicly announced program were repurchased from employees who vested in Company shares and elected to pay their payroll tax via the value of shares delivered as opposed to cash.</w:t>
      </w:r>
    </w:p>
    <w:p>
      <w:pPr>
        <w:ind w:left="200" w:hanging="195"/>
        <w:spacing w:after="0" w:line="180" w:lineRule="auto"/>
        <w:tabs>
          <w:tab w:leader="none" w:pos="200" w:val="left"/>
        </w:tabs>
        <w:numPr>
          <w:ilvl w:val="0"/>
          <w:numId w:val="17"/>
        </w:numPr>
        <w:rPr>
          <w:rFonts w:ascii="Arial" w:cs="Arial" w:eastAsia="Arial" w:hAnsi="Arial"/>
          <w:sz w:val="16"/>
          <w:szCs w:val="16"/>
          <w:color w:val="auto"/>
          <w:vertAlign w:val="superscript"/>
        </w:rPr>
      </w:pPr>
      <w:r>
        <w:rPr>
          <w:rFonts w:ascii="Arial" w:cs="Arial" w:eastAsia="Arial" w:hAnsi="Arial"/>
          <w:sz w:val="11"/>
          <w:szCs w:val="11"/>
          <w:color w:val="auto"/>
        </w:rPr>
        <w:t>Pursuant to a $350.0 million share repurchase program authorized by our Board of Directors on August 17, 2022. There is no time restriction on the authorization.</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Our Senior Secured Notes, as defined in Note 9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95"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During the quarter ended May 25,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6" w:name="page37"/>
    <w:bookmarkEnd w:id="36"/>
    <w:p>
      <w:pPr>
        <w:ind w:left="80"/>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100330</wp:posOffset>
            </wp:positionV>
            <wp:extent cx="601662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16625" cy="188595"/>
                    </a:xfrm>
                    <a:prstGeom prst="rect">
                      <a:avLst/>
                    </a:prstGeom>
                    <a:noFill/>
                  </pic:spPr>
                </pic:pic>
              </a:graphicData>
            </a:graphic>
          </wp:anchor>
        </w:drawing>
      </w:r>
    </w:p>
    <w:p>
      <w:pPr>
        <w:sectPr>
          <w:pgSz w:w="11900" w:h="16838" w:orient="portrait"/>
          <w:cols w:equalWidth="0" w:num="1">
            <w:col w:w="10239"/>
          </w:cols>
          <w:pgMar w:left="220" w:top="129" w:right="1440" w:bottom="1440" w:gutter="0" w:footer="0" w:header="0"/>
        </w:sectPr>
      </w:pPr>
    </w:p>
    <w:p>
      <w:pPr>
        <w:spacing w:after="0" w:line="222" w:lineRule="exact"/>
        <w:rPr>
          <w:sz w:val="20"/>
          <w:szCs w:val="20"/>
          <w:color w:val="auto"/>
        </w:rPr>
      </w:pPr>
    </w:p>
    <w:p>
      <w:pPr>
        <w:ind w:left="40"/>
        <w:spacing w:after="0"/>
        <w:rPr>
          <w:rFonts w:ascii="Arial" w:cs="Arial" w:eastAsia="Arial" w:hAnsi="Arial"/>
          <w:sz w:val="12"/>
          <w:szCs w:val="12"/>
          <w:u w:val="single" w:color="auto"/>
          <w:color w:val="0000FF"/>
        </w:rPr>
      </w:pPr>
      <w:hyperlink r:id="rId71">
        <w:r>
          <w:rPr>
            <w:rFonts w:ascii="Arial" w:cs="Arial" w:eastAsia="Arial" w:hAnsi="Arial"/>
            <w:sz w:val="12"/>
            <w:szCs w:val="12"/>
            <w:u w:val="single" w:color="auto"/>
            <w:color w:val="0000FF"/>
          </w:rPr>
          <w:t>3.1</w:t>
        </w:r>
      </w:hyperlink>
    </w:p>
    <w:p>
      <w:pPr>
        <w:spacing w:after="0" w:line="95" w:lineRule="exact"/>
        <w:rPr>
          <w:sz w:val="20"/>
          <w:szCs w:val="20"/>
          <w:color w:val="auto"/>
        </w:rPr>
      </w:pPr>
    </w:p>
    <w:p>
      <w:pPr>
        <w:ind w:left="40"/>
        <w:spacing w:after="0"/>
        <w:rPr>
          <w:rFonts w:ascii="Arial" w:cs="Arial" w:eastAsia="Arial" w:hAnsi="Arial"/>
          <w:sz w:val="12"/>
          <w:szCs w:val="12"/>
          <w:u w:val="single" w:color="auto"/>
          <w:color w:val="0000FF"/>
        </w:rPr>
      </w:pPr>
      <w:hyperlink r:id="rId72">
        <w:r>
          <w:rPr>
            <w:rFonts w:ascii="Arial" w:cs="Arial" w:eastAsia="Arial" w:hAnsi="Arial"/>
            <w:sz w:val="12"/>
            <w:szCs w:val="12"/>
            <w:u w:val="single" w:color="auto"/>
            <w:color w:val="0000FF"/>
          </w:rPr>
          <w:t>3.2</w:t>
        </w:r>
      </w:hyperlink>
    </w:p>
    <w:p>
      <w:pPr>
        <w:spacing w:after="0" w:line="159" w:lineRule="exact"/>
        <w:rPr>
          <w:sz w:val="20"/>
          <w:szCs w:val="20"/>
          <w:color w:val="auto"/>
        </w:rPr>
      </w:pPr>
    </w:p>
    <w:p>
      <w:pPr>
        <w:ind w:left="40"/>
        <w:spacing w:after="0"/>
        <w:rPr>
          <w:rFonts w:ascii="Arial" w:cs="Arial" w:eastAsia="Arial" w:hAnsi="Arial"/>
          <w:sz w:val="12"/>
          <w:szCs w:val="12"/>
          <w:u w:val="single" w:color="auto"/>
          <w:color w:val="0000FF"/>
        </w:rPr>
      </w:pPr>
      <w:hyperlink r:id="rId73">
        <w:r>
          <w:rPr>
            <w:rFonts w:ascii="Arial" w:cs="Arial" w:eastAsia="Arial" w:hAnsi="Arial"/>
            <w:sz w:val="12"/>
            <w:szCs w:val="12"/>
            <w:u w:val="single" w:color="auto"/>
            <w:color w:val="0000FF"/>
          </w:rPr>
          <w:t>4.1</w:t>
        </w:r>
      </w:hyperlink>
    </w:p>
    <w:p>
      <w:pPr>
        <w:spacing w:after="0" w:line="159" w:lineRule="exact"/>
        <w:rPr>
          <w:sz w:val="20"/>
          <w:szCs w:val="20"/>
          <w:color w:val="auto"/>
        </w:rPr>
      </w:pPr>
    </w:p>
    <w:p>
      <w:pPr>
        <w:ind w:left="40"/>
        <w:spacing w:after="0"/>
        <w:rPr>
          <w:rFonts w:ascii="Arial" w:cs="Arial" w:eastAsia="Arial" w:hAnsi="Arial"/>
          <w:sz w:val="12"/>
          <w:szCs w:val="12"/>
          <w:u w:val="single" w:color="auto"/>
          <w:color w:val="0000FF"/>
        </w:rPr>
      </w:pPr>
      <w:hyperlink r:id="rId73">
        <w:r>
          <w:rPr>
            <w:rFonts w:ascii="Arial" w:cs="Arial" w:eastAsia="Arial" w:hAnsi="Arial"/>
            <w:sz w:val="12"/>
            <w:szCs w:val="12"/>
            <w:u w:val="single" w:color="auto"/>
            <w:color w:val="0000FF"/>
          </w:rPr>
          <w:t>4.2</w:t>
        </w:r>
      </w:hyperlink>
    </w:p>
    <w:p>
      <w:pPr>
        <w:spacing w:after="0" w:line="233" w:lineRule="exact"/>
        <w:rPr>
          <w:sz w:val="20"/>
          <w:szCs w:val="20"/>
          <w:color w:val="auto"/>
        </w:rPr>
      </w:pPr>
    </w:p>
    <w:p>
      <w:pPr>
        <w:ind w:left="40"/>
        <w:spacing w:after="0"/>
        <w:rPr>
          <w:rFonts w:ascii="Arial" w:cs="Arial" w:eastAsia="Arial" w:hAnsi="Arial"/>
          <w:sz w:val="12"/>
          <w:szCs w:val="12"/>
          <w:u w:val="single" w:color="auto"/>
          <w:color w:val="0000FF"/>
        </w:rPr>
      </w:pPr>
      <w:hyperlink r:id="rId74">
        <w:r>
          <w:rPr>
            <w:rFonts w:ascii="Arial" w:cs="Arial" w:eastAsia="Arial" w:hAnsi="Arial"/>
            <w:sz w:val="12"/>
            <w:szCs w:val="12"/>
            <w:u w:val="single" w:color="auto"/>
            <w:color w:val="0000FF"/>
          </w:rPr>
          <w:t>4.3</w:t>
        </w:r>
      </w:hyperlink>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819"/>
        <w:spacing w:after="0" w:line="236" w:lineRule="auto"/>
        <w:rPr>
          <w:rFonts w:ascii="Arial" w:cs="Arial" w:eastAsia="Arial" w:hAnsi="Arial"/>
          <w:sz w:val="13"/>
          <w:szCs w:val="13"/>
          <w:u w:val="single" w:color="auto"/>
          <w:color w:val="0000FF"/>
        </w:rPr>
      </w:pPr>
      <w:hyperlink r:id="rId71">
        <w:r>
          <w:rPr>
            <w:rFonts w:ascii="Arial" w:cs="Arial" w:eastAsia="Arial" w:hAnsi="Arial"/>
            <w:sz w:val="13"/>
            <w:szCs w:val="13"/>
            <w:u w:val="single" w:color="auto"/>
            <w:color w:val="0000FF"/>
          </w:rPr>
          <w:t>Articles of Incorporation of Winnebago Industries, Inc., effective January 1, 2022 (incorporated by reference from Exhibit 3.1 to the Registrant’s Current</w:t>
        </w:r>
      </w:hyperlink>
      <w:r>
        <w:rPr>
          <w:rFonts w:ascii="Arial" w:cs="Arial" w:eastAsia="Arial" w:hAnsi="Arial"/>
          <w:sz w:val="13"/>
          <w:szCs w:val="13"/>
          <w:u w:val="single" w:color="auto"/>
          <w:color w:val="0000FF"/>
        </w:rPr>
        <w:t xml:space="preserve"> </w:t>
      </w:r>
      <w:hyperlink r:id="rId71">
        <w:r>
          <w:rPr>
            <w:rFonts w:ascii="Arial" w:cs="Arial" w:eastAsia="Arial" w:hAnsi="Arial"/>
            <w:sz w:val="13"/>
            <w:szCs w:val="13"/>
            <w:u w:val="single" w:color="auto"/>
            <w:color w:val="0000FF"/>
          </w:rPr>
          <w:t>Report on Form 8-K dated January 1, 2022).</w:t>
        </w:r>
      </w:hyperlink>
    </w:p>
    <w:p>
      <w:pPr>
        <w:spacing w:after="0" w:line="3" w:lineRule="exact"/>
        <w:rPr>
          <w:sz w:val="20"/>
          <w:szCs w:val="20"/>
          <w:color w:val="auto"/>
        </w:rPr>
      </w:pPr>
    </w:p>
    <w:p>
      <w:pPr>
        <w:ind w:right="819"/>
        <w:spacing w:after="0" w:line="236" w:lineRule="auto"/>
        <w:rPr>
          <w:rFonts w:ascii="Arial" w:cs="Arial" w:eastAsia="Arial" w:hAnsi="Arial"/>
          <w:sz w:val="13"/>
          <w:szCs w:val="13"/>
          <w:u w:val="single" w:color="auto"/>
          <w:color w:val="0000FF"/>
        </w:rPr>
      </w:pPr>
      <w:hyperlink r:id="rId72">
        <w:r>
          <w:rPr>
            <w:rFonts w:ascii="Arial" w:cs="Arial" w:eastAsia="Arial" w:hAnsi="Arial"/>
            <w:sz w:val="13"/>
            <w:szCs w:val="13"/>
            <w:u w:val="single" w:color="auto"/>
            <w:color w:val="0000FF"/>
          </w:rPr>
          <w:t>Bylaws of Winnebago Industries, Inc., effective August 15, 2023 (incorporated by reference from Exhibit 3.2 to the Registrant’s Current Report on Form</w:t>
        </w:r>
      </w:hyperlink>
      <w:r>
        <w:rPr>
          <w:rFonts w:ascii="Arial" w:cs="Arial" w:eastAsia="Arial" w:hAnsi="Arial"/>
          <w:sz w:val="13"/>
          <w:szCs w:val="13"/>
          <w:u w:val="single" w:color="auto"/>
          <w:color w:val="0000FF"/>
        </w:rPr>
        <w:t xml:space="preserve"> </w:t>
      </w:r>
      <w:hyperlink r:id="rId72">
        <w:r>
          <w:rPr>
            <w:rFonts w:ascii="Arial" w:cs="Arial" w:eastAsia="Arial" w:hAnsi="Arial"/>
            <w:sz w:val="13"/>
            <w:szCs w:val="13"/>
            <w:u w:val="single" w:color="auto"/>
            <w:color w:val="0000FF"/>
          </w:rPr>
          <w:t>8-K dated August 17,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1905</wp:posOffset>
            </wp:positionV>
            <wp:extent cx="601662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016625" cy="188595"/>
                    </a:xfrm>
                    <a:prstGeom prst="rect">
                      <a:avLst/>
                    </a:prstGeom>
                    <a:noFill/>
                  </pic:spPr>
                </pic:pic>
              </a:graphicData>
            </a:graphic>
          </wp:anchor>
        </w:drawing>
      </w:r>
    </w:p>
    <w:p>
      <w:pPr>
        <w:ind w:right="919"/>
        <w:spacing w:after="0" w:line="236" w:lineRule="auto"/>
        <w:rPr>
          <w:rFonts w:ascii="Arial" w:cs="Arial" w:eastAsia="Arial" w:hAnsi="Arial"/>
          <w:sz w:val="13"/>
          <w:szCs w:val="13"/>
          <w:u w:val="single" w:color="auto"/>
          <w:color w:val="0000FF"/>
        </w:rPr>
      </w:pPr>
      <w:hyperlink r:id="rId73">
        <w:r>
          <w:rPr>
            <w:rFonts w:ascii="Arial" w:cs="Arial" w:eastAsia="Arial" w:hAnsi="Arial"/>
            <w:sz w:val="13"/>
            <w:szCs w:val="13"/>
            <w:u w:val="single" w:color="auto"/>
            <w:color w:val="0000FF"/>
          </w:rPr>
          <w:t>Indenture, dated November 1, 2019, by and between Winnebago Industries, Inc. and U.S. Bank National Association (incorporated by reference from</w:t>
        </w:r>
      </w:hyperlink>
      <w:r>
        <w:rPr>
          <w:rFonts w:ascii="Arial" w:cs="Arial" w:eastAsia="Arial" w:hAnsi="Arial"/>
          <w:sz w:val="13"/>
          <w:szCs w:val="13"/>
          <w:u w:val="single" w:color="auto"/>
          <w:color w:val="0000FF"/>
        </w:rPr>
        <w:t xml:space="preserve"> </w:t>
      </w:r>
      <w:hyperlink r:id="rId73">
        <w:r>
          <w:rPr>
            <w:rFonts w:ascii="Arial" w:cs="Arial" w:eastAsia="Arial" w:hAnsi="Arial"/>
            <w:sz w:val="13"/>
            <w:szCs w:val="13"/>
            <w:u w:val="single" w:color="auto"/>
            <w:color w:val="0000FF"/>
          </w:rPr>
          <w:t>Exhibit 4.1 to the Registrant’s Current Report on Form 8-K dated October 29, 2019).</w:t>
        </w:r>
      </w:hyperlink>
    </w:p>
    <w:p>
      <w:pPr>
        <w:spacing w:after="0" w:line="67" w:lineRule="exact"/>
        <w:rPr>
          <w:sz w:val="20"/>
          <w:szCs w:val="20"/>
          <w:color w:val="auto"/>
        </w:rPr>
      </w:pPr>
    </w:p>
    <w:p>
      <w:pPr>
        <w:spacing w:after="0"/>
        <w:rPr>
          <w:rFonts w:ascii="Arial" w:cs="Arial" w:eastAsia="Arial" w:hAnsi="Arial"/>
          <w:sz w:val="13"/>
          <w:szCs w:val="13"/>
          <w:u w:val="single" w:color="auto"/>
          <w:color w:val="0000FF"/>
        </w:rPr>
      </w:pPr>
      <w:hyperlink r:id="rId73">
        <w:r>
          <w:rPr>
            <w:rFonts w:ascii="Arial" w:cs="Arial" w:eastAsia="Arial" w:hAnsi="Arial"/>
            <w:sz w:val="13"/>
            <w:szCs w:val="13"/>
            <w:u w:val="single" w:color="auto"/>
            <w:color w:val="0000FF"/>
          </w:rPr>
          <w:t>Form of 1.50% Convertible Senior Note due 2025 (included in Exhibit 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53340</wp:posOffset>
            </wp:positionV>
            <wp:extent cx="6016625" cy="208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016625" cy="208915"/>
                    </a:xfrm>
                    <a:prstGeom prst="rect">
                      <a:avLst/>
                    </a:prstGeom>
                    <a:noFill/>
                  </pic:spPr>
                </pic:pic>
              </a:graphicData>
            </a:graphic>
          </wp:anchor>
        </w:drawing>
      </w:r>
    </w:p>
    <w:p>
      <w:pPr>
        <w:spacing w:after="0" w:line="64" w:lineRule="exact"/>
        <w:rPr>
          <w:sz w:val="20"/>
          <w:szCs w:val="20"/>
          <w:color w:val="auto"/>
        </w:rPr>
      </w:pPr>
    </w:p>
    <w:p>
      <w:pPr>
        <w:ind w:right="939"/>
        <w:spacing w:after="0" w:line="264" w:lineRule="auto"/>
        <w:rPr>
          <w:rFonts w:ascii="Arial" w:cs="Arial" w:eastAsia="Arial" w:hAnsi="Arial"/>
          <w:sz w:val="13"/>
          <w:szCs w:val="13"/>
          <w:u w:val="single" w:color="auto"/>
          <w:color w:val="0000FF"/>
        </w:rPr>
      </w:pPr>
      <w:hyperlink r:id="rId74">
        <w:r>
          <w:rPr>
            <w:rFonts w:ascii="Arial" w:cs="Arial" w:eastAsia="Arial" w:hAnsi="Arial"/>
            <w:sz w:val="13"/>
            <w:szCs w:val="13"/>
            <w:u w:val="single" w:color="auto"/>
            <w:color w:val="0000FF"/>
          </w:rPr>
          <w:t>Indenture, dated as of July 8, 2020, by and among Winnebago Industries, Inc., the guarantors named therein and U.S. Bank National Association, as</w:t>
        </w:r>
      </w:hyperlink>
      <w:r>
        <w:rPr>
          <w:rFonts w:ascii="Arial" w:cs="Arial" w:eastAsia="Arial" w:hAnsi="Arial"/>
          <w:sz w:val="13"/>
          <w:szCs w:val="13"/>
          <w:u w:val="single" w:color="auto"/>
          <w:color w:val="0000FF"/>
        </w:rPr>
        <w:t xml:space="preserve"> </w:t>
      </w:r>
      <w:hyperlink r:id="rId74">
        <w:r>
          <w:rPr>
            <w:rFonts w:ascii="Arial" w:cs="Arial" w:eastAsia="Arial" w:hAnsi="Arial"/>
            <w:sz w:val="13"/>
            <w:szCs w:val="13"/>
            <w:u w:val="single" w:color="auto"/>
            <w:color w:val="0000FF"/>
          </w:rPr>
          <w:t>trustee (incorporated by reference from Exhibit 4.1 to the Registrant’s Current Report on Form 8-K dated July 8, 2020).</w:t>
        </w:r>
      </w:hyperlink>
    </w:p>
    <w:p>
      <w:pPr>
        <w:spacing w:after="0" w:line="1" w:lineRule="exact"/>
        <w:rPr>
          <w:sz w:val="20"/>
          <w:szCs w:val="20"/>
          <w:color w:val="auto"/>
        </w:rPr>
      </w:pPr>
    </w:p>
    <w:p>
      <w:pPr>
        <w:sectPr>
          <w:pgSz w:w="11900" w:h="16838" w:orient="portrait"/>
          <w:cols w:equalWidth="0" w:num="2">
            <w:col w:w="220" w:space="720"/>
            <w:col w:w="9299"/>
          </w:cols>
          <w:pgMar w:left="220" w:top="129" w:right="1440"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20" w:type="dxa"/>
            <w:vAlign w:val="bottom"/>
            <w:gridSpan w:val="2"/>
          </w:tcPr>
          <w:p>
            <w:pPr>
              <w:jc w:val="center"/>
              <w:spacing w:after="0" w:line="138" w:lineRule="exact"/>
              <w:rPr>
                <w:rFonts w:ascii="Arial" w:cs="Arial" w:eastAsia="Arial" w:hAnsi="Arial"/>
                <w:sz w:val="13"/>
                <w:szCs w:val="13"/>
                <w:color w:val="0000FF"/>
                <w:w w:val="99"/>
              </w:rPr>
            </w:pPr>
            <w:hyperlink r:id="rId7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720" w:type="dxa"/>
            <w:vAlign w:val="bottom"/>
          </w:tcPr>
          <w:p>
            <w:pPr>
              <w:spacing w:after="0"/>
              <w:rPr>
                <w:sz w:val="11"/>
                <w:szCs w:val="11"/>
                <w:color w:val="auto"/>
              </w:rPr>
            </w:pPr>
          </w:p>
        </w:tc>
        <w:tc>
          <w:tcPr>
            <w:tcW w:w="8620" w:type="dxa"/>
            <w:vAlign w:val="bottom"/>
            <w:gridSpan w:val="11"/>
            <w:vMerge w:val="restart"/>
          </w:tcPr>
          <w:p>
            <w:pPr>
              <w:spacing w:after="0"/>
              <w:rPr>
                <w:rFonts w:ascii="Arial" w:cs="Arial" w:eastAsia="Arial" w:hAnsi="Arial"/>
                <w:sz w:val="13"/>
                <w:szCs w:val="13"/>
                <w:color w:val="0000FF"/>
              </w:rPr>
            </w:pPr>
            <w:hyperlink r:id="rId77">
              <w:r>
                <w:rPr>
                  <w:rFonts w:ascii="Arial" w:cs="Arial" w:eastAsia="Arial" w:hAnsi="Arial"/>
                  <w:sz w:val="13"/>
                  <w:szCs w:val="13"/>
                  <w:color w:val="0000FF"/>
                </w:rPr>
                <w:t>Form of 6.250% Senior Secured Note due 2028 (included in Exhibit 4.3).</w:t>
              </w:r>
            </w:hyperlink>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20" w:type="dxa"/>
            <w:vAlign w:val="bottom"/>
          </w:tcPr>
          <w:p>
            <w:pPr>
              <w:spacing w:after="0"/>
              <w:rPr>
                <w:sz w:val="3"/>
                <w:szCs w:val="3"/>
                <w:color w:val="auto"/>
              </w:rPr>
            </w:pPr>
          </w:p>
        </w:tc>
        <w:tc>
          <w:tcPr>
            <w:tcW w:w="862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 w:type="dxa"/>
            <w:vAlign w:val="bottom"/>
            <w:gridSpan w:val="2"/>
          </w:tcPr>
          <w:p>
            <w:pPr>
              <w:jc w:val="center"/>
              <w:spacing w:after="0"/>
              <w:rPr>
                <w:sz w:val="20"/>
                <w:szCs w:val="20"/>
                <w:color w:val="auto"/>
              </w:rPr>
            </w:pPr>
            <w:r>
              <w:rPr>
                <w:rFonts w:ascii="Arial" w:cs="Arial" w:eastAsia="Arial" w:hAnsi="Arial"/>
                <w:sz w:val="13"/>
                <w:szCs w:val="13"/>
                <w:color w:val="0000FF"/>
                <w:w w:val="99"/>
              </w:rPr>
              <w:t>4.</w:t>
            </w:r>
            <w:r>
              <w:rPr>
                <w:rFonts w:ascii="Arial" w:cs="Arial" w:eastAsia="Arial" w:hAnsi="Arial"/>
                <w:sz w:val="13"/>
                <w:szCs w:val="13"/>
                <w:u w:val="single" w:color="auto"/>
                <w:color w:val="0000FF"/>
                <w:w w:val="99"/>
              </w:rPr>
              <w:t>5</w:t>
            </w:r>
          </w:p>
        </w:tc>
        <w:tc>
          <w:tcPr>
            <w:tcW w:w="720" w:type="dxa"/>
            <w:vAlign w:val="bottom"/>
          </w:tcPr>
          <w:p>
            <w:pPr>
              <w:spacing w:after="0"/>
              <w:rPr>
                <w:sz w:val="20"/>
                <w:szCs w:val="20"/>
                <w:color w:val="auto"/>
              </w:rPr>
            </w:pPr>
          </w:p>
        </w:tc>
        <w:tc>
          <w:tcPr>
            <w:tcW w:w="8620" w:type="dxa"/>
            <w:vAlign w:val="bottom"/>
            <w:gridSpan w:val="11"/>
          </w:tcPr>
          <w:p>
            <w:pPr>
              <w:spacing w:after="0"/>
              <w:rPr>
                <w:rFonts w:ascii="Arial" w:cs="Arial" w:eastAsia="Arial" w:hAnsi="Arial"/>
                <w:sz w:val="13"/>
                <w:szCs w:val="13"/>
                <w:color w:val="0000FF"/>
              </w:rPr>
            </w:pPr>
            <w:hyperlink r:id="rId78">
              <w:r>
                <w:rPr>
                  <w:rFonts w:ascii="Arial" w:cs="Arial" w:eastAsia="Arial" w:hAnsi="Arial"/>
                  <w:sz w:val="13"/>
                  <w:szCs w:val="13"/>
                  <w:color w:val="0000FF"/>
                </w:rPr>
                <w:t>Indenture, dated January 23, 2024, by and between Winnebago Industries, Inc. and U.S. Bank Trust Company, National Association (incorporated by</w:t>
              </w:r>
            </w:hyperlink>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720" w:type="dxa"/>
            <w:vAlign w:val="bottom"/>
          </w:tcPr>
          <w:p>
            <w:pPr>
              <w:spacing w:after="0"/>
              <w:rPr>
                <w:sz w:val="9"/>
                <w:szCs w:val="9"/>
                <w:color w:val="auto"/>
              </w:rPr>
            </w:pPr>
          </w:p>
        </w:tc>
        <w:tc>
          <w:tcPr>
            <w:tcW w:w="8380" w:type="dxa"/>
            <w:vAlign w:val="bottom"/>
            <w:tcBorders>
              <w:top w:val="single" w:sz="8" w:color="0000FF"/>
            </w:tcBorders>
            <w:gridSpan w:val="8"/>
          </w:tcPr>
          <w:p>
            <w:pPr>
              <w:spacing w:after="0" w:line="109" w:lineRule="exact"/>
              <w:rPr>
                <w:rFonts w:ascii="Arial" w:cs="Arial" w:eastAsia="Arial" w:hAnsi="Arial"/>
                <w:sz w:val="12"/>
                <w:szCs w:val="12"/>
                <w:color w:val="0000FF"/>
              </w:rPr>
            </w:pPr>
            <w:hyperlink r:id="rId78">
              <w:r>
                <w:rPr>
                  <w:rFonts w:ascii="Arial" w:cs="Arial" w:eastAsia="Arial" w:hAnsi="Arial"/>
                  <w:sz w:val="12"/>
                  <w:szCs w:val="12"/>
                  <w:color w:val="0000FF"/>
                </w:rPr>
                <w:t>reference from Exhibit 4.1 to the Registrant’s Current Report on Form 8-K dated January 23, 2024.</w:t>
              </w:r>
            </w:hyperlink>
          </w:p>
        </w:tc>
        <w:tc>
          <w:tcPr>
            <w:tcW w:w="2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0" w:type="dxa"/>
            <w:vAlign w:val="bottom"/>
            <w:gridSpan w:val="2"/>
          </w:tcPr>
          <w:p>
            <w:pPr>
              <w:jc w:val="center"/>
              <w:spacing w:after="0"/>
              <w:rPr>
                <w:rFonts w:ascii="Arial" w:cs="Arial" w:eastAsia="Arial" w:hAnsi="Arial"/>
                <w:sz w:val="13"/>
                <w:szCs w:val="13"/>
                <w:color w:val="0000FF"/>
                <w:w w:val="99"/>
              </w:rPr>
            </w:pPr>
            <w:hyperlink r:id="rId78">
              <w:r>
                <w:rPr>
                  <w:rFonts w:ascii="Arial" w:cs="Arial" w:eastAsia="Arial" w:hAnsi="Arial"/>
                  <w:sz w:val="13"/>
                  <w:szCs w:val="13"/>
                  <w:color w:val="0000FF"/>
                  <w:w w:val="99"/>
                </w:rPr>
                <w:t>4.</w:t>
              </w:r>
              <w:r>
                <w:rPr>
                  <w:rFonts w:ascii="Arial" w:cs="Arial" w:eastAsia="Arial" w:hAnsi="Arial"/>
                  <w:sz w:val="13"/>
                  <w:szCs w:val="13"/>
                  <w:u w:val="single" w:color="auto"/>
                  <w:color w:val="0000FF"/>
                  <w:w w:val="99"/>
                </w:rPr>
                <w:t>6</w:t>
              </w:r>
            </w:hyperlink>
          </w:p>
        </w:tc>
        <w:tc>
          <w:tcPr>
            <w:tcW w:w="720" w:type="dxa"/>
            <w:vAlign w:val="bottom"/>
          </w:tcPr>
          <w:p>
            <w:pPr>
              <w:spacing w:after="0"/>
              <w:rPr>
                <w:sz w:val="13"/>
                <w:szCs w:val="13"/>
                <w:color w:val="auto"/>
              </w:rPr>
            </w:pPr>
          </w:p>
        </w:tc>
        <w:tc>
          <w:tcPr>
            <w:tcW w:w="5540" w:type="dxa"/>
            <w:vAlign w:val="bottom"/>
            <w:tcBorders>
              <w:top w:val="single" w:sz="8" w:color="0000FF"/>
            </w:tcBorders>
            <w:gridSpan w:val="4"/>
          </w:tcPr>
          <w:p>
            <w:pPr>
              <w:spacing w:after="0"/>
              <w:rPr>
                <w:rFonts w:ascii="Arial" w:cs="Arial" w:eastAsia="Arial" w:hAnsi="Arial"/>
                <w:sz w:val="13"/>
                <w:szCs w:val="13"/>
                <w:color w:val="0000FF"/>
              </w:rPr>
            </w:pPr>
            <w:hyperlink r:id="rId78">
              <w:r>
                <w:rPr>
                  <w:rFonts w:ascii="Arial" w:cs="Arial" w:eastAsia="Arial" w:hAnsi="Arial"/>
                  <w:sz w:val="13"/>
                  <w:szCs w:val="13"/>
                  <w:color w:val="0000FF"/>
                </w:rPr>
                <w:t>Form of 3.250% Convertible Senior Note due 2030 (included in Exhibit 4.5).</w:t>
              </w:r>
            </w:hyperlink>
          </w:p>
        </w:tc>
        <w:tc>
          <w:tcPr>
            <w:tcW w:w="30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gridSpan w:val="3"/>
          </w:tcPr>
          <w:p>
            <w:pPr>
              <w:jc w:val="center"/>
              <w:ind w:right="700"/>
              <w:spacing w:after="0"/>
              <w:rPr>
                <w:sz w:val="20"/>
                <w:szCs w:val="20"/>
                <w:color w:val="auto"/>
              </w:rPr>
            </w:pPr>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p>
        </w:tc>
        <w:tc>
          <w:tcPr>
            <w:tcW w:w="8620" w:type="dxa"/>
            <w:vAlign w:val="bottom"/>
            <w:gridSpan w:val="11"/>
          </w:tcPr>
          <w:p>
            <w:pPr>
              <w:spacing w:after="0"/>
              <w:rPr>
                <w:sz w:val="20"/>
                <w:szCs w:val="20"/>
                <w:color w:val="auto"/>
              </w:rPr>
            </w:pPr>
            <w:r>
              <w:rPr>
                <w:rFonts w:ascii="Arial" w:cs="Arial" w:eastAsia="Arial" w:hAnsi="Arial"/>
                <w:sz w:val="13"/>
                <w:szCs w:val="13"/>
                <w:color w:val="0000FF"/>
              </w:rPr>
              <w:t>First Amendment to Lease dated March 12, 2024 by and between Three Oaks, LLC and Grand Design RV, LLC.</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gridSpan w:val="3"/>
          </w:tcPr>
          <w:p>
            <w:pPr>
              <w:jc w:val="center"/>
              <w:ind w:right="700"/>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8620" w:type="dxa"/>
            <w:vAlign w:val="bottom"/>
            <w:gridSpan w:val="11"/>
            <w:vMerge w:val="restart"/>
          </w:tcPr>
          <w:p>
            <w:pPr>
              <w:spacing w:after="0"/>
              <w:rPr>
                <w:sz w:val="20"/>
                <w:szCs w:val="20"/>
                <w:color w:val="auto"/>
              </w:rPr>
            </w:pPr>
            <w:r>
              <w:rPr>
                <w:rFonts w:ascii="Arial" w:cs="Arial" w:eastAsia="Arial" w:hAnsi="Arial"/>
                <w:sz w:val="13"/>
                <w:szCs w:val="13"/>
                <w:color w:val="0000FF"/>
              </w:rPr>
              <w:t>Certification by the Chief Executive Officer pursuant to Section 302 of the Sarbanes-Oxley Act of 2002 (filed herewith)</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862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940" w:type="dxa"/>
            <w:vAlign w:val="bottom"/>
            <w:gridSpan w:val="3"/>
            <w:vMerge w:val="restart"/>
          </w:tcPr>
          <w:p>
            <w:pPr>
              <w:jc w:val="center"/>
              <w:ind w:right="700"/>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862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940" w:type="dxa"/>
            <w:vAlign w:val="bottom"/>
            <w:gridSpan w:val="3"/>
            <w:vMerge w:val="continue"/>
          </w:tcPr>
          <w:p>
            <w:pPr>
              <w:spacing w:after="0"/>
              <w:rPr>
                <w:sz w:val="18"/>
                <w:szCs w:val="18"/>
                <w:color w:val="auto"/>
              </w:rPr>
            </w:pPr>
          </w:p>
        </w:tc>
        <w:tc>
          <w:tcPr>
            <w:tcW w:w="662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3"/>
                <w:szCs w:val="13"/>
                <w:color w:val="0000FF"/>
                <w:w w:val="97"/>
              </w:rPr>
              <w:t>Certification by the Chief Financial Officer pursuant to Section 302 of the Sarbanes-Oxley Act of 2002 (filed herewith).</w:t>
            </w:r>
          </w:p>
        </w:tc>
        <w:tc>
          <w:tcPr>
            <w:tcW w:w="200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20" w:type="dxa"/>
            <w:vAlign w:val="bottom"/>
          </w:tcPr>
          <w:p>
            <w:pPr>
              <w:spacing w:after="0"/>
              <w:rPr>
                <w:sz w:val="3"/>
                <w:szCs w:val="3"/>
                <w:color w:val="auto"/>
              </w:rPr>
            </w:pPr>
          </w:p>
        </w:tc>
        <w:tc>
          <w:tcPr>
            <w:tcW w:w="6620" w:type="dxa"/>
            <w:vAlign w:val="bottom"/>
            <w:tcBorders>
              <w:top w:val="single" w:sz="8" w:color="0000FF"/>
            </w:tcBorders>
            <w:gridSpan w:val="7"/>
            <w:vMerge w:val="continue"/>
          </w:tcPr>
          <w:p>
            <w:pPr>
              <w:spacing w:after="0"/>
              <w:rPr>
                <w:sz w:val="3"/>
                <w:szCs w:val="3"/>
                <w:color w:val="auto"/>
              </w:rPr>
            </w:pPr>
          </w:p>
        </w:tc>
        <w:tc>
          <w:tcPr>
            <w:tcW w:w="2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40" w:type="dxa"/>
            <w:vAlign w:val="bottom"/>
            <w:gridSpan w:val="3"/>
          </w:tcPr>
          <w:p>
            <w:pPr>
              <w:jc w:val="center"/>
              <w:ind w:right="700"/>
              <w:spacing w:after="0"/>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8620" w:type="dxa"/>
            <w:vAlign w:val="bottom"/>
            <w:gridSpan w:val="11"/>
          </w:tcPr>
          <w:p>
            <w:pPr>
              <w:spacing w:after="0"/>
              <w:rPr>
                <w:sz w:val="20"/>
                <w:szCs w:val="20"/>
                <w:color w:val="auto"/>
              </w:rPr>
            </w:pPr>
            <w:r>
              <w:rPr>
                <w:rFonts w:ascii="Arial" w:cs="Arial" w:eastAsia="Arial" w:hAnsi="Arial"/>
                <w:sz w:val="13"/>
                <w:szCs w:val="13"/>
                <w:color w:val="0000FF"/>
                <w:w w:val="99"/>
              </w:rPr>
              <w:t>Certification by the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07"/>
        </w:trPr>
        <w:tc>
          <w:tcPr>
            <w:tcW w:w="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rPr>
              <w:t>(furnished herewith).</w:t>
            </w:r>
          </w:p>
        </w:tc>
        <w:tc>
          <w:tcPr>
            <w:tcW w:w="7320" w:type="dxa"/>
            <w:vAlign w:val="bottom"/>
            <w:tcBorders>
              <w:top w:val="single" w:sz="8" w:color="0000FF"/>
            </w:tcBorders>
            <w:gridSpan w:val="9"/>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40" w:type="dxa"/>
            <w:vAlign w:val="bottom"/>
            <w:gridSpan w:val="3"/>
            <w:vMerge w:val="restart"/>
          </w:tcPr>
          <w:p>
            <w:pPr>
              <w:jc w:val="center"/>
              <w:ind w:right="700"/>
              <w:spacing w:after="0"/>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844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Certification by the Chief Financial Officer pursuant to 18 U.S.C. Section 1350, as adopted pursuant to Section 906 of the Sarbanes-Oxley Act of 2002</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940" w:type="dxa"/>
            <w:vAlign w:val="bottom"/>
            <w:gridSpan w:val="3"/>
            <w:vMerge w:val="continue"/>
          </w:tcPr>
          <w:p>
            <w:pPr>
              <w:spacing w:after="0"/>
              <w:rPr>
                <w:sz w:val="3"/>
                <w:szCs w:val="3"/>
                <w:color w:val="auto"/>
              </w:rPr>
            </w:pPr>
          </w:p>
        </w:tc>
        <w:tc>
          <w:tcPr>
            <w:tcW w:w="1160" w:type="dxa"/>
            <w:vAlign w:val="bottom"/>
            <w:vMerge w:val="restart"/>
          </w:tcPr>
          <w:p>
            <w:pPr>
              <w:spacing w:after="0" w:line="107" w:lineRule="exact"/>
              <w:rPr>
                <w:sz w:val="20"/>
                <w:szCs w:val="20"/>
                <w:color w:val="auto"/>
              </w:rPr>
            </w:pPr>
            <w:r>
              <w:rPr>
                <w:rFonts w:ascii="Arial" w:cs="Arial" w:eastAsia="Arial" w:hAnsi="Arial"/>
                <w:sz w:val="12"/>
                <w:szCs w:val="12"/>
                <w:color w:val="0000FF"/>
              </w:rPr>
              <w:t>(furnished herewith).</w:t>
            </w:r>
          </w:p>
        </w:tc>
        <w:tc>
          <w:tcPr>
            <w:tcW w:w="7460" w:type="dxa"/>
            <w:vAlign w:val="bottom"/>
            <w:gridSpan w:val="10"/>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Borders>
              <w:bottom w:val="single" w:sz="8" w:color="0000FF"/>
            </w:tcBorders>
            <w:vMerge w:val="continue"/>
          </w:tcPr>
          <w:p>
            <w:pPr>
              <w:spacing w:after="0"/>
              <w:rPr>
                <w:sz w:val="3"/>
                <w:szCs w:val="3"/>
                <w:color w:val="auto"/>
              </w:rPr>
            </w:pPr>
          </w:p>
        </w:tc>
        <w:tc>
          <w:tcPr>
            <w:tcW w:w="74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900" w:type="dxa"/>
            <w:vAlign w:val="bottom"/>
            <w:gridSpan w:val="2"/>
          </w:tcPr>
          <w:p>
            <w:pPr>
              <w:jc w:val="center"/>
              <w:ind w:right="580"/>
              <w:spacing w:after="0" w:line="139" w:lineRule="exact"/>
              <w:rPr>
                <w:sz w:val="20"/>
                <w:szCs w:val="20"/>
                <w:color w:val="auto"/>
              </w:rPr>
            </w:pPr>
            <w:r>
              <w:rPr>
                <w:rFonts w:ascii="Arial" w:cs="Arial" w:eastAsia="Arial" w:hAnsi="Arial"/>
                <w:sz w:val="13"/>
                <w:szCs w:val="13"/>
                <w:color w:val="auto"/>
                <w:w w:val="98"/>
              </w:rPr>
              <w:t>1.INS</w:t>
            </w:r>
          </w:p>
        </w:tc>
        <w:tc>
          <w:tcPr>
            <w:tcW w:w="8620" w:type="dxa"/>
            <w:vAlign w:val="bottom"/>
            <w:gridSpan w:val="11"/>
          </w:tcPr>
          <w:p>
            <w:pPr>
              <w:spacing w:after="0" w:line="139" w:lineRule="exact"/>
              <w:rPr>
                <w:sz w:val="20"/>
                <w:szCs w:val="20"/>
                <w:color w:val="auto"/>
              </w:rPr>
            </w:pPr>
            <w:r>
              <w:rPr>
                <w:rFonts w:ascii="Arial" w:cs="Arial" w:eastAsia="Arial" w:hAnsi="Arial"/>
                <w:sz w:val="13"/>
                <w:szCs w:val="13"/>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20" w:type="dxa"/>
            <w:vAlign w:val="bottom"/>
            <w:gridSpan w:val="11"/>
          </w:tcPr>
          <w:p>
            <w:pPr>
              <w:spacing w:after="0"/>
              <w:rPr>
                <w:sz w:val="20"/>
                <w:szCs w:val="20"/>
                <w:color w:val="auto"/>
              </w:rPr>
            </w:pPr>
            <w:r>
              <w:rPr>
                <w:rFonts w:ascii="Arial" w:cs="Arial" w:eastAsia="Arial" w:hAnsi="Arial"/>
                <w:sz w:val="13"/>
                <w:szCs w:val="13"/>
                <w:color w:val="auto"/>
              </w:rPr>
              <w:t>XBRL document (furnished herewith).</w:t>
            </w:r>
          </w:p>
        </w:tc>
        <w:tc>
          <w:tcPr>
            <w:tcW w:w="0" w:type="dxa"/>
            <w:vAlign w:val="bottom"/>
          </w:tcPr>
          <w:p>
            <w:pPr>
              <w:spacing w:after="0"/>
              <w:rPr>
                <w:sz w:val="1"/>
                <w:szCs w:val="1"/>
                <w:color w:val="auto"/>
              </w:rPr>
            </w:pPr>
          </w:p>
        </w:tc>
      </w:tr>
      <w:tr>
        <w:trPr>
          <w:trHeight w:val="170"/>
        </w:trPr>
        <w:tc>
          <w:tcPr>
            <w:tcW w:w="940" w:type="dxa"/>
            <w:vAlign w:val="bottom"/>
            <w:gridSpan w:val="3"/>
          </w:tcPr>
          <w:p>
            <w:pPr>
              <w:jc w:val="center"/>
              <w:ind w:right="560"/>
              <w:spacing w:after="0"/>
              <w:rPr>
                <w:sz w:val="20"/>
                <w:szCs w:val="20"/>
                <w:color w:val="auto"/>
              </w:rPr>
            </w:pPr>
            <w:r>
              <w:rPr>
                <w:rFonts w:ascii="Arial" w:cs="Arial" w:eastAsia="Arial" w:hAnsi="Arial"/>
                <w:sz w:val="13"/>
                <w:szCs w:val="13"/>
                <w:color w:val="auto"/>
                <w:w w:val="99"/>
              </w:rPr>
              <w:t>1.SCH</w:t>
            </w:r>
          </w:p>
        </w:tc>
        <w:tc>
          <w:tcPr>
            <w:tcW w:w="8620" w:type="dxa"/>
            <w:vAlign w:val="bottom"/>
            <w:gridSpan w:val="11"/>
          </w:tcPr>
          <w:p>
            <w:pPr>
              <w:spacing w:after="0"/>
              <w:rPr>
                <w:sz w:val="20"/>
                <w:szCs w:val="20"/>
                <w:color w:val="auto"/>
              </w:rPr>
            </w:pPr>
            <w:r>
              <w:rPr>
                <w:rFonts w:ascii="Arial" w:cs="Arial" w:eastAsia="Arial" w:hAnsi="Arial"/>
                <w:sz w:val="13"/>
                <w:szCs w:val="13"/>
                <w:color w:val="auto"/>
              </w:rPr>
              <w:t>Inline XBRL Taxonomy Extension Schema Document (furnished herewith).</w:t>
            </w:r>
          </w:p>
        </w:tc>
        <w:tc>
          <w:tcPr>
            <w:tcW w:w="0" w:type="dxa"/>
            <w:vAlign w:val="bottom"/>
          </w:tcPr>
          <w:p>
            <w:pPr>
              <w:spacing w:after="0"/>
              <w:rPr>
                <w:sz w:val="1"/>
                <w:szCs w:val="1"/>
                <w:color w:val="auto"/>
              </w:rPr>
            </w:pPr>
          </w:p>
        </w:tc>
      </w:tr>
      <w:tr>
        <w:trPr>
          <w:trHeight w:val="170"/>
        </w:trPr>
        <w:tc>
          <w:tcPr>
            <w:tcW w:w="940" w:type="dxa"/>
            <w:vAlign w:val="bottom"/>
            <w:gridSpan w:val="3"/>
          </w:tcPr>
          <w:p>
            <w:pPr>
              <w:jc w:val="center"/>
              <w:ind w:right="560"/>
              <w:spacing w:after="0"/>
              <w:rPr>
                <w:sz w:val="20"/>
                <w:szCs w:val="20"/>
                <w:color w:val="auto"/>
              </w:rPr>
            </w:pPr>
            <w:r>
              <w:rPr>
                <w:rFonts w:ascii="Arial" w:cs="Arial" w:eastAsia="Arial" w:hAnsi="Arial"/>
                <w:sz w:val="13"/>
                <w:szCs w:val="13"/>
                <w:color w:val="auto"/>
                <w:w w:val="93"/>
              </w:rPr>
              <w:t>1.CAL</w:t>
            </w:r>
          </w:p>
        </w:tc>
        <w:tc>
          <w:tcPr>
            <w:tcW w:w="8620" w:type="dxa"/>
            <w:vAlign w:val="bottom"/>
            <w:gridSpan w:val="11"/>
          </w:tcPr>
          <w:p>
            <w:pPr>
              <w:spacing w:after="0"/>
              <w:rPr>
                <w:sz w:val="20"/>
                <w:szCs w:val="20"/>
                <w:color w:val="auto"/>
              </w:rPr>
            </w:pPr>
            <w:r>
              <w:rPr>
                <w:rFonts w:ascii="Arial" w:cs="Arial" w:eastAsia="Arial" w:hAnsi="Arial"/>
                <w:sz w:val="13"/>
                <w:szCs w:val="13"/>
                <w:color w:val="auto"/>
              </w:rPr>
              <w:t>Inline XBRL Taxonomy Calculation Linkbase Document (furnished herewith).</w:t>
            </w:r>
          </w:p>
        </w:tc>
        <w:tc>
          <w:tcPr>
            <w:tcW w:w="0" w:type="dxa"/>
            <w:vAlign w:val="bottom"/>
          </w:tcPr>
          <w:p>
            <w:pPr>
              <w:spacing w:after="0"/>
              <w:rPr>
                <w:sz w:val="1"/>
                <w:szCs w:val="1"/>
                <w:color w:val="auto"/>
              </w:rPr>
            </w:pPr>
          </w:p>
        </w:tc>
      </w:tr>
      <w:tr>
        <w:trPr>
          <w:trHeight w:val="170"/>
        </w:trPr>
        <w:tc>
          <w:tcPr>
            <w:tcW w:w="940" w:type="dxa"/>
            <w:vAlign w:val="bottom"/>
            <w:gridSpan w:val="3"/>
          </w:tcPr>
          <w:p>
            <w:pPr>
              <w:jc w:val="center"/>
              <w:ind w:right="540"/>
              <w:spacing w:after="0"/>
              <w:rPr>
                <w:sz w:val="20"/>
                <w:szCs w:val="20"/>
                <w:color w:val="auto"/>
              </w:rPr>
            </w:pPr>
            <w:r>
              <w:rPr>
                <w:rFonts w:ascii="Arial" w:cs="Arial" w:eastAsia="Arial" w:hAnsi="Arial"/>
                <w:sz w:val="13"/>
                <w:szCs w:val="13"/>
                <w:color w:val="auto"/>
                <w:w w:val="97"/>
              </w:rPr>
              <w:t>1.DEF</w:t>
            </w:r>
          </w:p>
        </w:tc>
        <w:tc>
          <w:tcPr>
            <w:tcW w:w="8620" w:type="dxa"/>
            <w:vAlign w:val="bottom"/>
            <w:gridSpan w:val="11"/>
          </w:tcPr>
          <w:p>
            <w:pPr>
              <w:spacing w:after="0"/>
              <w:rPr>
                <w:sz w:val="20"/>
                <w:szCs w:val="20"/>
                <w:color w:val="auto"/>
              </w:rPr>
            </w:pPr>
            <w:r>
              <w:rPr>
                <w:rFonts w:ascii="Arial" w:cs="Arial" w:eastAsia="Arial" w:hAnsi="Arial"/>
                <w:sz w:val="13"/>
                <w:szCs w:val="13"/>
                <w:color w:val="auto"/>
              </w:rPr>
              <w:t>Inline XBRL Taxonomy Extension Definition Linkbase Document (furnished herewith).</w:t>
            </w:r>
          </w:p>
        </w:tc>
        <w:tc>
          <w:tcPr>
            <w:tcW w:w="0" w:type="dxa"/>
            <w:vAlign w:val="bottom"/>
          </w:tcPr>
          <w:p>
            <w:pPr>
              <w:spacing w:after="0"/>
              <w:rPr>
                <w:sz w:val="1"/>
                <w:szCs w:val="1"/>
                <w:color w:val="auto"/>
              </w:rPr>
            </w:pPr>
          </w:p>
        </w:tc>
      </w:tr>
      <w:tr>
        <w:trPr>
          <w:trHeight w:val="170"/>
        </w:trPr>
        <w:tc>
          <w:tcPr>
            <w:tcW w:w="940" w:type="dxa"/>
            <w:vAlign w:val="bottom"/>
            <w:gridSpan w:val="3"/>
          </w:tcPr>
          <w:p>
            <w:pPr>
              <w:jc w:val="center"/>
              <w:ind w:right="560"/>
              <w:spacing w:after="0"/>
              <w:rPr>
                <w:sz w:val="20"/>
                <w:szCs w:val="20"/>
                <w:color w:val="auto"/>
              </w:rPr>
            </w:pPr>
            <w:r>
              <w:rPr>
                <w:rFonts w:ascii="Arial" w:cs="Arial" w:eastAsia="Arial" w:hAnsi="Arial"/>
                <w:sz w:val="13"/>
                <w:szCs w:val="13"/>
                <w:color w:val="auto"/>
                <w:w w:val="95"/>
              </w:rPr>
              <w:t>1.LAB</w:t>
            </w:r>
          </w:p>
        </w:tc>
        <w:tc>
          <w:tcPr>
            <w:tcW w:w="8620" w:type="dxa"/>
            <w:vAlign w:val="bottom"/>
            <w:gridSpan w:val="11"/>
          </w:tcPr>
          <w:p>
            <w:pPr>
              <w:spacing w:after="0"/>
              <w:rPr>
                <w:sz w:val="20"/>
                <w:szCs w:val="20"/>
                <w:color w:val="auto"/>
              </w:rPr>
            </w:pPr>
            <w:r>
              <w:rPr>
                <w:rFonts w:ascii="Arial" w:cs="Arial" w:eastAsia="Arial" w:hAnsi="Arial"/>
                <w:sz w:val="13"/>
                <w:szCs w:val="13"/>
                <w:color w:val="auto"/>
              </w:rPr>
              <w:t>Inline XBRL Taxonomy Label Linkbase Document (furnished herewith).</w:t>
            </w:r>
          </w:p>
        </w:tc>
        <w:tc>
          <w:tcPr>
            <w:tcW w:w="0" w:type="dxa"/>
            <w:vAlign w:val="bottom"/>
          </w:tcPr>
          <w:p>
            <w:pPr>
              <w:spacing w:after="0"/>
              <w:rPr>
                <w:sz w:val="1"/>
                <w:szCs w:val="1"/>
                <w:color w:val="auto"/>
              </w:rPr>
            </w:pPr>
          </w:p>
        </w:tc>
      </w:tr>
      <w:tr>
        <w:trPr>
          <w:trHeight w:val="170"/>
        </w:trPr>
        <w:tc>
          <w:tcPr>
            <w:tcW w:w="940" w:type="dxa"/>
            <w:vAlign w:val="bottom"/>
            <w:gridSpan w:val="3"/>
          </w:tcPr>
          <w:p>
            <w:pPr>
              <w:jc w:val="center"/>
              <w:ind w:right="560"/>
              <w:spacing w:after="0"/>
              <w:rPr>
                <w:sz w:val="20"/>
                <w:szCs w:val="20"/>
                <w:color w:val="auto"/>
              </w:rPr>
            </w:pPr>
            <w:r>
              <w:rPr>
                <w:rFonts w:ascii="Arial" w:cs="Arial" w:eastAsia="Arial" w:hAnsi="Arial"/>
                <w:sz w:val="13"/>
                <w:szCs w:val="13"/>
                <w:color w:val="auto"/>
              </w:rPr>
              <w:t>1.PRE</w:t>
            </w:r>
          </w:p>
        </w:tc>
        <w:tc>
          <w:tcPr>
            <w:tcW w:w="8620" w:type="dxa"/>
            <w:vAlign w:val="bottom"/>
            <w:gridSpan w:val="11"/>
          </w:tcPr>
          <w:p>
            <w:pPr>
              <w:spacing w:after="0"/>
              <w:rPr>
                <w:sz w:val="20"/>
                <w:szCs w:val="20"/>
                <w:color w:val="auto"/>
              </w:rPr>
            </w:pPr>
            <w:r>
              <w:rPr>
                <w:rFonts w:ascii="Arial" w:cs="Arial" w:eastAsia="Arial" w:hAnsi="Arial"/>
                <w:sz w:val="13"/>
                <w:szCs w:val="13"/>
                <w:color w:val="auto"/>
              </w:rPr>
              <w:t>Inline XBRL Taxonomy Presentation Linkbase Document (furnished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-1917700</wp:posOffset>
            </wp:positionV>
            <wp:extent cx="6016625" cy="208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016625" cy="20891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-1594485</wp:posOffset>
            </wp:positionV>
            <wp:extent cx="6016625" cy="114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016625" cy="11430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-1291590</wp:posOffset>
            </wp:positionV>
            <wp:extent cx="601662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0166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-913765</wp:posOffset>
            </wp:positionV>
            <wp:extent cx="60166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0166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-536575</wp:posOffset>
            </wp:positionV>
            <wp:extent cx="6016625"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016625"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-321310</wp:posOffset>
            </wp:positionV>
            <wp:extent cx="6016625"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016625"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-105410</wp:posOffset>
            </wp:positionV>
            <wp:extent cx="6016625"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016625" cy="107950"/>
                    </a:xfrm>
                    <a:prstGeom prst="rect">
                      <a:avLst/>
                    </a:prstGeom>
                    <a:noFill/>
                  </pic:spPr>
                </pic:pic>
              </a:graphicData>
            </a:graphic>
          </wp:anchor>
        </w:drawing>
      </w:r>
    </w:p>
    <w:p>
      <w:pPr>
        <w:ind w:left="80" w:right="3139" w:hanging="64"/>
        <w:spacing w:after="0" w:line="811" w:lineRule="auto"/>
        <w:tabs>
          <w:tab w:leader="none" w:pos="9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Cover Page Interactive Data File (formatted in Inline XBRL and contained in Exhibit 101) (furnished herewith). * Management contract or compensation plan or arrangement.</w:t>
      </w: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39"/>
          </w:cols>
          <w:pgMar w:left="220" w:top="129"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WINNEBAGO INDUSTRIES, INC.</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880" w:type="dxa"/>
            <w:vAlign w:val="bottom"/>
          </w:tcPr>
          <w:p>
            <w:pPr>
              <w:ind w:left="180"/>
              <w:spacing w:after="0"/>
              <w:rPr>
                <w:sz w:val="20"/>
                <w:szCs w:val="20"/>
                <w:color w:val="auto"/>
              </w:rPr>
            </w:pPr>
            <w:r>
              <w:rPr>
                <w:rFonts w:ascii="Arial" w:cs="Arial" w:eastAsia="Arial" w:hAnsi="Arial"/>
                <w:sz w:val="13"/>
                <w:szCs w:val="13"/>
                <w:color w:val="auto"/>
              </w:rPr>
              <w:t>June 20, 2024</w:t>
            </w:r>
          </w:p>
        </w:tc>
        <w:tc>
          <w:tcPr>
            <w:tcW w:w="2300" w:type="dxa"/>
            <w:vAlign w:val="bottom"/>
          </w:tcPr>
          <w:p>
            <w:pPr>
              <w:ind w:left="1880"/>
              <w:spacing w:after="0"/>
              <w:rPr>
                <w:sz w:val="20"/>
                <w:szCs w:val="20"/>
                <w:color w:val="auto"/>
              </w:rPr>
            </w:pPr>
            <w:r>
              <w:rPr>
                <w:rFonts w:ascii="Arial" w:cs="Arial" w:eastAsia="Arial" w:hAnsi="Arial"/>
                <w:sz w:val="13"/>
                <w:szCs w:val="13"/>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202"/>
        </w:trPr>
        <w:tc>
          <w:tcPr>
            <w:tcW w:w="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223"/>
        </w:trPr>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Chief Executive Officer, President</w:t>
            </w:r>
          </w:p>
        </w:tc>
      </w:tr>
      <w:tr>
        <w:trPr>
          <w:trHeight w:val="170"/>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r>
      <w:tr>
        <w:trPr>
          <w:trHeight w:val="341"/>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880" w:type="dxa"/>
            <w:vAlign w:val="bottom"/>
          </w:tcPr>
          <w:p>
            <w:pPr>
              <w:ind w:left="180"/>
              <w:spacing w:after="0"/>
              <w:rPr>
                <w:sz w:val="20"/>
                <w:szCs w:val="20"/>
                <w:color w:val="auto"/>
              </w:rPr>
            </w:pPr>
            <w:r>
              <w:rPr>
                <w:rFonts w:ascii="Arial" w:cs="Arial" w:eastAsia="Arial" w:hAnsi="Arial"/>
                <w:sz w:val="13"/>
                <w:szCs w:val="13"/>
                <w:color w:val="auto"/>
              </w:rPr>
              <w:t>June 20, 2024</w:t>
            </w:r>
          </w:p>
        </w:tc>
        <w:tc>
          <w:tcPr>
            <w:tcW w:w="2300" w:type="dxa"/>
            <w:vAlign w:val="bottom"/>
          </w:tcPr>
          <w:p>
            <w:pPr>
              <w:ind w:left="1880"/>
              <w:spacing w:after="0"/>
              <w:rPr>
                <w:sz w:val="20"/>
                <w:szCs w:val="20"/>
                <w:color w:val="auto"/>
              </w:rPr>
            </w:pPr>
            <w:r>
              <w:rPr>
                <w:rFonts w:ascii="Arial" w:cs="Arial" w:eastAsia="Arial" w:hAnsi="Arial"/>
                <w:sz w:val="13"/>
                <w:szCs w:val="13"/>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9"/>
        </w:trPr>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70"/>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Chief Financial Officer and Senior Vice President</w:t>
            </w:r>
          </w:p>
        </w:tc>
      </w:tr>
      <w:tr>
        <w:trPr>
          <w:trHeight w:val="170"/>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000"/>
          </w:cols>
          <w:pgMar w:left="300" w:top="129" w:right="59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AS ADOPTED PURSUANT TO SECTION 302</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I, Michael J. Happe, Chief Executive Officer of Winnebago Industries, Inc., certify that:</w:t>
      </w:r>
    </w:p>
    <w:p>
      <w:pPr>
        <w:spacing w:after="0" w:line="190"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Winnebago Industries, Inc. (the "Registrant");</w:t>
      </w:r>
    </w:p>
    <w:p>
      <w:pPr>
        <w:spacing w:after="0" w:line="190"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520" w:right="60" w:hanging="260"/>
        <w:spacing w:after="0" w:line="266" w:lineRule="auto"/>
        <w:tabs>
          <w:tab w:leader="none" w:pos="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3"/>
          <w:szCs w:val="13"/>
          <w:color w:val="auto"/>
        </w:rPr>
      </w:pPr>
    </w:p>
    <w:p>
      <w:pPr>
        <w:ind w:left="520" w:right="620" w:hanging="260"/>
        <w:spacing w:after="0" w:line="283" w:lineRule="auto"/>
        <w:tabs>
          <w:tab w:leader="none" w:pos="513"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520" w:right="360" w:hanging="260"/>
        <w:spacing w:after="0" w:line="266" w:lineRule="auto"/>
        <w:tabs>
          <w:tab w:leader="none" w:pos="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60" w:hanging="255"/>
        <w:spacing w:after="0" w:line="266"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520" w:right="20" w:hanging="260"/>
        <w:spacing w:after="0" w:line="266" w:lineRule="auto"/>
        <w:tabs>
          <w:tab w:leader="none" w:pos="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520" w:hanging="260"/>
        <w:spacing w:after="0"/>
        <w:tabs>
          <w:tab w:leader="none" w:pos="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520"/>
        <w:spacing w:after="0"/>
        <w:tabs>
          <w:tab w:leader="none" w:pos="1440" w:val="left"/>
          <w:tab w:leader="none" w:pos="63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June 20, 2024</w:t>
      </w:r>
      <w:r>
        <w:rPr>
          <w:sz w:val="20"/>
          <w:szCs w:val="20"/>
          <w:color w:val="auto"/>
        </w:rPr>
        <w:tab/>
      </w:r>
      <w:r>
        <w:rPr>
          <w:rFonts w:ascii="Arial" w:cs="Arial" w:eastAsia="Arial" w:hAnsi="Arial"/>
          <w:sz w:val="12"/>
          <w:szCs w:val="1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5806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53"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Michael J. Happe</w:t>
      </w:r>
    </w:p>
    <w:p>
      <w:pPr>
        <w:spacing w:after="0" w:line="73"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Chief Executive Officer, President</w:t>
      </w:r>
    </w:p>
    <w:p>
      <w:pPr>
        <w:sectPr>
          <w:pgSz w:w="11900" w:h="16838" w:orient="portrait"/>
          <w:cols w:equalWidth="0" w:num="1">
            <w:col w:w="11280"/>
          </w:cols>
          <w:pgMar w:left="300" w:top="734"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auto"/>
        </w:rPr>
        <w:t>Exhibit 31.2</w:t>
      </w:r>
    </w:p>
    <w:p>
      <w:pPr>
        <w:spacing w:after="0" w:line="11"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AS ADOPTED PURSUANT TO SECTION 302</w:t>
      </w:r>
    </w:p>
    <w:p>
      <w:pPr>
        <w:ind w:left="4380"/>
        <w:spacing w:after="0"/>
        <w:rPr>
          <w:sz w:val="20"/>
          <w:szCs w:val="20"/>
          <w:color w:val="auto"/>
        </w:rPr>
      </w:pPr>
      <w:r>
        <w:rPr>
          <w:rFonts w:ascii="Arial" w:cs="Arial" w:eastAsia="Arial" w:hAnsi="Arial"/>
          <w:sz w:val="13"/>
          <w:szCs w:val="13"/>
          <w:b w:val="1"/>
          <w:bCs w:val="1"/>
          <w:color w:val="auto"/>
        </w:rPr>
        <w:t>OF THE SARBANES-OXLEY ACT OF 2002</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I, Bryan L. Hughes, Chief Financial Officer of Winnebago Industries, Inc., certify that:</w:t>
      </w:r>
    </w:p>
    <w:p>
      <w:pPr>
        <w:spacing w:after="0" w:line="178"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Winnebago Industries, Inc. (the "Registrant");</w:t>
      </w:r>
    </w:p>
    <w:p>
      <w:pPr>
        <w:spacing w:after="0" w:line="190"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260" w:right="140" w:hanging="255"/>
        <w:spacing w:after="0" w:line="283"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520" w:right="60" w:hanging="260"/>
        <w:spacing w:after="0" w:line="266" w:lineRule="auto"/>
        <w:tabs>
          <w:tab w:leader="none" w:pos="5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3"/>
          <w:szCs w:val="13"/>
          <w:color w:val="auto"/>
        </w:rPr>
      </w:pPr>
    </w:p>
    <w:p>
      <w:pPr>
        <w:ind w:left="520" w:right="620" w:hanging="260"/>
        <w:spacing w:after="0" w:line="283" w:lineRule="auto"/>
        <w:tabs>
          <w:tab w:leader="none" w:pos="513" w:val="left"/>
        </w:tabs>
        <w:numPr>
          <w:ilvl w:val="1"/>
          <w:numId w:val="2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520" w:right="360" w:hanging="260"/>
        <w:spacing w:after="0" w:line="266" w:lineRule="auto"/>
        <w:tabs>
          <w:tab w:leader="none" w:pos="5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260" w:right="60" w:hanging="255"/>
        <w:spacing w:after="0" w:line="266"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520" w:right="20" w:hanging="260"/>
        <w:spacing w:after="0" w:line="266" w:lineRule="auto"/>
        <w:tabs>
          <w:tab w:leader="none" w:pos="5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3"/>
          <w:szCs w:val="13"/>
          <w:color w:val="auto"/>
        </w:rPr>
      </w:pPr>
    </w:p>
    <w:p>
      <w:pPr>
        <w:ind w:left="520" w:hanging="260"/>
        <w:spacing w:after="0"/>
        <w:tabs>
          <w:tab w:leader="none" w:pos="5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1000"/>
        <w:spacing w:after="0"/>
        <w:tabs>
          <w:tab w:leader="none" w:pos="1680" w:val="left"/>
          <w:tab w:leader="none" w:pos="65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June 20, 2024</w:t>
      </w:r>
      <w:r>
        <w:rPr>
          <w:sz w:val="20"/>
          <w:szCs w:val="20"/>
          <w:color w:val="auto"/>
        </w:rPr>
        <w:tab/>
      </w:r>
      <w:r>
        <w:rPr>
          <w:rFonts w:ascii="Arial" w:cs="Arial" w:eastAsia="Arial" w:hAnsi="Arial"/>
          <w:sz w:val="12"/>
          <w:szCs w:val="12"/>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12700</wp:posOffset>
            </wp:positionV>
            <wp:extent cx="25196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Bryan L. Hughes</w:t>
      </w:r>
    </w:p>
    <w:p>
      <w:pPr>
        <w:spacing w:after="0" w:line="2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Senior Vice President, Chief Financial Officer</w:t>
      </w:r>
    </w:p>
    <w:p>
      <w:pPr>
        <w:sectPr>
          <w:pgSz w:w="11900" w:h="16838" w:orient="portrait"/>
          <w:cols w:equalWidth="0" w:num="1">
            <w:col w:w="11280"/>
          </w:cols>
          <w:pgMar w:left="300" w:top="734"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3"/>
          <w:szCs w:val="13"/>
          <w:b w:val="1"/>
          <w:bCs w:val="1"/>
          <w:color w:val="auto"/>
        </w:rPr>
        <w:t>Exhibit 32.1</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11"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46" w:lineRule="exact"/>
        <w:rPr>
          <w:sz w:val="20"/>
          <w:szCs w:val="20"/>
          <w:color w:val="auto"/>
        </w:rPr>
      </w:pPr>
    </w:p>
    <w:p>
      <w:pPr>
        <w:ind w:right="740"/>
        <w:spacing w:after="0" w:line="266"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Michael J. Happe, Chief Executive Officer of Winnebago Industries, Inc. (the "Company"), hereby certify that to my knowledge:</w:t>
      </w:r>
    </w:p>
    <w:p>
      <w:pPr>
        <w:spacing w:after="0" w:line="167" w:lineRule="exact"/>
        <w:rPr>
          <w:sz w:val="20"/>
          <w:szCs w:val="20"/>
          <w:color w:val="auto"/>
        </w:rPr>
      </w:pPr>
    </w:p>
    <w:p>
      <w:pPr>
        <w:ind w:left="520" w:right="200" w:hanging="260"/>
        <w:spacing w:after="0" w:line="266"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Quarterly Report on Form 10-Q for the fiscal quarter ended May 25, 2024 (the "Report") of the Company, fully complies with the requirements of Section 13(a) or 15(d) of the Securities Exchange Act of 1934, and</w:t>
      </w:r>
    </w:p>
    <w:p>
      <w:pPr>
        <w:spacing w:after="0" w:line="156"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640" w:type="dxa"/>
            <w:vAlign w:val="bottom"/>
          </w:tcPr>
          <w:p>
            <w:pPr>
              <w:spacing w:after="0"/>
              <w:rPr>
                <w:sz w:val="20"/>
                <w:szCs w:val="20"/>
                <w:color w:val="auto"/>
              </w:rPr>
            </w:pPr>
            <w:r>
              <w:rPr>
                <w:rFonts w:ascii="Arial" w:cs="Arial" w:eastAsia="Arial" w:hAnsi="Arial"/>
                <w:sz w:val="13"/>
                <w:szCs w:val="13"/>
                <w:color w:val="auto"/>
              </w:rPr>
              <w:t>Date:</w:t>
            </w:r>
          </w:p>
        </w:tc>
        <w:tc>
          <w:tcPr>
            <w:tcW w:w="5520" w:type="dxa"/>
            <w:vAlign w:val="bottom"/>
          </w:tcPr>
          <w:p>
            <w:pPr>
              <w:ind w:left="360"/>
              <w:spacing w:after="0"/>
              <w:rPr>
                <w:sz w:val="20"/>
                <w:szCs w:val="20"/>
                <w:color w:val="auto"/>
              </w:rPr>
            </w:pPr>
            <w:r>
              <w:rPr>
                <w:rFonts w:ascii="Arial" w:cs="Arial" w:eastAsia="Arial" w:hAnsi="Arial"/>
                <w:sz w:val="13"/>
                <w:szCs w:val="13"/>
                <w:color w:val="auto"/>
              </w:rPr>
              <w:t>June 20, 2024</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202"/>
        </w:trPr>
        <w:tc>
          <w:tcPr>
            <w:tcW w:w="6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223"/>
        </w:trPr>
        <w:tc>
          <w:tcPr>
            <w:tcW w:w="6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Chief Executive Officer, President</w:t>
            </w:r>
          </w:p>
        </w:tc>
      </w:tr>
    </w:tbl>
    <w:p>
      <w:pPr>
        <w:sectPr>
          <w:pgSz w:w="11900" w:h="16838" w:orient="portrait"/>
          <w:cols w:equalWidth="0" w:num="1">
            <w:col w:w="11280"/>
          </w:cols>
          <w:pgMar w:left="300" w:top="734"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auto"/>
        </w:rPr>
        <w:t>Exhibit 32.2</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11"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46"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Bryan L. Hughes, Chief Financial Officer of Winnebago Industries, Inc. (the "Company"), hereby certify that to my knowledge:</w:t>
      </w:r>
    </w:p>
    <w:p>
      <w:pPr>
        <w:spacing w:after="0" w:line="167" w:lineRule="exact"/>
        <w:rPr>
          <w:sz w:val="20"/>
          <w:szCs w:val="20"/>
          <w:color w:val="auto"/>
        </w:rPr>
      </w:pPr>
    </w:p>
    <w:p>
      <w:pPr>
        <w:ind w:left="520" w:right="200" w:hanging="260"/>
        <w:spacing w:after="0" w:line="266"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Quarterly Report on Form 10-Q for the fiscal quarter ended May 25, 2024 (the "Report") of the Company, fully complies with the requirements of Section 13(a) or 15(d) of the Securities Exchange Act of 1934, and</w:t>
      </w:r>
    </w:p>
    <w:p>
      <w:pPr>
        <w:spacing w:after="0" w:line="156"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5400" w:type="dxa"/>
            <w:vAlign w:val="bottom"/>
          </w:tcPr>
          <w:p>
            <w:pPr>
              <w:ind w:left="240"/>
              <w:spacing w:after="0"/>
              <w:rPr>
                <w:sz w:val="20"/>
                <w:szCs w:val="20"/>
                <w:color w:val="auto"/>
              </w:rPr>
            </w:pPr>
            <w:r>
              <w:rPr>
                <w:rFonts w:ascii="Arial" w:cs="Arial" w:eastAsia="Arial" w:hAnsi="Arial"/>
                <w:sz w:val="13"/>
                <w:szCs w:val="13"/>
                <w:color w:val="auto"/>
              </w:rPr>
              <w:t>June 20, 2024</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9"/>
        </w:trPr>
        <w:tc>
          <w:tcPr>
            <w:tcW w:w="5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28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70"/>
        </w:trPr>
        <w:tc>
          <w:tcPr>
            <w:tcW w:w="5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280" w:type="dxa"/>
            <w:vAlign w:val="bottom"/>
          </w:tcPr>
          <w:p>
            <w:pPr>
              <w:ind w:left="20"/>
              <w:spacing w:after="0"/>
              <w:rPr>
                <w:sz w:val="20"/>
                <w:szCs w:val="20"/>
                <w:color w:val="auto"/>
              </w:rPr>
            </w:pPr>
            <w:r>
              <w:rPr>
                <w:rFonts w:ascii="Arial" w:cs="Arial" w:eastAsia="Arial" w:hAnsi="Arial"/>
                <w:sz w:val="13"/>
                <w:szCs w:val="13"/>
                <w:color w:val="auto"/>
              </w:rPr>
              <w:t>Senior Vice President, Chief Financial Officer</w:t>
            </w:r>
          </w:p>
        </w:tc>
      </w:tr>
    </w:tbl>
    <w:p>
      <w:pPr>
        <w:spacing w:after="0" w:line="1" w:lineRule="exact"/>
        <w:rPr>
          <w:sz w:val="20"/>
          <w:szCs w:val="20"/>
          <w:color w:val="auto"/>
        </w:rPr>
      </w:pPr>
    </w:p>
    <w:sectPr>
      <w:pgSz w:w="11900" w:h="16838" w:orient="portrait"/>
      <w:cols w:equalWidth="0" w:num="1">
        <w:col w:w="11280"/>
      </w:cols>
      <w:pgMar w:left="300" w:top="7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71" Type="http://schemas.openxmlformats.org/officeDocument/2006/relationships/hyperlink" Target="https://www.sec.gov/Archives/edgar/data/107687/000010768722000004/wgo-mnarticlesreincorporat.htm" TargetMode="External"/><Relationship Id="rId72" Type="http://schemas.openxmlformats.org/officeDocument/2006/relationships/hyperlink" Target="https://www.sec.gov/Archives/edgar/data/107687/000010768723000018/wgo-bylawsxaugust152023xfi.htm" TargetMode="External"/><Relationship Id="rId73" Type="http://schemas.openxmlformats.org/officeDocument/2006/relationships/hyperlink" Target="https://www.sec.gov/Archives/edgar/data/107687/000110465919059604/a19-21005_2ex4d1.htm" TargetMode="External"/><Relationship Id="rId74" Type="http://schemas.openxmlformats.org/officeDocument/2006/relationships/hyperlink" Target="https://www.sec.gov/Archives/edgar/data/0000107687/000110465920082433/tm2024371d1_ex4-1.htm" TargetMode="External"/><Relationship Id="rId77" Type="http://schemas.openxmlformats.org/officeDocument/2006/relationships/hyperlink" Target="https://www.sec.gov/Archives/edgar/data/107687/000110465920082433/tm2024371d1_ex4-1.htm" TargetMode="External"/><Relationship Id="rId78" Type="http://schemas.openxmlformats.org/officeDocument/2006/relationships/hyperlink" Target="https://www.sec.gov/Archives/edgar/data/107687/000110465924005904/tm2438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2024-06-20T15:20:13Z</dcterms:created>
  <dcterms:modified xsi:type="dcterms:W3CDTF">2024-06-20T15:20:13Z</dcterms:modified>
</cp:coreProperties>
</file>