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edgar.xml.htm"/>
      <w:bookmarkStart w:id="1" w:name="ksedgar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Woods Jacqueline D.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13200 PIONEER TRAIL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EDEN PRAIRIE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MN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55347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WINNEBAGO INDUSTRIES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WGO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02/25/2022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1196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00"/>
        <w:gridCol w:w="861"/>
        <w:gridCol w:w="891"/>
        <w:gridCol w:w="771"/>
        <w:gridCol w:w="591"/>
        <w:gridCol w:w="300"/>
        <w:gridCol w:w="525"/>
        <w:gridCol w:w="276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10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0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5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110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Winnebago Stock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02/25/2022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298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298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63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685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(3)</w:t>
            </w:r>
            <w:r>
              <w:rPr/>
              <w:t xml:space="preserve"> 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Winnebago Stock Units are accrued under the Winnebago Industries, Inc. Directors Deferred Compensation Plan and are to be settled 100% in Winnebago Industries common stock upon the earliest of the following events: reporting person's termination of service as a director, death, disability or a "change in the effective control of the Company" as defined in the Plan pursuant to an election made by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amount of Winnebago Stock Units by reporting person on the transaction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total amount of Winnebago Stock Units held by reporting person in Winnebago Industries, Inc. Directors Deferred Compensation Plan as of reporting date.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Stacy Bogart, Senior Vice President, General Counsel, Secretary and Corporate Responsibility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03/01/2022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854508" TargetMode="External"/><Relationship Id="rId4" Type="http://schemas.openxmlformats.org/officeDocument/2006/relationships/hyperlink" Target="http://www.sec.gov/cgi-bin/browse-edgar?action=getcompany&amp;CIK=0000107687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633</Words>
  <CharactersWithSpaces>4047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