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October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Minnesota</w:t>
            </w:r>
          </w:p>
        </w:tc>
        <w:tc>
          <w:tcPr>
            <w:tcW w:w="1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001-06403</w:t>
            </w:r>
          </w:p>
        </w:tc>
        <w:tc>
          <w:tcPr>
            <w:tcW w:w="37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42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3"/>
        </w:trPr>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13200 Pioneer Trail</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Eden Prairie</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Minnesota</w:t>
            </w:r>
          </w:p>
        </w:tc>
        <w:tc>
          <w:tcPr>
            <w:tcW w:w="2060" w:type="dxa"/>
            <w:vAlign w:val="bottom"/>
          </w:tcPr>
          <w:p>
            <w:pPr>
              <w:spacing w:after="0"/>
              <w:rPr>
                <w:sz w:val="24"/>
                <w:szCs w:val="24"/>
                <w:color w:val="auto"/>
              </w:rPr>
            </w:pPr>
          </w:p>
        </w:tc>
        <w:tc>
          <w:tcPr>
            <w:tcW w:w="3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b w:val="1"/>
                <w:bCs w:val="1"/>
                <w:color w:val="auto"/>
              </w:rPr>
              <w:t>55347</w:t>
            </w:r>
          </w:p>
        </w:tc>
      </w:tr>
      <w:tr>
        <w:trPr>
          <w:trHeight w:val="208"/>
        </w:trPr>
        <w:tc>
          <w:tcPr>
            <w:tcW w:w="4160" w:type="dxa"/>
            <w:vAlign w:val="bottom"/>
            <w:gridSpan w:val="2"/>
          </w:tcPr>
          <w:p>
            <w:pPr>
              <w:jc w:val="center"/>
              <w:ind w:left="119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 829-8600</w:t>
      </w:r>
    </w:p>
    <w:p>
      <w:pPr>
        <w:spacing w:after="0" w:line="21"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6"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3"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48"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On October 19, 2022, Winnebago Industries, Inc. issued a press release to report financial results for the fourth quarter and full year of Fiscal 2022 ended August 27, 2022. A copy of the press release is attached as Exhibit 99.1 and is incorporated by reference herein.</w:t>
      </w:r>
    </w:p>
    <w:p>
      <w:pPr>
        <w:spacing w:after="0" w:line="16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fourth quarter and full year of Fiscal 2022.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99"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9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October 19, 2022</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234"/>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24"/>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245" w:lineRule="exact"/>
        <w:rPr>
          <w:sz w:val="20"/>
          <w:szCs w:val="20"/>
          <w:color w:val="auto"/>
        </w:rPr>
      </w:pPr>
    </w:p>
    <w:p>
      <w:pPr>
        <w:ind w:left="20"/>
        <w:spacing w:after="0"/>
        <w:tabs>
          <w:tab w:leader="none" w:pos="720" w:val="left"/>
          <w:tab w:leader="none" w:pos="4160" w:val="left"/>
          <w:tab w:leader="none" w:pos="49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19,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20955</wp:posOffset>
            </wp:positionV>
            <wp:extent cx="29489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Chief Financial Officer and Senior Vice President</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20"/>
          </w:cols>
          <w:pgMar w:left="320" w:top="8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2957195" cy="814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2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REPORTS STRONG FOURTH QUARTER AND FULL YEAR FISCAL 2022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Fourth Quarter Revenues of $1.2 Billion Increased 14% Year-Over-Year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Reported Quarterly Diluted EPS of $2.61 and Adjusted EPS of $3.02, Up 14% Over Prior Year --</w:t>
      </w:r>
    </w:p>
    <w:p>
      <w:pPr>
        <w:spacing w:after="0" w:line="194" w:lineRule="exact"/>
        <w:rPr>
          <w:sz w:val="20"/>
          <w:szCs w:val="20"/>
          <w:color w:val="auto"/>
        </w:rPr>
      </w:pPr>
    </w:p>
    <w:p>
      <w:pPr>
        <w:jc w:val="center"/>
        <w:spacing w:after="0" w:line="509" w:lineRule="auto"/>
        <w:rPr>
          <w:sz w:val="20"/>
          <w:szCs w:val="20"/>
          <w:color w:val="auto"/>
        </w:rPr>
      </w:pPr>
      <w:r>
        <w:rPr>
          <w:rFonts w:ascii="Arial" w:cs="Arial" w:eastAsia="Arial" w:hAnsi="Arial"/>
          <w:sz w:val="16"/>
          <w:szCs w:val="16"/>
          <w:b w:val="1"/>
          <w:bCs w:val="1"/>
          <w:color w:val="auto"/>
        </w:rPr>
        <w:t>-- Record Quarterly Cash of $85.8 Million Returned to Shareholders Through Share Repurchases and Dividends -- -- Record Annual Revenues of $5.0 Billion Resulting in Record Gross Margins and Cash Returned to Shareholders -- -- Record Annual RV Market Share of 12.7%: +20 Basis Points Over Prior Year --</w:t>
      </w:r>
    </w:p>
    <w:p>
      <w:pPr>
        <w:spacing w:after="0" w:line="152" w:lineRule="exact"/>
        <w:rPr>
          <w:sz w:val="20"/>
          <w:szCs w:val="20"/>
          <w:color w:val="auto"/>
        </w:rPr>
      </w:pPr>
    </w:p>
    <w:p>
      <w:pPr>
        <w:ind w:right="520"/>
        <w:spacing w:after="0" w:line="409" w:lineRule="auto"/>
        <w:rPr>
          <w:sz w:val="20"/>
          <w:szCs w:val="20"/>
          <w:color w:val="auto"/>
        </w:rPr>
      </w:pPr>
      <w:r>
        <w:rPr>
          <w:rFonts w:ascii="Arial" w:cs="Arial" w:eastAsia="Arial" w:hAnsi="Arial"/>
          <w:sz w:val="16"/>
          <w:szCs w:val="16"/>
          <w:color w:val="auto"/>
        </w:rPr>
        <w:t>EDEN PRAIRIE, MINNESOTA, October 19, 2022 -- Winnebago Industries, Inc. (NYSE: WGO), a leading outdoor lifestyle product manufacturer, today reported financial results for the Company's fourth quarter and full year Fiscal 2022.</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Fourth Quarter Fiscal 2022 Results</w:t>
      </w:r>
    </w:p>
    <w:p>
      <w:pPr>
        <w:spacing w:after="0" w:line="100" w:lineRule="exact"/>
        <w:rPr>
          <w:sz w:val="20"/>
          <w:szCs w:val="20"/>
          <w:color w:val="auto"/>
        </w:rPr>
      </w:pPr>
    </w:p>
    <w:p>
      <w:pPr>
        <w:ind w:right="40"/>
        <w:spacing w:after="0" w:line="372" w:lineRule="auto"/>
        <w:rPr>
          <w:sz w:val="20"/>
          <w:szCs w:val="20"/>
          <w:color w:val="auto"/>
        </w:rPr>
      </w:pPr>
      <w:r>
        <w:rPr>
          <w:rFonts w:ascii="Arial" w:cs="Arial" w:eastAsia="Arial" w:hAnsi="Arial"/>
          <w:sz w:val="16"/>
          <w:szCs w:val="16"/>
          <w:color w:val="auto"/>
        </w:rPr>
        <w:t>Revenues for the Fiscal 2022 fourth quarter ended August 27, 2022, were $1.2 billion, an increase of 13.8% compared to $1.0 billion for the Fiscal 2021 period. Revenues excluding the recently acquired Barletta business were $1.1 billion, representing an organic growth rate of 4.3% over the prior year period, primarily driven by pricing actions, partially offset by Towable unit declines. Gross profit was $210.4 million, an increase of 12.4% compared to $187.2 million for the Fiscal 2021 period. Gross profit margin decreased 30 basis points in the quarter to 17.8%, as a result of higher material and component costs and deleverage, partially offset by pricing actions. Operating income was $123.6 million for the quarter, an increase of 3.0% compared to $120.0 million for the fourth quarter of last year. Fiscal 2022 fourth quarter net income was $82.6 million, a decrease of 1.8% compared to $84.1 million in the prior year quarter. Reported earnings per diluted share was $2.61, compared to reported earnings per diluted share of $2.45 in the same period last year. Adjusted earnings per diluted share was $3.02, an increase of 14.0% compared to adjusted earnings per diluted share of $2.65 in the same period last year. Consolidated Adjusted EBITDA was $139.2 million for the quarter, an increase of 7.9% compared to $129.0 million last year.</w:t>
      </w:r>
    </w:p>
    <w:p>
      <w:pPr>
        <w:spacing w:after="0" w:line="214" w:lineRule="exact"/>
        <w:rPr>
          <w:sz w:val="20"/>
          <w:szCs w:val="20"/>
          <w:color w:val="auto"/>
        </w:rPr>
      </w:pPr>
    </w:p>
    <w:p>
      <w:pPr>
        <w:ind w:right="20"/>
        <w:spacing w:after="0" w:line="373" w:lineRule="auto"/>
        <w:rPr>
          <w:sz w:val="20"/>
          <w:szCs w:val="20"/>
          <w:color w:val="auto"/>
        </w:rPr>
      </w:pPr>
      <w:r>
        <w:rPr>
          <w:rFonts w:ascii="Arial" w:cs="Arial" w:eastAsia="Arial" w:hAnsi="Arial"/>
          <w:sz w:val="16"/>
          <w:szCs w:val="16"/>
          <w:color w:val="auto"/>
        </w:rPr>
        <w:t>President and Chief Executive Officer Michael Happe commented, “Winnebago Industries capped off a record year in Fiscal 2022 with solid fourth quarter results. Our leading premium outdoor brands, distinguished by the golden threads of quality, innovation, and service, continue to resonate with our increasingly diverse outdoor recreation consumer base. We made important market advances in both the RV and marine industries, operating well in a volatile macroeconomic environment. I want to thank our entire Winnebago Industries team for their excellence in driving record gross margins and operating income, having successfully navigated supply chain disruptions and cost input inflation. Their efforts enabled our ability to return record cash to our shareholders during the year as well. While we expect uncertain market conditions to persist into our Fiscal 2023, we are confident that our transformed and evolving business platform positions us for continued success into the future.”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Full Year Fiscal 2022 Results</w:t>
      </w:r>
    </w:p>
    <w:p>
      <w:pPr>
        <w:spacing w:after="0" w:line="100" w:lineRule="exact"/>
        <w:rPr>
          <w:sz w:val="20"/>
          <w:szCs w:val="20"/>
          <w:color w:val="auto"/>
        </w:rPr>
      </w:pPr>
    </w:p>
    <w:p>
      <w:pPr>
        <w:ind w:right="40"/>
        <w:spacing w:after="0" w:line="380" w:lineRule="auto"/>
        <w:rPr>
          <w:sz w:val="20"/>
          <w:szCs w:val="20"/>
          <w:color w:val="auto"/>
        </w:rPr>
      </w:pPr>
      <w:r>
        <w:rPr>
          <w:rFonts w:ascii="Arial" w:cs="Arial" w:eastAsia="Arial" w:hAnsi="Arial"/>
          <w:sz w:val="16"/>
          <w:szCs w:val="16"/>
          <w:color w:val="auto"/>
        </w:rPr>
        <w:t>Fiscal 2022 represented record results with revenues of $5.0 billion increasing 36.6% from $3.6 billion in Fiscal 2021 driven by the recently acquired Barletta business, pricing actions and strong consumer demand for Winnebago Industries' products. Record gross profit margin of 18.7% improved 80 basis points year-over-year driven primarily by improved operating leverage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spacing w:after="0" w:line="379" w:lineRule="auto"/>
        <w:rPr>
          <w:sz w:val="20"/>
          <w:szCs w:val="20"/>
          <w:color w:val="auto"/>
        </w:rPr>
      </w:pPr>
      <w:r>
        <w:rPr>
          <w:rFonts w:ascii="Arial" w:cs="Arial" w:eastAsia="Arial" w:hAnsi="Arial"/>
          <w:sz w:val="16"/>
          <w:szCs w:val="16"/>
          <w:color w:val="auto"/>
        </w:rPr>
        <w:t>and price increases, partially offset by higher material and component costs and production inefficiencies caused by supply constraints. Operating income was $583.5 million for Fiscal 2022, compared to $407.4 million in Fiscal 2021. Net income was $390.6 million, an increase of 38.6% compared to $281.9 million the prior year. Earnings per diluted share was $11.84, an increase of 43.0% compared to earnings per diluted share of $8.28 in Fiscal 2021. Adjusted earnings per diluted share of $13.81 increased 55.5% compared to adjusted earnings per diluted share of $8.88 in the same period last year. Consolidated Adjusted EBITDA was $648.9 million, an increase of 48.8% from $436.1 million in Fiscal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 Fourth Quarter and Full Year Fiscal 2022 Results</w:t>
      </w:r>
    </w:p>
    <w:p>
      <w:pPr>
        <w:spacing w:after="0" w:line="100" w:lineRule="exact"/>
        <w:rPr>
          <w:sz w:val="20"/>
          <w:szCs w:val="20"/>
          <w:color w:val="auto"/>
        </w:rPr>
      </w:pPr>
    </w:p>
    <w:p>
      <w:pPr>
        <w:ind w:right="200"/>
        <w:spacing w:after="0" w:line="383" w:lineRule="auto"/>
        <w:rPr>
          <w:sz w:val="20"/>
          <w:szCs w:val="20"/>
          <w:color w:val="auto"/>
        </w:rPr>
      </w:pPr>
      <w:r>
        <w:rPr>
          <w:rFonts w:ascii="Arial" w:cs="Arial" w:eastAsia="Arial" w:hAnsi="Arial"/>
          <w:sz w:val="16"/>
          <w:szCs w:val="16"/>
          <w:color w:val="auto"/>
        </w:rPr>
        <w:t>Revenues for the Towable segment were $494.2 million for the fourth quarter Fiscal 2022, down 11.8% from the prior year, primarily driven by a decline in unit volume partially offset by pricing actions. Segment Adjusted EBITDA was $53.2 million, down 36.2% from the prior year period. Adjusted EBITDA margin of 10.8% decreased 410 basis points from the prior year reflecting higher material and component costs and deleverage, partially offset by pricing actions. Backlog decreased to $576.5 million, down 66.2% from the prior year due to normalized dealer inventories.</w:t>
      </w:r>
    </w:p>
    <w:p>
      <w:pPr>
        <w:spacing w:after="0" w:line="203" w:lineRule="exact"/>
        <w:rPr>
          <w:sz w:val="20"/>
          <w:szCs w:val="20"/>
          <w:color w:val="auto"/>
        </w:rPr>
      </w:pPr>
    </w:p>
    <w:p>
      <w:pPr>
        <w:ind w:right="40"/>
        <w:spacing w:after="0" w:line="389" w:lineRule="auto"/>
        <w:rPr>
          <w:sz w:val="20"/>
          <w:szCs w:val="20"/>
          <w:color w:val="auto"/>
        </w:rPr>
      </w:pPr>
      <w:r>
        <w:rPr>
          <w:rFonts w:ascii="Arial" w:cs="Arial" w:eastAsia="Arial" w:hAnsi="Arial"/>
          <w:sz w:val="16"/>
          <w:szCs w:val="16"/>
          <w:color w:val="auto"/>
        </w:rPr>
        <w:t>For the full year Fiscal 2022, revenues for the Towable segment were $2.6 billion, up 29.2% over Fiscal 2021 primarily driven by price increases related to higher material and component costs. Segment Adjusted EBITDA for the full year was $383.6 million, up 32.7% year-over-year. Adjusted EBITDA margin of 14.8% increased 40 basis points for the full year over Fiscal 2021.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 Fourth Quarter and Full Year Fiscal 2022 Results</w:t>
      </w:r>
    </w:p>
    <w:p>
      <w:pPr>
        <w:spacing w:after="0" w:line="100" w:lineRule="exact"/>
        <w:rPr>
          <w:sz w:val="20"/>
          <w:szCs w:val="20"/>
          <w:color w:val="auto"/>
        </w:rPr>
      </w:pPr>
    </w:p>
    <w:p>
      <w:pPr>
        <w:ind w:right="20"/>
        <w:spacing w:after="0" w:line="383" w:lineRule="auto"/>
        <w:rPr>
          <w:sz w:val="20"/>
          <w:szCs w:val="20"/>
          <w:color w:val="auto"/>
        </w:rPr>
      </w:pPr>
      <w:r>
        <w:rPr>
          <w:rFonts w:ascii="Arial" w:cs="Arial" w:eastAsia="Arial" w:hAnsi="Arial"/>
          <w:sz w:val="16"/>
          <w:szCs w:val="16"/>
          <w:color w:val="auto"/>
        </w:rPr>
        <w:t>Revenues for the Motorhome segment were $555.8 million for the fourth quarter, up 23.8% from the prior year, driven by continued strong unit sales and pricing actions related to higher material and component costs. Segment Adjusted EBITDA was $77.4 million, an increase of 53.4% from the prior year. Adjusted EBITDA margin of 13.9% increased 270 basis points over the prior year due to pricing actions and production efficiencies, partially offset by higher material and component costs. Backlog decreased to $1.7 billion, down 26.7% from the prior year, driven by increased levels of dealer inventories.</w:t>
      </w:r>
    </w:p>
    <w:p>
      <w:pPr>
        <w:spacing w:after="0" w:line="203" w:lineRule="exact"/>
        <w:rPr>
          <w:sz w:val="20"/>
          <w:szCs w:val="20"/>
          <w:color w:val="auto"/>
        </w:rPr>
      </w:pPr>
    </w:p>
    <w:p>
      <w:pPr>
        <w:ind w:right="160"/>
        <w:spacing w:after="0" w:line="389" w:lineRule="auto"/>
        <w:rPr>
          <w:sz w:val="20"/>
          <w:szCs w:val="20"/>
          <w:color w:val="auto"/>
        </w:rPr>
      </w:pPr>
      <w:r>
        <w:rPr>
          <w:rFonts w:ascii="Arial" w:cs="Arial" w:eastAsia="Arial" w:hAnsi="Arial"/>
          <w:sz w:val="16"/>
          <w:szCs w:val="16"/>
          <w:color w:val="auto"/>
        </w:rPr>
        <w:t>For the full year Fiscal 2022, revenues for the Motorhome segment were $1.9 billion, up 24.2% from Fiscal 2021 driven by pricing actions related to higher material and component costs, and increased unit sales. Segment Adjusted EBITDA for the full year was $238.0 million, up 40.7% from Fiscal 2021. Adjusted EBITDA margin of 12.5% was up 150 basis points for the full year over Fiscal 2021.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Marine Fourth Quarter and Full Year Fiscal 2022 Results</w:t>
      </w:r>
    </w:p>
    <w:p>
      <w:pPr>
        <w:spacing w:after="0" w:line="100" w:lineRule="exact"/>
        <w:rPr>
          <w:sz w:val="20"/>
          <w:szCs w:val="20"/>
          <w:color w:val="auto"/>
        </w:rPr>
      </w:pPr>
    </w:p>
    <w:p>
      <w:pPr>
        <w:ind w:right="20"/>
        <w:spacing w:after="0" w:line="383" w:lineRule="auto"/>
        <w:rPr>
          <w:sz w:val="20"/>
          <w:szCs w:val="20"/>
          <w:color w:val="auto"/>
        </w:rPr>
      </w:pPr>
      <w:r>
        <w:rPr>
          <w:rFonts w:ascii="Arial" w:cs="Arial" w:eastAsia="Arial" w:hAnsi="Arial"/>
          <w:sz w:val="16"/>
          <w:szCs w:val="16"/>
          <w:color w:val="auto"/>
        </w:rPr>
        <w:t>Revenues for the Marine segment were $122.1 million for the fourth quarter. Excluding Barletta, revenues for the segment were $23.7 million, a 41.8% increase compared to the same period last year. Segment Adjusted EBITDA was $17.5 million, an increase of $15.8 million over the prior year and Adjusted EBITDA margin was 14.3%. Backlog for the Marine segment was $314.7 million and remain elevated as low dealer inventories persist. The Barletta brand continued to outperform pro-forma expectations and deliver margins that are accretive to the Winnebago Industries portfolio.</w:t>
      </w:r>
    </w:p>
    <w:p>
      <w:pPr>
        <w:spacing w:after="0" w:line="203" w:lineRule="exact"/>
        <w:rPr>
          <w:sz w:val="20"/>
          <w:szCs w:val="20"/>
          <w:color w:val="auto"/>
        </w:rPr>
      </w:pPr>
    </w:p>
    <w:p>
      <w:pPr>
        <w:jc w:val="both"/>
        <w:spacing w:after="0" w:line="389" w:lineRule="auto"/>
        <w:rPr>
          <w:sz w:val="20"/>
          <w:szCs w:val="20"/>
          <w:color w:val="auto"/>
        </w:rPr>
      </w:pPr>
      <w:r>
        <w:rPr>
          <w:rFonts w:ascii="Arial" w:cs="Arial" w:eastAsia="Arial" w:hAnsi="Arial"/>
          <w:sz w:val="16"/>
          <w:szCs w:val="16"/>
          <w:color w:val="auto"/>
        </w:rPr>
        <w:t>For the full year Fiscal 2022, revenues for the Marine segment were $425.3 million, up $365.1 million from Fiscal 2021 driven by the addition of the Barletta business. Segment Adjusted EBITDA for the full year was $60.8 million, up $55.7 million from Fiscal 2021. Full year adjusted EBITDA margin was 14.3% for Fiscal 2022, up 570 basis points for the full year over Fiscal 2021.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100" w:lineRule="exact"/>
        <w:rPr>
          <w:sz w:val="20"/>
          <w:szCs w:val="20"/>
          <w:color w:val="auto"/>
        </w:rPr>
      </w:pPr>
    </w:p>
    <w:p>
      <w:pPr>
        <w:ind w:right="240"/>
        <w:spacing w:after="0" w:line="389" w:lineRule="auto"/>
        <w:rPr>
          <w:sz w:val="20"/>
          <w:szCs w:val="20"/>
          <w:color w:val="auto"/>
        </w:rPr>
      </w:pPr>
      <w:r>
        <w:rPr>
          <w:rFonts w:ascii="Arial" w:cs="Arial" w:eastAsia="Arial" w:hAnsi="Arial"/>
          <w:sz w:val="16"/>
          <w:szCs w:val="16"/>
          <w:color w:val="auto"/>
        </w:rPr>
        <w:t>As of August 27, 2022, the Company had total outstanding debt of $545.8 million ($600.0 million of debt, net of convertible note discount of $45.3 million, and net of debt issuance costs of $8.9 million) and working capital of $571.7 million. Cash flow from operations was $400.6 million in Fiscal 2022, an increase of $163.3 million compared to $237.3 million last year, driven by</w:t>
      </w: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80"/>
          </w:cols>
          <w:pgMar w:left="320" w:top="935" w:right="399" w:bottom="1440" w:gutter="0" w:footer="0" w:header="0"/>
        </w:sectPr>
      </w:pPr>
    </w:p>
    <w:bookmarkStart w:id="5" w:name="page6"/>
    <w:bookmarkEnd w:id="5"/>
    <w:p>
      <w:pPr>
        <w:jc w:val="both"/>
        <w:ind w:right="120"/>
        <w:spacing w:after="0" w:line="389" w:lineRule="auto"/>
        <w:rPr>
          <w:sz w:val="20"/>
          <w:szCs w:val="20"/>
          <w:color w:val="auto"/>
        </w:rPr>
      </w:pPr>
      <w:r>
        <w:rPr>
          <w:rFonts w:ascii="Arial" w:cs="Arial" w:eastAsia="Arial" w:hAnsi="Arial"/>
          <w:sz w:val="16"/>
          <w:szCs w:val="16"/>
          <w:color w:val="auto"/>
        </w:rPr>
        <w:t>higher profitability, a $36.6 million increase in accrued expenses and other liabilities, and a $27.2 million increase in accounts payable to support the growth in the business, partially offset by a $171.3 million increase in inventory to support operational activities during a period impacted by continued supply chain challenges.</w:t>
      </w:r>
    </w:p>
    <w:p>
      <w:pPr>
        <w:spacing w:after="0" w:line="199" w:lineRule="exact"/>
        <w:rPr>
          <w:sz w:val="20"/>
          <w:szCs w:val="20"/>
          <w:color w:val="auto"/>
        </w:rPr>
      </w:pPr>
    </w:p>
    <w:p>
      <w:pPr>
        <w:ind w:right="480"/>
        <w:spacing w:after="0" w:line="409" w:lineRule="auto"/>
        <w:rPr>
          <w:sz w:val="20"/>
          <w:szCs w:val="20"/>
          <w:color w:val="auto"/>
        </w:rPr>
      </w:pPr>
      <w:r>
        <w:rPr>
          <w:rFonts w:ascii="Arial" w:cs="Arial" w:eastAsia="Arial" w:hAnsi="Arial"/>
          <w:sz w:val="16"/>
          <w:szCs w:val="16"/>
          <w:color w:val="auto"/>
        </w:rPr>
        <w:t>Winnebago Industries also secured an increased asset-based lending (ABL) credit facility of $350.0 million, replacing the previous ABL credit facility of $192.5 million, further enhancing the Company’s liquidity position.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 and Share Repurchases</w:t>
      </w:r>
    </w:p>
    <w:p>
      <w:pPr>
        <w:spacing w:after="0" w:line="100" w:lineRule="exact"/>
        <w:rPr>
          <w:sz w:val="20"/>
          <w:szCs w:val="20"/>
          <w:color w:val="auto"/>
        </w:rPr>
      </w:pPr>
    </w:p>
    <w:p>
      <w:pPr>
        <w:ind w:right="100"/>
        <w:spacing w:after="0" w:line="389" w:lineRule="auto"/>
        <w:rPr>
          <w:sz w:val="20"/>
          <w:szCs w:val="20"/>
          <w:color w:val="auto"/>
        </w:rPr>
      </w:pPr>
      <w:r>
        <w:rPr>
          <w:rFonts w:ascii="Arial" w:cs="Arial" w:eastAsia="Arial" w:hAnsi="Arial"/>
          <w:sz w:val="16"/>
          <w:szCs w:val="16"/>
          <w:color w:val="auto"/>
        </w:rPr>
        <w:t>On August 17, 2022, the Company’s Board of Directors approved a quarterly cash dividend of $0.27 per share payable on September 28, 2022, to common stockholders of record at the close of business on September 14, 2022. This represents a 50%, or $0.09 per share, increase from the prior dividend and follows the 50% increase that the Company announced in the prior year.</w:t>
      </w:r>
    </w:p>
    <w:p>
      <w:pPr>
        <w:spacing w:after="0" w:line="199" w:lineRule="exact"/>
        <w:rPr>
          <w:sz w:val="20"/>
          <w:szCs w:val="20"/>
          <w:color w:val="auto"/>
        </w:rPr>
      </w:pPr>
    </w:p>
    <w:p>
      <w:pPr>
        <w:ind w:right="160"/>
        <w:spacing w:after="0" w:line="389" w:lineRule="auto"/>
        <w:rPr>
          <w:sz w:val="20"/>
          <w:szCs w:val="20"/>
          <w:color w:val="auto"/>
        </w:rPr>
      </w:pPr>
      <w:r>
        <w:rPr>
          <w:rFonts w:ascii="Arial" w:cs="Arial" w:eastAsia="Arial" w:hAnsi="Arial"/>
          <w:sz w:val="16"/>
          <w:szCs w:val="16"/>
          <w:color w:val="auto"/>
        </w:rPr>
        <w:t>Additionally, in the fourth quarter Winnebago Industries’ Board of Directors approved a new share repurchase authorization of up to $350 million of the Company’s common stock. The share repurchase authorization replaces the previous $200 million share repurchase program that was fully depleted with $80.1 million of share repurchase completed in the fourth quarter of fiscal 2022, resulting in record quarterly cash of $85.8 million returned to shareholders.</w:t>
      </w:r>
    </w:p>
    <w:p>
      <w:pPr>
        <w:spacing w:after="0" w:line="199" w:lineRule="exact"/>
        <w:rPr>
          <w:sz w:val="20"/>
          <w:szCs w:val="20"/>
          <w:color w:val="auto"/>
        </w:rPr>
      </w:pPr>
    </w:p>
    <w:p>
      <w:pPr>
        <w:ind w:right="100"/>
        <w:spacing w:after="0" w:line="375" w:lineRule="auto"/>
        <w:rPr>
          <w:sz w:val="20"/>
          <w:szCs w:val="20"/>
          <w:color w:val="auto"/>
        </w:rPr>
      </w:pPr>
      <w:r>
        <w:rPr>
          <w:rFonts w:ascii="Arial" w:cs="Arial" w:eastAsia="Arial" w:hAnsi="Arial"/>
          <w:sz w:val="16"/>
          <w:szCs w:val="16"/>
          <w:color w:val="auto"/>
        </w:rPr>
        <w:t>Mr. Happe continued, “Looking ahead, our focused strategic priorities, strong premium brands, more diversified set of revenue streams, operational discipline, and especially our people will enable us to win in the marketplace, remain agile, and deliver robust profitability as we continue to chart our course through the next year. Winnebago Industries is entering Fiscal 2023 from a position of competitive and financial strength, and will be extremely flexible in balancing strategic investments in profitable growth opportunities and managing our balance sheet with responsibility. We look forward to showcasing our strategic progress and intentions, along with a future outlook on our business and industries at our upcoming investor day on November 15, 2022.”</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100" w:lineRule="exact"/>
        <w:rPr>
          <w:sz w:val="20"/>
          <w:szCs w:val="20"/>
          <w:color w:val="auto"/>
        </w:rPr>
      </w:pPr>
    </w:p>
    <w:p>
      <w:pPr>
        <w:ind w:right="380"/>
        <w:spacing w:after="0" w:line="389" w:lineRule="auto"/>
        <w:rPr>
          <w:sz w:val="20"/>
          <w:szCs w:val="20"/>
          <w:color w:val="auto"/>
        </w:rPr>
      </w:pPr>
      <w:r>
        <w:rPr>
          <w:rFonts w:ascii="Arial" w:cs="Arial" w:eastAsia="Arial" w:hAnsi="Arial"/>
          <w:sz w:val="16"/>
          <w:szCs w:val="16"/>
          <w:color w:val="auto"/>
        </w:rPr>
        <w:t xml:space="preserve">Winnebago Industries, Inc. will discuss fourth quarter and full year Fiscal 2022 earnings results during a conference call scheduled for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color w:val="0000FF"/>
        </w:rPr>
        <w:t>http://investor.wgo.net</w:t>
      </w:r>
      <w:r>
        <w:rPr>
          <w:rFonts w:ascii="Arial" w:cs="Arial" w:eastAsia="Arial" w:hAnsi="Arial"/>
          <w:sz w:val="16"/>
          <w:szCs w:val="16"/>
          <w:color w:val="auto"/>
        </w:rPr>
        <w:t>. The event will be archived and available for replay for the next 90 days.</w:t>
      </w:r>
    </w:p>
    <w:p>
      <w:pPr>
        <w:spacing w:after="0" w:line="185" w:lineRule="exact"/>
        <w:rPr>
          <w:sz w:val="20"/>
          <w:szCs w:val="20"/>
          <w:color w:val="auto"/>
        </w:rPr>
      </w:pPr>
    </w:p>
    <w:p>
      <w:pPr>
        <w:ind w:right="200"/>
        <w:spacing w:after="0" w:line="389" w:lineRule="auto"/>
        <w:rPr>
          <w:sz w:val="20"/>
          <w:szCs w:val="20"/>
          <w:color w:val="auto"/>
        </w:rPr>
      </w:pPr>
      <w:r>
        <w:rPr>
          <w:rFonts w:ascii="Arial" w:cs="Arial" w:eastAsia="Arial" w:hAnsi="Arial"/>
          <w:sz w:val="16"/>
          <w:szCs w:val="16"/>
          <w:color w:val="auto"/>
        </w:rPr>
        <w:t xml:space="preserve">Winnebago Industries, Inc. will discuss fourth quarter and full year Fiscal earnings results during a conference call scheduled for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color w:val="0000FF"/>
        </w:rPr>
        <w:t>http://investor.wgo.net</w:t>
      </w:r>
      <w:r>
        <w:rPr>
          <w:rFonts w:ascii="Arial" w:cs="Arial" w:eastAsia="Arial" w:hAnsi="Arial"/>
          <w:sz w:val="16"/>
          <w:szCs w:val="16"/>
          <w:color w:val="auto"/>
        </w:rPr>
        <w:t>. The event will be archived and available for replay for the next 90 days.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 xml:space="preserve">Winnebago Industries, Inc. is a leading North American manufacturer of outdoor lifestyle products under the Winnebago, Grand Design, Chris-Craft, Newmar and Barletta brands, which are used primarily in leisure travel and outdoor recreation activities. The Company builds quality motorhomes, travel trailers, fifth-wheel products, pontoons, inboard/outboard and sterndrive powerboats and commercial community outreach vehicles.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color w:val="0000FF"/>
        </w:rPr>
        <w:t>http://investor.wgo.net</w:t>
      </w:r>
      <w:r>
        <w:rPr>
          <w:rFonts w:ascii="Arial" w:cs="Arial" w:eastAsia="Arial" w:hAnsi="Arial"/>
          <w:sz w:val="16"/>
          <w:szCs w:val="16"/>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3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00" w:lineRule="exact"/>
        <w:rPr>
          <w:sz w:val="20"/>
          <w:szCs w:val="20"/>
          <w:color w:val="auto"/>
        </w:rPr>
      </w:pPr>
    </w:p>
    <w:p>
      <w:pPr>
        <w:spacing w:after="0" w:line="37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general economic uncertainty in key markets and a worsening of domestic and global economic conditions or low levels of economic growth; uncertainty surrounding the COVID-19 pandemic; availability of financing for RV and marine dealers; ability to innovate and commercialize new products; ability to manage our inventory to meet demand; competition and new product introductions by competitors; risk related to cyclicality and seasonality of our business; risk related to independent dealers; significant increase in repurchase obligations; business or production disruptions; inadequate inventory and distribution channel management; ability to retain relationships with our suppliers; increased material and component costs, including availability and price of fuel and other raw materials; ability to integrate mergers and acquisitions; ability to attract and retain qualified personnel and changes in market compensation rates; exposure to warranty claims;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impairment of goodwill and trade names; and risks related to our convertible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00FF"/>
        </w:rPr>
        <w:t>ir@winnebagoind.com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Media: Amber Holm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0000FF"/>
        </w:rPr>
        <w:t>acholm@winnebagoind.com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00"/>
          </w:cols>
          <w:pgMar w:left="320" w:top="935" w:right="37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6"/>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Borders>
              <w:bottom w:val="single" w:sz="8" w:color="auto"/>
            </w:tcBorders>
          </w:tcPr>
          <w:p>
            <w:pPr>
              <w:spacing w:after="0"/>
              <w:rPr>
                <w:sz w:val="18"/>
                <w:szCs w:val="18"/>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except percent and per share data)</w:t>
            </w: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August 27, 2022</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August 28, 2021</w:t>
            </w:r>
          </w:p>
        </w:tc>
        <w:tc>
          <w:tcPr>
            <w:tcW w:w="820" w:type="dxa"/>
            <w:vAlign w:val="bottom"/>
            <w:tcBorders>
              <w:bottom w:val="single" w:sz="8" w:color="auto"/>
            </w:tcBorders>
          </w:tcPr>
          <w:p>
            <w:pPr>
              <w:spacing w:after="0"/>
              <w:rPr>
                <w:sz w:val="18"/>
                <w:szCs w:val="18"/>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1,179,121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1,036,093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968,737</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82.2 %</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848,928</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210,384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187,165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81,524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63,580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5,216</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86,740</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67,170</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123,644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119,995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10,235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10,143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110,468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109,936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27,859</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25,851</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82,609</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84,085</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31,092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33,418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except percent and per share data)</w:t>
            </w: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August 27, 2022</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August 28, 2021</w:t>
            </w:r>
          </w:p>
        </w:tc>
        <w:tc>
          <w:tcPr>
            <w:tcW w:w="820" w:type="dxa"/>
            <w:vAlign w:val="bottom"/>
            <w:tcBorders>
              <w:bottom w:val="single" w:sz="8" w:color="auto"/>
            </w:tcBorders>
          </w:tcPr>
          <w:p>
            <w:pPr>
              <w:spacing w:after="0"/>
              <w:rPr>
                <w:sz w:val="18"/>
                <w:szCs w:val="18"/>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4,957,730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3,629,847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4,028,393</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81.3 %</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2,979,484</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929,337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650,363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316,420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228,581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29,419</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345,839</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242,942</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583,498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407,421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41,313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40,365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 (income)</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27,463</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514,722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367,450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10.1 %</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124,086</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85,579</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390,636</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281,871</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Diluted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4580" w:type="dxa"/>
            <w:vAlign w:val="bottom"/>
          </w:tcPr>
          <w:p>
            <w:pPr>
              <w:ind w:left="22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32,475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33,528</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7"/>
        </w:trPr>
        <w:tc>
          <w:tcPr>
            <w:tcW w:w="4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890" w:right="3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27, 2022</w:t>
            </w:r>
          </w:p>
        </w:tc>
        <w:tc>
          <w:tcPr>
            <w:tcW w:w="200" w:type="dxa"/>
            <w:vAlign w:val="bottom"/>
          </w:tcPr>
          <w:p>
            <w:pPr>
              <w:spacing w:after="0"/>
              <w:rPr>
                <w:sz w:val="18"/>
                <w:szCs w:val="18"/>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28, 2021</w:t>
            </w:r>
          </w:p>
        </w:tc>
      </w:tr>
      <w:tr>
        <w:trPr>
          <w:trHeight w:val="209"/>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7"/>
        </w:trPr>
        <w:tc>
          <w:tcPr>
            <w:tcW w:w="7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434,563</w:t>
            </w:r>
          </w:p>
        </w:tc>
      </w:tr>
      <w:tr>
        <w:trPr>
          <w:trHeight w:val="215"/>
        </w:trPr>
        <w:tc>
          <w:tcPr>
            <w:tcW w:w="756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254,124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253,808</w:t>
            </w:r>
          </w:p>
        </w:tc>
      </w:tr>
      <w:tr>
        <w:trPr>
          <w:trHeight w:val="217"/>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525,769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341,473</w:t>
            </w:r>
          </w:p>
        </w:tc>
      </w:tr>
      <w:tr>
        <w:trPr>
          <w:trHeight w:val="215"/>
        </w:trPr>
        <w:tc>
          <w:tcPr>
            <w:tcW w:w="7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29,069</w:t>
            </w:r>
          </w:p>
        </w:tc>
      </w:tr>
      <w:tr>
        <w:trPr>
          <w:trHeight w:val="210"/>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1,093,815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1,058,913</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276,219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191,427</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472,388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390,407</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28,821</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41,131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28,379</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16,562</w:t>
            </w:r>
          </w:p>
        </w:tc>
      </w:tr>
      <w:tr>
        <w:trPr>
          <w:trHeight w:val="210"/>
        </w:trPr>
        <w:tc>
          <w:tcPr>
            <w:tcW w:w="756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2,416,657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75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217,458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180,030</w:t>
            </w:r>
          </w:p>
        </w:tc>
      </w:tr>
      <w:tr>
        <w:trPr>
          <w:trHeight w:val="217"/>
        </w:trPr>
        <w:tc>
          <w:tcPr>
            <w:tcW w:w="7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8,043</w:t>
            </w:r>
          </w:p>
        </w:tc>
      </w:tr>
      <w:tr>
        <w:trPr>
          <w:trHeight w:val="215"/>
        </w:trPr>
        <w:tc>
          <w:tcPr>
            <w:tcW w:w="75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303,985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219,203</w:t>
            </w:r>
          </w:p>
        </w:tc>
      </w:tr>
      <w:tr>
        <w:trPr>
          <w:trHeight w:val="210"/>
        </w:trPr>
        <w:tc>
          <w:tcPr>
            <w:tcW w:w="7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407,276</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545,855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528,559</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13,429</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6,483</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26,745</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9,550</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13,582</w:t>
            </w:r>
          </w:p>
        </w:tc>
      </w:tr>
      <w:tr>
        <w:trPr>
          <w:trHeight w:val="209"/>
        </w:trPr>
        <w:tc>
          <w:tcPr>
            <w:tcW w:w="75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1,153,650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1,005,624</w:t>
            </w: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1,263,007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1,056,943</w:t>
            </w:r>
          </w:p>
        </w:tc>
      </w:tr>
      <w:tr>
        <w:trPr>
          <w:trHeight w:val="210"/>
        </w:trPr>
        <w:tc>
          <w:tcPr>
            <w:tcW w:w="7560" w:type="dxa"/>
            <w:vAlign w:val="bottom"/>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2,416,657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r>
      <w:tr>
        <w:trPr>
          <w:trHeight w:val="21"/>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890"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1299"/>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75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28, 2021</w:t>
            </w:r>
          </w:p>
        </w:tc>
      </w:tr>
      <w:tr>
        <w:trPr>
          <w:trHeight w:val="210"/>
        </w:trPr>
        <w:tc>
          <w:tcPr>
            <w:tcW w:w="7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390,636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281,871</w:t>
            </w: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24,238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18,201</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14,361</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Non-cash interest expense, net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15,074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13,928</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Last in, first-out expense</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8,445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3,131</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15,347</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(6,651)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(2,190)</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fair value adjustment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(3,578)</w:t>
            </w:r>
          </w:p>
        </w:tc>
      </w:tr>
      <w:tr>
        <w:trPr>
          <w:trHeight w:val="217"/>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(33,034)</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(161,663)</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(6,560)</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51,478</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Income taxes and unrecognized tax benefits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(7,421)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(3,721)</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36,606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47,243</w:t>
            </w:r>
          </w:p>
        </w:tc>
      </w:tr>
      <w:tr>
        <w:trPr>
          <w:trHeight w:val="20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237,279</w:t>
            </w:r>
          </w:p>
        </w:tc>
      </w:tr>
      <w:tr>
        <w:trPr>
          <w:trHeight w:val="250"/>
        </w:trPr>
        <w:tc>
          <w:tcPr>
            <w:tcW w:w="7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(44,891)</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(228,159)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12,452</w:t>
            </w:r>
          </w:p>
        </w:tc>
      </w:tr>
      <w:tr>
        <w:trPr>
          <w:trHeight w:val="215"/>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(315,670)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(33,009)</w:t>
            </w:r>
          </w:p>
        </w:tc>
      </w:tr>
      <w:tr>
        <w:trPr>
          <w:trHeight w:val="250"/>
        </w:trPr>
        <w:tc>
          <w:tcPr>
            <w:tcW w:w="7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Borrowings on long-term debt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4,735,580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3,627,627</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on long-term debt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(4,735,580)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(3,627,627)</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Payments of cash dividends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(23,782)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(16,168)</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(47,589)</w:t>
            </w:r>
          </w:p>
        </w:tc>
      </w:tr>
      <w:tr>
        <w:trPr>
          <w:trHeight w:val="215"/>
        </w:trPr>
        <w:tc>
          <w:tcPr>
            <w:tcW w:w="7560" w:type="dxa"/>
            <w:vAlign w:val="bottom"/>
          </w:tcPr>
          <w:p>
            <w:pPr>
              <w:ind w:left="140"/>
              <w:spacing w:after="0"/>
              <w:rPr>
                <w:sz w:val="20"/>
                <w:szCs w:val="20"/>
                <w:color w:val="auto"/>
              </w:rPr>
            </w:pPr>
            <w:r>
              <w:rPr>
                <w:rFonts w:ascii="Arial" w:cs="Arial" w:eastAsia="Arial" w:hAnsi="Arial"/>
                <w:sz w:val="16"/>
                <w:szCs w:val="16"/>
                <w:color w:val="auto"/>
              </w:rPr>
              <w:t>Payments of debt issuance costs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7"/>
        </w:trPr>
        <w:tc>
          <w:tcPr>
            <w:tcW w:w="7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w:t>
            </w:r>
          </w:p>
        </w:tc>
      </w:tr>
      <w:tr>
        <w:trPr>
          <w:trHeight w:val="21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(62,282)</w:t>
            </w:r>
          </w:p>
        </w:tc>
      </w:tr>
      <w:tr>
        <w:trPr>
          <w:trHeight w:val="128"/>
        </w:trPr>
        <w:tc>
          <w:tcPr>
            <w:tcW w:w="7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215"/>
        </w:trPr>
        <w:tc>
          <w:tcPr>
            <w:tcW w:w="7560" w:type="dxa"/>
            <w:vAlign w:val="bottom"/>
          </w:tcPr>
          <w:p>
            <w:pPr>
              <w:ind w:left="20"/>
              <w:spacing w:after="0"/>
              <w:rPr>
                <w:sz w:val="20"/>
                <w:szCs w:val="20"/>
                <w:color w:val="auto"/>
              </w:rPr>
            </w:pPr>
            <w:r>
              <w:rPr>
                <w:rFonts w:ascii="Arial" w:cs="Arial" w:eastAsia="Arial" w:hAnsi="Arial"/>
                <w:sz w:val="16"/>
                <w:szCs w:val="16"/>
                <w:color w:val="auto"/>
              </w:rPr>
              <w:t>Net (decrease)/increase in cash and cash equivalents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(152,391)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141,988</w:t>
            </w:r>
          </w:p>
        </w:tc>
      </w:t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434,563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292,575</w:t>
            </w: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282,172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434,563</w:t>
            </w:r>
          </w:p>
        </w:tc>
      </w:tr>
      <w:tr>
        <w:trPr>
          <w:trHeight w:val="21"/>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00"/>
          </w:cols>
          <w:pgMar w:left="340" w:top="850"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Income taxes paid, net</w:t>
            </w:r>
          </w:p>
        </w:tc>
        <w:tc>
          <w:tcPr>
            <w:tcW w:w="220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139,652</w:t>
            </w:r>
          </w:p>
        </w:tc>
        <w:tc>
          <w:tcPr>
            <w:tcW w:w="74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88,698</w:t>
            </w:r>
          </w:p>
        </w:tc>
      </w:tr>
      <w:tr>
        <w:trPr>
          <w:trHeight w:val="21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paid</w:t>
            </w:r>
          </w:p>
        </w:tc>
        <w:tc>
          <w:tcPr>
            <w:tcW w:w="2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23,779</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24,119</w:t>
            </w: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2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22,000</w:t>
            </w:r>
          </w:p>
        </w:tc>
        <w:tc>
          <w:tcPr>
            <w:tcW w:w="74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980" w:type="dxa"/>
            <w:vAlign w:val="bottom"/>
          </w:tcPr>
          <w:p>
            <w:pPr>
              <w:ind w:left="140"/>
              <w:spacing w:after="0"/>
              <w:rPr>
                <w:sz w:val="20"/>
                <w:szCs w:val="20"/>
                <w:color w:val="auto"/>
              </w:rPr>
            </w:pPr>
            <w:r>
              <w:rPr>
                <w:rFonts w:ascii="Arial" w:cs="Arial" w:eastAsia="Arial" w:hAnsi="Arial"/>
                <w:sz w:val="16"/>
                <w:szCs w:val="16"/>
                <w:color w:val="auto"/>
              </w:rPr>
              <w:t>Issuance of common stock for settlement of earnout liability</w:t>
            </w:r>
          </w:p>
        </w:tc>
        <w:tc>
          <w:tcPr>
            <w:tcW w:w="22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13,168</w:t>
            </w: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6,843</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w:t>
            </w: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Dividends declared not yet paid</w:t>
            </w:r>
          </w:p>
        </w:tc>
        <w:tc>
          <w:tcPr>
            <w:tcW w:w="22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8,816</w:t>
            </w: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6,497</w:t>
            </w:r>
          </w:p>
        </w:tc>
      </w:tr>
      <w:tr>
        <w:trPr>
          <w:trHeight w:val="217"/>
        </w:trPr>
        <w:tc>
          <w:tcPr>
            <w:tcW w:w="5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lease assets in exchange for lease liabilities:</w:t>
            </w:r>
          </w:p>
        </w:tc>
        <w:tc>
          <w:tcPr>
            <w:tcW w:w="2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5980" w:type="dxa"/>
            <w:vAlign w:val="bottom"/>
          </w:tcPr>
          <w:p>
            <w:pPr>
              <w:ind w:left="240"/>
              <w:spacing w:after="0"/>
              <w:rPr>
                <w:sz w:val="20"/>
                <w:szCs w:val="20"/>
                <w:color w:val="auto"/>
              </w:rPr>
            </w:pPr>
            <w:r>
              <w:rPr>
                <w:rFonts w:ascii="Arial" w:cs="Arial" w:eastAsia="Arial" w:hAnsi="Arial"/>
                <w:sz w:val="16"/>
                <w:szCs w:val="16"/>
                <w:color w:val="auto"/>
              </w:rPr>
              <w:t>Operating leases</w:t>
            </w:r>
          </w:p>
        </w:tc>
        <w:tc>
          <w:tcPr>
            <w:tcW w:w="22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17,236</w:t>
            </w: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2,626</w:t>
            </w:r>
          </w:p>
        </w:tc>
      </w:tr>
      <w:tr>
        <w:trPr>
          <w:trHeight w:val="217"/>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Financing leases</w:t>
            </w:r>
          </w:p>
        </w:tc>
        <w:tc>
          <w:tcPr>
            <w:tcW w:w="2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2,528</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00"/>
          </w:cols>
          <w:pgMar w:left="340" w:top="896" w:right="35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Supplemental Information by Reportable Segment - Towable</w:t>
      </w:r>
    </w:p>
    <w:p>
      <w:pPr>
        <w:spacing w:after="0" w:line="12"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(in thousands, except unit data)</w:t>
      </w:r>
    </w:p>
    <w:p>
      <w:pPr>
        <w:spacing w:after="0" w:line="5"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32" w:type="dxa"/>
        <w:tblCellMar>
          <w:top w:w="0" w:type="dxa"/>
          <w:left w:w="0" w:type="dxa"/>
          <w:bottom w:w="0" w:type="dxa"/>
          <w:right w:w="0" w:type="dxa"/>
        </w:tblCellMar>
      </w:tblPr>
      <w:tr>
        <w:trPr>
          <w:trHeight w:val="217"/>
        </w:trPr>
        <w:tc>
          <w:tcPr>
            <w:tcW w:w="2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9"/>
        </w:trPr>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28, 2021</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Change</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494,166</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560,025</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(65,859)</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53,205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83,368</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(30,163)</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379"/>
        </w:trPr>
        <w:tc>
          <w:tcPr>
            <w:tcW w:w="2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7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0"/>
        </w:trPr>
        <w:tc>
          <w:tcPr>
            <w:tcW w:w="240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8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28, 2021</w:t>
            </w:r>
          </w:p>
        </w:tc>
        <w:tc>
          <w:tcPr>
            <w:tcW w:w="13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Unit Change</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6,801</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10,818</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69.0 %</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3,663</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4,857</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(1,194)</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35"/>
        </w:trPr>
        <w:tc>
          <w:tcPr>
            <w:tcW w:w="2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19"/>
        </w:trPr>
        <w:tc>
          <w:tcPr>
            <w:tcW w:w="2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9"/>
        </w:trPr>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28, 2021</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Change</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2,597,358</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2,009,959</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587,399</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29.2 %</w:t>
            </w: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383,622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14.8 %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289,007</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94,615</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32.7 %</w:t>
            </w:r>
          </w:p>
        </w:tc>
      </w:tr>
      <w:tr>
        <w:trPr>
          <w:trHeight w:val="379"/>
        </w:trPr>
        <w:tc>
          <w:tcPr>
            <w:tcW w:w="2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8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28, 2021</w:t>
            </w:r>
          </w:p>
        </w:tc>
        <w:tc>
          <w:tcPr>
            <w:tcW w:w="13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Unit Change</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40,739</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39,943</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66.5 %</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19,125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31.9 %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20,163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35"/>
        </w:trPr>
        <w:tc>
          <w:tcPr>
            <w:tcW w:w="2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19"/>
        </w:trPr>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28, 2021</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Change</w:t>
            </w: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0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5"/>
        </w:trPr>
        <w:tc>
          <w:tcPr>
            <w:tcW w:w="240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14,588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46,590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(32,002)</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(68.7)%</w:t>
            </w:r>
          </w:p>
        </w:tc>
      </w:tr>
      <w:tr>
        <w:trPr>
          <w:trHeight w:val="217"/>
        </w:trPr>
        <w:tc>
          <w:tcPr>
            <w:tcW w:w="2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576,491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1,704,393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(1,127,902)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r>
      <w:tr>
        <w:trPr>
          <w:trHeight w:val="216"/>
        </w:trPr>
        <w:tc>
          <w:tcPr>
            <w:tcW w:w="240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2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10,126</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125.1 %</w:t>
            </w:r>
          </w:p>
        </w:tc>
      </w:tr>
    </w:tbl>
    <w:p>
      <w:pPr>
        <w:spacing w:after="0" w:line="126" w:lineRule="exact"/>
        <w:rPr>
          <w:sz w:val="20"/>
          <w:szCs w:val="20"/>
          <w:color w:val="auto"/>
        </w:rPr>
      </w:pPr>
    </w:p>
    <w:p>
      <w:pPr>
        <w:ind w:left="272" w:hanging="272"/>
        <w:spacing w:after="0"/>
        <w:tabs>
          <w:tab w:leader="none" w:pos="272" w:val="left"/>
        </w:tabs>
        <w:numPr>
          <w:ilvl w:val="0"/>
          <w:numId w:val="2"/>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52" w:hanging="252"/>
        <w:spacing w:after="0" w:line="305" w:lineRule="auto"/>
        <w:tabs>
          <w:tab w:leader="none" w:pos="283" w:val="left"/>
        </w:tabs>
        <w:numPr>
          <w:ilvl w:val="0"/>
          <w:numId w:val="2"/>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12"/>
          </w:cols>
          <w:pgMar w:left="328" w:top="850"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Motorhome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28, 2021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555,807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448,863</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106,944</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23.8 %</w:t>
            </w: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77,356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50,426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26,930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53.4 %</w:t>
            </w:r>
          </w:p>
        </w:tc>
      </w:tr>
      <w:tr>
        <w:trPr>
          <w:trHeight w:val="379"/>
        </w:trPr>
        <w:tc>
          <w:tcPr>
            <w:tcW w:w="2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9"/>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28, 2021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1,859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56.5 %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1,530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51.6 %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21.5 %</w:t>
            </w: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51.0 %</w:t>
            </w:r>
          </w:p>
        </w:tc>
      </w:tr>
      <w:tr>
        <w:trPr>
          <w:trHeight w:val="209"/>
        </w:trPr>
        <w:tc>
          <w:tcPr>
            <w:tcW w:w="266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3,291</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2,967</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10.9 %</w:t>
            </w:r>
          </w:p>
        </w:tc>
      </w:tr>
      <w:tr>
        <w:trPr>
          <w:trHeight w:val="21"/>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9"/>
        </w:trPr>
        <w:tc>
          <w:tcPr>
            <w:tcW w:w="2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9"/>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28, 2021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1,911,196</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1,539,084</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372,112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24.2 %</w:t>
            </w: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237,992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169,205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68,787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40.7 %</w:t>
            </w:r>
          </w:p>
        </w:tc>
      </w:tr>
      <w:tr>
        <w:trPr>
          <w:trHeight w:val="379"/>
        </w:trPr>
        <w:tc>
          <w:tcPr>
            <w:tcW w:w="2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9"/>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6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28, 2021</w:t>
            </w:r>
          </w:p>
        </w:tc>
        <w:tc>
          <w:tcPr>
            <w:tcW w:w="120" w:type="dxa"/>
            <w:vAlign w:val="bottom"/>
          </w:tcPr>
          <w:p>
            <w:pPr>
              <w:spacing w:after="0"/>
              <w:rPr>
                <w:sz w:val="18"/>
                <w:szCs w:val="18"/>
                <w:color w:val="auto"/>
              </w:rPr>
            </w:pPr>
          </w:p>
        </w:tc>
        <w:tc>
          <w:tcPr>
            <w:tcW w:w="13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5"/>
              </w:rPr>
              <w:t>Product Mix</w:t>
            </w:r>
            <w:r>
              <w:rPr>
                <w:rFonts w:ascii="Arial" w:cs="Arial" w:eastAsia="Arial" w:hAnsi="Arial"/>
                <w:sz w:val="21"/>
                <w:szCs w:val="21"/>
                <w:b w:val="1"/>
                <w:bCs w:val="1"/>
                <w:color w:val="auto"/>
                <w:w w:val="95"/>
                <w:vertAlign w:val="superscript"/>
              </w:rPr>
              <w:t>(1)</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5"/>
        </w:trPr>
        <w:tc>
          <w:tcPr>
            <w:tcW w:w="266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6,748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56.0 %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5,431</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49.8 %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24.2 %</w:t>
            </w:r>
          </w:p>
        </w:tc>
      </w:tr>
      <w:tr>
        <w:trPr>
          <w:trHeight w:val="217"/>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10"/>
        </w:trPr>
        <w:tc>
          <w:tcPr>
            <w:tcW w:w="266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12,058</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10,909</w:t>
            </w: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10.5 %</w:t>
            </w: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9"/>
        </w:trPr>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28, 2021</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6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5"/>
        </w:trPr>
        <w:tc>
          <w:tcPr>
            <w:tcW w:w="266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12,024</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18,254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(6,230)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1,687,571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2,303,504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(615,933)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55.1 %</w:t>
            </w:r>
          </w:p>
        </w:tc>
      </w:tr>
    </w:tbl>
    <w:p>
      <w:pPr>
        <w:spacing w:after="0" w:line="126" w:lineRule="exact"/>
        <w:rPr>
          <w:sz w:val="20"/>
          <w:szCs w:val="20"/>
          <w:color w:val="auto"/>
        </w:rPr>
      </w:pPr>
    </w:p>
    <w:p>
      <w:pPr>
        <w:ind w:left="280" w:hanging="272"/>
        <w:spacing w:after="0"/>
        <w:tabs>
          <w:tab w:leader="none" w:pos="280" w:val="left"/>
        </w:tabs>
        <w:numPr>
          <w:ilvl w:val="0"/>
          <w:numId w:val="3"/>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68" w:lineRule="exact"/>
        <w:rPr>
          <w:rFonts w:ascii="Arial" w:cs="Arial" w:eastAsia="Arial" w:hAnsi="Arial"/>
          <w:sz w:val="9"/>
          <w:szCs w:val="9"/>
          <w:color w:val="auto"/>
        </w:rPr>
      </w:pPr>
    </w:p>
    <w:p>
      <w:pPr>
        <w:ind w:left="260" w:right="20" w:hanging="252"/>
        <w:spacing w:after="0" w:line="305" w:lineRule="auto"/>
        <w:tabs>
          <w:tab w:leader="none" w:pos="291" w:val="left"/>
        </w:tabs>
        <w:numPr>
          <w:ilvl w:val="0"/>
          <w:numId w:val="3"/>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14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Marine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9"/>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58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 of Revenues</w:t>
            </w: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122,094</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16,682</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105,412</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631.9 %</w:t>
            </w: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17,495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1,675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15,820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944.5 %</w:t>
            </w:r>
          </w:p>
        </w:tc>
      </w:tr>
      <w:tr>
        <w:trPr>
          <w:trHeight w:val="379"/>
        </w:trPr>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4"/>
        </w:trPr>
        <w:tc>
          <w:tcPr>
            <w:tcW w:w="2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1,803.6 %</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9"/>
        </w:trPr>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58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 of Revenues</w:t>
            </w: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425,269</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60,209</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365,060</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606.3 %</w:t>
            </w: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60,831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5,177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55,654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1,075.0 %</w:t>
            </w:r>
          </w:p>
        </w:tc>
      </w:tr>
      <w:tr>
        <w:trPr>
          <w:trHeight w:val="379"/>
        </w:trPr>
        <w:tc>
          <w:tcPr>
            <w:tcW w:w="2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4"/>
        </w:trPr>
        <w:tc>
          <w:tcPr>
            <w:tcW w:w="2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1,823.0 %</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27, 2022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48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(1)</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5"/>
        </w:trPr>
        <w:tc>
          <w:tcPr>
            <w:tcW w:w="248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3,595</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3,064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577.0 %</w:t>
            </w:r>
          </w:p>
        </w:tc>
      </w:tr>
      <w:tr>
        <w:trPr>
          <w:trHeight w:val="217"/>
        </w:trPr>
        <w:tc>
          <w:tcPr>
            <w:tcW w:w="2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314,718</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116,926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197,792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169.2 %</w:t>
            </w:r>
          </w:p>
        </w:tc>
      </w:tr>
      <w:tr>
        <w:trPr>
          <w:trHeight w:val="216"/>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2,867.1 %</w:t>
            </w:r>
          </w:p>
        </w:tc>
      </w:tr>
    </w:tbl>
    <w:p>
      <w:pPr>
        <w:spacing w:after="0" w:line="126" w:lineRule="exact"/>
        <w:rPr>
          <w:sz w:val="20"/>
          <w:szCs w:val="20"/>
          <w:color w:val="auto"/>
        </w:rPr>
      </w:pPr>
    </w:p>
    <w:p>
      <w:pPr>
        <w:ind w:left="260" w:right="260" w:hanging="252"/>
        <w:spacing w:after="0" w:line="305" w:lineRule="auto"/>
        <w:tabs>
          <w:tab w:leader="none" w:pos="235" w:val="left"/>
        </w:tabs>
        <w:numPr>
          <w:ilvl w:val="0"/>
          <w:numId w:val="4"/>
        </w:numPr>
        <w:rPr>
          <w:rFonts w:ascii="Arial" w:cs="Arial" w:eastAsia="Arial" w:hAnsi="Arial"/>
          <w:sz w:val="9"/>
          <w:szCs w:val="9"/>
          <w:color w:val="auto"/>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50" w:right="339" w:bottom="1440" w:gutter="0" w:footer="0" w:header="0"/>
        </w:sectPr>
      </w:pPr>
    </w:p>
    <w:bookmarkStart w:id="14" w:name="page15"/>
    <w:bookmarkEnd w:id="14"/>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gridSpan w:val="5"/>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440" w:type="dxa"/>
            <w:vAlign w:val="bottom"/>
            <w:gridSpan w:val="4"/>
          </w:tcPr>
          <w:p>
            <w:pPr>
              <w:jc w:val="right"/>
              <w:ind w:right="129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3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28, 2021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28, 2021</w:t>
            </w:r>
          </w:p>
        </w:tc>
      </w:tr>
      <w:tr>
        <w:trPr>
          <w:trHeight w:val="209"/>
        </w:trPr>
        <w:tc>
          <w:tcPr>
            <w:tcW w:w="3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w:t>
            </w:r>
          </w:p>
        </w:tc>
      </w:tr>
      <w:tr>
        <w:trPr>
          <w:trHeight w:val="216"/>
        </w:trPr>
        <w:tc>
          <w:tcPr>
            <w:tcW w:w="3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6"/>
        </w:trPr>
        <w:tc>
          <w:tcPr>
            <w:tcW w:w="3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Gain on sale of property, plant and equipment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r>
      <w:tr>
        <w:trPr>
          <w:trHeight w:val="216"/>
        </w:trPr>
        <w:tc>
          <w:tcPr>
            <w:tcW w:w="3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Litigation reserves </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r>
      <w:tr>
        <w:trPr>
          <w:trHeight w:val="216"/>
        </w:trPr>
        <w:tc>
          <w:tcPr>
            <w:tcW w:w="38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Non-cash interest expense </w:t>
            </w:r>
            <w:r>
              <w:rPr>
                <w:rFonts w:ascii="Arial" w:cs="Arial" w:eastAsia="Arial" w:hAnsi="Arial"/>
                <w:sz w:val="21"/>
                <w:szCs w:val="21"/>
                <w:color w:val="auto"/>
                <w:vertAlign w:val="superscript"/>
              </w:rPr>
              <w:t>(1,2)</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0.41</w:t>
            </w:r>
          </w:p>
        </w:tc>
      </w:tr>
      <w:tr>
        <w:trPr>
          <w:trHeight w:val="216"/>
        </w:trPr>
        <w:tc>
          <w:tcPr>
            <w:tcW w:w="3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Contingent consideration fair value adjustment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880" w:type="dxa"/>
            <w:vAlign w:val="bottom"/>
          </w:tcPr>
          <w:p>
            <w:pPr>
              <w:ind w:left="20"/>
              <w:spacing w:after="0" w:line="216" w:lineRule="exact"/>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(3)</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216"/>
        </w:trPr>
        <w:tc>
          <w:tcPr>
            <w:tcW w:w="3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Impact of convertible share dilution </w:t>
            </w:r>
            <w:r>
              <w:rPr>
                <w:rFonts w:ascii="Arial" w:cs="Arial" w:eastAsia="Arial" w:hAnsi="Arial"/>
                <w:sz w:val="21"/>
                <w:szCs w:val="21"/>
                <w:color w:val="auto"/>
                <w:vertAlign w:val="superscript"/>
              </w:rPr>
              <w:t>(4)</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09"/>
        </w:trPr>
        <w:tc>
          <w:tcPr>
            <w:tcW w:w="3880" w:type="dxa"/>
            <w:vAlign w:val="bottom"/>
          </w:tcPr>
          <w:p>
            <w:pPr>
              <w:ind w:left="140"/>
              <w:spacing w:after="0" w:line="210" w:lineRule="exact"/>
              <w:rPr>
                <w:sz w:val="20"/>
                <w:szCs w:val="20"/>
                <w:color w:val="auto"/>
              </w:rPr>
            </w:pPr>
            <w:r>
              <w:rPr>
                <w:rFonts w:ascii="Arial" w:cs="Arial" w:eastAsia="Arial" w:hAnsi="Arial"/>
                <w:sz w:val="16"/>
                <w:szCs w:val="16"/>
                <w:color w:val="auto"/>
              </w:rPr>
              <w:t xml:space="preserve">Adjusted diluted income per share </w:t>
            </w:r>
            <w:r>
              <w:rPr>
                <w:rFonts w:ascii="Arial" w:cs="Arial" w:eastAsia="Arial" w:hAnsi="Arial"/>
                <w:sz w:val="21"/>
                <w:szCs w:val="21"/>
                <w:color w:val="auto"/>
                <w:vertAlign w:val="superscript"/>
              </w:rPr>
              <w:t>(5)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8.88</w:t>
            </w:r>
          </w:p>
        </w:tc>
      </w:tr>
      <w:tr>
        <w:trPr>
          <w:trHeight w:val="21"/>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5"/>
        </w:numPr>
        <w:rPr>
          <w:rFonts w:ascii="Arial" w:cs="Arial" w:eastAsia="Arial" w:hAnsi="Arial"/>
          <w:sz w:val="9"/>
          <w:szCs w:val="9"/>
          <w:color w:val="auto"/>
        </w:rPr>
      </w:pPr>
      <w:r>
        <w:rPr>
          <w:rFonts w:ascii="Arial" w:cs="Arial" w:eastAsia="Arial" w:hAnsi="Arial"/>
          <w:sz w:val="14"/>
          <w:szCs w:val="14"/>
          <w:color w:val="auto"/>
        </w:rPr>
        <w:t>Represents a pretax adjustment.</w:t>
      </w:r>
    </w:p>
    <w:p>
      <w:pPr>
        <w:spacing w:after="0" w:line="28" w:lineRule="exact"/>
        <w:rPr>
          <w:rFonts w:ascii="Arial" w:cs="Arial" w:eastAsia="Arial" w:hAnsi="Arial"/>
          <w:sz w:val="9"/>
          <w:szCs w:val="9"/>
          <w:color w:val="auto"/>
        </w:rPr>
      </w:pPr>
    </w:p>
    <w:p>
      <w:pPr>
        <w:ind w:left="220" w:hanging="212"/>
        <w:spacing w:after="0"/>
        <w:tabs>
          <w:tab w:leader="none" w:pos="220" w:val="left"/>
        </w:tabs>
        <w:numPr>
          <w:ilvl w:val="0"/>
          <w:numId w:val="5"/>
        </w:numPr>
        <w:rPr>
          <w:rFonts w:ascii="Arial" w:cs="Arial" w:eastAsia="Arial" w:hAnsi="Arial"/>
          <w:sz w:val="9"/>
          <w:szCs w:val="9"/>
          <w:color w:val="auto"/>
        </w:rPr>
      </w:pPr>
      <w:r>
        <w:rPr>
          <w:rFonts w:ascii="Arial" w:cs="Arial" w:eastAsia="Arial" w:hAnsi="Arial"/>
          <w:sz w:val="14"/>
          <w:szCs w:val="14"/>
          <w:color w:val="auto"/>
        </w:rPr>
        <w:t>Non-cash interest expense associated with the convertible notes issued as part of our acquisition of Newmar.</w:t>
      </w:r>
    </w:p>
    <w:p>
      <w:pPr>
        <w:spacing w:after="0" w:line="14" w:lineRule="exact"/>
        <w:rPr>
          <w:rFonts w:ascii="Arial" w:cs="Arial" w:eastAsia="Arial" w:hAnsi="Arial"/>
          <w:sz w:val="9"/>
          <w:szCs w:val="9"/>
          <w:color w:val="auto"/>
        </w:rPr>
      </w:pPr>
    </w:p>
    <w:p>
      <w:pPr>
        <w:ind w:left="220" w:hanging="212"/>
        <w:spacing w:after="0" w:line="192"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Income tax charge calculated using the statutory tax rate for the U.S. of 24.2% and 21.0% for Fiscal 2022 and Fiscal 2021, respectively.</w:t>
      </w:r>
    </w:p>
    <w:p>
      <w:pPr>
        <w:ind w:left="220" w:hanging="212"/>
        <w:spacing w:after="0" w:line="192"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the dilution of convertible notes which is economically offset by a call/spread overlay that was put in place upon issuance.</w:t>
      </w:r>
    </w:p>
    <w:p>
      <w:pPr>
        <w:ind w:left="220" w:hanging="212"/>
        <w:spacing w:after="0" w:line="193" w:lineRule="auto"/>
        <w:tabs>
          <w:tab w:leader="none" w:pos="2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440" w:type="dxa"/>
            <w:vAlign w:val="bottom"/>
            <w:gridSpan w:val="4"/>
          </w:tcPr>
          <w:p>
            <w:pPr>
              <w:jc w:val="right"/>
              <w:ind w:right="1299"/>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38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28, 2021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August 27, 2022</w:t>
            </w: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28, 2021</w:t>
            </w:r>
          </w:p>
        </w:tc>
      </w:tr>
      <w:tr>
        <w:trPr>
          <w:trHeight w:val="210"/>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82,609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84,085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390,636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281,871</w:t>
            </w: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10,235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10,143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41,313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40,365</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85,579</w:t>
            </w: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24,238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18,201</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14,361</w:t>
            </w:r>
          </w:p>
        </w:tc>
      </w:tr>
      <w:tr>
        <w:trPr>
          <w:trHeight w:val="209"/>
        </w:trPr>
        <w:tc>
          <w:tcPr>
            <w:tcW w:w="3860" w:type="dxa"/>
            <w:vAlign w:val="bottom"/>
          </w:tcPr>
          <w:p>
            <w:pPr>
              <w:ind w:left="14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133,126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128,394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609,692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440,377</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expenses</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(4,753)</w:t>
            </w: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r>
      <w:tr>
        <w:trPr>
          <w:trHeight w:val="235"/>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129,035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648,928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436,067</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90" w:right="339" w:bottom="1440" w:gutter="0" w:footer="0" w:header="0"/>
        </w:sectPr>
      </w:pPr>
    </w:p>
    <w:bookmarkStart w:id="15" w:name="page16"/>
    <w:bookmarkEnd w:id="15"/>
    <w:p>
      <w:pPr>
        <w:spacing w:after="0" w:line="306" w:lineRule="auto"/>
        <w:rPr>
          <w:sz w:val="20"/>
          <w:szCs w:val="20"/>
          <w:color w:val="auto"/>
        </w:rPr>
      </w:pPr>
      <w:r>
        <w:rPr>
          <w:rFonts w:ascii="Arial" w:cs="Arial" w:eastAsia="Arial" w:hAnsi="Arial"/>
          <w:sz w:val="16"/>
          <w:szCs w:val="16"/>
          <w:color w:val="auto"/>
        </w:rPr>
        <w:t>net income before interest expense, provision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09"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ABL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13</w:t>
      </w:r>
    </w:p>
    <w:sectPr>
      <w:pgSz w:w="11900" w:h="16838" w:orient="portrait"/>
      <w:cols w:equalWidth="0" w:num="1">
        <w:col w:w="10940"/>
      </w:cols>
      <w:pgMar w:left="320" w:top="90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2022-10-19T06:58:11Z</dcterms:created>
  <dcterms:modified xsi:type="dcterms:W3CDTF">2022-10-19T06:58:11Z</dcterms:modified>
</cp:coreProperties>
</file>