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1181100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001-06403</w:t>
            </w:r>
          </w:p>
        </w:tc>
        <w:tc>
          <w:tcPr>
            <w:tcW w:w="2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(IRS Employer</w:t>
            </w:r>
          </w:p>
        </w:tc>
      </w:tr>
      <w:tr>
        <w:trPr>
          <w:trHeight w:val="217"/>
        </w:trPr>
        <w:tc>
          <w:tcPr>
            <w:tcW w:w="334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8"/>
              </w:rPr>
              <w:t>(Zip Code)</w:t>
            </w:r>
          </w:p>
        </w:tc>
      </w:tr>
      <w:tr>
        <w:trPr>
          <w:trHeight w:val="486"/>
        </w:trPr>
        <w:tc>
          <w:tcPr>
            <w:tcW w:w="6080" w:type="dxa"/>
            <w:vAlign w:val="bottom"/>
            <w:gridSpan w:val="3"/>
          </w:tcPr>
          <w:p>
            <w:pPr>
              <w:ind w:left="192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15"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229235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Winnebago Industries, Inc. is filing herewith a press release issued on June 16, 2011, as Exhibit 99.1 which is included herein. The press release was issued to report earnings for the third quarter and first nine months of Fiscal 2011 ended May 28, 2011.</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16, 2011.</w:t>
      </w:r>
    </w:p>
    <w:p>
      <w:pPr>
        <w:sectPr>
          <w:pgSz w:w="11900" w:h="16838" w:orient="portrait"/>
          <w:cols w:equalWidth="0" w:num="1">
            <w:col w:w="10900"/>
          </w:cols>
          <w:pgMar w:left="240" w:top="580" w:right="7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8"/>
          <w:szCs w:val="18"/>
          <w:color w:val="auto"/>
        </w:rPr>
        <w:t>Date:</w:t>
        <w:tab/>
        <w:t>June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Robert J. Olson</w:t>
      </w:r>
    </w:p>
    <w:p>
      <w:pPr>
        <w:spacing w:after="0" w:line="63"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8"/>
          <w:szCs w:val="18"/>
          <w:color w:val="auto"/>
        </w:rPr>
        <w:t>Title:</w:t>
        <w:tab/>
        <w:t>Chairman of the Board and Chief Executive Officer</w:t>
      </w:r>
    </w:p>
    <w:p>
      <w:pPr>
        <w:sectPr>
          <w:pgSz w:w="11900" w:h="16838" w:orient="portrait"/>
          <w:cols w:equalWidth="0" w:num="1">
            <w:col w:w="11120"/>
          </w:cols>
          <w:pgMar w:left="240" w:top="580" w:right="539" w:bottom="1440" w:gutter="0" w:footer="0" w:header="0"/>
        </w:sectPr>
      </w:pPr>
    </w:p>
    <w:bookmarkStart w:id="3" w:name="page4"/>
    <w:bookmarkEnd w:id="3"/>
    <w:p>
      <w:pPr>
        <w:ind w:left="430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color w:val="auto"/>
        </w:rPr>
        <w:t>Press release of Winnebago Industries, Inc. dated June 16, 2011.</w:t>
      </w:r>
    </w:p>
    <w:p>
      <w:pPr>
        <w:sectPr>
          <w:pgSz w:w="11900" w:h="16838" w:orient="portrait"/>
          <w:cols w:equalWidth="0" w:num="1">
            <w:col w:w="9599"/>
          </w:cols>
          <w:pgMar w:left="860" w:top="58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THIRD QUARTER FISCAL 2011</w:t>
      </w:r>
    </w:p>
    <w:p>
      <w:pPr>
        <w:spacing w:after="0" w:line="200" w:lineRule="exact"/>
        <w:rPr>
          <w:sz w:val="20"/>
          <w:szCs w:val="20"/>
          <w:color w:val="auto"/>
        </w:rPr>
      </w:pPr>
    </w:p>
    <w:p>
      <w:pPr>
        <w:spacing w:after="0" w:line="37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FOREST CITY, IOWA, June 16, 2011 - Winnebago Industries, Inc. (NYSE:WGO), one of the leading United States (U.S.) recreation vehicle manufacturers, today reported results for the Company's third quarter and first nine months of Fiscal 2011.</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Consolidated revenues for the third quarter of Fiscal 2011 ended May 28, 2011 were $135.6 million, an increase of 0.6% percent, versus $134.8 million for the third quarter of Fiscal 2010. Included within consolidated revenues were $7.2 million associated with towable products. The Company reported an operating profit of $0.5 million for the quarter, versus an operating profit of $3.4 million for the third quarter of Fiscal 2010. Net income for the third quarter of Fiscal 2011 was $1.2 million versus net income of $6.0 million for the third quarter of Fiscal 2010. On a diluted per share basis, the Company had net income of $0.04 for the third quarter of Fiscal 2011 versus net income of $0.21 for the third quarter of Fiscal 2010. The net income for the third quarter of Fiscal 2010 reflected the positive effect of $.08 per diluted share in tax benefits associated with resolution of tax audits and various tax planning initiatives.</w:t>
      </w:r>
    </w:p>
    <w:p>
      <w:pPr>
        <w:spacing w:after="0" w:line="17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third quarter of Fiscal 2011 as compared to the third quarter of Fiscal 2010 was negatively impacted by last-in, first-out (LIFO) inventory expense as opposed to LIFO income in the prior year, commodity inflation, an impairment charge on an asset held for sale, as well as increased discounts, repurchase exposure and legal costs. These negative items were partially offset by a tax benefit recorded in the third quarter of Fiscal 2011, primarily due to a favorable adjustment as a result of a lower annual effective tax rate.</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Consolidated revenues for the first nine months of Fiscal 2011 were $365.9 million, an increase of 12.1 percent, compared to $326.4 million for the first nine months of Fiscal 2010. Included within consolidated revenues were $9.0 million associated with towable products. The Company reported an operating profit of $9.5 million for the first nine months of Fiscal 2011, compared to an operating loss of $4.4 million for the first nine months of Fiscal 2010. The net income for the first nine months of Fiscal 2011 was $8.3 million, or $0.28 per diluted share, versus a net income of $5.4 million, or $0.18 per diluted share, for the first nine months of Fiscal 2010. A tax benefit of $.33 per diluted share was recorded in the first nine months of Fiscal 2010, which primarily related to tax benefits associated with the carryback of Fiscal 2009 net operating losses permitted by tax law changes and tax benefits associated with various tax planning initiatives and tax settlements.</w:t>
      </w:r>
    </w:p>
    <w:p>
      <w:pPr>
        <w:spacing w:after="0" w:line="182"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retail market for motor homes softened during our third Fiscal quarter, adding to our disappointment with the level of industry retail sales thus far in Calendar 2011 compared with the prior year," said Winnebago Industries' Chairman and CEO Bob Olson. "While discouraging, it is understandable in the context of new job creation slowing in America, along with reports of falling home prices, declining auto sales, weaker consumer spending, the concern over rising fuel prices and the impact these issues are currently having on the stock market. We remain concerned the current recovery appears to be slowing."</w:t>
      </w:r>
    </w:p>
    <w:p>
      <w:pPr>
        <w:spacing w:after="0" w:line="17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According to Winnebago Industries' President Randy Potts, "We have started to produce our 2012 motor home lineup and we are introducing these new and exciting products to our dealers throughout our fourth quarter. In addition, the Winnebago Industries Towables subsidiary continues to make progress with new and redesigned SunnyBrook brand products to be introduced throughout the summer. We also expect to debut Winnebago brand towable products in the coming months."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w:t>
      </w:r>
    </w:p>
    <w:p>
      <w:pPr>
        <w:spacing w:after="0" w:line="2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June 16, 2011.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Winnebago Industries</w:t>
      </w:r>
    </w:p>
    <w:p>
      <w:pPr>
        <w:spacing w:after="0" w:line="3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12"/>
          <w:szCs w:val="12"/>
          <w:color w:val="auto"/>
        </w:rPr>
        <w:t>®</w:t>
      </w:r>
      <w:r>
        <w:rPr>
          <w:rFonts w:ascii="Arial" w:cs="Arial" w:eastAsia="Arial" w:hAnsi="Arial"/>
          <w:sz w:val="16"/>
          <w:szCs w:val="16"/>
          <w:color w:val="auto"/>
        </w:rPr>
        <w:t xml:space="preserve">,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This news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w:t>
      </w:r>
    </w:p>
    <w:p>
      <w:pPr>
        <w:sectPr>
          <w:pgSz w:w="11900" w:h="16838" w:orient="portrait"/>
          <w:cols w:equalWidth="0" w:num="1">
            <w:col w:w="11400"/>
          </w:cols>
          <w:pgMar w:left="240" w:top="601" w:right="259" w:bottom="1440" w:gutter="0" w:footer="0" w:header="0"/>
        </w:sectPr>
      </w:pPr>
    </w:p>
    <w:bookmarkStart w:id="5" w:name="page6"/>
    <w:bookmarkEnd w:id="5"/>
    <w:p>
      <w:pPr>
        <w:spacing w:after="0" w:line="246" w:lineRule="auto"/>
        <w:rPr>
          <w:sz w:val="20"/>
          <w:szCs w:val="20"/>
          <w:color w:val="auto"/>
        </w:rPr>
      </w:pPr>
      <w:r>
        <w:rPr>
          <w:rFonts w:ascii="Arial" w:cs="Arial" w:eastAsia="Arial" w:hAnsi="Arial"/>
          <w:sz w:val="16"/>
          <w:szCs w:val="16"/>
          <w:color w:val="auto"/>
        </w:rPr>
        <w:t>price of fuel, a further or continued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80"/>
          </w:cols>
          <w:pgMar w:left="240" w:top="601"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3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May 28, 2011</w:t>
            </w:r>
          </w:p>
        </w:tc>
        <w:tc>
          <w:tcPr>
            <w:tcW w:w="102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May 29, 2010</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135,568</w:t>
            </w: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4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134,813</w:t>
            </w: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126,865</w:t>
            </w: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93.6 %</w:t>
            </w: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125,058</w:t>
            </w: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92.8 %</w:t>
            </w: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8,703</w:t>
            </w:r>
          </w:p>
        </w:tc>
        <w:tc>
          <w:tcPr>
            <w:tcW w:w="3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6.4 %</w:t>
            </w:r>
          </w:p>
        </w:tc>
        <w:tc>
          <w:tcPr>
            <w:tcW w:w="4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9,755</w:t>
            </w:r>
          </w:p>
        </w:tc>
        <w:tc>
          <w:tcPr>
            <w:tcW w:w="3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7.2 %</w:t>
            </w:r>
          </w:p>
        </w:tc>
        <w:tc>
          <w:tcPr>
            <w:tcW w:w="0" w:type="dxa"/>
            <w:vAlign w:val="bottom"/>
          </w:tcPr>
          <w:p>
            <w:pPr>
              <w:spacing w:after="0"/>
              <w:rPr>
                <w:sz w:val="1"/>
                <w:szCs w:val="1"/>
                <w:color w:val="auto"/>
              </w:rPr>
            </w:pPr>
          </w:p>
        </w:tc>
      </w:tr>
      <w:tr>
        <w:trPr>
          <w:trHeight w:val="254"/>
        </w:trPr>
        <w:tc>
          <w:tcPr>
            <w:tcW w:w="43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3,608</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2.7 %</w:t>
            </w: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3,107</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60"/>
        </w:trPr>
        <w:tc>
          <w:tcPr>
            <w:tcW w:w="43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3,952</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2.9 %</w:t>
            </w: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3,244</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73"/>
        </w:trPr>
        <w:tc>
          <w:tcPr>
            <w:tcW w:w="4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Assets held for sale impairment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605</w:t>
            </w: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0.4 %</w:t>
            </w:r>
          </w:p>
        </w:tc>
        <w:tc>
          <w:tcPr>
            <w:tcW w:w="4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20" w:type="dxa"/>
            <w:vAlign w:val="bottom"/>
            <w:gridSpan w:val="3"/>
            <w:shd w:val="clear" w:color="auto" w:fill="CCEEFF"/>
          </w:tcPr>
          <w:p>
            <w:pPr>
              <w:jc w:val="right"/>
              <w:ind w:right="11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8,165</w:t>
            </w:r>
          </w:p>
        </w:tc>
        <w:tc>
          <w:tcPr>
            <w:tcW w:w="3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c>
          <w:tcPr>
            <w:tcW w:w="4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6,351</w:t>
            </w:r>
          </w:p>
        </w:tc>
        <w:tc>
          <w:tcPr>
            <w:tcW w:w="3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538</w:t>
            </w: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0.4 %</w:t>
            </w:r>
          </w:p>
        </w:tc>
        <w:tc>
          <w:tcPr>
            <w:tcW w:w="4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3,404</w:t>
            </w: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76</w:t>
            </w: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0.1 %</w:t>
            </w: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w:t>
            </w: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taxes</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614</w:t>
            </w: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0.5 %</w:t>
            </w:r>
          </w:p>
        </w:tc>
        <w:tc>
          <w:tcPr>
            <w:tcW w:w="4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3,562</w:t>
            </w:r>
          </w:p>
        </w:tc>
        <w:tc>
          <w:tcPr>
            <w:tcW w:w="3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for taxes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(581)</w:t>
            </w: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(0.4)%</w:t>
            </w: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(2,430)</w:t>
            </w:r>
          </w:p>
        </w:tc>
        <w:tc>
          <w:tcPr>
            <w:tcW w:w="3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1,195</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0.9 %</w:t>
            </w:r>
          </w:p>
        </w:tc>
        <w:tc>
          <w:tcPr>
            <w:tcW w:w="4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5,992</w:t>
            </w:r>
          </w:p>
        </w:tc>
        <w:tc>
          <w:tcPr>
            <w:tcW w:w="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0.04</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0.21</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340" w:type="dxa"/>
            <w:vAlign w:val="bottom"/>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0.04</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0.21</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340" w:type="dxa"/>
            <w:vAlign w:val="bottom"/>
          </w:tcPr>
          <w:p>
            <w:pPr>
              <w:ind w:left="24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2"/>
                <w:szCs w:val="22"/>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29,124</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29,098</w:t>
            </w: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29,152</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29,107</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May 28, 2011</w:t>
            </w: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May 29, 2010</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365,872</w:t>
            </w: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326,359</w:t>
            </w: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334,646</w:t>
            </w:r>
          </w:p>
        </w:tc>
        <w:tc>
          <w:tcPr>
            <w:tcW w:w="3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91.5%</w:t>
            </w:r>
          </w:p>
        </w:tc>
        <w:tc>
          <w:tcPr>
            <w:tcW w:w="4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311,296</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95.4 %</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31,226</w:t>
            </w:r>
          </w:p>
        </w:tc>
        <w:tc>
          <w:tcPr>
            <w:tcW w:w="3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44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15,063</w:t>
            </w:r>
          </w:p>
        </w:tc>
        <w:tc>
          <w:tcPr>
            <w:tcW w:w="32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54"/>
        </w:trPr>
        <w:tc>
          <w:tcPr>
            <w:tcW w:w="45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Selling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10,129</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4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9,438</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60"/>
        </w:trPr>
        <w:tc>
          <w:tcPr>
            <w:tcW w:w="45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11,623</w:t>
            </w: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10,056</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jc w:val="right"/>
              <w:ind w:right="199"/>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73"/>
        </w:trPr>
        <w:tc>
          <w:tcPr>
            <w:tcW w:w="4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Assets held for sale impairment and gain</w:t>
            </w: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10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21,713</w:t>
            </w:r>
          </w:p>
        </w:tc>
        <w:tc>
          <w:tcPr>
            <w:tcW w:w="3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5.9%</w:t>
            </w:r>
          </w:p>
        </w:tc>
        <w:tc>
          <w:tcPr>
            <w:tcW w:w="44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19,494</w:t>
            </w:r>
          </w:p>
        </w:tc>
        <w:tc>
          <w:tcPr>
            <w:tcW w:w="320" w:type="dxa"/>
            <w:vAlign w:val="bottom"/>
            <w:tcBorders>
              <w:bottom w:val="single" w:sz="8" w:color="CCEEFF"/>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9,513</w:t>
            </w: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4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3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4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289</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10,063</w:t>
            </w: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4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(4,142)</w:t>
            </w:r>
          </w:p>
        </w:tc>
        <w:tc>
          <w:tcPr>
            <w:tcW w:w="3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1,767</w:t>
            </w:r>
          </w:p>
        </w:tc>
        <w:tc>
          <w:tcPr>
            <w:tcW w:w="3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0.5%</w:t>
            </w:r>
          </w:p>
        </w:tc>
        <w:tc>
          <w:tcPr>
            <w:tcW w:w="44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w:t>
            </w:r>
          </w:p>
        </w:tc>
        <w:tc>
          <w:tcPr>
            <w:tcW w:w="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8,296</w:t>
            </w:r>
          </w:p>
        </w:tc>
        <w:tc>
          <w:tcPr>
            <w:tcW w:w="3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5,354</w:t>
            </w:r>
          </w:p>
        </w:tc>
        <w:tc>
          <w:tcPr>
            <w:tcW w:w="3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40"/>
              <w:spacing w:after="0"/>
              <w:rPr>
                <w:sz w:val="20"/>
                <w:szCs w:val="20"/>
                <w:color w:val="auto"/>
              </w:rPr>
            </w:pPr>
            <w:r>
              <w:rPr>
                <w:rFonts w:ascii="Arial" w:cs="Arial" w:eastAsia="Arial" w:hAnsi="Arial"/>
                <w:sz w:val="16"/>
                <w:szCs w:val="16"/>
                <w:color w:val="auto"/>
              </w:rPr>
              <w:t>Income per common share:</w:t>
            </w: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2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0.28</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20" w:type="dxa"/>
            <w:vAlign w:val="bottom"/>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0.28</w:t>
            </w: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0.18</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520" w:type="dxa"/>
            <w:vAlign w:val="bottom"/>
          </w:tcPr>
          <w:p>
            <w:pPr>
              <w:ind w:left="24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29,118</w:t>
            </w: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29,084</w:t>
            </w: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29,135</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29,097</w:t>
            </w: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28,</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r>
      <w:tr>
        <w:trPr>
          <w:trHeight w:val="228"/>
        </w:trPr>
        <w:tc>
          <w:tcPr>
            <w:tcW w:w="8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65,230</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74,691</w:t>
            </w:r>
          </w:p>
        </w:tc>
      </w:tr>
      <w:tr>
        <w:trPr>
          <w:trHeight w:val="260"/>
        </w:trPr>
        <w:tc>
          <w:tcPr>
            <w:tcW w:w="800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net</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17,408</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18,798</w:t>
            </w:r>
          </w:p>
        </w:tc>
      </w:tr>
      <w:tr>
        <w:trPr>
          <w:trHeight w:val="260"/>
        </w:trPr>
        <w:tc>
          <w:tcPr>
            <w:tcW w:w="80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76,346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43,526</w:t>
            </w:r>
          </w:p>
        </w:tc>
      </w:tr>
      <w:tr>
        <w:trPr>
          <w:trHeight w:val="280"/>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4,298</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4,570</w:t>
            </w:r>
          </w:p>
        </w:tc>
      </w:tr>
      <w:tr>
        <w:trPr>
          <w:trHeight w:val="264"/>
        </w:trPr>
        <w:tc>
          <w:tcPr>
            <w:tcW w:w="8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Income taxes receivable</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380</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w:t>
            </w:r>
          </w:p>
        </w:tc>
      </w:tr>
      <w:tr>
        <w:trPr>
          <w:trHeight w:val="257"/>
        </w:trPr>
        <w:tc>
          <w:tcPr>
            <w:tcW w:w="8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163,912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141,717</w:t>
            </w: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23,365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25,677</w:t>
            </w: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held for sale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4,254</w:t>
            </w: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10,911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17,785</w:t>
            </w: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23,249</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23,250</w:t>
            </w: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1,228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Amortizable intangible assets</w:t>
            </w:r>
          </w:p>
        </w:tc>
        <w:tc>
          <w:tcPr>
            <w:tcW w:w="3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17,009</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14,674</w:t>
            </w:r>
          </w:p>
        </w:tc>
      </w:tr>
      <w:tr>
        <w:trPr>
          <w:trHeight w:val="24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241,013</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227,357</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7"/>
        </w:trPr>
        <w:tc>
          <w:tcPr>
            <w:tcW w:w="8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80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22,563</w:t>
            </w:r>
          </w:p>
        </w:tc>
        <w:tc>
          <w:tcPr>
            <w:tcW w:w="2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19,725</w:t>
            </w:r>
          </w:p>
        </w:tc>
      </w:tr>
      <w:tr>
        <w:trPr>
          <w:trHeight w:val="260"/>
        </w:trPr>
        <w:tc>
          <w:tcPr>
            <w:tcW w:w="800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273"/>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31,844</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30,548</w:t>
            </w:r>
          </w:p>
        </w:tc>
      </w:tr>
      <w:tr>
        <w:trPr>
          <w:trHeight w:val="250"/>
        </w:trPr>
        <w:tc>
          <w:tcPr>
            <w:tcW w:w="8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54,473</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50,372</w:t>
            </w:r>
          </w:p>
        </w:tc>
      </w:tr>
      <w:tr>
        <w:trPr>
          <w:trHeight w:val="270"/>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8000" w:type="dxa"/>
            <w:vAlign w:val="bottom"/>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5,511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5,877</w:t>
            </w:r>
          </w:p>
        </w:tc>
      </w:tr>
      <w:tr>
        <w:trPr>
          <w:trHeight w:val="273"/>
        </w:trPr>
        <w:tc>
          <w:tcPr>
            <w:tcW w:w="8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health care and deferred compensation benefits, net of current portion</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75,937</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73,581</w:t>
            </w:r>
          </w:p>
        </w:tc>
      </w:tr>
      <w:tr>
        <w:trPr>
          <w:trHeight w:val="247"/>
        </w:trPr>
        <w:tc>
          <w:tcPr>
            <w:tcW w:w="8000" w:type="dxa"/>
            <w:vAlign w:val="bottom"/>
          </w:tcPr>
          <w:p>
            <w:pPr>
              <w:ind w:left="500"/>
              <w:spacing w:after="0"/>
              <w:rPr>
                <w:sz w:val="20"/>
                <w:szCs w:val="20"/>
                <w:color w:val="auto"/>
              </w:rPr>
            </w:pPr>
            <w:r>
              <w:rPr>
                <w:rFonts w:ascii="Arial" w:cs="Arial" w:eastAsia="Arial" w:hAnsi="Arial"/>
                <w:sz w:val="16"/>
                <w:szCs w:val="16"/>
                <w:color w:val="auto"/>
              </w:rPr>
              <w:t>Total long-term liabilities</w:t>
            </w:r>
          </w:p>
        </w:tc>
        <w:tc>
          <w:tcPr>
            <w:tcW w:w="30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81,448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79,458</w:t>
            </w:r>
          </w:p>
        </w:tc>
      </w:tr>
      <w:tr>
        <w:trPr>
          <w:trHeight w:val="273"/>
        </w:trPr>
        <w:tc>
          <w:tcPr>
            <w:tcW w:w="8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105,092</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97,527</w:t>
            </w:r>
          </w:p>
        </w:tc>
      </w:tr>
      <w:tr>
        <w:trPr>
          <w:trHeight w:val="240"/>
        </w:trPr>
        <w:tc>
          <w:tcPr>
            <w:tcW w:w="800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241,013</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227,357</w:t>
            </w: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0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Nine Months Ended</w:t>
            </w:r>
          </w:p>
        </w:tc>
      </w:tr>
      <w:tr>
        <w:trPr>
          <w:trHeight w:val="198"/>
        </w:trPr>
        <w:tc>
          <w:tcPr>
            <w:tcW w:w="7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17"/>
                <w:szCs w:val="17"/>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auto"/>
              </w:rPr>
              <w:t>May 29,</w:t>
            </w:r>
          </w:p>
        </w:tc>
      </w:tr>
      <w:tr>
        <w:trPr>
          <w:trHeight w:val="228"/>
        </w:trPr>
        <w:tc>
          <w:tcPr>
            <w:tcW w:w="7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2010</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8,296</w:t>
            </w:r>
          </w:p>
        </w:tc>
        <w:tc>
          <w:tcPr>
            <w:tcW w:w="2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5,354</w:t>
            </w:r>
          </w:p>
        </w:tc>
      </w:tr>
      <w:tr>
        <w:trPr>
          <w:trHeight w:val="28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4,193</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4,850</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 (income)</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1,193</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605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1,001</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414</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874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and deferred compensation expense</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1,034</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927</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Provision (reduction) for doubtful accounts</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(65)</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(617)</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(962)</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(Gain) loss on the sale or disposal of property</w:t>
            </w:r>
          </w:p>
        </w:tc>
        <w:tc>
          <w:tcPr>
            <w:tcW w:w="3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(867)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14</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(372)</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58</w:t>
            </w:r>
          </w:p>
        </w:tc>
      </w:tr>
      <w:tr>
        <w:trPr>
          <w:trHeight w:val="28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(30,091)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7,750</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and prepaid assets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2,609</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843</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3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(747)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13,736</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1,523</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6,605</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(2,792)</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(2,679)</w:t>
            </w:r>
          </w:p>
        </w:tc>
      </w:tr>
      <w:tr>
        <w:trPr>
          <w:trHeight w:val="25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(14,063)</w:t>
            </w:r>
          </w:p>
        </w:tc>
        <w:tc>
          <w:tcPr>
            <w:tcW w:w="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36,811</w:t>
            </w:r>
          </w:p>
        </w:tc>
      </w:tr>
      <w:tr>
        <w:trPr>
          <w:trHeight w:val="284"/>
        </w:trPr>
        <w:tc>
          <w:tcPr>
            <w:tcW w:w="7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6,450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12,900</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659</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(1,590)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(1,467)</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4,009</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320" w:type="dxa"/>
            <w:vAlign w:val="bottom"/>
          </w:tcPr>
          <w:p>
            <w:pPr>
              <w:spacing w:after="0"/>
              <w:rPr>
                <w:sz w:val="22"/>
                <w:szCs w:val="22"/>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(4,694)</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3"/>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(410)</w:t>
            </w:r>
          </w:p>
        </w:tc>
        <w:tc>
          <w:tcPr>
            <w:tcW w:w="2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127</w:t>
            </w:r>
          </w:p>
        </w:tc>
      </w:tr>
      <w:tr>
        <w:trPr>
          <w:trHeight w:val="250"/>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4,424</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11,618</w:t>
            </w:r>
          </w:p>
        </w:tc>
      </w:tr>
      <w:tr>
        <w:trPr>
          <w:trHeight w:val="284"/>
        </w:trPr>
        <w:tc>
          <w:tcPr>
            <w:tcW w:w="7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0"/>
        </w:trPr>
        <w:tc>
          <w:tcPr>
            <w:tcW w:w="78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purchases of common stock</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(89)</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(249)</w:t>
            </w:r>
          </w:p>
        </w:tc>
      </w:tr>
      <w:tr>
        <w:trPr>
          <w:trHeight w:val="260"/>
        </w:trPr>
        <w:tc>
          <w:tcPr>
            <w:tcW w:w="7880" w:type="dxa"/>
            <w:vAlign w:val="bottom"/>
          </w:tcPr>
          <w:p>
            <w:pPr>
              <w:ind w:left="280"/>
              <w:spacing w:after="0"/>
              <w:rPr>
                <w:sz w:val="20"/>
                <w:szCs w:val="20"/>
                <w:color w:val="auto"/>
              </w:rPr>
            </w:pPr>
            <w:r>
              <w:rPr>
                <w:rFonts w:ascii="Arial" w:cs="Arial" w:eastAsia="Arial" w:hAnsi="Arial"/>
                <w:sz w:val="16"/>
                <w:szCs w:val="16"/>
                <w:color w:val="auto"/>
              </w:rPr>
              <w:t>Payments on ARS portfolio</w:t>
            </w:r>
          </w:p>
        </w:tc>
        <w:tc>
          <w:tcPr>
            <w:tcW w:w="320" w:type="dxa"/>
            <w:vAlign w:val="bottom"/>
          </w:tcPr>
          <w:p>
            <w:pPr>
              <w:spacing w:after="0"/>
              <w:rPr>
                <w:sz w:val="22"/>
                <w:szCs w:val="22"/>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(8,490)</w:t>
            </w:r>
          </w:p>
        </w:tc>
      </w:tr>
      <w:tr>
        <w:trPr>
          <w:trHeight w:val="280"/>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83</w:t>
            </w: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280</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184</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(240)</w:t>
            </w:r>
          </w:p>
        </w:tc>
      </w:tr>
      <w:tr>
        <w:trPr>
          <w:trHeight w:val="25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178</w:t>
            </w:r>
          </w:p>
        </w:tc>
        <w:tc>
          <w:tcPr>
            <w:tcW w:w="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(8,699)</w:t>
            </w:r>
          </w:p>
        </w:tc>
      </w:tr>
      <w:tr>
        <w:trPr>
          <w:trHeight w:val="284"/>
        </w:trPr>
        <w:tc>
          <w:tcPr>
            <w:tcW w:w="7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(9,461)</w:t>
            </w: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39,730</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74,691</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36,566</w:t>
            </w:r>
          </w:p>
        </w:tc>
      </w:tr>
      <w:tr>
        <w:trPr>
          <w:trHeight w:val="24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65,230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76,296</w:t>
            </w:r>
          </w:p>
        </w:tc>
      </w:tr>
      <w:tr>
        <w:trPr>
          <w:trHeight w:val="20"/>
        </w:trPr>
        <w:tc>
          <w:tcPr>
            <w:tcW w:w="7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7"/>
        </w:trPr>
        <w:tc>
          <w:tcPr>
            <w:tcW w:w="7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51"/>
        </w:trPr>
        <w:tc>
          <w:tcPr>
            <w:tcW w:w="7880" w:type="dxa"/>
            <w:vAlign w:val="bottom"/>
          </w:tcPr>
          <w:p>
            <w:pPr>
              <w:ind w:left="40"/>
              <w:spacing w:after="0"/>
              <w:rPr>
                <w:sz w:val="20"/>
                <w:szCs w:val="20"/>
                <w:color w:val="auto"/>
              </w:rPr>
            </w:pPr>
            <w:r>
              <w:rPr>
                <w:rFonts w:ascii="Arial" w:cs="Arial" w:eastAsia="Arial" w:hAnsi="Arial"/>
                <w:sz w:val="16"/>
                <w:szCs w:val="16"/>
                <w:color w:val="auto"/>
              </w:rPr>
              <w:t>Income taxes paid (refunded)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1,638</w:t>
            </w:r>
          </w:p>
        </w:tc>
        <w:tc>
          <w:tcPr>
            <w:tcW w:w="22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(23,390)</w:t>
            </w:r>
          </w:p>
        </w:tc>
      </w:tr>
    </w:tbl>
    <w:p>
      <w:pPr>
        <w:sectPr>
          <w:pgSz w:w="11900" w:h="16838" w:orient="portrait"/>
          <w:cols w:equalWidth="0" w:num="1">
            <w:col w:w="11420"/>
          </w:cols>
          <w:pgMar w:left="240" w:top="10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Change</w:t>
            </w:r>
          </w:p>
        </w:tc>
      </w:tr>
      <w:tr>
        <w:trPr>
          <w:trHeight w:val="198"/>
        </w:trPr>
        <w:tc>
          <w:tcPr>
            <w:tcW w:w="3160" w:type="dxa"/>
            <w:vAlign w:val="bottom"/>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rPr>
              <w:t>May 28,</w:t>
            </w: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29,</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1100" w:type="dxa"/>
            <w:vAlign w:val="bottom"/>
          </w:tcPr>
          <w:p>
            <w:pPr>
              <w:spacing w:after="0"/>
              <w:rPr>
                <w:sz w:val="17"/>
                <w:szCs w:val="17"/>
                <w:color w:val="auto"/>
              </w:rPr>
            </w:pPr>
          </w:p>
        </w:tc>
        <w:tc>
          <w:tcPr>
            <w:tcW w:w="174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2011</w:t>
            </w: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Mix %</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2010</w:t>
            </w: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Mix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7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8"/>
              </w:rPr>
              <w:t>Change</w:t>
            </w: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425</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33.1%</w:t>
            </w:r>
          </w:p>
        </w:tc>
        <w:tc>
          <w:tcPr>
            <w:tcW w:w="14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417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1.9 %</w:t>
            </w:r>
          </w:p>
        </w:tc>
      </w:tr>
      <w:tr>
        <w:trPr>
          <w:trHeight w:val="26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204</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273</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(25.3)%</w:t>
            </w:r>
          </w:p>
        </w:tc>
      </w:tr>
      <w:tr>
        <w:trPr>
          <w:trHeight w:val="257"/>
        </w:trPr>
        <w:tc>
          <w:tcPr>
            <w:tcW w:w="3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629</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49.0%</w:t>
            </w:r>
          </w:p>
        </w:tc>
        <w:tc>
          <w:tcPr>
            <w:tcW w:w="14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690</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(8.8)%</w:t>
            </w: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Class B</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0.1%</w:t>
            </w:r>
          </w:p>
        </w:tc>
        <w:tc>
          <w:tcPr>
            <w:tcW w:w="1420" w:type="dxa"/>
            <w:vAlign w:val="bottom"/>
            <w:gridSpan w:val="2"/>
          </w:tcPr>
          <w:p>
            <w:pPr>
              <w:jc w:val="right"/>
              <w:ind w:right="179"/>
              <w:spacing w:after="0"/>
              <w:rPr>
                <w:sz w:val="20"/>
                <w:szCs w:val="20"/>
                <w:color w:val="auto"/>
              </w:rPr>
            </w:pPr>
            <w:r>
              <w:rPr>
                <w:rFonts w:ascii="Arial" w:cs="Arial" w:eastAsia="Arial" w:hAnsi="Arial"/>
                <w:sz w:val="16"/>
                <w:szCs w:val="16"/>
                <w:color w:val="auto"/>
              </w:rPr>
              <w:t>76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(98.7)%</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653</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600</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8.8 %</w:t>
            </w:r>
          </w:p>
        </w:tc>
      </w:tr>
      <w:tr>
        <w:trPr>
          <w:trHeight w:val="280"/>
        </w:trPr>
        <w:tc>
          <w:tcPr>
            <w:tcW w:w="3160" w:type="dxa"/>
            <w:vAlign w:val="bottom"/>
          </w:tcPr>
          <w:p>
            <w:pPr>
              <w:ind w:left="280"/>
              <w:spacing w:after="0"/>
              <w:rPr>
                <w:sz w:val="20"/>
                <w:szCs w:val="20"/>
                <w:color w:val="auto"/>
              </w:rPr>
            </w:pPr>
            <w:r>
              <w:rPr>
                <w:rFonts w:ascii="Arial" w:cs="Arial" w:eastAsia="Arial" w:hAnsi="Arial"/>
                <w:sz w:val="16"/>
                <w:szCs w:val="16"/>
                <w:color w:val="auto"/>
              </w:rPr>
              <w:t>Total motor homes</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1,283</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420" w:type="dxa"/>
            <w:vAlign w:val="bottom"/>
            <w:gridSpan w:val="2"/>
          </w:tcPr>
          <w:p>
            <w:pPr>
              <w:jc w:val="right"/>
              <w:ind w:right="179"/>
              <w:spacing w:after="0"/>
              <w:rPr>
                <w:sz w:val="20"/>
                <w:szCs w:val="20"/>
                <w:color w:val="auto"/>
              </w:rPr>
            </w:pPr>
            <w:r>
              <w:rPr>
                <w:rFonts w:ascii="Arial" w:cs="Arial" w:eastAsia="Arial" w:hAnsi="Arial"/>
                <w:sz w:val="16"/>
                <w:szCs w:val="16"/>
                <w:color w:val="auto"/>
              </w:rPr>
              <w:t>1,366</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(6.1)%</w:t>
            </w:r>
          </w:p>
        </w:tc>
      </w:tr>
      <w:tr>
        <w:trPr>
          <w:trHeight w:val="267"/>
        </w:trPr>
        <w:tc>
          <w:tcPr>
            <w:tcW w:w="316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94</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232</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40"/>
        </w:trPr>
        <w:tc>
          <w:tcPr>
            <w:tcW w:w="316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326</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0"/>
        </w:trPr>
        <w:tc>
          <w:tcPr>
            <w:tcW w:w="3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531"/>
        </w:trPr>
        <w:tc>
          <w:tcPr>
            <w:tcW w:w="31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Change</w:t>
            </w:r>
          </w:p>
        </w:tc>
      </w:tr>
      <w:tr>
        <w:trPr>
          <w:trHeight w:val="198"/>
        </w:trPr>
        <w:tc>
          <w:tcPr>
            <w:tcW w:w="3160" w:type="dxa"/>
            <w:vAlign w:val="bottom"/>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rPr>
              <w:t>May 28,</w:t>
            </w: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17"/>
                <w:szCs w:val="17"/>
                <w:color w:val="auto"/>
              </w:rPr>
            </w:pP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rPr>
              <w:t>May 29,</w:t>
            </w: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1100" w:type="dxa"/>
            <w:vAlign w:val="bottom"/>
          </w:tcPr>
          <w:p>
            <w:pPr>
              <w:spacing w:after="0"/>
              <w:rPr>
                <w:sz w:val="17"/>
                <w:szCs w:val="17"/>
                <w:color w:val="auto"/>
              </w:rPr>
            </w:pPr>
          </w:p>
        </w:tc>
        <w:tc>
          <w:tcPr>
            <w:tcW w:w="1740" w:type="dxa"/>
            <w:vAlign w:val="bottom"/>
          </w:tcPr>
          <w:p>
            <w:pPr>
              <w:jc w:val="center"/>
              <w:ind w:left="159"/>
              <w:spacing w:after="0"/>
              <w:rPr>
                <w:sz w:val="20"/>
                <w:szCs w:val="20"/>
                <w:color w:val="auto"/>
              </w:rPr>
            </w:pPr>
            <w:r>
              <w:rPr>
                <w:rFonts w:ascii="Arial" w:cs="Arial" w:eastAsia="Arial" w:hAnsi="Arial"/>
                <w:sz w:val="16"/>
                <w:szCs w:val="16"/>
                <w:b w:val="1"/>
                <w:bCs w:val="1"/>
                <w:color w:val="auto"/>
                <w:w w:val="98"/>
              </w:rPr>
              <w:t>%</w:t>
            </w:r>
          </w:p>
        </w:tc>
      </w:tr>
      <w:tr>
        <w:trPr>
          <w:trHeight w:val="228"/>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2011</w:t>
            </w: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Mix %</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2010</w:t>
            </w: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Mix %</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Units</w:t>
            </w:r>
          </w:p>
        </w:tc>
        <w:tc>
          <w:tcPr>
            <w:tcW w:w="17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w w:val="98"/>
              </w:rPr>
              <w:t>Change</w:t>
            </w: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1,145</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34.6%</w:t>
            </w:r>
          </w:p>
        </w:tc>
        <w:tc>
          <w:tcPr>
            <w:tcW w:w="14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1,030</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11.2 %</w:t>
            </w:r>
          </w:p>
        </w:tc>
      </w:tr>
      <w:tr>
        <w:trPr>
          <w:trHeight w:val="264"/>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692</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707</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w:t>
            </w:r>
          </w:p>
        </w:tc>
      </w:tr>
      <w:tr>
        <w:trPr>
          <w:trHeight w:val="257"/>
        </w:trPr>
        <w:tc>
          <w:tcPr>
            <w:tcW w:w="3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1,837</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55.5%</w:t>
            </w:r>
          </w:p>
        </w:tc>
        <w:tc>
          <w:tcPr>
            <w:tcW w:w="142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1,737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53.1%</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7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5.8 %</w:t>
            </w: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Class B</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0.1%</w:t>
            </w:r>
          </w:p>
        </w:tc>
        <w:tc>
          <w:tcPr>
            <w:tcW w:w="1420" w:type="dxa"/>
            <w:vAlign w:val="bottom"/>
            <w:gridSpan w:val="2"/>
          </w:tcPr>
          <w:p>
            <w:pPr>
              <w:jc w:val="right"/>
              <w:ind w:right="179"/>
              <w:spacing w:after="0"/>
              <w:rPr>
                <w:sz w:val="20"/>
                <w:szCs w:val="20"/>
                <w:color w:val="auto"/>
              </w:rPr>
            </w:pPr>
            <w:r>
              <w:rPr>
                <w:rFonts w:ascii="Arial" w:cs="Arial" w:eastAsia="Arial" w:hAnsi="Arial"/>
                <w:sz w:val="16"/>
                <w:szCs w:val="16"/>
                <w:color w:val="auto"/>
              </w:rPr>
              <w:t>202</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(99.0)%</w:t>
            </w: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1,468</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1,330</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7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10.4 %</w:t>
            </w:r>
          </w:p>
        </w:tc>
      </w:tr>
      <w:tr>
        <w:trPr>
          <w:trHeight w:val="280"/>
        </w:trPr>
        <w:tc>
          <w:tcPr>
            <w:tcW w:w="3160" w:type="dxa"/>
            <w:vAlign w:val="bottom"/>
          </w:tcPr>
          <w:p>
            <w:pPr>
              <w:ind w:left="280"/>
              <w:spacing w:after="0"/>
              <w:rPr>
                <w:sz w:val="20"/>
                <w:szCs w:val="20"/>
                <w:color w:val="auto"/>
              </w:rPr>
            </w:pPr>
            <w:r>
              <w:rPr>
                <w:rFonts w:ascii="Arial" w:cs="Arial" w:eastAsia="Arial" w:hAnsi="Arial"/>
                <w:sz w:val="16"/>
                <w:szCs w:val="16"/>
                <w:color w:val="auto"/>
              </w:rPr>
              <w:t>Total motor homes</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3,307</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420" w:type="dxa"/>
            <w:vAlign w:val="bottom"/>
            <w:gridSpan w:val="2"/>
          </w:tcPr>
          <w:p>
            <w:pPr>
              <w:jc w:val="right"/>
              <w:ind w:right="179"/>
              <w:spacing w:after="0"/>
              <w:rPr>
                <w:sz w:val="20"/>
                <w:szCs w:val="20"/>
                <w:color w:val="auto"/>
              </w:rPr>
            </w:pPr>
            <w:r>
              <w:rPr>
                <w:rFonts w:ascii="Arial" w:cs="Arial" w:eastAsia="Arial" w:hAnsi="Arial"/>
                <w:sz w:val="16"/>
                <w:szCs w:val="16"/>
                <w:color w:val="auto"/>
              </w:rPr>
              <w:t>3,269</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740" w:type="dxa"/>
            <w:vAlign w:val="bottom"/>
          </w:tcPr>
          <w:p>
            <w:pPr>
              <w:jc w:val="right"/>
              <w:ind w:right="199"/>
              <w:spacing w:after="0"/>
              <w:rPr>
                <w:sz w:val="20"/>
                <w:szCs w:val="20"/>
                <w:color w:val="auto"/>
              </w:rPr>
            </w:pPr>
            <w:r>
              <w:rPr>
                <w:rFonts w:ascii="Arial" w:cs="Arial" w:eastAsia="Arial" w:hAnsi="Arial"/>
                <w:sz w:val="16"/>
                <w:szCs w:val="16"/>
                <w:color w:val="auto"/>
              </w:rPr>
              <w:t>1.2 %</w:t>
            </w:r>
          </w:p>
        </w:tc>
      </w:tr>
      <w:tr>
        <w:trPr>
          <w:trHeight w:val="267"/>
        </w:trPr>
        <w:tc>
          <w:tcPr>
            <w:tcW w:w="316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r>
      <w:tr>
        <w:trPr>
          <w:trHeight w:val="260"/>
        </w:trPr>
        <w:tc>
          <w:tcPr>
            <w:tcW w:w="316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115</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73"/>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296</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40"/>
        </w:trPr>
        <w:tc>
          <w:tcPr>
            <w:tcW w:w="3160" w:type="dxa"/>
            <w:vAlign w:val="bottom"/>
          </w:tcPr>
          <w:p>
            <w:pPr>
              <w:ind w:left="220"/>
              <w:spacing w:after="0"/>
              <w:rPr>
                <w:sz w:val="20"/>
                <w:szCs w:val="20"/>
                <w:color w:val="auto"/>
              </w:rPr>
            </w:pPr>
            <w:r>
              <w:rPr>
                <w:rFonts w:ascii="Arial" w:cs="Arial" w:eastAsia="Arial" w:hAnsi="Arial"/>
                <w:sz w:val="16"/>
                <w:szCs w:val="16"/>
                <w:color w:val="auto"/>
              </w:rPr>
              <w:t>Total towables</w:t>
            </w: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411</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0"/>
        </w:trPr>
        <w:tc>
          <w:tcPr>
            <w:tcW w:w="3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ectPr>
          <w:pgSz w:w="11900" w:h="16838" w:orient="portrait"/>
          <w:cols w:equalWidth="0" w:num="1">
            <w:col w:w="11420"/>
          </w:cols>
          <w:pgMar w:left="240" w:top="1170"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Backlog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As Of</w:t>
            </w: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May 28, 2011</w:t>
            </w:r>
          </w:p>
        </w:tc>
        <w:tc>
          <w:tcPr>
            <w:tcW w:w="1760" w:type="dxa"/>
            <w:vAlign w:val="bottom"/>
            <w:gridSpan w:val="3"/>
          </w:tcPr>
          <w:p>
            <w:pPr>
              <w:ind w:left="240"/>
              <w:spacing w:after="0"/>
              <w:rPr>
                <w:sz w:val="20"/>
                <w:szCs w:val="20"/>
                <w:color w:val="auto"/>
              </w:rPr>
            </w:pPr>
            <w:r>
              <w:rPr>
                <w:rFonts w:ascii="Arial" w:cs="Arial" w:eastAsia="Arial" w:hAnsi="Arial"/>
                <w:sz w:val="16"/>
                <w:szCs w:val="16"/>
                <w:b w:val="1"/>
                <w:bCs w:val="1"/>
                <w:color w:val="auto"/>
              </w:rPr>
              <w:t>May 29, 2010</w:t>
            </w:r>
          </w:p>
        </w:tc>
        <w:tc>
          <w:tcPr>
            <w:tcW w:w="200" w:type="dxa"/>
            <w:vAlign w:val="bottom"/>
          </w:tcPr>
          <w:p>
            <w:pPr>
              <w:spacing w:after="0"/>
              <w:rPr>
                <w:sz w:val="22"/>
                <w:szCs w:val="22"/>
                <w:color w:val="auto"/>
              </w:rPr>
            </w:pPr>
          </w:p>
        </w:tc>
        <w:tc>
          <w:tcPr>
            <w:tcW w:w="180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Units</w:t>
            </w:r>
          </w:p>
        </w:tc>
        <w:tc>
          <w:tcPr>
            <w:tcW w:w="860" w:type="dxa"/>
            <w:vAlign w:val="bottom"/>
            <w:tcBorders>
              <w:top w:val="single" w:sz="8" w:color="auto"/>
              <w:bottom w:val="single" w:sz="8" w:color="auto"/>
            </w:tcBorders>
          </w:tcPr>
          <w:p>
            <w:pPr>
              <w:jc w:val="right"/>
              <w:ind w:right="241"/>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Units</w:t>
            </w:r>
          </w:p>
        </w:tc>
        <w:tc>
          <w:tcPr>
            <w:tcW w:w="860" w:type="dxa"/>
            <w:vAlign w:val="bottom"/>
            <w:tcBorders>
              <w:top w:val="single" w:sz="8" w:color="auto"/>
              <w:bottom w:val="single" w:sz="8" w:color="auto"/>
            </w:tcBorders>
          </w:tcPr>
          <w:p>
            <w:pPr>
              <w:jc w:val="right"/>
              <w:ind w:right="223"/>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Increase</w:t>
            </w: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gas</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187</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323</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A diesel</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113</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234</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Class A</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c>
          <w:tcPr>
            <w:tcW w:w="8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557</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59.6%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60"/>
        </w:trPr>
        <w:tc>
          <w:tcPr>
            <w:tcW w:w="3280" w:type="dxa"/>
            <w:vAlign w:val="bottom"/>
          </w:tcPr>
          <w:p>
            <w:pPr>
              <w:ind w:left="2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130</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58"/>
              <w:spacing w:after="0"/>
              <w:rPr>
                <w:sz w:val="20"/>
                <w:szCs w:val="20"/>
                <w:color w:val="auto"/>
              </w:rPr>
            </w:pPr>
            <w:r>
              <w:rPr>
                <w:rFonts w:ascii="Arial" w:cs="Arial" w:eastAsia="Arial" w:hAnsi="Arial"/>
                <w:sz w:val="16"/>
                <w:szCs w:val="16"/>
                <w:color w:val="auto"/>
              </w:rPr>
              <w:t>34</w:t>
            </w:r>
          </w:p>
        </w:tc>
        <w:tc>
          <w:tcPr>
            <w:tcW w:w="860" w:type="dxa"/>
            <w:vAlign w:val="bottom"/>
          </w:tcPr>
          <w:p>
            <w:pPr>
              <w:jc w:val="right"/>
              <w:ind w:right="83"/>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color w:val="auto"/>
              </w:rPr>
              <w:t>96</w:t>
            </w:r>
          </w:p>
        </w:tc>
        <w:tc>
          <w:tcPr>
            <w:tcW w:w="660" w:type="dxa"/>
            <w:vAlign w:val="bottom"/>
          </w:tcPr>
          <w:p>
            <w:pPr>
              <w:jc w:val="right"/>
              <w:spacing w:after="0"/>
              <w:rPr>
                <w:sz w:val="20"/>
                <w:szCs w:val="20"/>
                <w:color w:val="auto"/>
              </w:rPr>
            </w:pPr>
            <w:r>
              <w:rPr>
                <w:rFonts w:ascii="Arial" w:cs="Arial" w:eastAsia="Arial" w:hAnsi="Arial"/>
                <w:sz w:val="16"/>
                <w:szCs w:val="16"/>
                <w:color w:val="auto"/>
              </w:rPr>
              <w:t>282.4 %</w:t>
            </w:r>
          </w:p>
        </w:tc>
        <w:tc>
          <w:tcPr>
            <w:tcW w:w="0" w:type="dxa"/>
            <w:vAlign w:val="bottom"/>
          </w:tcPr>
          <w:p>
            <w:pPr>
              <w:spacing w:after="0"/>
              <w:rPr>
                <w:sz w:val="1"/>
                <w:szCs w:val="1"/>
                <w:color w:val="auto"/>
              </w:rPr>
            </w:pPr>
          </w:p>
        </w:tc>
      </w:tr>
      <w:tr>
        <w:trPr>
          <w:trHeight w:val="273"/>
        </w:trPr>
        <w:tc>
          <w:tcPr>
            <w:tcW w:w="3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212</w:t>
            </w:r>
          </w:p>
        </w:tc>
        <w:tc>
          <w:tcPr>
            <w:tcW w:w="8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344</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(132)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83"/>
        </w:trPr>
        <w:tc>
          <w:tcPr>
            <w:tcW w:w="3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 xml:space="preserve">Total motor home backlog </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642</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935</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(293)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8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860" w:type="dxa"/>
            <w:vAlign w:val="bottom"/>
          </w:tcPr>
          <w:p>
            <w:pPr>
              <w:jc w:val="right"/>
              <w:ind w:right="101"/>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c>
          <w:tcPr>
            <w:tcW w:w="8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2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 xml:space="preserve">Total towable backlog </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164</w:t>
            </w: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280" w:type="dxa"/>
            <w:vAlign w:val="bottom"/>
          </w:tcPr>
          <w:p>
            <w:pPr>
              <w:ind w:left="20"/>
              <w:spacing w:after="0"/>
              <w:rPr>
                <w:sz w:val="20"/>
                <w:szCs w:val="20"/>
                <w:color w:val="auto"/>
              </w:rPr>
            </w:pPr>
            <w:r>
              <w:rPr>
                <w:rFonts w:ascii="Arial" w:cs="Arial" w:eastAsia="Arial" w:hAnsi="Arial"/>
                <w:sz w:val="16"/>
                <w:szCs w:val="16"/>
                <w:color w:val="auto"/>
              </w:rPr>
              <w:t>Total approximate backlog revenue (in</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000's):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 home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61,924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93,214</w:t>
            </w: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(31,290)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24"/>
        </w:trPr>
        <w:tc>
          <w:tcPr>
            <w:tcW w:w="3280" w:type="dxa"/>
            <w:vAlign w:val="bottom"/>
          </w:tcPr>
          <w:p>
            <w:pPr>
              <w:ind w:left="20"/>
              <w:spacing w:after="0"/>
              <w:rPr>
                <w:sz w:val="20"/>
                <w:szCs w:val="20"/>
                <w:color w:val="auto"/>
              </w:rPr>
            </w:pPr>
            <w:r>
              <w:rPr>
                <w:rFonts w:ascii="Arial" w:cs="Arial" w:eastAsia="Arial" w:hAnsi="Arial"/>
                <w:sz w:val="16"/>
                <w:szCs w:val="16"/>
                <w:color w:val="auto"/>
              </w:rPr>
              <w:t>Towable</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59"/>
              <w:spacing w:after="0"/>
              <w:rPr>
                <w:sz w:val="20"/>
                <w:szCs w:val="20"/>
                <w:color w:val="auto"/>
              </w:rPr>
            </w:pPr>
            <w:r>
              <w:rPr>
                <w:rFonts w:ascii="Arial" w:cs="Arial" w:eastAsia="Arial" w:hAnsi="Arial"/>
                <w:sz w:val="16"/>
                <w:szCs w:val="16"/>
                <w:color w:val="auto"/>
              </w:rPr>
              <w:t>3,532</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restart"/>
          </w:tcPr>
          <w:p>
            <w:pPr>
              <w:jc w:val="right"/>
              <w:ind w:right="58"/>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2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3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40" w:hanging="218"/>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55" w:lineRule="exact"/>
        <w:rPr>
          <w:rFonts w:ascii="Arial" w:cs="Arial" w:eastAsia="Arial" w:hAnsi="Arial"/>
          <w:sz w:val="14"/>
          <w:szCs w:val="14"/>
          <w:color w:val="auto"/>
        </w:rPr>
      </w:pPr>
    </w:p>
    <w:p>
      <w:pPr>
        <w:ind w:left="20" w:right="240" w:firstLine="2"/>
        <w:spacing w:after="0" w:line="250" w:lineRule="auto"/>
        <w:tabs>
          <w:tab w:leader="none" w:pos="23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36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Winnebago Industries, Inc.</w:t>
      </w:r>
    </w:p>
    <w:p>
      <w:pPr>
        <w:spacing w:after="0" w:line="5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Unaudited Dealer Inventory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2080" w:type="dxa"/>
            <w:vAlign w:val="bottom"/>
            <w:tcBorders>
              <w:bottom w:val="single" w:sz="8" w:color="auto"/>
            </w:tcBorders>
            <w:gridSpan w:val="4"/>
          </w:tcPr>
          <w:p>
            <w:pPr>
              <w:ind w:left="780"/>
              <w:spacing w:after="0"/>
              <w:rPr>
                <w:sz w:val="20"/>
                <w:szCs w:val="20"/>
                <w:color w:val="auto"/>
              </w:rPr>
            </w:pPr>
            <w:r>
              <w:rPr>
                <w:rFonts w:ascii="Arial" w:cs="Arial" w:eastAsia="Arial" w:hAnsi="Arial"/>
                <w:sz w:val="16"/>
                <w:szCs w:val="16"/>
                <w:b w:val="1"/>
                <w:bCs w:val="1"/>
                <w:color w:val="auto"/>
              </w:rPr>
              <w:t>As Of</w:t>
            </w: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r>
      <w:tr>
        <w:trPr>
          <w:trHeight w:val="251"/>
        </w:trPr>
        <w:tc>
          <w:tcPr>
            <w:tcW w:w="534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5/28/2011</w:t>
            </w:r>
          </w:p>
        </w:tc>
        <w:tc>
          <w:tcPr>
            <w:tcW w:w="100" w:type="dxa"/>
            <w:vAlign w:val="bottom"/>
          </w:tcPr>
          <w:p>
            <w:pPr>
              <w:spacing w:after="0"/>
              <w:rPr>
                <w:sz w:val="21"/>
                <w:szCs w:val="21"/>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5/29/2010</w:t>
            </w:r>
          </w:p>
        </w:tc>
        <w:tc>
          <w:tcPr>
            <w:tcW w:w="100" w:type="dxa"/>
            <w:vAlign w:val="bottom"/>
          </w:tcPr>
          <w:p>
            <w:pPr>
              <w:spacing w:after="0"/>
              <w:rPr>
                <w:sz w:val="21"/>
                <w:szCs w:val="21"/>
                <w:color w:val="auto"/>
              </w:rPr>
            </w:pPr>
          </w:p>
        </w:tc>
        <w:tc>
          <w:tcPr>
            <w:tcW w:w="1340" w:type="dxa"/>
            <w:vAlign w:val="bottom"/>
          </w:tcPr>
          <w:p>
            <w:pPr>
              <w:jc w:val="center"/>
              <w:ind w:left="379"/>
              <w:spacing w:after="0"/>
              <w:rPr>
                <w:sz w:val="20"/>
                <w:szCs w:val="20"/>
                <w:color w:val="auto"/>
              </w:rPr>
            </w:pPr>
            <w:r>
              <w:rPr>
                <w:rFonts w:ascii="Arial" w:cs="Arial" w:eastAsia="Arial" w:hAnsi="Arial"/>
                <w:sz w:val="16"/>
                <w:szCs w:val="16"/>
                <w:b w:val="1"/>
                <w:bCs w:val="1"/>
                <w:color w:val="auto"/>
              </w:rPr>
              <w:t>(Decrease)</w:t>
            </w:r>
          </w:p>
        </w:tc>
        <w:tc>
          <w:tcPr>
            <w:tcW w:w="440" w:type="dxa"/>
            <w:vAlign w:val="bottom"/>
          </w:tcPr>
          <w:p>
            <w:pPr>
              <w:spacing w:after="0"/>
              <w:rPr>
                <w:sz w:val="21"/>
                <w:szCs w:val="21"/>
                <w:color w:val="auto"/>
              </w:rPr>
            </w:pPr>
          </w:p>
        </w:tc>
      </w:tr>
      <w:tr>
        <w:trPr>
          <w:trHeight w:val="283"/>
        </w:trPr>
        <w:tc>
          <w:tcPr>
            <w:tcW w:w="5340" w:type="dxa"/>
            <w:vAlign w:val="bottom"/>
          </w:tcPr>
          <w:p>
            <w:pPr>
              <w:spacing w:after="0"/>
              <w:rPr>
                <w:sz w:val="24"/>
                <w:szCs w:val="24"/>
                <w:color w:val="auto"/>
              </w:rPr>
            </w:pPr>
          </w:p>
        </w:tc>
        <w:tc>
          <w:tcPr>
            <w:tcW w:w="1040" w:type="dxa"/>
            <w:vAlign w:val="bottom"/>
            <w:gridSpan w:val="2"/>
          </w:tcPr>
          <w:p>
            <w:pPr>
              <w:ind w:left="260"/>
              <w:spacing w:after="0"/>
              <w:rPr>
                <w:sz w:val="20"/>
                <w:szCs w:val="20"/>
                <w:color w:val="auto"/>
              </w:rPr>
            </w:pPr>
            <w:r>
              <w:rPr>
                <w:rFonts w:ascii="Arial" w:cs="Arial" w:eastAsia="Arial" w:hAnsi="Arial"/>
                <w:sz w:val="16"/>
                <w:szCs w:val="16"/>
                <w:b w:val="1"/>
                <w:bCs w:val="1"/>
                <w:color w:val="auto"/>
              </w:rPr>
              <w:t>Units</w:t>
            </w:r>
          </w:p>
        </w:tc>
        <w:tc>
          <w:tcPr>
            <w:tcW w:w="1040" w:type="dxa"/>
            <w:vAlign w:val="bottom"/>
            <w:gridSpan w:val="2"/>
          </w:tcPr>
          <w:p>
            <w:pPr>
              <w:ind w:left="260"/>
              <w:spacing w:after="0"/>
              <w:rPr>
                <w:sz w:val="20"/>
                <w:szCs w:val="20"/>
                <w:color w:val="auto"/>
              </w:rPr>
            </w:pPr>
            <w:r>
              <w:rPr>
                <w:rFonts w:ascii="Arial" w:cs="Arial" w:eastAsia="Arial" w:hAnsi="Arial"/>
                <w:sz w:val="16"/>
                <w:szCs w:val="16"/>
                <w:b w:val="1"/>
                <w:bCs w:val="1"/>
                <w:color w:val="auto"/>
              </w:rPr>
              <w:t>Units</w:t>
            </w:r>
          </w:p>
        </w:tc>
        <w:tc>
          <w:tcPr>
            <w:tcW w:w="1340" w:type="dxa"/>
            <w:vAlign w:val="bottom"/>
          </w:tcPr>
          <w:p>
            <w:pPr>
              <w:jc w:val="center"/>
              <w:ind w:left="39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24"/>
                <w:szCs w:val="24"/>
                <w:color w:val="auto"/>
              </w:rPr>
            </w:pPr>
          </w:p>
        </w:tc>
      </w:tr>
      <w:tr>
        <w:trPr>
          <w:trHeight w:val="257"/>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Motor home</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68</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51"/>
        </w:trPr>
        <w:tc>
          <w:tcPr>
            <w:tcW w:w="5340" w:type="dxa"/>
            <w:vAlign w:val="bottom"/>
          </w:tcPr>
          <w:p>
            <w:pPr>
              <w:ind w:left="20"/>
              <w:spacing w:after="0"/>
              <w:rPr>
                <w:sz w:val="20"/>
                <w:szCs w:val="20"/>
                <w:color w:val="auto"/>
              </w:rPr>
            </w:pPr>
            <w:r>
              <w:rPr>
                <w:rFonts w:ascii="Arial" w:cs="Arial" w:eastAsia="Arial" w:hAnsi="Arial"/>
                <w:sz w:val="16"/>
                <w:szCs w:val="16"/>
                <w:color w:val="auto"/>
              </w:rPr>
              <w:t>Towable</w:t>
            </w:r>
          </w:p>
        </w:tc>
        <w:tc>
          <w:tcPr>
            <w:tcW w:w="940" w:type="dxa"/>
            <w:vAlign w:val="bottom"/>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1" w:lineRule="exact"/>
        <w:rPr>
          <w:sz w:val="20"/>
          <w:szCs w:val="20"/>
          <w:color w:val="auto"/>
        </w:rPr>
      </w:pPr>
    </w:p>
    <w:sectPr>
      <w:pgSz w:w="11900" w:h="16838" w:orient="portrait"/>
      <w:cols w:equalWidth="0" w:num="1">
        <w:col w:w="9200"/>
      </w:cols>
      <w:pgMar w:left="1360" w:top="738"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2019-12-10T04:15:21Z</dcterms:created>
  <dcterms:modified xsi:type="dcterms:W3CDTF">2019-12-10T04:15:21Z</dcterms:modified>
</cp:coreProperties>
</file>