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10" w:lineRule="exact"/>
        <w:rPr>
          <w:sz w:val="24"/>
          <w:szCs w:val="24"/>
          <w:color w:val="auto"/>
        </w:rPr>
      </w:pPr>
    </w:p>
    <w:p>
      <w:pPr>
        <w:ind w:left="640" w:right="2679" w:hanging="627"/>
        <w:spacing w:after="0" w:line="257" w:lineRule="auto"/>
        <w:rPr>
          <w:sz w:val="20"/>
          <w:szCs w:val="20"/>
          <w:color w:val="auto"/>
        </w:rPr>
      </w:pPr>
      <w:r>
        <w:rPr>
          <w:rFonts w:ascii="Courier New" w:cs="Courier New" w:eastAsia="Courier New" w:hAnsi="Courier New"/>
          <w:sz w:val="17"/>
          <w:szCs w:val="17"/>
          <w:color w:val="auto"/>
        </w:rPr>
        <w:t>__X__ QUARTERLY REPORT PURSUANT TO SECTION 13 OR 15(d) OF THE SECURITIES EXCHANGE ACT OF 1934</w:t>
      </w:r>
    </w:p>
    <w:p>
      <w:pPr>
        <w:sectPr>
          <w:pgSz w:w="11900" w:h="16838" w:orient="portrait"/>
          <w:cols w:equalWidth="0" w:num="1">
            <w:col w:w="10219"/>
          </w:cols>
          <w:pgMar w:left="240" w:top="652" w:right="1440" w:bottom="1151" w:gutter="0" w:footer="0" w:header="0"/>
        </w:sectPr>
      </w:pP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May 30, 1998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140" w:space="120"/>
            <w:col w:w="6959"/>
          </w:cols>
          <w:pgMar w:left="240" w:top="652" w:right="1440" w:bottom="1151" w:gutter="0" w:footer="0" w:header="0"/>
          <w:type w:val="continuous"/>
        </w:sectPr>
      </w:pPr>
    </w:p>
    <w:p>
      <w:pPr>
        <w:spacing w:after="0" w:line="10" w:lineRule="exact"/>
        <w:rPr>
          <w:sz w:val="24"/>
          <w:szCs w:val="24"/>
          <w:color w:val="auto"/>
        </w:rPr>
      </w:pPr>
    </w:p>
    <w:p>
      <w:pPr>
        <w:ind w:left="410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52" w:right="1440" w:bottom="1151" w:gutter="0" w:footer="0" w:header="0"/>
          <w:type w:val="continuous"/>
        </w:sectPr>
      </w:pPr>
    </w:p>
    <w:p>
      <w:pPr>
        <w:spacing w:after="0" w:line="22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_____ TRANSITION REPORT PURSUANT TO SECTION 13 OR 15(d) OF THE SECURITIES</w:t>
      </w:r>
    </w:p>
    <w:p>
      <w:pPr>
        <w:spacing w:after="0" w:line="9"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EXCHANGE ACT OF 1934</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transition period from _______________________ to ______________________</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1-6403</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WINNEBAGO INDUSTRIES, INC.</w:t>
      </w:r>
    </w:p>
    <w:p>
      <w:pPr>
        <w:spacing w:after="0" w:line="210"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Courier New" w:cs="Courier New" w:eastAsia="Courier New" w:hAnsi="Courier New"/>
                <w:sz w:val="17"/>
                <w:szCs w:val="17"/>
                <w:color w:val="auto"/>
              </w:rPr>
              <w:t>IOWA</w:t>
            </w:r>
          </w:p>
        </w:tc>
        <w:tc>
          <w:tcPr>
            <w:tcW w:w="256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42-0803978</w:t>
            </w: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256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(I.R.S. Employer</w:t>
            </w: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2560" w:type="dxa"/>
            <w:vAlign w:val="bottom"/>
          </w:tcPr>
          <w:p>
            <w:pPr>
              <w:jc w:val="center"/>
              <w:spacing w:after="0"/>
              <w:rPr>
                <w:sz w:val="20"/>
                <w:szCs w:val="20"/>
                <w:color w:val="auto"/>
              </w:rPr>
            </w:pPr>
            <w:r>
              <w:rPr>
                <w:rFonts w:ascii="Courier New" w:cs="Courier New" w:eastAsia="Courier New" w:hAnsi="Courier New"/>
                <w:sz w:val="17"/>
                <w:szCs w:val="17"/>
                <w:color w:val="auto"/>
              </w:rPr>
              <w:t>Identification No.)</w:t>
            </w:r>
          </w:p>
        </w:tc>
      </w:tr>
      <w:tr>
        <w:trPr>
          <w:trHeight w:val="40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P. O. Box 152, Forest City, Iowa</w:t>
            </w:r>
          </w:p>
        </w:tc>
        <w:tc>
          <w:tcPr>
            <w:tcW w:w="256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50436</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4600" w:type="dxa"/>
            <w:vAlign w:val="bottom"/>
          </w:tcPr>
          <w:p>
            <w:pPr>
              <w:ind w:left="40"/>
              <w:spacing w:after="0"/>
              <w:rPr>
                <w:sz w:val="20"/>
                <w:szCs w:val="20"/>
                <w:color w:val="auto"/>
              </w:rPr>
            </w:pPr>
            <w:r>
              <w:rPr>
                <w:rFonts w:ascii="Courier New" w:cs="Courier New" w:eastAsia="Courier New" w:hAnsi="Courier New"/>
                <w:sz w:val="17"/>
                <w:szCs w:val="17"/>
                <w:color w:val="auto"/>
              </w:rPr>
              <w:t>principal executive offices)</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(Zip Code)</w:t>
            </w:r>
          </w:p>
        </w:tc>
      </w:tr>
      <w:tr>
        <w:trPr>
          <w:trHeight w:val="403"/>
        </w:trPr>
        <w:tc>
          <w:tcPr>
            <w:tcW w:w="8380" w:type="dxa"/>
            <w:vAlign w:val="bottom"/>
            <w:gridSpan w:val="3"/>
          </w:tcPr>
          <w:p>
            <w:pPr>
              <w:spacing w:after="0"/>
              <w:rPr>
                <w:sz w:val="20"/>
                <w:szCs w:val="20"/>
                <w:color w:val="auto"/>
              </w:rPr>
            </w:pPr>
            <w:r>
              <w:rPr>
                <w:rFonts w:ascii="Courier New" w:cs="Courier New" w:eastAsia="Courier New" w:hAnsi="Courier New"/>
                <w:sz w:val="17"/>
                <w:szCs w:val="17"/>
                <w:color w:val="auto"/>
              </w:rPr>
              <w:t>Registrant's telephone number, including area code: (515) 582-3535</w:t>
            </w:r>
          </w:p>
        </w:tc>
      </w:tr>
      <w:tr>
        <w:trPr>
          <w:trHeight w:val="403"/>
        </w:trPr>
        <w:tc>
          <w:tcPr>
            <w:tcW w:w="122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7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check mark whether the registrant (1) has filed all reports required</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to be filed</w:t>
            </w:r>
          </w:p>
        </w:tc>
        <w:tc>
          <w:tcPr>
            <w:tcW w:w="7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Section 13 or 15(d) of the Securities Exchange Act of 1934 during</w:t>
            </w:r>
          </w:p>
        </w:tc>
      </w:tr>
      <w:tr>
        <w:trPr>
          <w:trHeight w:val="201"/>
        </w:trPr>
        <w:tc>
          <w:tcPr>
            <w:tcW w:w="8380" w:type="dxa"/>
            <w:vAlign w:val="bottom"/>
            <w:gridSpan w:val="3"/>
          </w:tcPr>
          <w:p>
            <w:pPr>
              <w:spacing w:after="0"/>
              <w:rPr>
                <w:sz w:val="20"/>
                <w:szCs w:val="20"/>
                <w:color w:val="auto"/>
              </w:rPr>
            </w:pPr>
            <w:r>
              <w:rPr>
                <w:rFonts w:ascii="Courier New" w:cs="Courier New" w:eastAsia="Courier New" w:hAnsi="Courier New"/>
                <w:sz w:val="17"/>
                <w:szCs w:val="17"/>
                <w:color w:val="auto"/>
              </w:rPr>
              <w:t>the preceding 12 months (or for such shorter period that the registrant was</w:t>
            </w:r>
          </w:p>
        </w:tc>
      </w:tr>
      <w:tr>
        <w:trPr>
          <w:trHeight w:val="201"/>
        </w:trPr>
        <w:tc>
          <w:tcPr>
            <w:tcW w:w="122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7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file such reports), and (2) has been subject to such filing</w:t>
            </w:r>
          </w:p>
        </w:tc>
      </w:tr>
      <w:tr>
        <w:trPr>
          <w:trHeight w:val="201"/>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requirements for the past 90 days. Yes __X__ No ____.</w:t>
            </w:r>
          </w:p>
        </w:tc>
        <w:tc>
          <w:tcPr>
            <w:tcW w:w="2560" w:type="dxa"/>
            <w:vAlign w:val="bottom"/>
          </w:tcPr>
          <w:p>
            <w:pPr>
              <w:spacing w:after="0"/>
              <w:rPr>
                <w:sz w:val="17"/>
                <w:szCs w:val="17"/>
                <w:color w:val="auto"/>
              </w:rPr>
            </w:pPr>
          </w:p>
        </w:tc>
      </w:tr>
    </w:tbl>
    <w:p>
      <w:pPr>
        <w:spacing w:after="0" w:line="205" w:lineRule="exact"/>
        <w:rPr>
          <w:sz w:val="24"/>
          <w:szCs w:val="24"/>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There were 23,048,454 shares of $.50 par value common stock outstanding on July 8,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6820" w:type="dxa"/>
            <w:vAlign w:val="bottom"/>
          </w:tcPr>
          <w:p>
            <w:pPr>
              <w:ind w:left="1900"/>
              <w:spacing w:after="0"/>
              <w:rPr>
                <w:sz w:val="20"/>
                <w:szCs w:val="20"/>
                <w:color w:val="auto"/>
              </w:rPr>
            </w:pPr>
            <w:r>
              <w:rPr>
                <w:rFonts w:ascii="Courier New" w:cs="Courier New" w:eastAsia="Courier New" w:hAnsi="Courier New"/>
                <w:sz w:val="17"/>
                <w:szCs w:val="17"/>
                <w:color w:val="auto"/>
              </w:rPr>
              <w:t>INDEX TO REPORT ON FORM 10-Q</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04"/>
        </w:trPr>
        <w:tc>
          <w:tcPr>
            <w:tcW w:w="840" w:type="dxa"/>
            <w:vAlign w:val="bottom"/>
          </w:tcPr>
          <w:p>
            <w:pPr>
              <w:spacing w:after="0"/>
              <w:rPr>
                <w:sz w:val="24"/>
                <w:szCs w:val="24"/>
                <w:color w:val="auto"/>
              </w:rPr>
            </w:pPr>
          </w:p>
        </w:tc>
        <w:tc>
          <w:tcPr>
            <w:tcW w:w="6820" w:type="dxa"/>
            <w:vAlign w:val="bottom"/>
          </w:tcPr>
          <w:p>
            <w:pPr>
              <w:ind w:left="6400"/>
              <w:spacing w:after="0"/>
              <w:rPr>
                <w:sz w:val="20"/>
                <w:szCs w:val="20"/>
                <w:color w:val="auto"/>
              </w:rPr>
            </w:pPr>
            <w:r>
              <w:rPr>
                <w:rFonts w:ascii="Courier New" w:cs="Courier New" w:eastAsia="Courier New" w:hAnsi="Courier New"/>
                <w:sz w:val="17"/>
                <w:szCs w:val="17"/>
                <w:color w:val="auto"/>
                <w:w w:val="97"/>
              </w:rPr>
              <w:t>Page</w:t>
            </w:r>
          </w:p>
        </w:tc>
        <w:tc>
          <w:tcPr>
            <w:tcW w:w="7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Number</w:t>
            </w:r>
          </w:p>
        </w:tc>
      </w:tr>
      <w:tr>
        <w:trPr>
          <w:trHeight w:val="201"/>
        </w:trPr>
        <w:tc>
          <w:tcPr>
            <w:tcW w:w="840" w:type="dxa"/>
            <w:vAlign w:val="bottom"/>
          </w:tcPr>
          <w:p>
            <w:pPr>
              <w:spacing w:after="0"/>
              <w:rPr>
                <w:sz w:val="17"/>
                <w:szCs w:val="17"/>
                <w:color w:val="auto"/>
              </w:rPr>
            </w:pPr>
          </w:p>
        </w:tc>
        <w:tc>
          <w:tcPr>
            <w:tcW w:w="7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8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FINANCIAL INFORMATION: (Interim period information unaudited)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3"/>
        </w:trPr>
        <w:tc>
          <w:tcPr>
            <w:tcW w:w="840" w:type="dxa"/>
            <w:vAlign w:val="bottom"/>
          </w:tcPr>
          <w:p>
            <w:pPr>
              <w:spacing w:after="0"/>
              <w:rPr>
                <w:sz w:val="24"/>
                <w:szCs w:val="24"/>
                <w:color w:val="auto"/>
              </w:rPr>
            </w:pP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Consolidated Balance Sheets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2</w:t>
            </w:r>
          </w:p>
        </w:tc>
      </w:tr>
      <w:tr>
        <w:trPr>
          <w:trHeight w:val="403"/>
        </w:trPr>
        <w:tc>
          <w:tcPr>
            <w:tcW w:w="840" w:type="dxa"/>
            <w:vAlign w:val="bottom"/>
          </w:tcPr>
          <w:p>
            <w:pPr>
              <w:spacing w:after="0"/>
              <w:rPr>
                <w:sz w:val="24"/>
                <w:szCs w:val="24"/>
                <w:color w:val="auto"/>
              </w:rPr>
            </w:pP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Unaudited Consolidated Statements of Operations</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24"/>
                <w:szCs w:val="24"/>
                <w:color w:val="auto"/>
              </w:rPr>
            </w:pPr>
          </w:p>
        </w:tc>
      </w:tr>
      <w:tr>
        <w:trPr>
          <w:trHeight w:val="403"/>
        </w:trPr>
        <w:tc>
          <w:tcPr>
            <w:tcW w:w="840" w:type="dxa"/>
            <w:vAlign w:val="bottom"/>
          </w:tcPr>
          <w:p>
            <w:pPr>
              <w:spacing w:after="0"/>
              <w:rPr>
                <w:sz w:val="24"/>
                <w:szCs w:val="24"/>
                <w:color w:val="auto"/>
              </w:rPr>
            </w:pP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Unaudited Consolidated Condensed Statements of Cash Flows</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260" w:type="dxa"/>
            <w:vAlign w:val="bottom"/>
          </w:tcPr>
          <w:p>
            <w:pPr>
              <w:spacing w:after="0"/>
              <w:rPr>
                <w:sz w:val="24"/>
                <w:szCs w:val="24"/>
                <w:color w:val="auto"/>
              </w:rPr>
            </w:pPr>
          </w:p>
        </w:tc>
      </w:tr>
      <w:tr>
        <w:trPr>
          <w:trHeight w:val="403"/>
        </w:trPr>
        <w:tc>
          <w:tcPr>
            <w:tcW w:w="840" w:type="dxa"/>
            <w:vAlign w:val="bottom"/>
          </w:tcPr>
          <w:p>
            <w:pPr>
              <w:spacing w:after="0"/>
              <w:rPr>
                <w:sz w:val="24"/>
                <w:szCs w:val="24"/>
                <w:color w:val="auto"/>
              </w:rPr>
            </w:pP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6</w:t>
            </w:r>
          </w:p>
        </w:tc>
      </w:tr>
      <w:tr>
        <w:trPr>
          <w:trHeight w:val="403"/>
        </w:trPr>
        <w:tc>
          <w:tcPr>
            <w:tcW w:w="840" w:type="dxa"/>
            <w:vAlign w:val="bottom"/>
          </w:tcPr>
          <w:p>
            <w:pPr>
              <w:spacing w:after="0"/>
              <w:rPr>
                <w:sz w:val="24"/>
                <w:szCs w:val="24"/>
                <w:color w:val="auto"/>
              </w:rPr>
            </w:pPr>
          </w:p>
        </w:tc>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w w:val="87"/>
              </w:rPr>
              <w:t>10</w:t>
            </w:r>
          </w:p>
        </w:tc>
      </w:tr>
      <w:tr>
        <w:trPr>
          <w:trHeight w:val="201"/>
        </w:trPr>
        <w:tc>
          <w:tcPr>
            <w:tcW w:w="840" w:type="dxa"/>
            <w:vAlign w:val="bottom"/>
          </w:tcPr>
          <w:p>
            <w:pPr>
              <w:spacing w:after="0"/>
              <w:rPr>
                <w:sz w:val="17"/>
                <w:szCs w:val="17"/>
                <w:color w:val="auto"/>
              </w:rPr>
            </w:pPr>
          </w:p>
        </w:tc>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and Results of Operations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3"/>
        </w:trPr>
        <w:tc>
          <w:tcPr>
            <w:tcW w:w="766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w w:val="87"/>
              </w:rPr>
              <w:t>11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w w:val="87"/>
              </w:rPr>
              <w:t>12</w:t>
            </w:r>
          </w:p>
        </w:tc>
      </w:tr>
    </w:tbl>
    <w:p>
      <w:pPr>
        <w:sectPr>
          <w:pgSz w:w="11900" w:h="16838" w:orient="portrait"/>
          <w:cols w:equalWidth="0" w:num="1">
            <w:col w:w="10219"/>
          </w:cols>
          <w:pgMar w:left="240" w:top="652" w:right="1440" w:bottom="115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MAY 30,</w:t>
            </w:r>
          </w:p>
        </w:tc>
        <w:tc>
          <w:tcPr>
            <w:tcW w:w="1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AUGUST 30,</w:t>
            </w:r>
          </w:p>
        </w:tc>
      </w:tr>
      <w:tr>
        <w:trPr>
          <w:trHeight w:val="201"/>
        </w:trPr>
        <w:tc>
          <w:tcPr>
            <w:tcW w:w="5920" w:type="dxa"/>
            <w:vAlign w:val="bottom"/>
          </w:tcPr>
          <w:p>
            <w:pPr>
              <w:ind w:left="2840"/>
              <w:spacing w:after="0"/>
              <w:rPr>
                <w:sz w:val="20"/>
                <w:szCs w:val="20"/>
                <w:color w:val="auto"/>
              </w:rPr>
            </w:pPr>
            <w:r>
              <w:rPr>
                <w:rFonts w:ascii="Courier New" w:cs="Courier New" w:eastAsia="Courier New" w:hAnsi="Courier New"/>
                <w:sz w:val="17"/>
                <w:szCs w:val="17"/>
                <w:color w:val="auto"/>
              </w:rPr>
              <w:t>ASSETS</w:t>
            </w:r>
          </w:p>
        </w:tc>
        <w:tc>
          <w:tcPr>
            <w:tcW w:w="32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1998</w:t>
            </w:r>
          </w:p>
        </w:tc>
        <w:tc>
          <w:tcPr>
            <w:tcW w:w="26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54,268</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32,130</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Receivables, less allowance for doubtful</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accounts ($2,270 and $1,429, respectively)</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25,980</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31,322</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Dealer financing receivables less allowance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for doubtful accounts ($182 and $155, respectively)</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17,267</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13,336</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50,634</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53,584</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Prepaid expenses</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13,566</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5,872</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4,917</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4,917</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ind w:left="540"/>
              <w:spacing w:after="0"/>
              <w:rPr>
                <w:sz w:val="20"/>
                <w:szCs w:val="20"/>
                <w:color w:val="auto"/>
              </w:rPr>
            </w:pPr>
            <w:r>
              <w:rPr>
                <w:rFonts w:ascii="Courier New" w:cs="Courier New" w:eastAsia="Courier New" w:hAnsi="Courier New"/>
                <w:sz w:val="17"/>
                <w:szCs w:val="17"/>
                <w:color w:val="auto"/>
              </w:rPr>
              <w:t>Total current assets</w:t>
            </w:r>
          </w:p>
        </w:tc>
        <w:tc>
          <w:tcPr>
            <w:tcW w:w="32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166,632</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141,161</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PROPERTY AND EQUIPMENT, at cost</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1,161</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1,167</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38,662</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42,455</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67,702</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66,142</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5,043</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5,004</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112,568</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114,768</w:t>
            </w:r>
          </w:p>
        </w:tc>
      </w:tr>
      <w:tr>
        <w:trPr>
          <w:trHeight w:val="201"/>
        </w:trPr>
        <w:tc>
          <w:tcPr>
            <w:tcW w:w="5920" w:type="dxa"/>
            <w:vAlign w:val="bottom"/>
          </w:tcPr>
          <w:p>
            <w:pPr>
              <w:ind w:left="540"/>
              <w:spacing w:after="0"/>
              <w:rPr>
                <w:sz w:val="20"/>
                <w:szCs w:val="20"/>
                <w:color w:val="auto"/>
              </w:rPr>
            </w:pPr>
            <w:r>
              <w:rPr>
                <w:rFonts w:ascii="Courier New" w:cs="Courier New" w:eastAsia="Courier New" w:hAnsi="Courier New"/>
                <w:sz w:val="17"/>
                <w:szCs w:val="17"/>
                <w:color w:val="auto"/>
              </w:rPr>
              <w:t>Less accumulated depreciation</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80,533</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81,175</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ind w:left="540"/>
              <w:spacing w:after="0"/>
              <w:rPr>
                <w:sz w:val="20"/>
                <w:szCs w:val="20"/>
                <w:color w:val="auto"/>
              </w:rPr>
            </w:pPr>
            <w:r>
              <w:rPr>
                <w:rFonts w:ascii="Courier New" w:cs="Courier New" w:eastAsia="Courier New" w:hAnsi="Courier New"/>
                <w:sz w:val="17"/>
                <w:szCs w:val="17"/>
                <w:color w:val="auto"/>
              </w:rPr>
              <w:t>Total property and equipment, net</w:t>
            </w:r>
          </w:p>
        </w:tc>
        <w:tc>
          <w:tcPr>
            <w:tcW w:w="32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32,035</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33,593</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LONG-TERM NOTES RECEIVABLE, less allowances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($1,541 and $1,465, respectively)</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5,768</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5,692</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INVESTMENT IN LIFE INSURANCE AND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OTHER LONG-TERM INVESTMENTS</w:t>
            </w:r>
          </w:p>
        </w:tc>
        <w:tc>
          <w:tcPr>
            <w:tcW w:w="32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20,976</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17,641</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DEFERRED INCOME TAXES, NET</w:t>
            </w:r>
          </w:p>
        </w:tc>
        <w:tc>
          <w:tcPr>
            <w:tcW w:w="32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14,900</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14,900</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2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486</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488</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240,797</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213,475</w:t>
            </w:r>
          </w:p>
        </w:tc>
      </w:tr>
      <w:tr>
        <w:trPr>
          <w:trHeight w:val="201"/>
        </w:trPr>
        <w:tc>
          <w:tcPr>
            <w:tcW w:w="5920" w:type="dxa"/>
            <w:vAlign w:val="bottom"/>
          </w:tcPr>
          <w:p>
            <w:pPr>
              <w:spacing w:after="0"/>
              <w:rPr>
                <w:sz w:val="17"/>
                <w:szCs w:val="17"/>
                <w:color w:val="auto"/>
              </w:rPr>
            </w:pP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ectPr>
          <w:pgSz w:w="11900" w:h="16838" w:orient="portrait"/>
          <w:cols w:equalWidth="0" w:num="1">
            <w:col w:w="10219"/>
          </w:cols>
          <w:pgMar w:left="240" w:top="921" w:right="1440" w:bottom="1440" w:gutter="0" w:footer="0" w:header="0"/>
        </w:sectPr>
      </w:pPr>
    </w:p>
    <w:bookmarkStart w:id="2" w:name="page3"/>
    <w:bookmarkEnd w:id="2"/>
    <w:p>
      <w:pPr>
        <w:jc w:val="center"/>
        <w:ind w:right="171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MAY 30,</w:t>
            </w:r>
          </w:p>
        </w:tc>
        <w:tc>
          <w:tcPr>
            <w:tcW w:w="1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AUGUST 30,</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8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1998</w:t>
            </w:r>
          </w:p>
        </w:tc>
        <w:tc>
          <w:tcPr>
            <w:tcW w:w="26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8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6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Current maturities of long-term debt</w:t>
            </w:r>
          </w:p>
        </w:tc>
        <w:tc>
          <w:tcPr>
            <w:tcW w:w="48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695</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Accounts payable, trade</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23,332</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20,471</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Income tax payable</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20,100</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 -</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Insurance</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3,411</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2,687</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Product warranties</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5,079</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3,329</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Vacation liability</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3,539</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3,012</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Promotional</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5,260</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2,508</w:t>
            </w:r>
          </w:p>
        </w:tc>
      </w:tr>
      <w:tr>
        <w:trPr>
          <w:trHeight w:val="201"/>
        </w:trPr>
        <w:tc>
          <w:tcPr>
            <w:tcW w:w="5760" w:type="dxa"/>
            <w:vAlign w:val="bottom"/>
          </w:tcPr>
          <w:p>
            <w:pPr>
              <w:ind w:left="540"/>
              <w:spacing w:after="0"/>
              <w:rPr>
                <w:sz w:val="20"/>
                <w:szCs w:val="20"/>
                <w:color w:val="auto"/>
              </w:rPr>
            </w:pPr>
            <w:r>
              <w:rPr>
                <w:rFonts w:ascii="Courier New" w:cs="Courier New" w:eastAsia="Courier New" w:hAnsi="Courier New"/>
                <w:sz w:val="17"/>
                <w:szCs w:val="17"/>
                <w:color w:val="auto"/>
              </w:rPr>
              <w:t>Other</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8,938</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8,524</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ind w:left="840"/>
              <w:spacing w:after="0"/>
              <w:rPr>
                <w:sz w:val="20"/>
                <w:szCs w:val="20"/>
                <w:color w:val="auto"/>
              </w:rPr>
            </w:pPr>
            <w:r>
              <w:rPr>
                <w:rFonts w:ascii="Courier New" w:cs="Courier New" w:eastAsia="Courier New" w:hAnsi="Courier New"/>
                <w:sz w:val="17"/>
                <w:szCs w:val="17"/>
                <w:color w:val="auto"/>
              </w:rPr>
              <w:t>Total current liabilities</w:t>
            </w:r>
          </w:p>
        </w:tc>
        <w:tc>
          <w:tcPr>
            <w:tcW w:w="48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69,659</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41,226</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POSTRETIREMENT HEALTH CARE AND DEFERRED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COMPENSATION BENEFITS</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51,069</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48,367</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Capital stock, common, par value $.50; authorized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5760" w:type="dxa"/>
            <w:vAlign w:val="bottom"/>
          </w:tcPr>
          <w:p>
            <w:pPr>
              <w:ind w:left="320"/>
              <w:spacing w:after="0"/>
              <w:rPr>
                <w:sz w:val="20"/>
                <w:szCs w:val="20"/>
                <w:color w:val="auto"/>
              </w:rPr>
            </w:pPr>
            <w:r>
              <w:rPr>
                <w:rFonts w:ascii="Courier New" w:cs="Courier New" w:eastAsia="Courier New" w:hAnsi="Courier New"/>
                <w:sz w:val="17"/>
                <w:szCs w:val="17"/>
                <w:color w:val="auto"/>
              </w:rPr>
              <w:t>60,000,000 shares</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12,933</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12,927</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22,590</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23,109</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Reinvested earnings</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106,653</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92,179</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142,176</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128,215</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Less treasury stock, at cost</w:t>
            </w:r>
          </w:p>
        </w:tc>
        <w:tc>
          <w:tcPr>
            <w:tcW w:w="48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22,107</w:t>
            </w:r>
          </w:p>
        </w:tc>
        <w:tc>
          <w:tcPr>
            <w:tcW w:w="2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4,333</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48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120,069</w:t>
            </w:r>
          </w:p>
        </w:tc>
        <w:tc>
          <w:tcPr>
            <w:tcW w:w="2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123,882</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 EQUITY</w:t>
            </w:r>
          </w:p>
        </w:tc>
        <w:tc>
          <w:tcPr>
            <w:tcW w:w="48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240,797</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213,475</w:t>
            </w:r>
          </w:p>
        </w:tc>
      </w:tr>
      <w:tr>
        <w:trPr>
          <w:trHeight w:val="201"/>
        </w:trPr>
        <w:tc>
          <w:tcPr>
            <w:tcW w:w="5760" w:type="dxa"/>
            <w:vAlign w:val="bottom"/>
          </w:tcPr>
          <w:p>
            <w:pPr>
              <w:spacing w:after="0"/>
              <w:rPr>
                <w:sz w:val="17"/>
                <w:szCs w:val="17"/>
                <w:color w:val="auto"/>
              </w:rPr>
            </w:pPr>
          </w:p>
        </w:tc>
        <w:tc>
          <w:tcPr>
            <w:tcW w:w="16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ectPr>
          <w:pgSz w:w="11900" w:h="16838" w:orient="portrait"/>
          <w:cols w:equalWidth="0" w:num="1">
            <w:col w:w="10219"/>
          </w:cols>
          <w:pgMar w:left="240" w:top="921" w:right="1440" w:bottom="1440" w:gutter="0" w:footer="0" w:header="0"/>
        </w:sectPr>
      </w:pPr>
    </w:p>
    <w:bookmarkStart w:id="3" w:name="page4"/>
    <w:bookmarkEnd w:id="3"/>
    <w:p>
      <w:pPr>
        <w:jc w:val="center"/>
        <w:ind w:right="3140"/>
        <w:spacing w:after="0" w:line="254" w:lineRule="auto"/>
        <w:rPr>
          <w:sz w:val="20"/>
          <w:szCs w:val="20"/>
          <w:color w:val="auto"/>
        </w:rPr>
      </w:pPr>
      <w:r>
        <w:rPr>
          <w:rFonts w:ascii="Courier New" w:cs="Courier New" w:eastAsia="Courier New" w:hAnsi="Courier New"/>
          <w:sz w:val="17"/>
          <w:szCs w:val="17"/>
          <w:color w:val="auto"/>
        </w:rPr>
        <w:t>WINNEBAGO INDUSTRIES, INC. AND SUBSIDIARIES UNAUDITED CONSOLIDATED STATEMENTS OF OPERATIONS ================================================================================</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3"/>
        </w:trPr>
        <w:tc>
          <w:tcPr>
            <w:tcW w:w="5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THIRTEEN</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THIRTY-NINE</w:t>
            </w:r>
          </w:p>
        </w:tc>
        <w:tc>
          <w:tcPr>
            <w:tcW w:w="720" w:type="dxa"/>
            <w:vAlign w:val="bottom"/>
          </w:tcPr>
          <w:p>
            <w:pPr>
              <w:spacing w:after="0"/>
              <w:rPr>
                <w:sz w:val="24"/>
                <w:szCs w:val="24"/>
                <w:color w:val="auto"/>
              </w:rPr>
            </w:pPr>
          </w:p>
        </w:tc>
      </w:tr>
      <w:tr>
        <w:trPr>
          <w:trHeight w:val="201"/>
        </w:trPr>
        <w:tc>
          <w:tcPr>
            <w:tcW w:w="5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gridSpan w:val="3"/>
          </w:tcPr>
          <w:p>
            <w:pPr>
              <w:jc w:val="right"/>
              <w:ind w:right="853"/>
              <w:spacing w:after="0"/>
              <w:rPr>
                <w:sz w:val="20"/>
                <w:szCs w:val="20"/>
                <w:color w:val="auto"/>
              </w:rPr>
            </w:pPr>
            <w:r>
              <w:rPr>
                <w:rFonts w:ascii="Courier New" w:cs="Courier New" w:eastAsia="Courier New" w:hAnsi="Courier New"/>
                <w:sz w:val="17"/>
                <w:szCs w:val="17"/>
                <w:color w:val="auto"/>
              </w:rPr>
              <w:t>WEEKS ENDED</w:t>
            </w:r>
          </w:p>
        </w:tc>
        <w:tc>
          <w:tcPr>
            <w:tcW w:w="38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WEEKS ENDED</w:t>
            </w:r>
          </w:p>
        </w:tc>
        <w:tc>
          <w:tcPr>
            <w:tcW w:w="720" w:type="dxa"/>
            <w:vAlign w:val="bottom"/>
          </w:tcPr>
          <w:p>
            <w:pPr>
              <w:spacing w:after="0"/>
              <w:rPr>
                <w:sz w:val="17"/>
                <w:szCs w:val="17"/>
                <w:color w:val="auto"/>
              </w:rPr>
            </w:pPr>
          </w:p>
        </w:tc>
      </w:tr>
      <w:tr>
        <w:trPr>
          <w:trHeight w:val="201"/>
        </w:trPr>
        <w:tc>
          <w:tcPr>
            <w:tcW w:w="5880" w:type="dxa"/>
            <w:vAlign w:val="bottom"/>
          </w:tcPr>
          <w:p>
            <w:pPr>
              <w:spacing w:after="0"/>
              <w:rPr>
                <w:sz w:val="17"/>
                <w:szCs w:val="17"/>
                <w:color w:val="auto"/>
              </w:rPr>
            </w:pPr>
          </w:p>
        </w:tc>
        <w:tc>
          <w:tcPr>
            <w:tcW w:w="292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7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May 30,</w:t>
            </w:r>
          </w:p>
        </w:tc>
        <w:tc>
          <w:tcPr>
            <w:tcW w:w="360" w:type="dxa"/>
            <w:vAlign w:val="bottom"/>
          </w:tcPr>
          <w:p>
            <w:pPr>
              <w:spacing w:after="0"/>
              <w:rPr>
                <w:sz w:val="17"/>
                <w:szCs w:val="17"/>
                <w:color w:val="auto"/>
              </w:rPr>
            </w:pP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May 31,</w:t>
            </w:r>
          </w:p>
        </w:tc>
        <w:tc>
          <w:tcPr>
            <w:tcW w:w="38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May 30,</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May 31,</w:t>
            </w:r>
          </w:p>
        </w:tc>
      </w:tr>
      <w:tr>
        <w:trPr>
          <w:trHeight w:val="201"/>
        </w:trPr>
        <w:tc>
          <w:tcPr>
            <w:tcW w:w="5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c>
          <w:tcPr>
            <w:tcW w:w="380" w:type="dxa"/>
            <w:vAlign w:val="bottom"/>
          </w:tcPr>
          <w:p>
            <w:pPr>
              <w:spacing w:after="0"/>
              <w:rPr>
                <w:sz w:val="17"/>
                <w:szCs w:val="17"/>
                <w:color w:val="auto"/>
              </w:rPr>
            </w:pP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1998</w:t>
            </w:r>
          </w:p>
        </w:tc>
        <w:tc>
          <w:tcPr>
            <w:tcW w:w="520" w:type="dxa"/>
            <w:vAlign w:val="bottom"/>
          </w:tcPr>
          <w:p>
            <w:pPr>
              <w:spacing w:after="0"/>
              <w:rPr>
                <w:sz w:val="17"/>
                <w:szCs w:val="17"/>
                <w:color w:val="auto"/>
              </w:rPr>
            </w:pPr>
          </w:p>
        </w:tc>
        <w:tc>
          <w:tcPr>
            <w:tcW w:w="72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7"/>
              </w:rPr>
              <w:t>1997</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150,515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117,226</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395,120</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336,820</w:t>
            </w:r>
          </w:p>
        </w:tc>
      </w:tr>
      <w:tr>
        <w:trPr>
          <w:trHeight w:val="201"/>
        </w:trPr>
        <w:tc>
          <w:tcPr>
            <w:tcW w:w="588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129,610</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101,046</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341,437</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295,362</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80" w:type="dxa"/>
            <w:vAlign w:val="bottom"/>
          </w:tcPr>
          <w:p>
            <w:pPr>
              <w:ind w:left="540"/>
              <w:spacing w:after="0"/>
              <w:rPr>
                <w:sz w:val="20"/>
                <w:szCs w:val="20"/>
                <w:color w:val="auto"/>
              </w:rPr>
            </w:pPr>
            <w:r>
              <w:rPr>
                <w:rFonts w:ascii="Courier New" w:cs="Courier New" w:eastAsia="Courier New" w:hAnsi="Courier New"/>
                <w:sz w:val="17"/>
                <w:szCs w:val="17"/>
                <w:color w:val="auto"/>
              </w:rPr>
              <w:t>Gross profit</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20,905</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16,180</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53,683</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41,458</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880" w:type="dxa"/>
            <w:vAlign w:val="bottom"/>
          </w:tcPr>
          <w:p>
            <w:pPr>
              <w:ind w:left="540"/>
              <w:spacing w:after="0"/>
              <w:rPr>
                <w:sz w:val="20"/>
                <w:szCs w:val="20"/>
                <w:color w:val="auto"/>
              </w:rPr>
            </w:pPr>
            <w:r>
              <w:rPr>
                <w:rFonts w:ascii="Courier New" w:cs="Courier New" w:eastAsia="Courier New" w:hAnsi="Courier New"/>
                <w:sz w:val="17"/>
                <w:szCs w:val="17"/>
                <w:color w:val="auto"/>
              </w:rPr>
              <w:t>Selling and delivery</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4,645</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6,998</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14,564</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19,999</w:t>
            </w:r>
          </w:p>
        </w:tc>
      </w:tr>
      <w:tr>
        <w:trPr>
          <w:trHeight w:val="201"/>
        </w:trPr>
        <w:tc>
          <w:tcPr>
            <w:tcW w:w="5880" w:type="dxa"/>
            <w:vAlign w:val="bottom"/>
          </w:tcPr>
          <w:p>
            <w:pPr>
              <w:ind w:left="540"/>
              <w:spacing w:after="0"/>
              <w:rPr>
                <w:sz w:val="20"/>
                <w:szCs w:val="20"/>
                <w:color w:val="auto"/>
              </w:rPr>
            </w:pPr>
            <w:r>
              <w:rPr>
                <w:rFonts w:ascii="Courier New" w:cs="Courier New" w:eastAsia="Courier New" w:hAnsi="Courier New"/>
                <w:sz w:val="17"/>
                <w:szCs w:val="17"/>
                <w:color w:val="auto"/>
              </w:rPr>
              <w:t>General and administrative</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6,029</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3,668</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15,741</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15,419</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80" w:type="dxa"/>
            <w:vAlign w:val="bottom"/>
          </w:tcPr>
          <w:p>
            <w:pPr>
              <w:ind w:left="540"/>
              <w:spacing w:after="0"/>
              <w:rPr>
                <w:sz w:val="20"/>
                <w:szCs w:val="20"/>
                <w:color w:val="auto"/>
              </w:rPr>
            </w:pPr>
            <w:r>
              <w:rPr>
                <w:rFonts w:ascii="Courier New" w:cs="Courier New" w:eastAsia="Courier New" w:hAnsi="Courier New"/>
                <w:sz w:val="17"/>
                <w:szCs w:val="17"/>
                <w:color w:val="auto"/>
              </w:rPr>
              <w:t>Total operating expenses</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10,674</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10,666</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30,305</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35,418</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10,231</w:t>
            </w:r>
          </w:p>
        </w:tc>
        <w:tc>
          <w:tcPr>
            <w:tcW w:w="3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5,514</w:t>
            </w:r>
          </w:p>
        </w:tc>
        <w:tc>
          <w:tcPr>
            <w:tcW w:w="38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23,378</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6,040</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Financial income</w:t>
            </w:r>
          </w:p>
        </w:tc>
        <w:tc>
          <w:tcPr>
            <w:tcW w:w="3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860</w:t>
            </w:r>
          </w:p>
        </w:tc>
        <w:tc>
          <w:tcPr>
            <w:tcW w:w="3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350</w:t>
            </w:r>
          </w:p>
        </w:tc>
        <w:tc>
          <w:tcPr>
            <w:tcW w:w="38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2,244</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1,464</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Pre-tax income from continuing operations</w:t>
            </w:r>
          </w:p>
        </w:tc>
        <w:tc>
          <w:tcPr>
            <w:tcW w:w="3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11,091</w:t>
            </w:r>
          </w:p>
        </w:tc>
        <w:tc>
          <w:tcPr>
            <w:tcW w:w="3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5,864</w:t>
            </w:r>
          </w:p>
        </w:tc>
        <w:tc>
          <w:tcPr>
            <w:tcW w:w="38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25,622</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7,504</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Provision for taxes</w:t>
            </w:r>
          </w:p>
        </w:tc>
        <w:tc>
          <w:tcPr>
            <w:tcW w:w="3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3,757</w:t>
            </w:r>
          </w:p>
        </w:tc>
        <w:tc>
          <w:tcPr>
            <w:tcW w:w="3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2,144</w:t>
            </w:r>
          </w:p>
        </w:tc>
        <w:tc>
          <w:tcPr>
            <w:tcW w:w="38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8,600</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4,752</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3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7,334</w:t>
            </w:r>
          </w:p>
        </w:tc>
        <w:tc>
          <w:tcPr>
            <w:tcW w:w="36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3,720</w:t>
            </w:r>
          </w:p>
        </w:tc>
        <w:tc>
          <w:tcPr>
            <w:tcW w:w="38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17,022</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2,752</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Gain from sale of discontinued Cycle-Sat subsidiary</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(includes a loss on operations of $160 less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applicable income tax credits of $123 and 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gain on disposal of $16,632 less income taxes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of $13,462)</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 -</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 -</w:t>
            </w: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16,472</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7,334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3,720</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17,022</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19,224</w:t>
            </w:r>
          </w:p>
        </w:tc>
      </w:tr>
      <w:tr>
        <w:trPr>
          <w:trHeight w:val="201"/>
        </w:trPr>
        <w:tc>
          <w:tcPr>
            <w:tcW w:w="58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Earnings per share - basic (Note 7):</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Income from 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r>
      <w:tr>
        <w:trPr>
          <w:trHeight w:val="403"/>
        </w:trPr>
        <w:tc>
          <w:tcPr>
            <w:tcW w:w="588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 (Note 7):</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Income from 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201"/>
        </w:trPr>
        <w:tc>
          <w:tcPr>
            <w:tcW w:w="58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w:t>
            </w:r>
          </w:p>
        </w:tc>
        <w:tc>
          <w:tcPr>
            <w:tcW w:w="5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921" w:right="139" w:bottom="1440" w:gutter="0" w:footer="0" w:header="0"/>
        </w:sectPr>
      </w:pPr>
    </w:p>
    <w:bookmarkStart w:id="4" w:name="page5"/>
    <w:bookmarkEnd w:id="4"/>
    <w:p>
      <w:pPr>
        <w:jc w:val="center"/>
        <w:ind w:right="1719"/>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 equivalents</w:t>
            </w:r>
          </w:p>
        </w:tc>
        <w:tc>
          <w:tcPr>
            <w:tcW w:w="320" w:type="dxa"/>
            <w:vAlign w:val="bottom"/>
          </w:tcPr>
          <w:p>
            <w:pPr>
              <w:spacing w:after="0"/>
              <w:rPr>
                <w:sz w:val="17"/>
                <w:szCs w:val="17"/>
                <w:color w:val="auto"/>
              </w:rPr>
            </w:pPr>
          </w:p>
        </w:tc>
        <w:tc>
          <w:tcPr>
            <w:tcW w:w="262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THIRTY-NINE WEEKS ENDED</w:t>
            </w:r>
          </w:p>
        </w:tc>
      </w:tr>
      <w:tr>
        <w:trPr>
          <w:trHeight w:val="201"/>
        </w:trPr>
        <w:tc>
          <w:tcPr>
            <w:tcW w:w="7020" w:type="dxa"/>
            <w:vAlign w:val="bottom"/>
          </w:tcPr>
          <w:p>
            <w:pPr>
              <w:spacing w:after="0"/>
              <w:rPr>
                <w:sz w:val="17"/>
                <w:szCs w:val="17"/>
                <w:color w:val="auto"/>
              </w:rPr>
            </w:pPr>
          </w:p>
        </w:tc>
        <w:tc>
          <w:tcPr>
            <w:tcW w:w="29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May 30,</w:t>
            </w:r>
          </w:p>
        </w:tc>
        <w:tc>
          <w:tcPr>
            <w:tcW w:w="3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May 31,</w:t>
            </w:r>
          </w:p>
        </w:tc>
      </w:tr>
      <w:tr>
        <w:trPr>
          <w:trHeight w:val="201"/>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19,224</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from</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020" w:type="dxa"/>
            <w:vAlign w:val="bottom"/>
          </w:tcPr>
          <w:p>
            <w:pPr>
              <w:ind w:left="420"/>
              <w:spacing w:after="0"/>
              <w:rPr>
                <w:sz w:val="20"/>
                <w:szCs w:val="20"/>
                <w:color w:val="auto"/>
              </w:rPr>
            </w:pPr>
            <w:r>
              <w:rPr>
                <w:rFonts w:ascii="Courier New" w:cs="Courier New" w:eastAsia="Courier New" w:hAnsi="Courier New"/>
                <w:sz w:val="17"/>
                <w:szCs w:val="17"/>
                <w:color w:val="auto"/>
              </w:rPr>
              <w:t>operating activities: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Pre-tax gain on sale of Cycle-Sat subsidiary</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(29,811)</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4,143</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5,437</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Realized and unrealized gains on investments, net</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(137)</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trading securities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4,453</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1,431</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1,130</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Change in assets and liabilities: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(Increase) decrease in accounts receivable</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(2,287)</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1,273</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Decrease in inventories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2,950</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10,569</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Increase in accounts payable and accrued expenses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9,028</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3,898</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Increase in income taxes payable</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20,100</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Increase in postretirement benefits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2,559</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1,028</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(2,194)</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54,946</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14,870</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flows provided (used) by investing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Gross proceeds from the sale of Cycle-Sat subsidiary</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55,883</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Payments to minority shareholder from sale of Cycle-Sat</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(7,160)</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Purchases of property and equipment</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(3,194)</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(3,125)</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Investments in dealer receivables</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(44,559)</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(28,782)</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Collections of dealer receivables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40,601</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29,191</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(4,126)</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1,580</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Net cash (used) provided by investing activities</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(11,278)</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47,587</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flows used by financing activities and capital transactions: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Payments for purchase of common stock</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(19,572)</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Payment of long-term debt of discontinued operations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 -</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(13,220)</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Payments of long-term debt and capital leases</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(695)</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Payment of cash dividends</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(2,548)</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(2,542)</w:t>
            </w:r>
          </w:p>
        </w:tc>
      </w:tr>
      <w:tr>
        <w:trPr>
          <w:trHeight w:val="201"/>
        </w:trPr>
        <w:tc>
          <w:tcPr>
            <w:tcW w:w="702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1,285</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536</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Net cash used by financing activities and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020" w:type="dxa"/>
            <w:vAlign w:val="bottom"/>
          </w:tcPr>
          <w:p>
            <w:pPr>
              <w:ind w:left="320"/>
              <w:spacing w:after="0"/>
              <w:rPr>
                <w:sz w:val="20"/>
                <w:szCs w:val="20"/>
                <w:color w:val="auto"/>
              </w:rPr>
            </w:pPr>
            <w:r>
              <w:rPr>
                <w:rFonts w:ascii="Courier New" w:cs="Courier New" w:eastAsia="Courier New" w:hAnsi="Courier New"/>
                <w:sz w:val="17"/>
                <w:szCs w:val="17"/>
                <w:color w:val="auto"/>
              </w:rPr>
              <w:t>capital transactions</w:t>
            </w:r>
          </w:p>
        </w:tc>
        <w:tc>
          <w:tcPr>
            <w:tcW w:w="32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(21,530)</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(17,228)</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702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320" w:type="dxa"/>
            <w:vAlign w:val="bottom"/>
          </w:tcPr>
          <w:p>
            <w:pPr>
              <w:spacing w:after="0"/>
              <w:rPr>
                <w:sz w:val="17"/>
                <w:szCs w:val="17"/>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22,138</w:t>
            </w:r>
          </w:p>
        </w:tc>
        <w:tc>
          <w:tcPr>
            <w:tcW w:w="36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45,229</w:t>
            </w:r>
          </w:p>
        </w:tc>
      </w:tr>
      <w:tr>
        <w:trPr>
          <w:trHeight w:val="40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and cash equivalents - beginning of period</w:t>
            </w:r>
          </w:p>
        </w:tc>
        <w:tc>
          <w:tcPr>
            <w:tcW w:w="3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32,130</w:t>
            </w:r>
          </w:p>
        </w:tc>
        <w:tc>
          <w:tcPr>
            <w:tcW w:w="36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797</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7020" w:type="dxa"/>
            <w:vAlign w:val="bottom"/>
          </w:tcPr>
          <w:p>
            <w:pPr>
              <w:spacing w:after="0"/>
              <w:rPr>
                <w:sz w:val="20"/>
                <w:szCs w:val="20"/>
                <w:color w:val="auto"/>
              </w:rPr>
            </w:pPr>
            <w:r>
              <w:rPr>
                <w:rFonts w:ascii="Courier New" w:cs="Courier New" w:eastAsia="Courier New" w:hAnsi="Courier New"/>
                <w:sz w:val="17"/>
                <w:szCs w:val="17"/>
                <w:color w:val="auto"/>
              </w:rPr>
              <w:t>Cash and cash equivalents - end of period</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54,268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46,026</w:t>
            </w:r>
          </w:p>
        </w:tc>
      </w:tr>
      <w:tr>
        <w:trPr>
          <w:trHeight w:val="201"/>
        </w:trPr>
        <w:tc>
          <w:tcPr>
            <w:tcW w:w="7020" w:type="dxa"/>
            <w:vAlign w:val="bottom"/>
          </w:tcPr>
          <w:p>
            <w:pPr>
              <w:spacing w:after="0"/>
              <w:rPr>
                <w:sz w:val="17"/>
                <w:szCs w:val="17"/>
                <w:color w:val="auto"/>
              </w:rPr>
            </w:pPr>
          </w:p>
        </w:tc>
        <w:tc>
          <w:tcPr>
            <w:tcW w:w="15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Unaudited Condensed Notes to Consolidated Financial Statements.</w:t>
      </w:r>
    </w:p>
    <w:p>
      <w:pPr>
        <w:sectPr>
          <w:pgSz w:w="11900" w:h="16838" w:orient="portrait"/>
          <w:cols w:equalWidth="0" w:num="1">
            <w:col w:w="10219"/>
          </w:cols>
          <w:pgMar w:left="240" w:top="921" w:right="1440" w:bottom="1440" w:gutter="0" w:footer="0" w:header="0"/>
        </w:sectPr>
      </w:pPr>
    </w:p>
    <w:bookmarkStart w:id="5" w:name="page6"/>
    <w:bookmarkEnd w:id="5"/>
    <w:p>
      <w:pPr>
        <w:ind w:left="1993"/>
        <w:spacing w:after="0"/>
        <w:rPr>
          <w:sz w:val="20"/>
          <w:szCs w:val="20"/>
          <w:color w:val="auto"/>
        </w:rPr>
      </w:pPr>
      <w:r>
        <w:rPr>
          <w:rFonts w:ascii="Courier New" w:cs="Courier New" w:eastAsia="Courier New" w:hAnsi="Courier New"/>
          <w:sz w:val="17"/>
          <w:szCs w:val="17"/>
          <w:color w:val="auto"/>
        </w:rPr>
        <w:t>WINNEBAGO INDUSTRIES, INC. AND SUBSIDIARIES</w:t>
      </w:r>
    </w:p>
    <w:p>
      <w:pPr>
        <w:spacing w:after="0" w:line="9"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UNAUDITED CONDENSED NOTES TO CONSOLIDATED FINANCIAL STATEMENTS</w:t>
      </w:r>
    </w:p>
    <w:p>
      <w:pPr>
        <w:spacing w:after="0" w:line="210" w:lineRule="exact"/>
        <w:rPr>
          <w:sz w:val="20"/>
          <w:szCs w:val="20"/>
          <w:color w:val="auto"/>
        </w:rPr>
      </w:pPr>
    </w:p>
    <w:p>
      <w:pPr>
        <w:ind w:left="733" w:right="2039" w:hanging="733"/>
        <w:spacing w:after="0" w:line="251" w:lineRule="auto"/>
        <w:tabs>
          <w:tab w:leader="none" w:pos="73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opinion of management, the accompanying unaudited consolidated condensed financial statements contain all adjustments, consisting of normal recurring accruals, necessary to present fairly the consolidated financial position as of May 30, 1998, the consolidated results of operations for the 39 and 13 weeks ended May 30, 1998 and May 31, 1997, and the consolidated cash flows for the 39 weeks ended May 30, 1998 and May 31, 1997. The results of operations for the 39 weeks ended May 30, 1998, are not necessarily indicative of the results to be expected for the full year.</w:t>
      </w:r>
    </w:p>
    <w:p>
      <w:pPr>
        <w:spacing w:after="0" w:line="201" w:lineRule="exact"/>
        <w:rPr>
          <w:rFonts w:ascii="Courier New" w:cs="Courier New" w:eastAsia="Courier New" w:hAnsi="Courier New"/>
          <w:sz w:val="17"/>
          <w:szCs w:val="17"/>
          <w:color w:val="auto"/>
        </w:rPr>
      </w:pPr>
    </w:p>
    <w:p>
      <w:pPr>
        <w:ind w:left="733" w:right="1939" w:hanging="733"/>
        <w:spacing w:after="0" w:line="254" w:lineRule="auto"/>
        <w:tabs>
          <w:tab w:leader="none" w:pos="73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are valued at the lower of cost or market, with cost being determined under the last-in, first-out (LIFO) method and market defined as net realizable value.</w:t>
      </w:r>
    </w:p>
    <w:p>
      <w:pPr>
        <w:spacing w:after="0" w:line="194" w:lineRule="exact"/>
        <w:rPr>
          <w:sz w:val="20"/>
          <w:szCs w:val="20"/>
          <w:color w:val="auto"/>
        </w:rPr>
      </w:pPr>
    </w:p>
    <w:p>
      <w:pPr>
        <w:ind w:left="953"/>
        <w:spacing w:after="0"/>
        <w:rPr>
          <w:sz w:val="20"/>
          <w:szCs w:val="20"/>
          <w:color w:val="auto"/>
        </w:rPr>
      </w:pPr>
      <w:r>
        <w:rPr>
          <w:rFonts w:ascii="Courier New" w:cs="Courier New" w:eastAsia="Courier New" w:hAnsi="Courier New"/>
          <w:sz w:val="17"/>
          <w:szCs w:val="17"/>
          <w:color w:val="auto"/>
        </w:rPr>
        <w:t>Inventories are composed of the following (dollars in thousands):</w:t>
      </w:r>
    </w:p>
    <w:p>
      <w:pPr>
        <w:spacing w:after="0" w:line="210" w:lineRule="exact"/>
        <w:rPr>
          <w:sz w:val="20"/>
          <w:szCs w:val="20"/>
          <w:color w:val="auto"/>
        </w:rPr>
      </w:pPr>
    </w:p>
    <w:tbl>
      <w:tblPr>
        <w:tblLayout w:type="fixed"/>
        <w:tblInd w:w="1673"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May 30,</w:t>
            </w:r>
          </w:p>
        </w:tc>
        <w:tc>
          <w:tcPr>
            <w:tcW w:w="15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August 30,</w:t>
            </w:r>
          </w:p>
        </w:tc>
      </w:tr>
      <w:tr>
        <w:trPr>
          <w:trHeight w:val="201"/>
        </w:trPr>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1998</w:t>
            </w:r>
          </w:p>
        </w:tc>
        <w:tc>
          <w:tcPr>
            <w:tcW w:w="6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3240" w:type="dxa"/>
            <w:vAlign w:val="bottom"/>
          </w:tcPr>
          <w:p>
            <w:pPr>
              <w:spacing w:after="0"/>
              <w:rPr>
                <w:sz w:val="17"/>
                <w:szCs w:val="17"/>
                <w:color w:val="auto"/>
              </w:rPr>
            </w:pPr>
          </w:p>
        </w:tc>
        <w:tc>
          <w:tcPr>
            <w:tcW w:w="168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324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22,409</w:t>
            </w:r>
          </w:p>
        </w:tc>
        <w:tc>
          <w:tcPr>
            <w:tcW w:w="6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27,577</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420" w:type="dxa"/>
            <w:vAlign w:val="bottom"/>
          </w:tcPr>
          <w:p>
            <w:pPr>
              <w:spacing w:after="0"/>
              <w:rPr>
                <w:sz w:val="17"/>
                <w:szCs w:val="17"/>
                <w:color w:val="auto"/>
              </w:rPr>
            </w:pP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13,618</w:t>
            </w:r>
          </w:p>
        </w:tc>
        <w:tc>
          <w:tcPr>
            <w:tcW w:w="6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13,842</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420" w:type="dxa"/>
            <w:vAlign w:val="bottom"/>
          </w:tcPr>
          <w:p>
            <w:pPr>
              <w:spacing w:after="0"/>
              <w:rPr>
                <w:sz w:val="17"/>
                <w:szCs w:val="17"/>
                <w:color w:val="auto"/>
              </w:rPr>
            </w:pP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33,144</w:t>
            </w:r>
          </w:p>
        </w:tc>
        <w:tc>
          <w:tcPr>
            <w:tcW w:w="6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29,907</w:t>
            </w:r>
          </w:p>
        </w:tc>
      </w:tr>
      <w:tr>
        <w:trPr>
          <w:trHeight w:val="201"/>
        </w:trPr>
        <w:tc>
          <w:tcPr>
            <w:tcW w:w="3240" w:type="dxa"/>
            <w:vAlign w:val="bottom"/>
          </w:tcPr>
          <w:p>
            <w:pPr>
              <w:spacing w:after="0"/>
              <w:rPr>
                <w:sz w:val="17"/>
                <w:szCs w:val="17"/>
                <w:color w:val="auto"/>
              </w:rPr>
            </w:pPr>
          </w:p>
        </w:tc>
        <w:tc>
          <w:tcPr>
            <w:tcW w:w="168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69,171</w:t>
            </w:r>
          </w:p>
        </w:tc>
        <w:tc>
          <w:tcPr>
            <w:tcW w:w="6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71,326</w:t>
            </w:r>
          </w:p>
        </w:tc>
      </w:tr>
      <w:tr>
        <w:trPr>
          <w:trHeight w:val="201"/>
        </w:trPr>
        <w:tc>
          <w:tcPr>
            <w:tcW w:w="3240" w:type="dxa"/>
            <w:vAlign w:val="bottom"/>
          </w:tcPr>
          <w:p>
            <w:pPr>
              <w:spacing w:after="0"/>
              <w:rPr>
                <w:sz w:val="20"/>
                <w:szCs w:val="20"/>
                <w:color w:val="auto"/>
              </w:rPr>
            </w:pPr>
            <w:r>
              <w:rPr>
                <w:rFonts w:ascii="Courier New" w:cs="Courier New" w:eastAsia="Courier New" w:hAnsi="Courier New"/>
                <w:sz w:val="17"/>
                <w:szCs w:val="17"/>
                <w:color w:val="auto"/>
              </w:rPr>
              <w:t>LIFO reserve..................</w:t>
            </w:r>
          </w:p>
        </w:tc>
        <w:tc>
          <w:tcPr>
            <w:tcW w:w="42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(18,537)</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(17,742)</w:t>
            </w:r>
          </w:p>
        </w:tc>
      </w:tr>
      <w:tr>
        <w:trPr>
          <w:trHeight w:val="201"/>
        </w:trPr>
        <w:tc>
          <w:tcPr>
            <w:tcW w:w="3240" w:type="dxa"/>
            <w:vAlign w:val="bottom"/>
          </w:tcPr>
          <w:p>
            <w:pPr>
              <w:spacing w:after="0"/>
              <w:rPr>
                <w:sz w:val="17"/>
                <w:szCs w:val="17"/>
                <w:color w:val="auto"/>
              </w:rPr>
            </w:pPr>
          </w:p>
        </w:tc>
        <w:tc>
          <w:tcPr>
            <w:tcW w:w="168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50,634</w:t>
            </w:r>
          </w:p>
        </w:tc>
        <w:tc>
          <w:tcPr>
            <w:tcW w:w="64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53,584</w:t>
            </w:r>
          </w:p>
        </w:tc>
      </w:tr>
      <w:tr>
        <w:trPr>
          <w:trHeight w:val="201"/>
        </w:trPr>
        <w:tc>
          <w:tcPr>
            <w:tcW w:w="3240" w:type="dxa"/>
            <w:vAlign w:val="bottom"/>
          </w:tcPr>
          <w:p>
            <w:pPr>
              <w:spacing w:after="0"/>
              <w:rPr>
                <w:sz w:val="17"/>
                <w:szCs w:val="17"/>
                <w:color w:val="auto"/>
              </w:rPr>
            </w:pPr>
          </w:p>
        </w:tc>
        <w:tc>
          <w:tcPr>
            <w:tcW w:w="168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left="733" w:right="1839" w:hanging="733"/>
        <w:spacing w:after="0" w:line="251" w:lineRule="auto"/>
        <w:tabs>
          <w:tab w:leader="none" w:pos="73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May 30, 1998, the Company was in compliance with these covenants. There were no outstanding borrowings under the line of credit at May 30, 1998 or August 30, 1997.</w:t>
      </w:r>
    </w:p>
    <w:p>
      <w:pPr>
        <w:spacing w:after="0" w:line="201" w:lineRule="exact"/>
        <w:rPr>
          <w:rFonts w:ascii="Courier New" w:cs="Courier New" w:eastAsia="Courier New" w:hAnsi="Courier New"/>
          <w:sz w:val="17"/>
          <w:szCs w:val="17"/>
          <w:color w:val="auto"/>
        </w:rPr>
      </w:pPr>
    </w:p>
    <w:p>
      <w:pPr>
        <w:ind w:left="733" w:right="1839" w:hanging="733"/>
        <w:spacing w:after="0" w:line="251" w:lineRule="auto"/>
        <w:tabs>
          <w:tab w:leader="none" w:pos="73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$162,888,000 and $115,637,000 under repurchase agreements with lending institutions as of May 30, 1998 and August 30, 1997, respectively. Included in these contingent liabilities as of May 30, 1998 and August 30, 1997 are approximately $24,954,000 and $24,868,000, respectively, of certain dealer receivables subject to recourse agreements with NationsCredit and Green Tree Financial Corporation.</w:t>
      </w:r>
    </w:p>
    <w:p>
      <w:pPr>
        <w:spacing w:after="0" w:line="201" w:lineRule="exact"/>
        <w:rPr>
          <w:rFonts w:ascii="Courier New" w:cs="Courier New" w:eastAsia="Courier New" w:hAnsi="Courier New"/>
          <w:sz w:val="17"/>
          <w:szCs w:val="17"/>
          <w:color w:val="auto"/>
        </w:rPr>
      </w:pPr>
    </w:p>
    <w:p>
      <w:pPr>
        <w:ind w:left="733" w:right="2559" w:hanging="733"/>
        <w:spacing w:after="0" w:line="257" w:lineRule="auto"/>
        <w:tabs>
          <w:tab w:leader="none" w:pos="73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periods indicated, the Company paid cash for the following (dollars in thousands):</w:t>
      </w:r>
    </w:p>
    <w:p>
      <w:pPr>
        <w:sectPr>
          <w:pgSz w:w="11900" w:h="16838" w:orient="portrait"/>
          <w:cols w:equalWidth="0" w:num="1">
            <w:col w:w="10212"/>
          </w:cols>
          <w:pgMar w:left="247" w:top="921" w:right="1440" w:bottom="8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73"/>
        <w:spacing w:after="0"/>
        <w:rPr>
          <w:sz w:val="20"/>
          <w:szCs w:val="20"/>
          <w:color w:val="auto"/>
        </w:rPr>
      </w:pPr>
      <w:r>
        <w:rPr>
          <w:rFonts w:ascii="Courier New" w:cs="Courier New" w:eastAsia="Courier New" w:hAnsi="Courier New"/>
          <w:sz w:val="17"/>
          <w:szCs w:val="17"/>
          <w:color w:val="auto"/>
        </w:rPr>
        <w:t>Interest</w:t>
      </w:r>
    </w:p>
    <w:p>
      <w:pPr>
        <w:spacing w:after="0" w:line="9" w:lineRule="exact"/>
        <w:rPr>
          <w:sz w:val="20"/>
          <w:szCs w:val="20"/>
          <w:color w:val="auto"/>
        </w:rPr>
      </w:pPr>
    </w:p>
    <w:p>
      <w:pPr>
        <w:ind w:left="1673"/>
        <w:spacing w:after="0"/>
        <w:rPr>
          <w:sz w:val="20"/>
          <w:szCs w:val="20"/>
          <w:color w:val="auto"/>
        </w:rPr>
      </w:pPr>
      <w:r>
        <w:rPr>
          <w:rFonts w:ascii="Courier New" w:cs="Courier New" w:eastAsia="Courier New" w:hAnsi="Courier New"/>
          <w:sz w:val="17"/>
          <w:szCs w:val="17"/>
          <w:color w:val="auto"/>
        </w:rPr>
        <w:t>Income taxes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THIRTY-NINE WEEKS 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tabs>
          <w:tab w:leader="none" w:pos="2300" w:val="left"/>
        </w:tabs>
        <w:rPr>
          <w:sz w:val="20"/>
          <w:szCs w:val="20"/>
          <w:color w:val="auto"/>
        </w:rPr>
      </w:pPr>
      <w:r>
        <w:rPr>
          <w:rFonts w:ascii="Courier New" w:cs="Courier New" w:eastAsia="Courier New" w:hAnsi="Courier New"/>
          <w:sz w:val="17"/>
          <w:szCs w:val="17"/>
          <w:color w:val="auto"/>
        </w:rPr>
        <w:t>May 30,</w:t>
      </w:r>
      <w:r>
        <w:rPr>
          <w:sz w:val="20"/>
          <w:szCs w:val="20"/>
          <w:color w:val="auto"/>
        </w:rPr>
        <w:tab/>
      </w:r>
      <w:r>
        <w:rPr>
          <w:rFonts w:ascii="Courier New" w:cs="Courier New" w:eastAsia="Courier New" w:hAnsi="Courier New"/>
          <w:sz w:val="17"/>
          <w:szCs w:val="17"/>
          <w:color w:val="auto"/>
        </w:rPr>
        <w:t>May 31,</w:t>
      </w:r>
    </w:p>
    <w:p>
      <w:pPr>
        <w:spacing w:after="0" w:line="9" w:lineRule="exact"/>
        <w:rPr>
          <w:sz w:val="20"/>
          <w:szCs w:val="20"/>
          <w:color w:val="auto"/>
        </w:rPr>
      </w:pPr>
    </w:p>
    <w:p>
      <w:pPr>
        <w:ind w:left="420"/>
        <w:spacing w:after="0"/>
        <w:tabs>
          <w:tab w:leader="none" w:pos="2400" w:val="left"/>
        </w:tabs>
        <w:rPr>
          <w:sz w:val="20"/>
          <w:szCs w:val="20"/>
          <w:color w:val="auto"/>
        </w:rPr>
      </w:pPr>
      <w:r>
        <w:rPr>
          <w:rFonts w:ascii="Courier New" w:cs="Courier New" w:eastAsia="Courier New" w:hAnsi="Courier New"/>
          <w:sz w:val="17"/>
          <w:szCs w:val="17"/>
          <w:color w:val="auto"/>
        </w:rPr>
        <w:t>1998</w:t>
      </w:r>
      <w:r>
        <w:rPr>
          <w:sz w:val="20"/>
          <w:szCs w:val="20"/>
          <w:color w:val="auto"/>
        </w:rPr>
        <w:tab/>
      </w:r>
      <w:r>
        <w:rPr>
          <w:rFonts w:ascii="Courier New" w:cs="Courier New" w:eastAsia="Courier New" w:hAnsi="Courier New"/>
          <w:sz w:val="17"/>
          <w:szCs w:val="17"/>
          <w:color w:val="auto"/>
        </w:rPr>
        <w:t>1997</w:t>
      </w:r>
    </w:p>
    <w:p>
      <w:pPr>
        <w:spacing w:after="0" w:line="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820" w:val="left"/>
          <w:tab w:leader="none" w:pos="2080" w:val="left"/>
          <w:tab w:leader="none" w:pos="28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364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522</w:t>
      </w:r>
    </w:p>
    <w:p>
      <w:pPr>
        <w:spacing w:after="0" w:line="9" w:lineRule="exact"/>
        <w:rPr>
          <w:sz w:val="20"/>
          <w:szCs w:val="20"/>
          <w:color w:val="auto"/>
        </w:rPr>
      </w:pPr>
    </w:p>
    <w:p>
      <w:pPr>
        <w:ind w:left="640"/>
        <w:spacing w:after="0"/>
        <w:tabs>
          <w:tab w:leader="none" w:pos="2500" w:val="left"/>
        </w:tabs>
        <w:rPr>
          <w:sz w:val="20"/>
          <w:szCs w:val="20"/>
          <w:color w:val="auto"/>
        </w:rPr>
      </w:pPr>
      <w:r>
        <w:rPr>
          <w:rFonts w:ascii="Courier New" w:cs="Courier New" w:eastAsia="Courier New" w:hAnsi="Courier New"/>
          <w:sz w:val="17"/>
          <w:szCs w:val="17"/>
          <w:color w:val="auto"/>
        </w:rPr>
        <w:t>6,849</w:t>
      </w:r>
      <w:r>
        <w:rPr>
          <w:sz w:val="20"/>
          <w:szCs w:val="20"/>
          <w:color w:val="auto"/>
        </w:rPr>
        <w:tab/>
      </w:r>
      <w:r>
        <w:rPr>
          <w:rFonts w:ascii="Courier New" w:cs="Courier New" w:eastAsia="Courier New" w:hAnsi="Courier New"/>
          <w:sz w:val="17"/>
          <w:szCs w:val="17"/>
          <w:color w:val="auto"/>
        </w:rPr>
        <w:t>14,035</w:t>
      </w:r>
    </w:p>
    <w:p>
      <w:pPr>
        <w:sectPr>
          <w:pgSz w:w="11900" w:h="16838" w:orient="portrait"/>
          <w:cols w:equalWidth="0" w:num="2">
            <w:col w:w="3253" w:space="720"/>
            <w:col w:w="6239"/>
          </w:cols>
          <w:pgMar w:left="247" w:top="921" w:right="1440" w:bottom="860" w:gutter="0" w:footer="0" w:header="0"/>
          <w:type w:val="continuous"/>
        </w:sectPr>
      </w:pPr>
    </w:p>
    <w:bookmarkStart w:id="6" w:name="page7"/>
    <w:bookmarkEnd w:id="6"/>
    <w:p>
      <w:pPr>
        <w:ind w:left="733" w:right="2420" w:hanging="733"/>
        <w:spacing w:after="0" w:line="251" w:lineRule="auto"/>
        <w:tabs>
          <w:tab w:leader="none" w:pos="7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May 30, 1998, the Company has repurchased approximately $19.6 million, or 2.1 million shares, of its common stock since announcing the plan on December 29, 1997 to repurchase up to $36.5 million of its common stock within 18 months (1,920,600 shares were from the Estate of John K. Hanson with an aggregate purchase price of approximately $17 million). Subsequent to May 30, 1998, the Company repurchased approximately an additional 486,000 shares of its common stock with an aggregate purchase price of approximately $5.7 million.</w:t>
      </w:r>
    </w:p>
    <w:p>
      <w:pPr>
        <w:spacing w:after="0" w:line="201" w:lineRule="exact"/>
        <w:rPr>
          <w:rFonts w:ascii="Courier New" w:cs="Courier New" w:eastAsia="Courier New" w:hAnsi="Courier New"/>
          <w:sz w:val="17"/>
          <w:szCs w:val="17"/>
          <w:color w:val="auto"/>
        </w:rPr>
      </w:pPr>
    </w:p>
    <w:p>
      <w:pPr>
        <w:ind w:left="733" w:right="2620" w:hanging="733"/>
        <w:spacing w:after="0" w:line="252" w:lineRule="auto"/>
        <w:tabs>
          <w:tab w:leader="none" w:pos="7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December 15, 1997, the Company adopted Statement of Financial Accounting Standards No. 128, "EARNINGS PER SHARE" (SFAS No. 128). Earnings per share amounts presented for the 13 and 39 weeks ended May 31, 1997 have been restated for the adoption of SFAS No. 128. The following table reflects the calculation of basic and diluted earnings per share.</w:t>
      </w:r>
    </w:p>
    <w:p>
      <w:pPr>
        <w:spacing w:after="0" w:line="200" w:lineRule="exact"/>
        <w:rPr>
          <w:sz w:val="20"/>
          <w:szCs w:val="20"/>
          <w:color w:val="auto"/>
        </w:rPr>
      </w:pPr>
    </w:p>
    <w:p>
      <w:pPr>
        <w:spacing w:after="0" w:line="399" w:lineRule="exact"/>
        <w:rPr>
          <w:sz w:val="20"/>
          <w:szCs w:val="20"/>
          <w:color w:val="auto"/>
        </w:rPr>
      </w:pPr>
    </w:p>
    <w:tbl>
      <w:tblPr>
        <w:tblLayout w:type="fixed"/>
        <w:tblInd w:w="953"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Courier New" w:cs="Courier New" w:eastAsia="Courier New" w:hAnsi="Courier New"/>
                <w:sz w:val="17"/>
                <w:szCs w:val="17"/>
                <w:color w:val="auto"/>
              </w:rPr>
              <w:t>THIRTEEN WEEKS ENDED</w:t>
            </w:r>
          </w:p>
        </w:tc>
        <w:tc>
          <w:tcPr>
            <w:tcW w:w="30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THIRTY-NINE WEEKS ENDED</w:t>
            </w:r>
          </w:p>
        </w:tc>
      </w:tr>
      <w:tr>
        <w:trPr>
          <w:trHeight w:val="201"/>
        </w:trPr>
        <w:tc>
          <w:tcPr>
            <w:tcW w:w="418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71"/>
              </w:rPr>
              <w: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MAY 30,</w:t>
            </w:r>
          </w:p>
        </w:tc>
        <w:tc>
          <w:tcPr>
            <w:tcW w:w="38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MAY 31,</w:t>
            </w:r>
          </w:p>
        </w:tc>
        <w:tc>
          <w:tcPr>
            <w:tcW w:w="30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MAY 30,</w:t>
            </w:r>
          </w:p>
        </w:tc>
        <w:tc>
          <w:tcPr>
            <w:tcW w:w="36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MAY 31,</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4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380" w:type="dxa"/>
            <w:vAlign w:val="bottom"/>
          </w:tcPr>
          <w:p>
            <w:pPr>
              <w:spacing w:after="0"/>
              <w:rPr>
                <w:sz w:val="17"/>
                <w:szCs w:val="17"/>
                <w:color w:val="auto"/>
              </w:rPr>
            </w:pPr>
          </w:p>
        </w:tc>
        <w:tc>
          <w:tcPr>
            <w:tcW w:w="110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8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7,334</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2,752</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42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23,642</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25,460</w:t>
            </w:r>
          </w:p>
        </w:tc>
        <w:tc>
          <w:tcPr>
            <w:tcW w:w="3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24,434</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25,423</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per share from continuing</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4180" w:type="dxa"/>
            <w:vAlign w:val="bottom"/>
          </w:tcPr>
          <w:p>
            <w:pPr>
              <w:ind w:left="400"/>
              <w:spacing w:after="0"/>
              <w:rPr>
                <w:sz w:val="20"/>
                <w:szCs w:val="20"/>
                <w:color w:val="auto"/>
              </w:rPr>
            </w:pPr>
            <w:r>
              <w:rPr>
                <w:rFonts w:ascii="Courier New" w:cs="Courier New" w:eastAsia="Courier New" w:hAnsi="Courier New"/>
                <w:sz w:val="17"/>
                <w:szCs w:val="17"/>
                <w:color w:val="auto"/>
              </w:rPr>
              <w:t>operations - basic</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80" w:type="dxa"/>
            <w:vAlign w:val="bottom"/>
          </w:tcPr>
          <w:p>
            <w:pPr>
              <w:spacing w:after="0"/>
              <w:rPr>
                <w:sz w:val="20"/>
                <w:szCs w:val="20"/>
                <w:color w:val="auto"/>
              </w:rPr>
            </w:pPr>
            <w:r>
              <w:rPr>
                <w:rFonts w:ascii="Courier New" w:cs="Courier New" w:eastAsia="Courier New" w:hAnsi="Courier New"/>
                <w:sz w:val="17"/>
                <w:szCs w:val="17"/>
                <w:color w:val="auto"/>
              </w:rPr>
              <w:t>EARNINGS PER SHARE - ASSUMING DILUTION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7,334</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17,022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2,752</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42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23,642</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25,460</w:t>
            </w:r>
          </w:p>
        </w:tc>
        <w:tc>
          <w:tcPr>
            <w:tcW w:w="3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24,434</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25,423</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Dilutive impact of options outstanding</w:t>
            </w:r>
          </w:p>
        </w:tc>
        <w:tc>
          <w:tcPr>
            <w:tcW w:w="42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270</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88</w:t>
            </w:r>
          </w:p>
        </w:tc>
        <w:tc>
          <w:tcPr>
            <w:tcW w:w="3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196</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112</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Weighted average shares &amp; potential</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4180" w:type="dxa"/>
            <w:vAlign w:val="bottom"/>
          </w:tcPr>
          <w:p>
            <w:pPr>
              <w:ind w:left="400"/>
              <w:spacing w:after="0"/>
              <w:rPr>
                <w:sz w:val="20"/>
                <w:szCs w:val="20"/>
                <w:color w:val="auto"/>
              </w:rPr>
            </w:pPr>
            <w:r>
              <w:rPr>
                <w:rFonts w:ascii="Courier New" w:cs="Courier New" w:eastAsia="Courier New" w:hAnsi="Courier New"/>
                <w:sz w:val="17"/>
                <w:szCs w:val="17"/>
                <w:color w:val="auto"/>
              </w:rPr>
              <w:t>dilutive shares outstanding</w:t>
            </w:r>
          </w:p>
        </w:tc>
        <w:tc>
          <w:tcPr>
            <w:tcW w:w="42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23,912</w:t>
            </w:r>
          </w:p>
        </w:tc>
        <w:tc>
          <w:tcPr>
            <w:tcW w:w="38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25,548</w:t>
            </w:r>
          </w:p>
        </w:tc>
        <w:tc>
          <w:tcPr>
            <w:tcW w:w="3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24,630</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25,535</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per share from continuing</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4180" w:type="dxa"/>
            <w:vAlign w:val="bottom"/>
          </w:tcPr>
          <w:p>
            <w:pPr>
              <w:ind w:left="400"/>
              <w:spacing w:after="0"/>
              <w:rPr>
                <w:sz w:val="20"/>
                <w:szCs w:val="20"/>
                <w:color w:val="auto"/>
              </w:rPr>
            </w:pPr>
            <w:r>
              <w:rPr>
                <w:rFonts w:ascii="Courier New" w:cs="Courier New" w:eastAsia="Courier New" w:hAnsi="Courier New"/>
                <w:sz w:val="17"/>
                <w:szCs w:val="17"/>
                <w:color w:val="auto"/>
              </w:rPr>
              <w:t>operations - assuming dilution</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201"/>
        </w:trPr>
        <w:tc>
          <w:tcPr>
            <w:tcW w:w="4180" w:type="dxa"/>
            <w:vAlign w:val="bottom"/>
          </w:tcPr>
          <w:p>
            <w:pPr>
              <w:spacing w:after="0"/>
              <w:rPr>
                <w:sz w:val="17"/>
                <w:szCs w:val="17"/>
                <w:color w:val="auto"/>
              </w:rPr>
            </w:pPr>
          </w:p>
        </w:tc>
        <w:tc>
          <w:tcPr>
            <w:tcW w:w="146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793"/>
          </w:cols>
          <w:pgMar w:left="247" w:top="921" w:right="859" w:bottom="1440" w:gutter="0" w:footer="0" w:header="0"/>
        </w:sectPr>
      </w:pPr>
    </w:p>
    <w:bookmarkStart w:id="7" w:name="page8"/>
    <w:bookmarkEnd w:id="7"/>
    <w:p>
      <w:pPr>
        <w:jc w:val="center"/>
        <w:ind w:right="171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Thirteen Weeks Ended May 30, 1998 Compared to Thirteen Weeks ended May 31, 1997</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Net revenues for the 13 weeks ended May 30, 1998 were $150,515,000, an increase of $33,289,000, or 28.4 percent from the 13 week period ended May 31, 1997. Motor home shipments (Class A and C) were 2,554 units, an increase of 535 units, or 26.5 percent, during the third quarter of fiscal 1998 compared to the third quarter of fiscal 1997. During the 13 weeks ended May 30, 1998, industry demand for motorized recreation vehicles remained strong which resulted in a much improved spring selling season. The Company's 1998 products continued to be received well by dealers and retail customers. Orders for the Company's motor homes continue to run considerably ahead of last year and long-term prospects remain bright.</w:t>
      </w:r>
    </w:p>
    <w:p>
      <w:pPr>
        <w:spacing w:after="0" w:line="200" w:lineRule="exact"/>
        <w:rPr>
          <w:sz w:val="20"/>
          <w:szCs w:val="20"/>
          <w:color w:val="auto"/>
        </w:rPr>
      </w:pPr>
    </w:p>
    <w:p>
      <w:pPr>
        <w:spacing w:after="0" w:line="203"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Gross profit, as a percent of net revenues, was 13.9 percent for the 13 weeks ended May 30, 1998 compared to 13.8 percent for the 13 weeks ended May 31, 1997. The Company's increased volume of production and sales of motor homes resulted in the improved margins.</w:t>
      </w:r>
    </w:p>
    <w:p>
      <w:pPr>
        <w:spacing w:after="0" w:line="195"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Selling and delivery expenses were $4,645,000 or 3.1 percent of net revenues during the third quarter of fiscal 1998 compared to $6,998,000 or 6.0 percent of net revenues during the third quarter of fiscal 1997. The decreases in dollars and percentage can be attributed primarily to significant decreases in promotional programs during the third quarter of fiscal 1998 when compared to the third quarter of fiscal 1997. Operating expenses for Winnebago Industries Europe GmbH (WIE), a subsidiary of the Company, are reflected in the third quarter results of fiscal 1997. Due to the sale of this subsidiary during the fourth quarter of fiscal 1997, WIE had no impact on the Company's results for the third quarter of fiscal 1998. Increased sales volume, during the third quarter of fiscal 1998, also contributed to the decrease in percentage.</w:t>
      </w:r>
    </w:p>
    <w:p>
      <w:pPr>
        <w:spacing w:after="0" w:line="201"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General and administrative expenses increased by $2,361,000 to $6,029,000 comparing the 13 weeks ended May 30, 1998 to the 13 week period ended May 31, 1997 and increased as a percentage of net revenues to 4.0 percent from 3.1 percent. The increases in dollars and percentage can be attributed primarily to increases in the Company's employee bonus programs, an increase in bad debt accruals for Winnebago Acceptance Corporation (WAC), a finance subsidiary, and increased costs in the Company's postretirement health care benefits.</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had net financial income of $860,000 for the third quarter of fiscal 1998 compared to net financial income of $350,000 for the comparable quarter of fiscal 1997. During the 13 weeks ended May 30, 1998, the Company recorded $719,000 of interest income and gains of $141,000 in foreign currency transactions. During the 13 weeks ended May 31, 1997, the Company recorded $616,000 of interest income and losses of $266,000 in foreign currency transactions.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13 weeks ended May 30, 1998, the Company had income before taxes of</w:t>
      </w:r>
    </w:p>
    <w:p>
      <w:pPr>
        <w:spacing w:after="0" w:line="9"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$11,091,000 and a provision for taxes of $3,757,000 resulting in net income of $7,334,000 or $.31 per basic share. For the 13 weeks ended May 31, 1997, the Company had income before taxes of $5,864,000 and a provision for taxes of $2,144,000 resulting in net income of $3,720,000 or $.15 per basic share.</w:t>
      </w:r>
    </w:p>
    <w:p>
      <w:pPr>
        <w:spacing w:after="0" w:line="195"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Thirty-Nine Weeks Ended May 30, 1998 Compared to Thirty-Nine Weeks Ended May 31, 1997</w:t>
      </w:r>
    </w:p>
    <w:p>
      <w:pPr>
        <w:spacing w:after="0" w:line="192"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Net revenues for the 39 weeks ended May 30, 1998 were $395,120,000, an increase of $58,300,000, or 17.3 percent from the 39 week period ended May 31, 1997. Motor home shipments (Class A and C) were 6,625 units, an increase of 820 units, or 14.1 percent, during the 39 weeks ended May 30, 1998 when compared to the 39 weeks ended May 31, 1997. Industry demand for motorized recreation vehicles continued to remain strong as did the dealer's acceptance of the Company's 1998 products.</w:t>
      </w:r>
    </w:p>
    <w:p>
      <w:pPr>
        <w:sectPr>
          <w:pgSz w:w="11900" w:h="16838" w:orient="portrait"/>
          <w:cols w:equalWidth="0" w:num="1">
            <w:col w:w="10219"/>
          </w:cols>
          <w:pgMar w:left="240" w:top="921" w:right="1440" w:bottom="1440" w:gutter="0" w:footer="0" w:header="0"/>
        </w:sectPr>
      </w:pPr>
    </w:p>
    <w:bookmarkStart w:id="8" w:name="page9"/>
    <w:bookmarkEnd w:id="8"/>
    <w:p>
      <w:pPr>
        <w:ind w:right="1839"/>
        <w:spacing w:after="0" w:line="251" w:lineRule="auto"/>
        <w:rPr>
          <w:sz w:val="20"/>
          <w:szCs w:val="20"/>
          <w:color w:val="auto"/>
        </w:rPr>
      </w:pPr>
      <w:r>
        <w:rPr>
          <w:rFonts w:ascii="Courier New" w:cs="Courier New" w:eastAsia="Courier New" w:hAnsi="Courier New"/>
          <w:sz w:val="17"/>
          <w:szCs w:val="17"/>
          <w:color w:val="auto"/>
        </w:rPr>
        <w:t>Gross profit, as a percent of net revenues, was 13.6 percent for the 39 weeks ended May 30, 1998 compared to 12.3 percent for the 39 weeks ended May 31, 1997. The increase in gross profit percentage during the 39 weeks ended May 30, 1998 was due primarily to increased volume of production and sales of motor homes. When comparing the 39 weeks ended May 30, 1998 to the 39 weeks ended May 31, 1997, the Company allowed a significantly larger amount of discounts during the period ended May 31, 1997 to encourage sluggish motor home sales. Also during the period ended May 31, 1997, the Company recorded reductions in valuations of finished goods and parts inventories at WIE.</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Selling and delivery expenses were $14,564,000 or 3.7 percent of net revenues during the 39 weeks ended May 30, 1998 compared to $19,999,000 or 5.9 percent of net revenues during the 39 weeks ended May 31, 1997. The decrease in dollars and percentage can be attributed primarily to significant decreases in promotional programs during the first three quarters of fiscal 1998 when compared to the first three quarters of fiscal 1997. Operating expenses for WIE are reflected in the Company's results for the 39 weeks ended May 31, 1997. Due to the sale of WIE, during the fourth quarter of fiscal 1997, there are no expenses for WIE reflected in the 39 weeks ended May 30, 1998. Increased sales volume, during the first three quarters of fiscal 1998, also contributed to the decrease in percentage.</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General and administrative expenses increased by $322,000 to $15,741,000 comparing the first three quarters of fiscal 1998 to the first three quarters of fiscal 1997 but decreased as a percentage of net revenues to 4.0 percent from 4.6 percent. Results for the 39 weeks ended May 30, 1998 included increased costs in the Company's employee bonus programs and product liability expenses whereas the 39 weeks ended May 31, 1997 reflected operating expenses of WIE. Increased sales volume during the first three quarters of fiscal 1998 contributed to the decrease in percentage.</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had net financial income of $2,244,000 for the 39 weeks ended May 30, 1998 compared to net financial income of $1,464,000 for the 39 weeks ended May 31, 1997. During the first three quarters of fiscal 1998, the Company recorded $2,090,000 of interest income and gains of $154,000 in foreign currency transactions. During the first three quarters of fiscal 1997, the Company recorded $1,562,000 of interest income, $137,000 of realized and unrealized gains in its trading securities portfolio and losses of $235,000 in foreign currency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39 weeks ended May 30, 1998, the Company had pre-tax income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$25,622,000 and a provision for taxes of $8,600,000 resulting in income of</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$17,022,000 or $.70 per basic share. For the 39 weeks ended May 31, 1997, the Company had pre-tax income from continuing operations of $13,882,000 and a pre-tax loss from WIE of $6,378,000. The $6,378,000 pre-tax loss of WIE was considered an operating loss of a foreign subsidiary that does not qualify for a tax deduction; therefore, the Company was required to record a provision for taxes of $4,752,000 resulting in income from continuing operations of $2,752,000 or $.11 per basic share for the 39 weeks ended May 31, 1997.</w:t>
      </w:r>
    </w:p>
    <w:p>
      <w:pPr>
        <w:spacing w:after="0" w:line="196"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For the 39 weeks ended May 31, 1997, the Company recorded a gain from the sale of the discontinued Cycle-Sat subsidiary of $16,472,000 (net of income taxes of $13,339,000), or $.65 per basic share.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39 weeks ended May 30, 1998, the Company had net income of</w:t>
      </w:r>
    </w:p>
    <w:p>
      <w:pPr>
        <w:spacing w:after="0" w:line="9"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$17,022,000, or $.70 per basic share, compared to $19,224,000, or $.76 per basic share for the 39 weeks ended May 31, 1997.</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FINANCIAL CONDITION</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The Company meets its working capital and capital equipment requirements and cash requirements of subsidiaries with funds generated internally and borrowings under agreements with financial institutions.</w:t>
      </w:r>
    </w:p>
    <w:p>
      <w:pPr>
        <w:sectPr>
          <w:pgSz w:w="11900" w:h="16838" w:orient="portrait"/>
          <w:cols w:equalWidth="0" w:num="1">
            <w:col w:w="10219"/>
          </w:cols>
          <w:pgMar w:left="240" w:top="921" w:right="1440" w:bottom="1440" w:gutter="0" w:footer="0" w:header="0"/>
        </w:sectPr>
      </w:pPr>
    </w:p>
    <w:bookmarkStart w:id="9" w:name="page10"/>
    <w:bookmarkEnd w:id="9"/>
    <w:p>
      <w:pPr>
        <w:ind w:right="1839"/>
        <w:spacing w:after="0" w:line="252" w:lineRule="auto"/>
        <w:rPr>
          <w:sz w:val="20"/>
          <w:szCs w:val="20"/>
          <w:color w:val="auto"/>
        </w:rPr>
      </w:pPr>
      <w:r>
        <w:rPr>
          <w:rFonts w:ascii="Courier New" w:cs="Courier New" w:eastAsia="Courier New" w:hAnsi="Courier New"/>
          <w:sz w:val="17"/>
          <w:szCs w:val="17"/>
          <w:color w:val="auto"/>
        </w:rPr>
        <w:t>At May 30, 1998, working capital was $96,973,000, a decrease of $2,962,000 from the amount at August 30, 1997. The Company's principal use of cash during the 39 weeks ended May 30, 1998 was $19,572,000 for the purchase of shares of the Company's Common Stock. The Company's principal sources and uses of cash during the 39 weeks ended May 30, 1998 are set forth in the unaudited consolidated condensed statement of cash flows for that period.</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Principal known demands at May 30, 1998 on the Company's liquid assets for the remainder of fiscal 1998 include approximately $2,300,000 of cash dividends declared by the Board of Directors on March 19, 1998 (payable on July 6, 1998 to shareholders of record as of June 5, 1998) and $1,300,000 of capital expenditures (primarily equipment replacement). On December 29, 1997, the Company's Board of Directors authorized the repurchase of outstanding shares of the Company's Common Stock. As of May 30, 1998, approximately $16,900,000 remained under this authorization and may be used by the Company from time to time to repurchase additional shares.</w:t>
      </w:r>
    </w:p>
    <w:p>
      <w:pPr>
        <w:spacing w:after="0" w:line="201"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Management currently expects its cash on hand, funds from operations and borrowings available under existing credit facilities to be sufficient to cover both short-term and long-term operating requirements.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STANDARDS</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Statement of Financial Accounting Standards ("SFAS") No. 130, "Reporting Comprehensive Income" was issued in June, 1997 and must be adopted by the Company no later than fiscal 1999. The statement requires companies to disclose comprehensive income and its components in the general purpose financial statements.</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SFAS No. 131, "Disclosure About Segments of the Enterprise and Related Information" was issued in June, 1997 and must be adopted by the Company no later than fiscal 1999. The statement establishes standards which redefine how operating segments are determined and requires public companies to report financial and descriptive information about reportable operating segments.</w:t>
      </w:r>
    </w:p>
    <w:p>
      <w:pPr>
        <w:spacing w:after="0" w:line="197"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SFAS No. 132, "Employer's Disclosures About Pensions and Other Postretirement Benefits" was issued in February, 1998 and must be adopted by the Company no later than fiscal 1999. The statement revises employers' disclosures about pension and other postretirement benefit plans. It does not change the measurement or recognition of those plans.</w:t>
      </w:r>
    </w:p>
    <w:p>
      <w:pPr>
        <w:spacing w:after="0" w:line="197"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The Company has not completed the process of evaluating the effects of SFAS No. 130, SFAS No. 131, and SFAS No. 132 but does not believe the new accounting pronouncements will significantly effect the Company's financial condition or operating results.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INFORMATION</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"forward-looking statements," and are based on management's current expectations of the Company's near-term results, based on current information available pertaining to the Company, including the aforementioned factors. Actual results could differ materially.</w:t>
      </w:r>
    </w:p>
    <w:p>
      <w:pPr>
        <w:sectPr>
          <w:pgSz w:w="11900" w:h="16838" w:orient="portrait"/>
          <w:cols w:equalWidth="0" w:num="1">
            <w:col w:w="10219"/>
          </w:cols>
          <w:pgMar w:left="240" w:top="92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MILLENNIUM CHANGE</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has conducted a comprehensive review of its computer systems to identify the systems that could be affected by the "Year 2000" issue and began an implementation plan in September, 1996 to resolve this issue. It is anticipated that all reprogramming efforts will be completed by end of fiscal 1998. The remainder of calendar year 1998 is planned to be used for testing. The Company's Purchasing and Information Systems areas have prepared a survey of its active vendors requesting the status of their "Year 2000" initiatives. The Company plans on a follow-up to this survey before the end of the 1998 fiscal year to monitor their status.</w:t>
      </w:r>
    </w:p>
    <w:p>
      <w:pPr>
        <w:spacing w:after="0" w:line="201"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The Company presently estimates that the planned modifications to existing systems caused by the "Year 2000" compliance issue, will cost an aggregate of approximately $200,000. These costs will continue to be expensed as incurred.</w:t>
      </w:r>
    </w:p>
    <w:p>
      <w:pPr>
        <w:sectPr>
          <w:pgSz w:w="11900" w:h="16838" w:orient="portrait"/>
          <w:cols w:equalWidth="0" w:num="1">
            <w:col w:w="10219"/>
          </w:cols>
          <w:pgMar w:left="240" w:top="92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Other Information</w:t>
      </w:r>
    </w:p>
    <w:p>
      <w:pPr>
        <w:spacing w:after="0" w:line="210" w:lineRule="exact"/>
        <w:rPr>
          <w:sz w:val="20"/>
          <w:szCs w:val="20"/>
          <w:color w:val="auto"/>
        </w:rPr>
      </w:pPr>
    </w:p>
    <w:p>
      <w:pPr>
        <w:ind w:left="960" w:right="1839"/>
        <w:spacing w:after="0" w:line="251" w:lineRule="auto"/>
        <w:rPr>
          <w:sz w:val="20"/>
          <w:szCs w:val="20"/>
          <w:color w:val="auto"/>
        </w:rPr>
      </w:pPr>
      <w:r>
        <w:rPr>
          <w:rFonts w:ascii="Courier New" w:cs="Courier New" w:eastAsia="Courier New" w:hAnsi="Courier New"/>
          <w:sz w:val="17"/>
          <w:szCs w:val="17"/>
          <w:color w:val="auto"/>
        </w:rPr>
        <w:t>The Company produces and sells motor homes using chassis provided by four different chassis suppliers, one of these being General Motors Corporation - Chevrolet Motor Division. While the Company does maintain a limited number of raw chassis on hand, a prolonged strike may have an adverse effect on the Company's ability to supply motor homes built on Chevrolet chassis to the motor home market. The Company is currently working with its other chassis suppliers to help alleviate any shortages which may result due to a prolonged strike.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p>
    <w:p>
      <w:pPr>
        <w:spacing w:after="0" w:line="210" w:lineRule="exact"/>
        <w:rPr>
          <w:sz w:val="20"/>
          <w:szCs w:val="20"/>
          <w:color w:val="auto"/>
        </w:rPr>
      </w:pPr>
    </w:p>
    <w:p>
      <w:pPr>
        <w:ind w:left="1900" w:hanging="950"/>
        <w:spacing w:after="0"/>
        <w:tabs>
          <w:tab w:leader="none" w:pos="1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exhibits are being filed as a part of this report.</w:t>
      </w:r>
    </w:p>
    <w:p>
      <w:pPr>
        <w:spacing w:after="0" w:line="210" w:lineRule="exact"/>
        <w:rPr>
          <w:rFonts w:ascii="Courier New" w:cs="Courier New" w:eastAsia="Courier New" w:hAnsi="Courier New"/>
          <w:sz w:val="17"/>
          <w:szCs w:val="17"/>
          <w:color w:val="auto"/>
        </w:rPr>
      </w:pPr>
    </w:p>
    <w:p>
      <w:pPr>
        <w:ind w:left="1900" w:right="2139" w:hanging="950"/>
        <w:spacing w:after="0" w:line="257" w:lineRule="auto"/>
        <w:tabs>
          <w:tab w:leader="none" w:pos="1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reports on Form 8-K during the period covered by this report.</w:t>
      </w:r>
    </w:p>
    <w:p>
      <w:pPr>
        <w:sectPr>
          <w:pgSz w:w="11900" w:h="16838" w:orient="portrait"/>
          <w:cols w:equalWidth="0" w:num="1">
            <w:col w:w="10219"/>
          </w:cols>
          <w:pgMar w:left="240" w:top="921" w:right="1440" w:bottom="1440" w:gutter="0" w:footer="0" w:header="0"/>
        </w:sectPr>
      </w:pPr>
    </w:p>
    <w:bookmarkStart w:id="12" w:name="page13"/>
    <w:bookmarkEnd w:id="12"/>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left="11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9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7"/>
          <w:szCs w:val="17"/>
          <w:color w:val="auto"/>
        </w:rPr>
        <w:t>July 8, 1998</w:t>
      </w:r>
    </w:p>
    <w:p>
      <w:pPr>
        <w:spacing w:after="0" w:line="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D. Hertzke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D. Hertzke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Chief Executive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and President</w:t>
      </w:r>
    </w:p>
    <w:p>
      <w:pPr>
        <w:spacing w:after="0" w:line="200" w:lineRule="exact"/>
        <w:rPr>
          <w:sz w:val="20"/>
          <w:szCs w:val="20"/>
          <w:color w:val="auto"/>
        </w:rPr>
      </w:pPr>
    </w:p>
    <w:p>
      <w:pPr>
        <w:sectPr>
          <w:pgSz w:w="11900" w:h="16838" w:orient="portrait"/>
          <w:cols w:equalWidth="0" w:num="3">
            <w:col w:w="420" w:space="120"/>
            <w:col w:w="2940" w:space="720"/>
            <w:col w:w="6019"/>
          </w:cols>
          <w:pgMar w:left="240" w:top="921" w:right="1440"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7"/>
          <w:szCs w:val="17"/>
          <w:color w:val="auto"/>
        </w:rPr>
        <w:t>July 8, 1998</w:t>
      </w:r>
    </w:p>
    <w:p>
      <w:pPr>
        <w:spacing w:after="0" w:line="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Edwin F. Barker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F. Barker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 Chief Financial Officer</w:t>
      </w:r>
    </w:p>
    <w:p>
      <w:pPr>
        <w:sectPr>
          <w:pgSz w:w="11900" w:h="16838" w:orient="portrait"/>
          <w:cols w:equalWidth="0" w:num="3">
            <w:col w:w="420" w:space="120"/>
            <w:col w:w="2940" w:space="720"/>
            <w:col w:w="6019"/>
          </w:cols>
          <w:pgMar w:left="240" w:top="921"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3-MOS</w:t>
      </w:r>
    </w:p>
    <w:p>
      <w:pPr>
        <w:spacing w:after="0" w:line="9"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AUG-29-1998</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MAY-30-1998</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54,268</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45,699</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2,452</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50,634</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166,632</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112,568</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80,533</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240,797</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69,659</w:t>
      </w:r>
    </w:p>
    <w:p>
      <w:pPr>
        <w:spacing w:after="0" w:line="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12,933</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107,136</w:t>
      </w:r>
    </w:p>
    <w:p>
      <w:pPr>
        <w:spacing w:after="0" w:line="9"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240,797</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150,515</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150,515</w:t>
      </w:r>
    </w:p>
    <w:p>
      <w:pPr>
        <w:spacing w:after="0" w:line="9" w:lineRule="exact"/>
        <w:rPr>
          <w:sz w:val="20"/>
          <w:szCs w:val="20"/>
          <w:color w:val="auto"/>
        </w:rPr>
      </w:pPr>
    </w:p>
    <w:p>
      <w:pPr>
        <w:jc w:val="right"/>
        <w:ind w:right="4979"/>
        <w:spacing w:after="0"/>
        <w:rPr>
          <w:sz w:val="20"/>
          <w:szCs w:val="20"/>
          <w:color w:val="auto"/>
        </w:rPr>
      </w:pPr>
      <w:r>
        <w:rPr>
          <w:rFonts w:ascii="Courier New" w:cs="Courier New" w:eastAsia="Courier New" w:hAnsi="Courier New"/>
          <w:sz w:val="17"/>
          <w:szCs w:val="17"/>
          <w:color w:val="auto"/>
        </w:rPr>
        <w:t>129,610</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129,610</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10,674</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(860)</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11,091</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3,757</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7,334</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7,334</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.31</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.31</w:t>
      </w:r>
    </w:p>
    <w:sectPr>
      <w:pgSz w:w="11900" w:h="16838" w:orient="portrait"/>
      <w:cols w:equalWidth="0" w:num="1">
        <w:col w:w="10099"/>
      </w:cols>
      <w:pgMar w:left="36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2019-12-12T06:51:48Z</dcterms:created>
  <dcterms:modified xsi:type="dcterms:W3CDTF">2019-12-12T06:51:48Z</dcterms:modified>
</cp:coreProperties>
</file>