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Arial" w:cs="Arial" w:eastAsia="Arial" w:hAnsi="Arial"/>
                <w:sz w:val="17"/>
                <w:szCs w:val="17"/>
                <w:color w:val="0000FF"/>
                <w:w w:val="87"/>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00" w:type="dxa"/>
            <w:vAlign w:val="bottom"/>
            <w:vMerge w:val="continue"/>
          </w:tcPr>
          <w:p>
            <w:pPr>
              <w:spacing w:after="0"/>
              <w:rPr>
                <w:sz w:val="6"/>
                <w:szCs w:val="6"/>
                <w:color w:val="auto"/>
              </w:rPr>
            </w:pPr>
          </w:p>
        </w:tc>
        <w:tc>
          <w:tcPr>
            <w:tcW w:w="1460" w:type="dxa"/>
            <w:vAlign w:val="bottom"/>
            <w:vMerge w:val="restart"/>
          </w:tcPr>
          <w:p>
            <w:pPr>
              <w:ind w:left="2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gridSpan w:val="2"/>
            <w:vMerge w:val="restart"/>
          </w:tcPr>
          <w:p>
            <w:pPr>
              <w:spacing w:after="0"/>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11/08/2023</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11/08/2023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88"/>
              </w:rPr>
              <w:t>11,408</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61.48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28,553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weighted average price of 11,408 shares of common stock of Winnebago Industries, Inc. sold by the reporting person in multiple transactions on November 8, 2023 with sale prices ranging from $61.30 to $61.75 per share. The reporting person undertakes to provide upon request by the U.S. Securities and Exchange Commission staff, the issuer, or a security holder of the issuer, full information regarding the number of shares sold at each separate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11/08/2023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2023-11-08T17:11:55Z</dcterms:created>
  <dcterms:modified xsi:type="dcterms:W3CDTF">2023-11-08T17:11:55Z</dcterms:modified>
</cp:coreProperties>
</file>