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637540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534670</wp:posOffset>
            </wp:positionV>
            <wp:extent cx="7246620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224790</wp:posOffset>
            </wp:positionV>
            <wp:extent cx="137223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196215</wp:posOffset>
            </wp:positionV>
            <wp:extent cx="1372235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 December 13, 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2938145</wp:posOffset>
            </wp:positionH>
            <wp:positionV relativeFrom="paragraph">
              <wp:posOffset>958215</wp:posOffset>
            </wp:positionV>
            <wp:extent cx="13804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2011680</wp:posOffset>
            </wp:positionH>
            <wp:positionV relativeFrom="paragraph">
              <wp:posOffset>280670</wp:posOffset>
            </wp:positionV>
            <wp:extent cx="3232785" cy="454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5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Winnebago Industries, Inc.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1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Iowa</w:t>
            </w: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001-06403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42-0802678</w:t>
            </w:r>
          </w:p>
        </w:tc>
      </w:tr>
      <w:tr>
        <w:trPr>
          <w:trHeight w:val="218"/>
        </w:trPr>
        <w:tc>
          <w:tcPr>
            <w:tcW w:w="3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(State or Other Jurisdiction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(Commission File Number)</w:t>
            </w:r>
          </w:p>
        </w:tc>
        <w:tc>
          <w:tcPr>
            <w:tcW w:w="32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(IRS Employer</w:t>
            </w:r>
          </w:p>
        </w:tc>
      </w:tr>
      <w:tr>
        <w:trPr>
          <w:trHeight w:val="195"/>
        </w:trPr>
        <w:tc>
          <w:tcPr>
            <w:tcW w:w="3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of Incorporation)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Identification No.)</w:t>
            </w:r>
          </w:p>
        </w:tc>
      </w:tr>
      <w:tr>
        <w:trPr>
          <w:trHeight w:val="526"/>
        </w:trPr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P.O. Box 152, Forest City, Iowa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50436</w:t>
            </w:r>
          </w:p>
        </w:tc>
      </w:tr>
      <w:tr>
        <w:trPr>
          <w:trHeight w:val="224"/>
        </w:trPr>
        <w:tc>
          <w:tcPr>
            <w:tcW w:w="3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(Address of Principal Executive Offices)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(Zip Code)</w:t>
            </w:r>
          </w:p>
        </w:tc>
      </w:tr>
      <w:tr>
        <w:trPr>
          <w:trHeight w:val="473"/>
        </w:trPr>
        <w:tc>
          <w:tcPr>
            <w:tcW w:w="5940" w:type="dxa"/>
            <w:vAlign w:val="bottom"/>
            <w:gridSpan w:val="3"/>
          </w:tcPr>
          <w:p>
            <w:pPr>
              <w:ind w:left="2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Registrant's telephone number, including area code</w:t>
            </w:r>
          </w:p>
        </w:tc>
        <w:tc>
          <w:tcPr>
            <w:tcW w:w="3260" w:type="dxa"/>
            <w:vAlign w:val="bottom"/>
          </w:tcPr>
          <w:p>
            <w:pPr>
              <w:jc w:val="right"/>
              <w:ind w:right="2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641-585-3535</w:t>
            </w:r>
          </w:p>
        </w:tc>
      </w:tr>
    </w:tbl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224790</wp:posOffset>
            </wp:positionV>
            <wp:extent cx="1363345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Written communications pursuant to Rule 425 under the Securities Act (17 CFR 230.425)</w:t>
      </w:r>
    </w:p>
    <w:p>
      <w:pPr>
        <w:spacing w:after="0" w:line="194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 under the Exchange Act (17 CFR 240.14a-12)</w:t>
      </w:r>
    </w:p>
    <w:p>
      <w:pPr>
        <w:spacing w:after="0" w:line="194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194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654050</wp:posOffset>
            </wp:positionV>
            <wp:extent cx="7246620" cy="260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568325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84" w:right="239" w:bottom="1440" w:gutter="0" w:footer="0" w:header="0"/>
        </w:sectPr>
      </w:pPr>
    </w:p>
    <w:bookmarkStart w:id="1" w:name="page2"/>
    <w:bookmarkEnd w:id="1"/>
    <w:p>
      <w:pPr>
        <w:ind w:left="980" w:right="1180" w:hanging="971"/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firstLine="8"/>
        <w:spacing w:after="0" w:line="255" w:lineRule="auto"/>
        <w:tabs>
          <w:tab w:leader="none" w:pos="559" w:val="left"/>
        </w:tabs>
        <w:numPr>
          <w:ilvl w:val="0"/>
          <w:numId w:val="2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On December 13, 2016 the Human Resources Committee (the </w:t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“Committee”</w:t>
      </w:r>
      <w:r>
        <w:rPr>
          <w:rFonts w:ascii="Arial" w:cs="Arial" w:eastAsia="Arial" w:hAnsi="Arial"/>
          <w:sz w:val="16"/>
          <w:szCs w:val="16"/>
          <w:color w:val="auto"/>
        </w:rPr>
        <w:t xml:space="preserve">) of the Board of Directors of Winnebago Industries, Inc. (the </w:t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“Company”</w:t>
      </w:r>
      <w:r>
        <w:rPr>
          <w:rFonts w:ascii="Arial" w:cs="Arial" w:eastAsia="Arial" w:hAnsi="Arial"/>
          <w:sz w:val="16"/>
          <w:szCs w:val="16"/>
          <w:color w:val="auto"/>
        </w:rPr>
        <w:t>) approved a stock option grant to the Company’s Chief Executive Officer, Michael Happe of 17,000 shares of common stock, and an increase to Mr. Happe’s annual base pay from $550,000 to $625,000. The exercise price of the option grant is $35.50 per share. The option grant vests in 1/3 increments over three years. The option lasts for 10 years. The shares were issued pursuant to the authority of the 2014 Omnibus Equity, Performance Award and Incentive Compensation Plan.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SIGNATURE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INNEBAGO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I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NDUSTRIES,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I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NC.</w:t>
            </w:r>
          </w:p>
        </w:tc>
      </w:tr>
      <w:tr>
        <w:trPr>
          <w:trHeight w:val="564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Date:</w:t>
            </w:r>
          </w:p>
        </w:tc>
        <w:tc>
          <w:tcPr>
            <w:tcW w:w="2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December 16, 2016</w:t>
            </w: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46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i w:val="1"/>
                <w:iCs w:val="1"/>
                <w:color w:val="auto"/>
              </w:rPr>
              <w:t>/s/ Scott C. Folkers</w:t>
            </w:r>
          </w:p>
        </w:tc>
      </w:tr>
      <w:tr>
        <w:trPr>
          <w:trHeight w:val="237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4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Scott C. Folkers</w:t>
            </w:r>
          </w:p>
        </w:tc>
      </w:tr>
      <w:tr>
        <w:trPr>
          <w:trHeight w:val="27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4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Vice President, General Counsel and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20"/>
      </w:cols>
      <w:pgMar w:left="240" w:top="101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2019-12-05T12:32:36Z</dcterms:created>
  <dcterms:modified xsi:type="dcterms:W3CDTF">2019-12-05T12:32:36Z</dcterms:modified>
</cp:coreProperties>
</file>