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7"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8"/>
          <w:szCs w:val="18"/>
          <w:color w:val="auto"/>
        </w:rPr>
        <w:t>(12/31/98)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INDS INC</w:t>
      </w:r>
    </w:p>
    <w:p>
      <w:pPr>
        <w:spacing w:after="0" w:line="238" w:lineRule="auto"/>
        <w:rPr>
          <w:sz w:val="20"/>
          <w:szCs w:val="20"/>
          <w:color w:val="auto"/>
        </w:rPr>
      </w:pPr>
      <w:r>
        <w:rPr>
          <w:rFonts w:ascii="Courier New" w:cs="Courier New" w:eastAsia="Courier New" w:hAnsi="Courier New"/>
          <w:sz w:val="18"/>
          <w:szCs w:val="18"/>
          <w:color w:val="auto"/>
        </w:rPr>
        <w:t>Cusip # 974637100</w:t>
      </w:r>
    </w:p>
    <w:p>
      <w:pPr>
        <w:spacing w:after="0"/>
        <w:rPr>
          <w:sz w:val="20"/>
          <w:szCs w:val="20"/>
          <w:color w:val="auto"/>
        </w:rPr>
      </w:pPr>
      <w:r>
        <w:rPr>
          <w:rFonts w:ascii="Courier New" w:cs="Courier New" w:eastAsia="Courier New" w:hAnsi="Courier New"/>
          <w:sz w:val="18"/>
          <w:szCs w:val="18"/>
          <w:color w:val="auto"/>
        </w:rPr>
        <w:t>NEW FILING</w:t>
      </w:r>
    </w:p>
    <w:p>
      <w:pPr>
        <w:spacing w:after="0" w:line="200"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974637100</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Dimensional Fund Advisors Inc. (Tax ID: 22-2370029)</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Delaware Corporation</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1,246,800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1,246,800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1,246,800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5.64</w:t>
            </w:r>
          </w:p>
        </w:tc>
        <w:tc>
          <w:tcPr>
            <w:tcW w:w="3520" w:type="dxa"/>
            <w:vAlign w:val="bottom"/>
          </w:tcPr>
          <w:p>
            <w:pPr>
              <w:spacing w:after="0"/>
              <w:rPr>
                <w:sz w:val="17"/>
                <w:szCs w:val="17"/>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17"/>
                <w:szCs w:val="17"/>
                <w:color w:val="auto"/>
              </w:rPr>
            </w:pPr>
          </w:p>
        </w:tc>
      </w:tr>
    </w:tbl>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WINNEBAGO INDS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tbl>
      <w:tblPr>
        <w:tblLayout w:type="fixed"/>
        <w:tblInd w:w="1280" w:type="dxa"/>
        <w:tblCellMar>
          <w:top w:w="0" w:type="dxa"/>
          <w:left w:w="0" w:type="dxa"/>
          <w:bottom w:w="0" w:type="dxa"/>
          <w:right w:w="0" w:type="dxa"/>
        </w:tblCellMar>
      </w:tblPr>
      <w:tr>
        <w:trPr>
          <w:trHeight w:val="204"/>
        </w:trPr>
        <w:tc>
          <w:tcPr>
            <w:tcW w:w="880" w:type="dxa"/>
            <w:vAlign w:val="bottom"/>
            <w:gridSpan w:val="2"/>
          </w:tcPr>
          <w:p>
            <w:pPr>
              <w:spacing w:after="0"/>
              <w:rPr>
                <w:sz w:val="20"/>
                <w:szCs w:val="20"/>
                <w:color w:val="auto"/>
              </w:rPr>
            </w:pPr>
            <w:r>
              <w:rPr>
                <w:rFonts w:ascii="Courier New" w:cs="Courier New" w:eastAsia="Courier New" w:hAnsi="Courier New"/>
                <w:sz w:val="18"/>
                <w:szCs w:val="18"/>
                <w:color w:val="auto"/>
                <w:w w:val="99"/>
              </w:rPr>
              <w:t>P.O. Box</w:t>
            </w: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152</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605</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West</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Crystal Lake Road</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605</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West</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Crystal Lake Road</w:t>
            </w:r>
          </w:p>
        </w:tc>
      </w:tr>
    </w:tbl>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503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ind w:left="1280" w:right="303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219"/>
          </w:cols>
          <w:pgMar w:left="240" w:top="447"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ITEM 4.</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740" w:type="dxa"/>
            <w:vAlign w:val="bottom"/>
          </w:tcPr>
          <w:p>
            <w:pPr>
              <w:spacing w:after="0"/>
              <w:rPr>
                <w:sz w:val="17"/>
                <w:szCs w:val="17"/>
                <w:color w:val="auto"/>
              </w:rPr>
            </w:pP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ITEM 4(a).</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1,246,800</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ITEM 4(b).</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37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5.64</w:t>
            </w:r>
          </w:p>
        </w:tc>
        <w:tc>
          <w:tcPr>
            <w:tcW w:w="3740" w:type="dxa"/>
            <w:vAlign w:val="bottom"/>
          </w:tcPr>
          <w:p>
            <w:pPr>
              <w:spacing w:after="0"/>
              <w:rPr>
                <w:sz w:val="17"/>
                <w:szCs w:val="17"/>
                <w:color w:val="auto"/>
              </w:rPr>
            </w:pP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ITEM 4(c).</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NUMBER OF SHARE AS TO WHICH SUCH PERSON HAS:</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DIRECT THE VOTE --</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1,246,800</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(ii).</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 --</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3740" w:type="dxa"/>
            <w:vAlign w:val="bottom"/>
          </w:tcPr>
          <w:p>
            <w:pPr>
              <w:spacing w:after="0"/>
              <w:rPr>
                <w:sz w:val="17"/>
                <w:szCs w:val="17"/>
                <w:color w:val="auto"/>
              </w:rPr>
            </w:pP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(iii).</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DISPOSITION OF --</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1,246,800</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(iv).</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SHARE POWER TO DISPOSE OR TO DIRECT DISPOSISTION OF --</w:t>
            </w:r>
          </w:p>
        </w:tc>
      </w:tr>
      <w:tr>
        <w:trPr>
          <w:trHeight w:val="203"/>
        </w:trPr>
        <w:tc>
          <w:tcPr>
            <w:tcW w:w="1220" w:type="dxa"/>
            <w:vAlign w:val="bottom"/>
          </w:tcPr>
          <w:p>
            <w:pPr>
              <w:spacing w:after="0"/>
              <w:rPr>
                <w:sz w:val="17"/>
                <w:szCs w:val="17"/>
                <w:color w:val="auto"/>
              </w:rPr>
            </w:pP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3740" w:type="dxa"/>
            <w:vAlign w:val="bottom"/>
          </w:tcPr>
          <w:p>
            <w:pPr>
              <w:spacing w:after="0"/>
              <w:rPr>
                <w:sz w:val="17"/>
                <w:szCs w:val="17"/>
                <w:color w:val="auto"/>
              </w:rPr>
            </w:pPr>
          </w:p>
        </w:tc>
      </w:tr>
      <w:tr>
        <w:trPr>
          <w:trHeight w:val="405"/>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 Note</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1 **</w:t>
            </w:r>
          </w:p>
        </w:tc>
        <w:tc>
          <w:tcPr>
            <w:tcW w:w="3740" w:type="dxa"/>
            <w:vAlign w:val="bottom"/>
          </w:tcPr>
          <w:p>
            <w:pPr>
              <w:spacing w:after="0"/>
              <w:rPr>
                <w:sz w:val="24"/>
                <w:szCs w:val="24"/>
                <w:color w:val="auto"/>
              </w:rPr>
            </w:pPr>
          </w:p>
        </w:tc>
      </w:tr>
      <w:tr>
        <w:trPr>
          <w:trHeight w:val="203"/>
        </w:trPr>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Dimensional Fund Advisors Inc. ("Dimensional"), an investment</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advisor</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registered under the Investment Advisors Act of 1940,</w:t>
            </w:r>
          </w:p>
        </w:tc>
      </w:tr>
      <w:tr>
        <w:trPr>
          <w:trHeight w:val="203"/>
        </w:trPr>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furnishes investment advice to four investment companies</w:t>
            </w:r>
          </w:p>
        </w:tc>
      </w:tr>
      <w:tr>
        <w:trPr>
          <w:trHeight w:val="203"/>
        </w:trPr>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registered under Investment Company Act of 1940, and serves as</w:t>
            </w:r>
          </w:p>
        </w:tc>
      </w:tr>
    </w:tbl>
    <w:p>
      <w:pPr>
        <w:spacing w:after="0" w:line="4" w:lineRule="exact"/>
        <w:rPr>
          <w:sz w:val="20"/>
          <w:szCs w:val="20"/>
          <w:color w:val="auto"/>
        </w:rPr>
      </w:pPr>
    </w:p>
    <w:p>
      <w:pPr>
        <w:ind w:left="420" w:right="2839"/>
        <w:spacing w:after="0" w:line="271" w:lineRule="auto"/>
        <w:rPr>
          <w:sz w:val="20"/>
          <w:szCs w:val="20"/>
          <w:color w:val="auto"/>
        </w:rPr>
      </w:pPr>
      <w:r>
        <w:rPr>
          <w:rFonts w:ascii="Courier New" w:cs="Courier New" w:eastAsia="Courier New" w:hAnsi="Courier New"/>
          <w:sz w:val="16"/>
          <w:szCs w:val="16"/>
          <w:color w:val="auto"/>
        </w:rPr>
        <w:t>investment manager to certain other investment vehicles, including commingled group trusts. (These investment companies and investment vehicles are the "Portfolios"). In its role as investment advisor and investment manager, Dimensional possesses both voting and investment power over the securities of the Issuer described in this schedule that are owned by the Portfolios. All securities reported in this schedule are owned by the Portfolios, and Dimensional disclaims beneficial ownership of such securities.</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280" w:right="30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12/31/98 the reporting person has ceased to be the beneficial owner of more than five percent of the class of securities, check the following: [ ]</w:t>
      </w:r>
    </w:p>
    <w:p>
      <w:pPr>
        <w:spacing w:after="0" w:line="207" w:lineRule="exact"/>
        <w:rPr>
          <w:sz w:val="20"/>
          <w:szCs w:val="20"/>
          <w:color w:val="auto"/>
        </w:rPr>
      </w:pPr>
    </w:p>
    <w:p>
      <w:pPr>
        <w:ind w:left="1280" w:right="38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6" w:lineRule="exact"/>
        <w:rPr>
          <w:sz w:val="20"/>
          <w:szCs w:val="20"/>
          <w:color w:val="auto"/>
        </w:rPr>
      </w:pPr>
    </w:p>
    <w:p>
      <w:pPr>
        <w:ind w:left="1280" w:right="2739"/>
        <w:spacing w:after="0" w:line="273"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185" w:lineRule="exact"/>
        <w:rPr>
          <w:sz w:val="20"/>
          <w:szCs w:val="20"/>
          <w:color w:val="auto"/>
        </w:rPr>
      </w:pPr>
    </w:p>
    <w:p>
      <w:pPr>
        <w:ind w:left="1280" w:right="251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9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By signing below I certify that, to the best of my knowledge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and belief, the securities referred to above were acquired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 the ordinary course of business and were not acquired for</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and were not acquired in connection with or as a participant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12, 1999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2019-12-13T08:25:33Z</dcterms:created>
  <dcterms:modified xsi:type="dcterms:W3CDTF">2019-12-13T08:25:33Z</dcterms:modified>
</cp:coreProperties>
</file>