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517525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580" w:type="dxa"/>
            <w:vAlign w:val="bottom"/>
            <w:gridSpan w:val="2"/>
          </w:tcPr>
          <w:p>
            <w:pPr>
              <w:jc w:val="center"/>
              <w:ind w:right="80"/>
              <w:spacing w:after="0"/>
              <w:rPr>
                <w:sz w:val="20"/>
                <w:szCs w:val="20"/>
                <w:color w:val="auto"/>
              </w:rPr>
            </w:pPr>
            <w:r>
              <w:rPr>
                <w:rFonts w:ascii="Arial" w:cs="Arial" w:eastAsia="Arial" w:hAnsi="Arial"/>
                <w:sz w:val="16"/>
                <w:szCs w:val="16"/>
                <w:color w:val="auto"/>
              </w:rPr>
              <w:t>(Commission File Number)</w:t>
            </w:r>
          </w:p>
        </w:tc>
        <w:tc>
          <w:tcPr>
            <w:tcW w:w="3280" w:type="dxa"/>
            <w:vAlign w:val="bottom"/>
          </w:tcPr>
          <w:p>
            <w:pPr>
              <w:jc w:val="center"/>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jc w:val="center"/>
              <w:ind w:right="1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473"/>
        </w:trPr>
        <w:tc>
          <w:tcPr>
            <w:tcW w:w="5920" w:type="dxa"/>
            <w:vAlign w:val="bottom"/>
            <w:gridSpan w:val="3"/>
          </w:tcPr>
          <w:p>
            <w:pPr>
              <w:ind w:left="2160"/>
              <w:spacing w:after="0"/>
              <w:rPr>
                <w:sz w:val="20"/>
                <w:szCs w:val="20"/>
                <w:color w:val="auto"/>
              </w:rPr>
            </w:pPr>
            <w:r>
              <w:rPr>
                <w:rFonts w:ascii="Arial" w:cs="Arial" w:eastAsia="Arial" w:hAnsi="Arial"/>
                <w:sz w:val="16"/>
                <w:szCs w:val="16"/>
                <w:color w:val="auto"/>
              </w:rPr>
              <w:t>Registrant's telephone number, including area code</w:t>
            </w:r>
          </w:p>
        </w:tc>
        <w:tc>
          <w:tcPr>
            <w:tcW w:w="3280" w:type="dxa"/>
            <w:vAlign w:val="bottom"/>
          </w:tcPr>
          <w:p>
            <w:pPr>
              <w:jc w:val="right"/>
              <w:ind w:right="213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 o</w:t>
      </w:r>
    </w:p>
    <w:p>
      <w:pPr>
        <w:spacing w:after="0" w:line="88"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ind w:right="540"/>
        <w:spacing w:after="0" w:line="272" w:lineRule="auto"/>
        <w:rPr>
          <w:sz w:val="20"/>
          <w:szCs w:val="20"/>
          <w:color w:val="auto"/>
        </w:rPr>
      </w:pPr>
      <w:r>
        <w:rPr>
          <w:rFonts w:ascii="Arial" w:cs="Arial" w:eastAsia="Arial" w:hAnsi="Arial"/>
          <w:sz w:val="20"/>
          <w:szCs w:val="20"/>
          <w:b w:val="1"/>
          <w:bCs w:val="1"/>
          <w:color w:val="auto"/>
        </w:rPr>
        <w:t>Items 1.01; 5.02(e) Entry Into a Material Definitive Agreement;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On December 22, 2017, Winnebago Industries, Inc. (“Company”) and Vice President and Chief Financial Officer Bryan L. Hughes ("Executive") entered into a customary Executive Change of Control Agreement ("the Agreement"). The Agreement provides for compensation to be paid to the Executive in certain situations specified in the Agreement when a change of control occurs. A change of control for purposes of the Agreement means the time when (i) any person or entity becomes an Acquiring Person (as defined in the Agreement), which generally means an acquisition of 20% or more the Company's common stock, or</w:t>
      </w:r>
    </w:p>
    <w:p>
      <w:pPr>
        <w:spacing w:after="0" w:line="2" w:lineRule="exact"/>
        <w:rPr>
          <w:sz w:val="20"/>
          <w:szCs w:val="20"/>
          <w:color w:val="auto"/>
        </w:rPr>
      </w:pPr>
    </w:p>
    <w:p>
      <w:pPr>
        <w:ind w:right="20" w:firstLine="8"/>
        <w:spacing w:after="0" w:line="248" w:lineRule="auto"/>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(as defined in the Agreement) of the Company shall have ceased for any reason to constitute at least a majority of the Board of Directors of the Company. In the event a change of control occurs, the Executive shall be entitled to a payment of three times the average aggregate compensation paid to the Executive during the three fiscal years immediately preceding the change of control if the Executive is terminated within three years of the change in control, other than by his death, Disability, Retirement, termination for Cause by the Company (as such terms are defined in the Agreement), or if he voluntarily terminates his employment with the Company, unless he does so for “Good Reason” as defined in the Agreement. The Agreement is designed to both retain the services of the Executive during the change of control process and to assure that the executive’s interests are closely aligned with the interests of shareholders. The Agreement does not provide for gross up of any payment made for applicable excise taxes. The foregoing discussion is a summary of the Agreement and is qualified entirely by reference to the terms of the Agreement, a copy of which is attached as Exhibit 99.1.</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Executive Change of Control Agreement between Winnebago Industries, Inc. and Bryan L. Hughes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34" w:lineRule="exact"/>
        <w:rPr>
          <w:sz w:val="20"/>
          <w:szCs w:val="20"/>
          <w:color w:val="auto"/>
        </w:rPr>
      </w:pPr>
    </w:p>
    <w:p>
      <w:pPr>
        <w:ind w:left="1120"/>
        <w:spacing w:after="0"/>
        <w:tabs>
          <w:tab w:leader="none" w:pos="1720" w:val="left"/>
          <w:tab w:leader="none" w:pos="4980" w:val="left"/>
          <w:tab w:leader="none" w:pos="5580" w:val="left"/>
        </w:tabs>
        <w:rPr>
          <w:sz w:val="20"/>
          <w:szCs w:val="20"/>
          <w:color w:val="auto"/>
        </w:rPr>
      </w:pPr>
      <w:r>
        <w:rPr>
          <w:rFonts w:ascii="Arial" w:cs="Arial" w:eastAsia="Arial" w:hAnsi="Arial"/>
          <w:sz w:val="16"/>
          <w:szCs w:val="16"/>
          <w:color w:val="auto"/>
        </w:rPr>
        <w:t>Dated:</w:t>
        <w:tab/>
        <w:t>December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29210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&amp; Secretary</w:t>
      </w:r>
    </w:p>
    <w:p>
      <w:pPr>
        <w:sectPr>
          <w:pgSz w:w="11900" w:h="16838" w:orient="portrait"/>
          <w:cols w:equalWidth="0" w:num="1">
            <w:col w:w="11380"/>
          </w:cols>
          <w:pgMar w:left="240" w:top="733"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December 22, 2017,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Bryan Hughes (the "Executive").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87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864"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w:t>
      </w:r>
    </w:p>
    <w:p>
      <w:pPr>
        <w:sectPr>
          <w:pgSz w:w="11900" w:h="16838" w:orient="portrait"/>
          <w:cols w:equalWidth="0" w:num="1">
            <w:col w:w="11420"/>
          </w:cols>
          <w:pgMar w:left="240" w:top="1138" w:right="2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stock held by such a plan shall not be treated as outstanding in determining ownership percentages for purposes of this definition.)</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 of the foregoing definition of “Change of Control”, the capitalized terms shall have the following meanings:</w:t>
      </w:r>
    </w:p>
    <w:p>
      <w:pPr>
        <w:spacing w:after="0" w:line="272" w:lineRule="exact"/>
        <w:rPr>
          <w:sz w:val="20"/>
          <w:szCs w:val="20"/>
          <w:color w:val="auto"/>
        </w:rPr>
      </w:pPr>
    </w:p>
    <w:p>
      <w:pPr>
        <w:jc w:val="both"/>
        <w:ind w:left="1300" w:hanging="644"/>
        <w:spacing w:after="0" w:line="292"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the Executive’s execution of this Agreement.</w:t>
      </w:r>
    </w:p>
    <w:p>
      <w:pPr>
        <w:spacing w:after="0" w:line="17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sz w:val="20"/>
          <w:szCs w:val="20"/>
          <w:color w:val="auto"/>
        </w:rPr>
      </w:pPr>
    </w:p>
    <w:p>
      <w:pPr>
        <w:jc w:val="both"/>
        <w:ind w:firstLine="656"/>
        <w:spacing w:after="0" w:line="267" w:lineRule="auto"/>
        <w:tabs>
          <w:tab w:leader="none" w:pos="1067"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Following a 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If a change of Control shall have occurred while the Executive is still</w:t>
      </w:r>
      <w:r>
        <w:rPr>
          <w:rFonts w:ascii="Arial" w:cs="Arial" w:eastAsia="Arial" w:hAnsi="Arial"/>
          <w:sz w:val="21"/>
          <w:szCs w:val="21"/>
          <w:b w:val="1"/>
          <w:bCs w:val="1"/>
          <w:color w:val="auto"/>
        </w:rPr>
        <w:t xml:space="preserve"> </w:t>
      </w:r>
      <w:r>
        <w:rPr>
          <w:rFonts w:ascii="Arial" w:cs="Arial" w:eastAsia="Arial" w:hAnsi="Arial"/>
          <w:sz w:val="21"/>
          <w:szCs w:val="21"/>
          <w:color w:val="auto"/>
        </w:rPr>
        <w:t>an 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w:t>
      </w:r>
    </w:p>
    <w:p>
      <w:pPr>
        <w:sectPr>
          <w:pgSz w:w="11900" w:h="16838" w:orient="portrait"/>
          <w:cols w:equalWidth="0" w:num="1">
            <w:col w:w="11420"/>
          </w:cols>
          <w:pgMar w:left="240" w:top="631" w:right="2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22"/>
          <w:szCs w:val="22"/>
          <w:color w:val="auto"/>
        </w:rPr>
        <w:t>(as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226" w:lineRule="exact"/>
        <w:rPr>
          <w:sz w:val="20"/>
          <w:szCs w:val="20"/>
          <w:color w:val="auto"/>
        </w:rPr>
      </w:pPr>
    </w:p>
    <w:p>
      <w:pPr>
        <w:jc w:val="both"/>
        <w:ind w:firstLine="1305"/>
        <w:spacing w:after="0" w:line="250" w:lineRule="auto"/>
        <w:tabs>
          <w:tab w:leader="none" w:pos="1590"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228" w:lineRule="exact"/>
        <w:rPr>
          <w:rFonts w:ascii="Arial" w:cs="Arial" w:eastAsia="Arial" w:hAnsi="Arial"/>
          <w:sz w:val="22"/>
          <w:szCs w:val="22"/>
          <w:color w:val="auto"/>
        </w:rPr>
      </w:pPr>
    </w:p>
    <w:p>
      <w:pPr>
        <w:jc w:val="both"/>
        <w:ind w:firstLine="1305"/>
        <w:spacing w:after="0" w:line="271" w:lineRule="auto"/>
        <w:tabs>
          <w:tab w:leader="none" w:pos="1616" w:val="left"/>
        </w:tabs>
        <w:numPr>
          <w:ilvl w:val="0"/>
          <w:numId w:val="6"/>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6"/>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ectPr>
          <w:pgSz w:w="11900" w:h="16838" w:orient="portrait"/>
          <w:cols w:equalWidth="0" w:num="1">
            <w:col w:w="11420"/>
          </w:cols>
          <w:pgMar w:left="240" w:top="631" w:right="239" w:bottom="1440" w:gutter="0" w:footer="0" w:header="0"/>
        </w:sectPr>
      </w:pPr>
    </w:p>
    <w:bookmarkStart w:id="5" w:name="page6"/>
    <w:bookmarkEnd w:id="5"/>
    <w:p>
      <w:pPr>
        <w:jc w:val="both"/>
        <w:ind w:left="-380" w:firstLine="647"/>
        <w:spacing w:after="0" w:line="248" w:lineRule="auto"/>
        <w:tabs>
          <w:tab w:leader="none" w:pos="586" w:val="left"/>
        </w:tabs>
        <w:numPr>
          <w:ilvl w:val="0"/>
          <w:numId w:val="7"/>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380" w:firstLine="647"/>
        <w:spacing w:after="0" w:line="292" w:lineRule="auto"/>
        <w:tabs>
          <w:tab w:leader="none" w:pos="699"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2" w:lineRule="exact"/>
        <w:rPr>
          <w:rFonts w:ascii="Arial" w:cs="Arial" w:eastAsia="Arial" w:hAnsi="Arial"/>
          <w:sz w:val="19"/>
          <w:szCs w:val="19"/>
          <w:color w:val="auto"/>
        </w:rPr>
      </w:pPr>
    </w:p>
    <w:p>
      <w:pPr>
        <w:jc w:val="both"/>
        <w:ind w:left="-380" w:firstLine="647"/>
        <w:spacing w:after="0" w:line="246" w:lineRule="auto"/>
        <w:tabs>
          <w:tab w:leader="none" w:pos="676" w:val="left"/>
        </w:tabs>
        <w:numPr>
          <w:ilvl w:val="0"/>
          <w:numId w:val="7"/>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380" w:firstLine="647"/>
        <w:spacing w:after="0" w:line="248" w:lineRule="auto"/>
        <w:tabs>
          <w:tab w:leader="none" w:pos="578" w:val="left"/>
        </w:tabs>
        <w:numPr>
          <w:ilvl w:val="0"/>
          <w:numId w:val="7"/>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ind w:left="-380" w:right="20" w:firstLine="647"/>
        <w:spacing w:after="0" w:line="26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Eden Prairie, MN or the Executive’s relocation to any place other than the location at which the Executive performed the</w:t>
      </w:r>
    </w:p>
    <w:p>
      <w:pPr>
        <w:sectPr>
          <w:pgSz w:w="11900" w:h="16838" w:orient="portrait"/>
          <w:cols w:equalWidth="0" w:num="1">
            <w:col w:w="10220"/>
          </w:cols>
          <w:pgMar w:left="1440" w:top="631" w:right="239" w:bottom="1440" w:gutter="0" w:footer="0" w:header="0"/>
        </w:sectPr>
      </w:pPr>
    </w:p>
    <w:bookmarkStart w:id="6" w:name="page7"/>
    <w:bookmarkEnd w:id="6"/>
    <w:p>
      <w:pPr>
        <w:jc w:val="both"/>
        <w:ind w:left="164"/>
        <w:spacing w:after="0" w:line="253" w:lineRule="auto"/>
        <w:rPr>
          <w:sz w:val="20"/>
          <w:szCs w:val="20"/>
          <w:color w:val="auto"/>
        </w:rPr>
      </w:pPr>
      <w:r>
        <w:rPr>
          <w:rFonts w:ascii="Arial" w:cs="Arial" w:eastAsia="Arial" w:hAnsi="Arial"/>
          <w:sz w:val="22"/>
          <w:szCs w:val="22"/>
          <w:color w:val="auto"/>
        </w:rPr>
        <w:t>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26" w:lineRule="exact"/>
        <w:rPr>
          <w:sz w:val="20"/>
          <w:szCs w:val="20"/>
          <w:color w:val="auto"/>
        </w:rPr>
      </w:pPr>
    </w:p>
    <w:p>
      <w:pPr>
        <w:ind w:left="164" w:firstLine="647"/>
        <w:spacing w:after="0" w:line="263" w:lineRule="auto"/>
        <w:tabs>
          <w:tab w:leader="none" w:pos="1262" w:val="left"/>
        </w:tabs>
        <w:numPr>
          <w:ilvl w:val="2"/>
          <w:numId w:val="8"/>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304" w:hanging="493"/>
        <w:spacing w:after="0"/>
        <w:tabs>
          <w:tab w:leader="none" w:pos="1304" w:val="left"/>
        </w:tabs>
        <w:numPr>
          <w:ilvl w:val="2"/>
          <w:numId w:val="8"/>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164" w:firstLine="647"/>
        <w:spacing w:after="0" w:line="263" w:lineRule="auto"/>
        <w:tabs>
          <w:tab w:leader="none" w:pos="1204" w:val="left"/>
        </w:tabs>
        <w:numPr>
          <w:ilvl w:val="2"/>
          <w:numId w:val="8"/>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164" w:firstLine="647"/>
        <w:spacing w:after="0" w:line="263" w:lineRule="auto"/>
        <w:tabs>
          <w:tab w:leader="none" w:pos="1164" w:val="left"/>
        </w:tabs>
        <w:numPr>
          <w:ilvl w:val="2"/>
          <w:numId w:val="8"/>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rFonts w:ascii="Arial" w:cs="Arial" w:eastAsia="Arial" w:hAnsi="Arial"/>
          <w:sz w:val="22"/>
          <w:szCs w:val="22"/>
          <w:color w:val="auto"/>
        </w:rPr>
      </w:pPr>
    </w:p>
    <w:p>
      <w:pPr>
        <w:jc w:val="both"/>
        <w:ind w:left="-656" w:firstLine="1305"/>
        <w:spacing w:after="0" w:line="247" w:lineRule="auto"/>
        <w:tabs>
          <w:tab w:leader="none" w:pos="1002" w:val="left"/>
        </w:tabs>
        <w:numPr>
          <w:ilvl w:val="1"/>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34" w:lineRule="exact"/>
        <w:rPr>
          <w:rFonts w:ascii="Arial" w:cs="Arial" w:eastAsia="Arial" w:hAnsi="Arial"/>
          <w:sz w:val="22"/>
          <w:szCs w:val="22"/>
          <w:color w:val="auto"/>
        </w:rPr>
      </w:pPr>
    </w:p>
    <w:p>
      <w:pPr>
        <w:jc w:val="both"/>
        <w:ind w:left="-656" w:firstLine="1305"/>
        <w:spacing w:after="0" w:line="259" w:lineRule="auto"/>
        <w:tabs>
          <w:tab w:leader="none" w:pos="924" w:val="left"/>
        </w:tabs>
        <w:numPr>
          <w:ilvl w:val="1"/>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left="-656" w:firstLine="656"/>
        <w:spacing w:after="0" w:line="248" w:lineRule="auto"/>
        <w:tabs>
          <w:tab w:leader="none" w:pos="262"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Compensation upon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Company shall terminate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w:t>
      </w:r>
    </w:p>
    <w:p>
      <w:pPr>
        <w:sectPr>
          <w:pgSz w:w="11900" w:h="16838" w:orient="portrait"/>
          <w:cols w:equalWidth="0" w:num="1">
            <w:col w:w="10764"/>
          </w:cols>
          <w:pgMar w:left="896" w:top="631" w:right="239" w:bottom="1440" w:gutter="0" w:footer="0" w:header="0"/>
        </w:sectPr>
      </w:pPr>
    </w:p>
    <w:bookmarkStart w:id="7" w:name="page8"/>
    <w:bookmarkEnd w:id="7"/>
    <w:p>
      <w:pPr>
        <w:ind w:right="20"/>
        <w:spacing w:after="0" w:line="263" w:lineRule="auto"/>
        <w:rPr>
          <w:sz w:val="20"/>
          <w:szCs w:val="20"/>
          <w:color w:val="auto"/>
        </w:rPr>
      </w:pPr>
      <w:r>
        <w:rPr>
          <w:rFonts w:ascii="Arial" w:cs="Arial" w:eastAsia="Arial" w:hAnsi="Arial"/>
          <w:sz w:val="22"/>
          <w:szCs w:val="22"/>
          <w:color w:val="auto"/>
        </w:rPr>
        <w:t>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66"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200" w:lineRule="exact"/>
        <w:rPr>
          <w:sz w:val="20"/>
          <w:szCs w:val="20"/>
          <w:color w:val="auto"/>
        </w:rPr>
      </w:pPr>
    </w:p>
    <w:p>
      <w:pPr>
        <w:spacing w:after="0" w:line="262"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ectPr>
          <w:pgSz w:w="11900" w:h="16838" w:orient="portrait"/>
          <w:cols w:equalWidth="0" w:num="1">
            <w:col w:w="11420"/>
          </w:cols>
          <w:pgMar w:left="240" w:top="631" w:right="239" w:bottom="1440" w:gutter="0" w:footer="0" w:header="0"/>
        </w:sectPr>
      </w:pPr>
    </w:p>
    <w:bookmarkStart w:id="8" w:name="page9"/>
    <w:bookmarkEnd w:id="8"/>
    <w:p>
      <w:pPr>
        <w:ind w:left="224" w:hanging="224"/>
        <w:spacing w:after="0"/>
        <w:tabs>
          <w:tab w:leader="none" w:pos="22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left="-656" w:firstLine="1305"/>
        <w:spacing w:after="0" w:line="289" w:lineRule="auto"/>
        <w:tabs>
          <w:tab w:leader="none" w:pos="93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left="-656" w:firstLine="1305"/>
        <w:spacing w:after="0" w:line="248" w:lineRule="auto"/>
        <w:tabs>
          <w:tab w:leader="none" w:pos="10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left="-656" w:firstLine="656"/>
        <w:spacing w:after="0" w:line="274" w:lineRule="auto"/>
        <w:tabs>
          <w:tab w:leader="none" w:pos="249"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left="-656" w:firstLine="656"/>
        <w:spacing w:after="0" w:line="256" w:lineRule="auto"/>
        <w:tabs>
          <w:tab w:leader="none" w:pos="20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Forest City, Iowa 50436</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 the last known address in the Personnel records of the Company</w:t>
      </w:r>
    </w:p>
    <w:p>
      <w:pPr>
        <w:sectPr>
          <w:pgSz w:w="11900" w:h="16838" w:orient="portrait"/>
          <w:cols w:equalWidth="0" w:num="1">
            <w:col w:w="10764"/>
          </w:cols>
          <w:pgMar w:left="896" w:top="625"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026"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left="1000" w:hanging="344"/>
        <w:spacing w:after="0"/>
        <w:tabs>
          <w:tab w:leader="none" w:pos="10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Executive, prior to a Change of Control as defined in paragraph 2 above,</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either:</w:t>
      </w:r>
    </w:p>
    <w:p>
      <w:pPr>
        <w:spacing w:after="0" w:line="242" w:lineRule="exact"/>
        <w:rPr>
          <w:sz w:val="20"/>
          <w:szCs w:val="20"/>
          <w:color w:val="auto"/>
        </w:rPr>
      </w:pPr>
    </w:p>
    <w:p>
      <w:pPr>
        <w:ind w:left="1060" w:hanging="404"/>
        <w:spacing w:after="0"/>
        <w:tabs>
          <w:tab w:leader="none" w:pos="10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takes a position within the Company or any of its subsidiaries that is not an executive or officer position; or</w:t>
      </w:r>
    </w:p>
    <w:p>
      <w:pPr>
        <w:spacing w:after="0" w:line="21" w:lineRule="exact"/>
        <w:rPr>
          <w:rFonts w:ascii="Arial" w:cs="Arial" w:eastAsia="Arial" w:hAnsi="Arial"/>
          <w:sz w:val="22"/>
          <w:szCs w:val="22"/>
          <w:color w:val="auto"/>
        </w:rPr>
      </w:pPr>
    </w:p>
    <w:p>
      <w:pPr>
        <w:ind w:left="1060" w:hanging="404"/>
        <w:spacing w:after="0"/>
        <w:tabs>
          <w:tab w:leader="none" w:pos="10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leaves the employ of Company for any reason;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shall terminate and have no further force or effect.</w:t>
      </w:r>
    </w:p>
    <w:p>
      <w:pPr>
        <w:spacing w:after="0" w:line="254" w:lineRule="exact"/>
        <w:rPr>
          <w:sz w:val="20"/>
          <w:szCs w:val="20"/>
          <w:color w:val="auto"/>
        </w:rPr>
      </w:pPr>
    </w:p>
    <w:p>
      <w:pPr>
        <w:ind w:right="20" w:firstLine="656"/>
        <w:spacing w:after="0" w:line="269" w:lineRule="auto"/>
        <w:tabs>
          <w:tab w:leader="none" w:pos="1013"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86"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thereunder. This Agreement shall be administered accordingly; and if necessary, amended to ensure satisfaction of the short-term deferral exception.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631"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WINNEBAGO INDUSTRIES, INC.</w:t>
      </w:r>
    </w:p>
    <w:p>
      <w:pPr>
        <w:spacing w:after="0" w:line="341" w:lineRule="exact"/>
        <w:rPr>
          <w:sz w:val="20"/>
          <w:szCs w:val="20"/>
          <w:color w:val="auto"/>
        </w:rPr>
      </w:pPr>
    </w:p>
    <w:p>
      <w:pPr>
        <w:ind w:left="396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24765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Bret A. Woodson</w:t>
      </w:r>
    </w:p>
    <w:p>
      <w:pPr>
        <w:spacing w:after="0" w:line="4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Vice President of Administration</w:t>
      </w: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/s/ Bryan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24765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Bryan Hughes</w:t>
      </w:r>
    </w:p>
    <w:sectPr>
      <w:pgSz w:w="11900" w:h="16838" w:orient="portrait"/>
      <w:cols w:equalWidth="0" w:num="1">
        <w:col w:w="9559"/>
      </w:cols>
      <w:pgMar w:left="900" w:top="1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lowerRoman"/>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lowerLetter"/>
      <w:start w:val="1"/>
    </w:lvl>
    <w:lvl w:ilvl="1">
      <w:lvlJc w:val="left"/>
      <w:lvlText w:val="(%2)"/>
      <w:numFmt w:val="lowerLetter"/>
      <w:start w:val="9"/>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8">
    <w:nsid w:val="140E0F7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
    <w:nsid w:val="335225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6"/>
    </w:lvl>
    <w:lvl w:ilvl="1">
      <w:lvlJc w:val="left"/>
      <w:lvlText w:val="(%2)"/>
      <w:numFmt w:val="lowerLetter"/>
      <w:start w:val="1"/>
    </w:lvl>
  </w:abstractNum>
  <w:abstractNum w:abstractNumId="12">
    <w:nsid w:val="7FDCC233"/>
    <w:multiLevelType w:val="hybridMultilevel"/>
    <w:lvl w:ilvl="0">
      <w:lvlJc w:val="left"/>
      <w:lvlText w:val="%1."/>
      <w:numFmt w:val="decimal"/>
      <w:start w:val="7"/>
    </w:lvl>
    <w:lvl w:ilvl="1">
      <w:lvlJc w:val="left"/>
      <w:lvlText w:val="(%2)"/>
      <w:numFmt w:val="lowerLetter"/>
      <w:start w:val="1"/>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2019-12-29T02:37:32Z</dcterms:created>
  <dcterms:modified xsi:type="dcterms:W3CDTF">2019-12-29T02:37:32Z</dcterms:modified>
</cp:coreProperties>
</file>