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1181100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October 11, 2012, as Exhibit 99.1 which is incorporated by reference herein. The press release was issued to report earnings for the fourth quarter and Fiscal 2012 ended August 25, 2012.</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October 11, 2012.</w:t>
      </w:r>
    </w:p>
    <w:p>
      <w:pPr>
        <w:sectPr>
          <w:pgSz w:w="11900" w:h="16838" w:orient="portrait"/>
          <w:cols w:equalWidth="0" w:num="1">
            <w:col w:w="11280"/>
          </w:cols>
          <w:pgMar w:left="240" w:top="571" w:right="3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tab/>
        <w:t>October 11,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426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11, 2012.</w:t>
      </w:r>
    </w:p>
    <w:p>
      <w:pPr>
        <w:sectPr>
          <w:pgSz w:w="11900" w:h="16838" w:orient="portrait"/>
          <w:cols w:equalWidth="0" w:num="1">
            <w:col w:w="9559"/>
          </w:cols>
          <w:pgMar w:left="90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FOURTH QUARTER AND FISCAL 2012</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Fourth Quarter Operating Income Increase of 270 Percent--</w:t>
      </w:r>
    </w:p>
    <w:p>
      <w:pPr>
        <w:spacing w:after="0" w:line="38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FOREST CITY, IOWA, October 11, 2012 - Winnebago Industries, Inc. (NYSE:WGO), a leading United States (U.S.) recreation vehicle manufacturer, today reported financial results for the Company's fourth quarter and fiscal year 2012.</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Revenues for the fourth quarter ended August 25, 2012 were $162.5 million, an increase of 24.5%, versus $130.5 million for the fourth quarter of Fiscal 2011. Included within consolidated revenues for the fourth quarter of Fiscal 2012 was $15.8 million associated with towable products, compared to $7.8 million for the fourth quarter of Fiscal 2011. The Company reported an operating income of $6.5 million for the quarter, versus $1.8 million for the fourth quarter of Fiscal 2011. Net income for the fourth quarter of Fiscal 2012 was $40.9 million, or $1.41 per diluted share, versus $3.5 million, or $0.12 per diluted share for the fourth quarter of Fiscal 2011. A tax benefit was recorded in the fourth quarter of Fiscal 2012 due to a $36.9 million reduction in the valuation allowance on deferred tax assets that was established in Fiscal 2009. Excluding the non-cash tax benefit of the reduction in valuation allowance, net income for the fourth quarter of Fiscal 2012 was $4.0 million or $0.14 per diluted share.</w:t>
      </w:r>
    </w:p>
    <w:p>
      <w:pPr>
        <w:spacing w:after="0" w:line="18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fourth quarter of Fiscal 2012 as compared to the fourth quarter of Fiscal 2011 was positively impacted by increased motor home deliveries and improved gross margins due to better fixed cost absorption.</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Revenues for Fiscal 2012 were $581.7 million, an increase of 17.2%, versus revenues of $496.4 million for Fiscal 2011. Included within consolidated revenues was $56.8 million associated with towable products, compared to $16.7 million for Fiscal 2011. The Company reported operating income of $9.5 million for Fiscal 2012, versus $11.3 million for Fiscal 2011. Net income for Fiscal 2012 was $45.0 million, or $1.54 per diluted share, versus $11.8 million, or $0.41 per diluted share for Fiscal 2011. A tax benefit was recorded in the fourth quarter of Fiscal 2012 due to a $37.7 million reduction in the valuation allowance on deferred tax assets. Excluding the impact of the non-cash tax benefit of the reduction in valuation allowance, net income for Fiscal 2012 was $7.3 million or $0.25 per diluted share.</w:t>
      </w:r>
    </w:p>
    <w:p>
      <w:pPr>
        <w:spacing w:after="0" w:line="7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Revenues were higher for Fiscal 2012 as compared to Fiscal 2011 with increased motor home and towable deliveries and increased average selling prices for all RV products due to the mix of higher priced products delivered. Operating income for Fiscal 2012 was lower as compared to the prior period most notably due to increased inflationary pressures and higher discounts incurred during the first half of Fiscal 2012 and the fact that Fiscal 2011 results included a $3.5 million pre-tax benefit from the results of an annual physical inventory of work-in-process, due to lower actual inventory scrap and production loss.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were pleased with the results for the fourth quarter,” said Winnebago Industries' Chairman, CEO and President Randy Potts, "particularly as they related to our motor home business. Our new value priced Winnebago Vista and Itasca Sunstar 26HE models introduced to our dealers at the Dealer Days event in May have been very popular in the marketplace and contributed to the increased demand in our fourth quarter, along with the continued success of our Class A and C diesel products."</w:t>
      </w:r>
    </w:p>
    <w:p>
      <w:pPr>
        <w:spacing w:after="0" w:line="176"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dramatic increase in our sales order backlog reflects the positive dealer response to our new 2013 model year products," said Potts. "As a result of the improved demand, we ramped up production throughout the fourth quarter. We will continue to increase production during Fiscal 2013 to meet the growing demand for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Fiscal 2012, the Company repurchased 592,000 shares of the Company's common stock for $6.3 million at an average price of</w:t>
      </w:r>
    </w:p>
    <w:p>
      <w:pPr>
        <w:spacing w:after="0" w:line="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$10.57. "We believe the timing was right to repurchase shares and in the best interest of our shareholders, allowing us to enhance shareholder value this past quarter," said Winnebago Industries' Vice President, Chief Financial Officer Sarah Nielsen.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On a forward-looking basis, Fiscal 2013 is a 53-week year and includes a 14-week first quarter.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w:t>
      </w:r>
    </w:p>
    <w:p>
      <w:pPr>
        <w:spacing w:after="0" w:line="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October 11, 2012.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About Winnebago Industries</w:t>
      </w:r>
    </w:p>
    <w:p>
      <w:pPr>
        <w:ind w:right="140"/>
        <w:spacing w:after="0" w:line="236"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ectPr>
          <w:pgSz w:w="11900" w:h="16838" w:orient="portrait"/>
          <w:cols w:equalWidth="0" w:num="1">
            <w:col w:w="11420"/>
          </w:cols>
          <w:pgMar w:left="240" w:top="60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60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August 25, 2012</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August 27, 2011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162,533</w:t>
            </w: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100.0 %</w:t>
            </w: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130,546</w:t>
            </w: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146,266</w:t>
            </w:r>
          </w:p>
        </w:tc>
        <w:tc>
          <w:tcPr>
            <w:tcW w:w="3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90.0 %</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122,018</w:t>
            </w:r>
          </w:p>
        </w:tc>
        <w:tc>
          <w:tcPr>
            <w:tcW w:w="3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93.5 %</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16,267</w:t>
            </w:r>
          </w:p>
        </w:tc>
        <w:tc>
          <w:tcPr>
            <w:tcW w:w="3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10.0 %</w:t>
            </w:r>
          </w:p>
        </w:tc>
        <w:tc>
          <w:tcPr>
            <w:tcW w:w="4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8,528</w:t>
            </w:r>
          </w:p>
        </w:tc>
        <w:tc>
          <w:tcPr>
            <w:tcW w:w="3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57"/>
        </w:trPr>
        <w:tc>
          <w:tcPr>
            <w:tcW w:w="4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4,352</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2.7 %</w:t>
            </w: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4,122</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63"/>
        </w:trPr>
        <w:tc>
          <w:tcPr>
            <w:tcW w:w="42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5,329</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3.3 %</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2,640</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3"/>
                <w:szCs w:val="23"/>
                <w:color w:val="auto"/>
              </w:rPr>
            </w:pPr>
          </w:p>
        </w:tc>
        <w:tc>
          <w:tcPr>
            <w:tcW w:w="19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9,731</w:t>
            </w:r>
          </w:p>
        </w:tc>
        <w:tc>
          <w:tcPr>
            <w:tcW w:w="3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6.0 %</w:t>
            </w:r>
          </w:p>
        </w:tc>
        <w:tc>
          <w:tcPr>
            <w:tcW w:w="4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6,762</w:t>
            </w:r>
          </w:p>
        </w:tc>
        <w:tc>
          <w:tcPr>
            <w:tcW w:w="3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6,536</w:t>
            </w: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4.0 %</w:t>
            </w:r>
          </w:p>
        </w:tc>
        <w:tc>
          <w:tcPr>
            <w:tcW w:w="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1,766</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64"/>
        </w:trPr>
        <w:tc>
          <w:tcPr>
            <w:tcW w:w="426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34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7"/>
        </w:trPr>
        <w:tc>
          <w:tcPr>
            <w:tcW w:w="4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6,568</w:t>
            </w:r>
          </w:p>
        </w:tc>
        <w:tc>
          <w:tcPr>
            <w:tcW w:w="3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4.0 %</w:t>
            </w:r>
          </w:p>
        </w:tc>
        <w:tc>
          <w:tcPr>
            <w:tcW w:w="4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1,874</w:t>
            </w:r>
          </w:p>
        </w:tc>
        <w:tc>
          <w:tcPr>
            <w:tcW w:w="3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for taxes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(34,340)</w:t>
            </w:r>
          </w:p>
        </w:tc>
        <w:tc>
          <w:tcPr>
            <w:tcW w:w="3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(21.1)%</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(1,673)</w:t>
            </w:r>
          </w:p>
        </w:tc>
        <w:tc>
          <w:tcPr>
            <w:tcW w:w="3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40,908</w:t>
            </w: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25.2 %</w:t>
            </w: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3,547</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29,065</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29,130</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29,094</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29,199</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9"/>
              </w:rPr>
              <w:t>August 25, 2012</w:t>
            </w: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August 27, 2011</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581,679</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100.0 %</w:t>
            </w:r>
          </w:p>
        </w:tc>
        <w:tc>
          <w:tcPr>
            <w:tcW w:w="4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496,418</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537,999</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92.5 %</w:t>
            </w: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456,664</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92.0 %</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43,680</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7.5 %</w:t>
            </w:r>
          </w:p>
        </w:tc>
        <w:tc>
          <w:tcPr>
            <w:tcW w:w="4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39,754</w:t>
            </w:r>
          </w:p>
        </w:tc>
        <w:tc>
          <w:tcPr>
            <w:tcW w:w="22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16,837</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2.9 %</w:t>
            </w: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14,251</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17,267</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3.0 %</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14,263</w:t>
            </w:r>
          </w:p>
        </w:tc>
        <w:tc>
          <w:tcPr>
            <w:tcW w:w="220" w:type="dxa"/>
            <w:vAlign w:val="bottom"/>
          </w:tcPr>
          <w:p>
            <w:pPr>
              <w:spacing w:after="0"/>
              <w:rPr>
                <w:sz w:val="22"/>
                <w:szCs w:val="22"/>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Assets held for sale impairment and (gain), net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34,154</w:t>
            </w:r>
          </w:p>
        </w:tc>
        <w:tc>
          <w:tcPr>
            <w:tcW w:w="2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5.9 %</w:t>
            </w:r>
          </w:p>
        </w:tc>
        <w:tc>
          <w:tcPr>
            <w:tcW w:w="4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28,475</w:t>
            </w:r>
          </w:p>
        </w:tc>
        <w:tc>
          <w:tcPr>
            <w:tcW w:w="22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9,526</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1.6 %</w:t>
            </w: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11,279</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Non-operating income</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581</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0.1 %</w:t>
            </w: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10,107</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1.7 %</w:t>
            </w: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11,937</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provision for taxes</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(34,865)</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44,972</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7.7 %</w:t>
            </w:r>
          </w:p>
        </w:tc>
        <w:tc>
          <w:tcPr>
            <w:tcW w:w="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11,843</w:t>
            </w:r>
          </w:p>
        </w:tc>
        <w:tc>
          <w:tcPr>
            <w:tcW w:w="2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29,145</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29,121</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29,207</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29,148</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25,</w:t>
            </w:r>
          </w:p>
        </w:tc>
        <w:tc>
          <w:tcPr>
            <w:tcW w:w="220" w:type="dxa"/>
            <w:vAlign w:val="bottom"/>
          </w:tcPr>
          <w:p>
            <w:pPr>
              <w:spacing w:after="0"/>
              <w:rPr>
                <w:sz w:val="17"/>
                <w:szCs w:val="17"/>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August 27,</w:t>
            </w:r>
          </w:p>
        </w:tc>
      </w:tr>
      <w:tr>
        <w:trPr>
          <w:trHeight w:val="246"/>
        </w:trPr>
        <w:tc>
          <w:tcPr>
            <w:tcW w:w="7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62,683</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69,307</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22,726</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19,981</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87,094</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69,165</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4,227</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1,603</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8,453</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187,068</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164,854</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19,978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22,589</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9,074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10,627</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23,127</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23,669</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30,520</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13,886</w:t>
            </w:r>
          </w:p>
        </w:tc>
        <w:tc>
          <w:tcPr>
            <w:tcW w:w="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15,640</w:t>
            </w:r>
          </w:p>
        </w:tc>
      </w:tr>
      <w:tr>
        <w:trPr>
          <w:trHeight w:val="297"/>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286,072</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239,927</w:t>
            </w: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24,920</w:t>
            </w:r>
          </w:p>
        </w:tc>
        <w:tc>
          <w:tcPr>
            <w:tcW w:w="3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21,610</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35,750</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29,604</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61,018</w:t>
            </w:r>
          </w:p>
        </w:tc>
        <w:tc>
          <w:tcPr>
            <w:tcW w:w="3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51,318</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5,387</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75,135</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74,492</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80,363</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79,879</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144,691</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108,730</w:t>
            </w:r>
          </w:p>
        </w:tc>
      </w:tr>
      <w:tr>
        <w:trPr>
          <w:trHeight w:val="257"/>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286,072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239,927</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Year Ended</w:t>
            </w:r>
          </w:p>
        </w:tc>
      </w:tr>
      <w:tr>
        <w:trPr>
          <w:trHeight w:val="198"/>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25,</w:t>
            </w:r>
          </w:p>
        </w:tc>
        <w:tc>
          <w:tcPr>
            <w:tcW w:w="300" w:type="dxa"/>
            <w:vAlign w:val="bottom"/>
          </w:tcPr>
          <w:p>
            <w:pPr>
              <w:spacing w:after="0"/>
              <w:rPr>
                <w:sz w:val="17"/>
                <w:szCs w:val="17"/>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8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2011</w:t>
            </w: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44,972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11,843</w:t>
            </w:r>
          </w:p>
        </w:tc>
      </w:tr>
      <w:tr>
        <w:trPr>
          <w:trHeight w:val="28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4,872</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5,492</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(income) expense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2,075</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570</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1,378</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1,918</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1,315</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605</w:t>
            </w:r>
          </w:p>
        </w:tc>
      </w:tr>
      <w:tr>
        <w:trPr>
          <w:trHeight w:val="25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(34,749)</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517</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r>
      <w:tr>
        <w:trPr>
          <w:trHeight w:val="233"/>
        </w:trPr>
        <w:tc>
          <w:tcPr>
            <w:tcW w:w="8260" w:type="dxa"/>
            <w:vAlign w:val="bottom"/>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(969)</w:t>
            </w:r>
          </w:p>
        </w:tc>
      </w:tr>
      <w:tr>
        <w:trPr>
          <w:trHeight w:val="25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(gain) on disposal of property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(994)</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90</w:t>
            </w:r>
          </w:p>
        </w:tc>
      </w:tr>
      <w:tr>
        <w:trPr>
          <w:trHeight w:val="28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(17,316)</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(23,792)</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w:t>
            </w:r>
          </w:p>
        </w:tc>
      </w:tr>
      <w:tr>
        <w:trPr>
          <w:trHeight w:val="233"/>
        </w:trPr>
        <w:tc>
          <w:tcPr>
            <w:tcW w:w="8260" w:type="dxa"/>
            <w:vAlign w:val="bottom"/>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(2,127)</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7,627</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(1,551)</w:t>
            </w:r>
          </w:p>
        </w:tc>
      </w:tr>
      <w:tr>
        <w:trPr>
          <w:trHeight w:val="237"/>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(4,030)</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(3,741)</w:t>
            </w:r>
          </w:p>
        </w:tc>
      </w:tr>
      <w:tr>
        <w:trPr>
          <w:trHeight w:val="237"/>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(10,119)</w:t>
            </w:r>
          </w:p>
        </w:tc>
      </w:tr>
      <w:tr>
        <w:trPr>
          <w:trHeight w:val="162"/>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1,050</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7,150</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1,652</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659</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(2,213)</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(2,109)</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4,143</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(4,694)</w:t>
            </w:r>
          </w:p>
        </w:tc>
      </w:tr>
      <w:tr>
        <w:trPr>
          <w:trHeight w:val="246"/>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4,235</w:t>
            </w:r>
          </w:p>
        </w:tc>
      </w:tr>
      <w:tr>
        <w:trPr>
          <w:trHeight w:val="162"/>
        </w:trPr>
        <w:tc>
          <w:tcPr>
            <w:tcW w:w="8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(6,604)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83</w:t>
            </w:r>
          </w:p>
        </w:tc>
      </w:tr>
      <w:tr>
        <w:trPr>
          <w:trHeight w:val="246"/>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506</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(6,621)</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500</w:t>
            </w:r>
          </w:p>
        </w:tc>
      </w:tr>
      <w:tr>
        <w:trPr>
          <w:trHeight w:val="162"/>
        </w:trPr>
        <w:tc>
          <w:tcPr>
            <w:tcW w:w="8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3"/>
        </w:trPr>
        <w:tc>
          <w:tcPr>
            <w:tcW w:w="82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(6,624)</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(5,384)</w:t>
            </w:r>
          </w:p>
        </w:tc>
      </w:tr>
      <w:tr>
        <w:trPr>
          <w:trHeight w:val="246"/>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69,307</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74,691</w:t>
            </w:r>
          </w:p>
        </w:tc>
      </w:tr>
      <w:tr>
        <w:trPr>
          <w:trHeight w:val="280"/>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62,683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69,307</w:t>
            </w:r>
          </w:p>
        </w:tc>
      </w:tr>
      <w:tr>
        <w:trPr>
          <w:trHeight w:val="146"/>
        </w:trPr>
        <w:tc>
          <w:tcPr>
            <w:tcW w:w="8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(refunded) paid,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1,703</w:t>
            </w:r>
          </w:p>
        </w:tc>
      </w:tr>
    </w:tbl>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6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8"/>
                <w:szCs w:val="18"/>
                <w:b w:val="1"/>
                <w:bCs w:val="1"/>
                <w:color w:val="auto"/>
              </w:rPr>
              <w:t>Quarter Ended</w:t>
            </w:r>
          </w:p>
        </w:tc>
        <w:tc>
          <w:tcPr>
            <w:tcW w:w="1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21"/>
                <w:szCs w:val="21"/>
                <w:color w:val="auto"/>
              </w:rPr>
            </w:pPr>
          </w:p>
        </w:tc>
      </w:tr>
      <w:tr>
        <w:trPr>
          <w:trHeight w:val="198"/>
        </w:trPr>
        <w:tc>
          <w:tcPr>
            <w:tcW w:w="316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25,</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76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2012</w:t>
            </w:r>
          </w:p>
        </w:tc>
        <w:tc>
          <w:tcPr>
            <w:tcW w:w="140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60" w:type="dxa"/>
            <w:vAlign w:val="bottom"/>
          </w:tcPr>
          <w:p>
            <w:pPr>
              <w:ind w:left="500"/>
              <w:spacing w:after="0"/>
              <w:rPr>
                <w:sz w:val="20"/>
                <w:szCs w:val="20"/>
                <w:color w:val="auto"/>
              </w:rPr>
            </w:pPr>
            <w:r>
              <w:rPr>
                <w:rFonts w:ascii="Arial" w:cs="Arial" w:eastAsia="Arial" w:hAnsi="Arial"/>
                <w:sz w:val="16"/>
                <w:szCs w:val="16"/>
                <w:b w:val="1"/>
                <w:bCs w:val="1"/>
                <w:color w:val="auto"/>
              </w:rPr>
              <w:t>Units</w:t>
            </w:r>
          </w:p>
        </w:tc>
        <w:tc>
          <w:tcPr>
            <w:tcW w:w="1020" w:type="dxa"/>
            <w:vAlign w:val="bottom"/>
          </w:tcPr>
          <w:p>
            <w:pPr>
              <w:jc w:val="center"/>
              <w:ind w:right="2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485</w:t>
            </w: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36.7%</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373</w:t>
            </w: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34.3%</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112</w:t>
            </w: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30.0 %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230</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226</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4</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1.8 %</w:t>
            </w:r>
          </w:p>
        </w:tc>
      </w:tr>
      <w:tr>
        <w:trPr>
          <w:trHeight w:val="257"/>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715</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599</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116</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19.4 %</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104</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101</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3</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3.0 %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502</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388</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114</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29.4 %</w:t>
            </w:r>
          </w:p>
        </w:tc>
      </w:tr>
      <w:tr>
        <w:trPr>
          <w:trHeight w:val="280"/>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1,321</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1,088</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233</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21.4 %</w:t>
            </w:r>
          </w:p>
        </w:tc>
      </w:tr>
      <w:tr>
        <w:trPr>
          <w:trHeight w:val="173"/>
        </w:trPr>
        <w:tc>
          <w:tcPr>
            <w:tcW w:w="3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444</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2"/>
                <w:szCs w:val="22"/>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color w:val="auto"/>
              </w:rPr>
              <w:t>279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2"/>
                <w:szCs w:val="22"/>
                <w:color w:val="auto"/>
              </w:rPr>
            </w:pPr>
          </w:p>
        </w:tc>
        <w:tc>
          <w:tcPr>
            <w:tcW w:w="1760" w:type="dxa"/>
            <w:vAlign w:val="bottom"/>
          </w:tcPr>
          <w:p>
            <w:pPr>
              <w:ind w:left="480"/>
              <w:spacing w:after="0"/>
              <w:rPr>
                <w:sz w:val="20"/>
                <w:szCs w:val="20"/>
                <w:color w:val="auto"/>
              </w:rPr>
            </w:pPr>
            <w:r>
              <w:rPr>
                <w:rFonts w:ascii="Arial" w:cs="Arial" w:eastAsia="Arial" w:hAnsi="Arial"/>
                <w:sz w:val="16"/>
                <w:szCs w:val="16"/>
                <w:color w:val="auto"/>
              </w:rPr>
              <w:t>165</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59.1 %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251</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79</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172</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217.7 %</w:t>
            </w:r>
          </w:p>
        </w:tc>
      </w:tr>
      <w:tr>
        <w:trPr>
          <w:trHeight w:val="240"/>
        </w:trPr>
        <w:tc>
          <w:tcPr>
            <w:tcW w:w="316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695</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358</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337</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94.1 %</w:t>
            </w:r>
          </w:p>
        </w:tc>
      </w:tr>
      <w:tr>
        <w:trPr>
          <w:trHeight w:val="20"/>
        </w:trPr>
        <w:tc>
          <w:tcPr>
            <w:tcW w:w="3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36"/>
        </w:trPr>
        <w:tc>
          <w:tcPr>
            <w:tcW w:w="31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Year Ended</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25,</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76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2012</w:t>
            </w:r>
          </w:p>
        </w:tc>
        <w:tc>
          <w:tcPr>
            <w:tcW w:w="140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60" w:type="dxa"/>
            <w:vAlign w:val="bottom"/>
          </w:tcPr>
          <w:p>
            <w:pPr>
              <w:ind w:left="500"/>
              <w:spacing w:after="0"/>
              <w:rPr>
                <w:sz w:val="20"/>
                <w:szCs w:val="20"/>
                <w:color w:val="auto"/>
              </w:rPr>
            </w:pPr>
            <w:r>
              <w:rPr>
                <w:rFonts w:ascii="Arial" w:cs="Arial" w:eastAsia="Arial" w:hAnsi="Arial"/>
                <w:sz w:val="16"/>
                <w:szCs w:val="16"/>
                <w:b w:val="1"/>
                <w:bCs w:val="1"/>
                <w:color w:val="auto"/>
              </w:rPr>
              <w:t>Units</w:t>
            </w:r>
          </w:p>
        </w:tc>
        <w:tc>
          <w:tcPr>
            <w:tcW w:w="1020" w:type="dxa"/>
            <w:vAlign w:val="bottom"/>
          </w:tcPr>
          <w:p>
            <w:pPr>
              <w:jc w:val="center"/>
              <w:ind w:right="2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1,648</w:t>
            </w: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35.5%</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1,518</w:t>
            </w: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34.5%</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130</w:t>
            </w: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931</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918</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13</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1.4 %</w:t>
            </w:r>
          </w:p>
        </w:tc>
      </w:tr>
      <w:tr>
        <w:trPr>
          <w:trHeight w:val="257"/>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2,579</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2,436</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143</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5.9 %</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319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103</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216</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209.7 %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1,744</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1,856</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(112)</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r>
      <w:tr>
        <w:trPr>
          <w:trHeight w:val="280"/>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4,642</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4,395</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247</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5.6 %</w:t>
            </w:r>
          </w:p>
        </w:tc>
      </w:tr>
      <w:tr>
        <w:trPr>
          <w:trHeight w:val="173"/>
        </w:trPr>
        <w:tc>
          <w:tcPr>
            <w:tcW w:w="3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1,372</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575</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2"/>
                <w:szCs w:val="22"/>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797</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138.6 %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966</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194</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772</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397.9 %</w:t>
            </w:r>
          </w:p>
        </w:tc>
      </w:tr>
      <w:tr>
        <w:trPr>
          <w:trHeight w:val="237"/>
        </w:trPr>
        <w:tc>
          <w:tcPr>
            <w:tcW w:w="316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2,338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769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1,569</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3810</wp:posOffset>
            </wp:positionV>
            <wp:extent cx="52400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40020"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9"/>
                <w:szCs w:val="19"/>
                <w:color w:val="auto"/>
              </w:rPr>
            </w:pPr>
          </w:p>
        </w:tc>
      </w:tr>
      <w:tr>
        <w:trPr>
          <w:trHeight w:val="264"/>
        </w:trPr>
        <w:tc>
          <w:tcPr>
            <w:tcW w:w="3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2"/>
          </w:tcPr>
          <w:p>
            <w:pPr>
              <w:jc w:val="right"/>
              <w:ind w:right="382"/>
              <w:spacing w:after="0"/>
              <w:rPr>
                <w:sz w:val="20"/>
                <w:szCs w:val="20"/>
                <w:color w:val="auto"/>
              </w:rPr>
            </w:pPr>
            <w:r>
              <w:rPr>
                <w:rFonts w:ascii="Arial" w:cs="Arial" w:eastAsia="Arial" w:hAnsi="Arial"/>
                <w:sz w:val="16"/>
                <w:szCs w:val="16"/>
                <w:b w:val="1"/>
                <w:bCs w:val="1"/>
                <w:color w:val="auto"/>
              </w:rPr>
              <w:t>August 25, 2012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40" w:type="dxa"/>
            <w:vAlign w:val="bottom"/>
            <w:gridSpan w:val="3"/>
          </w:tcPr>
          <w:p>
            <w:pPr>
              <w:ind w:left="420"/>
              <w:spacing w:after="0"/>
              <w:rPr>
                <w:sz w:val="20"/>
                <w:szCs w:val="20"/>
                <w:color w:val="auto"/>
              </w:rPr>
            </w:pPr>
            <w:r>
              <w:rPr>
                <w:rFonts w:ascii="Arial" w:cs="Arial" w:eastAsia="Arial" w:hAnsi="Arial"/>
                <w:sz w:val="16"/>
                <w:szCs w:val="16"/>
                <w:b w:val="1"/>
                <w:bCs w:val="1"/>
                <w:color w:val="auto"/>
              </w:rPr>
              <w:t>August 27, 2011</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70"/>
        </w:trPr>
        <w:tc>
          <w:tcPr>
            <w:tcW w:w="3200" w:type="dxa"/>
            <w:vAlign w:val="bottom"/>
            <w:tcBorders>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Units</w:t>
            </w:r>
          </w:p>
        </w:tc>
        <w:tc>
          <w:tcPr>
            <w:tcW w:w="1100" w:type="dxa"/>
            <w:vAlign w:val="bottom"/>
            <w:tcBorders>
              <w:top w:val="single" w:sz="8" w:color="auto"/>
              <w:bottom w:val="single" w:sz="8" w:color="auto"/>
            </w:tcBorders>
          </w:tcPr>
          <w:p>
            <w:pPr>
              <w:jc w:val="right"/>
              <w:ind w:right="46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2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8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Units</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230</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412</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179.1 %</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156</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88.1 %</w:t>
            </w:r>
          </w:p>
        </w:tc>
      </w:tr>
      <w:tr>
        <w:trPr>
          <w:trHeight w:val="257"/>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407</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568</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139.6 %</w:t>
            </w: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71</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47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66.2 %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203</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177</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87.2 %</w:t>
            </w:r>
          </w:p>
        </w:tc>
      </w:tr>
      <w:tr>
        <w:trPr>
          <w:trHeight w:val="283"/>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681</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792</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116.3 %</w:t>
            </w:r>
          </w:p>
        </w:tc>
      </w:tr>
      <w:tr>
        <w:trPr>
          <w:trHeight w:val="170"/>
        </w:trPr>
        <w:tc>
          <w:tcPr>
            <w:tcW w:w="3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306</w:t>
            </w:r>
          </w:p>
        </w:tc>
        <w:tc>
          <w:tcPr>
            <w:tcW w:w="1100" w:type="dxa"/>
            <w:vAlign w:val="bottom"/>
          </w:tcPr>
          <w:p>
            <w:pPr>
              <w:jc w:val="right"/>
              <w:spacing w:after="0"/>
              <w:rPr>
                <w:sz w:val="20"/>
                <w:szCs w:val="20"/>
                <w:color w:val="auto"/>
              </w:rPr>
            </w:pPr>
            <w:r>
              <w:rPr>
                <w:rFonts w:ascii="Arial" w:cs="Arial" w:eastAsia="Arial" w:hAnsi="Arial"/>
                <w:sz w:val="16"/>
                <w:szCs w:val="16"/>
                <w:color w:val="auto"/>
              </w:rPr>
              <w:t>74.5%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187</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119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63.6 %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8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293</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118</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40.3 %</w:t>
            </w:r>
          </w:p>
        </w:tc>
      </w:tr>
      <w:tr>
        <w:trPr>
          <w:trHeight w:val="170"/>
        </w:trPr>
        <w:tc>
          <w:tcPr>
            <w:tcW w:w="3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450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163,725</w:t>
            </w:r>
          </w:p>
        </w:tc>
        <w:tc>
          <w:tcPr>
            <w:tcW w:w="1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74,704</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89,021</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119.2 %</w:t>
            </w:r>
          </w:p>
        </w:tc>
      </w:tr>
      <w:tr>
        <w:trPr>
          <w:trHeight w:val="251"/>
        </w:trPr>
        <w:tc>
          <w:tcPr>
            <w:tcW w:w="3200" w:type="dxa"/>
            <w:vAlign w:val="bottom"/>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8,776</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6,669</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2,107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31.6 %</w:t>
            </w:r>
          </w:p>
        </w:tc>
      </w:tr>
    </w:tbl>
    <w:p>
      <w:pPr>
        <w:ind w:left="340" w:hanging="332"/>
        <w:spacing w:after="0" w:line="199"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Percentages may not add due to rounding differences.</w:t>
      </w:r>
    </w:p>
    <w:p>
      <w:pPr>
        <w:spacing w:after="0" w:line="17" w:lineRule="exact"/>
        <w:rPr>
          <w:rFonts w:ascii="Arial" w:cs="Arial" w:eastAsia="Arial" w:hAnsi="Arial"/>
          <w:sz w:val="22"/>
          <w:szCs w:val="22"/>
          <w:color w:val="auto"/>
          <w:vertAlign w:val="superscript"/>
        </w:rPr>
      </w:pPr>
    </w:p>
    <w:p>
      <w:pPr>
        <w:ind w:left="340" w:right="640" w:hanging="332"/>
        <w:spacing w:after="0" w:line="208"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300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8"/>
        </w:trPr>
        <w:tc>
          <w:tcPr>
            <w:tcW w:w="574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Arial" w:cs="Arial" w:eastAsia="Arial" w:hAnsi="Arial"/>
                <w:sz w:val="16"/>
                <w:szCs w:val="16"/>
                <w:b w:val="1"/>
                <w:bCs w:val="1"/>
                <w:color w:val="auto"/>
              </w:rPr>
              <w:t>August 25,</w:t>
            </w:r>
          </w:p>
        </w:tc>
        <w:tc>
          <w:tcPr>
            <w:tcW w:w="1560" w:type="dxa"/>
            <w:vAlign w:val="bottom"/>
            <w:gridSpan w:val="2"/>
          </w:tcPr>
          <w:p>
            <w:pPr>
              <w:ind w:left="300"/>
              <w:spacing w:after="0"/>
              <w:rPr>
                <w:sz w:val="20"/>
                <w:szCs w:val="20"/>
                <w:color w:val="auto"/>
              </w:rPr>
            </w:pPr>
            <w:r>
              <w:rPr>
                <w:rFonts w:ascii="Arial" w:cs="Arial" w:eastAsia="Arial" w:hAnsi="Arial"/>
                <w:sz w:val="16"/>
                <w:szCs w:val="16"/>
                <w:b w:val="1"/>
                <w:bCs w:val="1"/>
                <w:color w:val="auto"/>
              </w:rPr>
              <w:t>August 27,</w:t>
            </w: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8"/>
        </w:trPr>
        <w:tc>
          <w:tcPr>
            <w:tcW w:w="5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257"/>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1,958</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(31)</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51"/>
        </w:trPr>
        <w:tc>
          <w:tcPr>
            <w:tcW w:w="574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1"/>
                <w:szCs w:val="21"/>
                <w:color w:val="auto"/>
              </w:rPr>
            </w:pPr>
          </w:p>
        </w:tc>
        <w:tc>
          <w:tcPr>
            <w:tcW w:w="1760" w:type="dxa"/>
            <w:vAlign w:val="bottom"/>
          </w:tcPr>
          <w:p>
            <w:pPr>
              <w:jc w:val="right"/>
              <w:ind w:right="1039"/>
              <w:spacing w:after="0"/>
              <w:rPr>
                <w:sz w:val="20"/>
                <w:szCs w:val="20"/>
                <w:color w:val="auto"/>
              </w:rPr>
            </w:pPr>
            <w:r>
              <w:rPr>
                <w:rFonts w:ascii="Arial" w:cs="Arial" w:eastAsia="Arial" w:hAnsi="Arial"/>
                <w:sz w:val="16"/>
                <w:szCs w:val="16"/>
                <w:color w:val="auto"/>
              </w:rPr>
              <w:t>399</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41.3 %</w:t>
            </w:r>
          </w:p>
        </w:tc>
      </w:tr>
    </w:tbl>
    <w:p>
      <w:pPr>
        <w:spacing w:after="0" w:line="1" w:lineRule="exact"/>
        <w:rPr>
          <w:sz w:val="20"/>
          <w:szCs w:val="20"/>
          <w:color w:val="auto"/>
        </w:rPr>
      </w:pPr>
    </w:p>
    <w:sectPr>
      <w:pgSz w:w="11900" w:h="16838" w:orient="portrait"/>
      <w:cols w:equalWidth="0" w:num="1">
        <w:col w:w="11420"/>
      </w:cols>
      <w:pgMar w:left="240" w:top="576" w:right="239" w:bottom="7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2019-12-09T08:33:02Z</dcterms:created>
  <dcterms:modified xsi:type="dcterms:W3CDTF">2019-12-09T08:33:02Z</dcterms:modified>
</cp:coreProperties>
</file>