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Folkers Scott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40" w:type="dxa"/>
            <w:vAlign w:val="bottom"/>
          </w:tcPr>
          <w:p>
            <w:pPr>
              <w:ind w:left="14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44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40" w:type="dxa"/>
            <w:vAlign w:val="bottom"/>
            <w:gridSpan w:val="2"/>
            <w:vMerge w:val="restart"/>
          </w:tcPr>
          <w:p>
            <w:pPr>
              <w:ind w:left="60"/>
              <w:spacing w:after="0"/>
              <w:rPr>
                <w:sz w:val="20"/>
                <w:szCs w:val="20"/>
                <w:color w:val="auto"/>
              </w:rPr>
            </w:pPr>
            <w:r>
              <w:rPr>
                <w:rFonts w:ascii="Arial" w:cs="Arial" w:eastAsia="Arial" w:hAnsi="Arial"/>
                <w:sz w:val="18"/>
                <w:szCs w:val="18"/>
                <w:color w:val="0000FF"/>
              </w:rPr>
              <w:t>VP-General Counsel &amp; Secretary</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10/14/2014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10/14/2014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4,068</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17,039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10/14/2014</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right"/>
              <w:ind w:right="12"/>
              <w:spacing w:after="0"/>
              <w:rPr>
                <w:sz w:val="20"/>
                <w:szCs w:val="20"/>
                <w:color w:val="auto"/>
              </w:rPr>
            </w:pPr>
            <w:r>
              <w:rPr>
                <w:rFonts w:ascii="Arial" w:cs="Arial" w:eastAsia="Arial" w:hAnsi="Arial"/>
                <w:sz w:val="18"/>
                <w:szCs w:val="18"/>
                <w:color w:val="0000FF"/>
              </w:rPr>
              <w:t>2,073</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21.36</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14,966</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2014 Omnibus Equity, Performance and Incentive Compensation Plan which provides for stock grants to Executive Officers under the Officers' Incentive Compensation Plan for Fiscal Year 2014.</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6"/>
              </w:rPr>
              <w:t>/s/ Scott C. Folkers, Secretary,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10/16/2014</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Winnebago Industries, Inc.</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0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147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2019-12-16T08:01:04Z</dcterms:created>
  <dcterms:modified xsi:type="dcterms:W3CDTF">2019-12-16T08:01:04Z</dcterms:modified>
</cp:coreProperties>
</file>