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1249680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14605</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March 28, 2013, as Exhibit 99.1 which is incorporated by reference herein. The press release was issued to report earnings for the second quarter of Fiscal 2013 ended March 2, 2013.</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28, 2013.</w:t>
      </w:r>
    </w:p>
    <w:p>
      <w:pPr>
        <w:sectPr>
          <w:pgSz w:w="11900" w:h="16838" w:orient="portrait"/>
          <w:cols w:equalWidth="0" w:num="1">
            <w:col w:w="11160"/>
          </w:cols>
          <w:pgMar w:left="240" w:top="571" w:right="4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tab/>
        <w:t>March 28,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40"/>
        <w:spacing w:after="0"/>
        <w:rPr>
          <w:sz w:val="20"/>
          <w:szCs w:val="20"/>
          <w:color w:val="auto"/>
        </w:rPr>
      </w:pPr>
      <w:r>
        <w:rPr>
          <w:sz w:val="1"/>
          <w:szCs w:val="1"/>
          <w:color w:val="auto"/>
        </w:rPr>
        <w:drawing>
          <wp:inline distT="0" distB="0" distL="0" distR="0">
            <wp:extent cx="1209040" cy="48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488950"/>
                    </a:xfrm>
                    <a:prstGeom prst="rect">
                      <a:avLst/>
                    </a:prstGeom>
                    <a:noFill/>
                    <a:ln>
                      <a:noFill/>
                    </a:ln>
                  </pic:spPr>
                </pic:pic>
              </a:graphicData>
            </a:graphic>
          </wp:inline>
        </w:drawing>
      </w:r>
      <w:r>
        <w:rPr>
          <w:rFonts w:ascii="Arial" w:cs="Arial" w:eastAsia="Arial" w:hAnsi="Arial"/>
          <w:sz w:val="86"/>
          <w:szCs w:val="86"/>
          <w:b w:val="1"/>
          <w:bCs w:val="1"/>
          <w:color w:val="auto"/>
        </w:rPr>
        <w:t xml:space="preserve"> News Release</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SECOND QUARTER OF FISCAL 2013</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Net Income Increase over $7 million Compared To Second Quarter Fiscal 2012 --</w:t>
      </w:r>
    </w:p>
    <w:p>
      <w:pPr>
        <w:spacing w:after="0" w:line="19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FOREST CITY, IOWA, March 28, 2013 - Winnebago Industries, Inc. (NYSE:WGO), a leading United States (U.S.) recreation vehicle manufacturer, today reported financial results for the Company's second quarter of Fiscal 2013.</w:t>
      </w:r>
    </w:p>
    <w:p>
      <w:pPr>
        <w:spacing w:after="0" w:line="169"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Revenues for the second quarter ended March 2, 2013 were $177.2 million, an increase of 34.6%, versus $131.6 million for the second quarter of Fiscal 2012. The Company reported operating income of $8.9 million for the quarter, versus operating loss of $1.2 million for the second quarter of Fiscal 2012. Net income for the second quarter of Fiscal 2013 was $6.3 million, or $0.22 per diluted share, versus a loss of $912,000, or $0.03 per diluted share for the second quarter of Fiscal 2012.</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Earnings in the second quarter were positively impacted by increased motorized demand driving higher sales volume. The added sales volume, combined with firmer net pricing, increased manufacturing productivity and fixed cost leverage, resulted in higher operating margins, net income and earnings per share.</w:t>
      </w:r>
    </w:p>
    <w:p>
      <w:pPr>
        <w:spacing w:after="0" w:line="169"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Revenues for the first 27-weeks of Fiscal 2013 were $370.7 million, an increase of 40.7%, versus revenues of $263.4 million for the first 26-weeks of Fiscal 2012. The Company reported operating income of $18.8 million for the first half of Fiscal 2013, versus operating loss of $537,000 for the first half of Fiscal</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2012. Net income for the first half of Fiscal 2013 was $13.7 million, or $0.48 per diluted share, versus $123,000, or $0.00 per diluted share for the first half of Fiscal 2012.</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had very positive comparisons this year versus the first half of Fiscal 2012,” said Winnebago Industries' Chairman, CEO and President Randy Potts. "Our motorhome sales growth continues to out-pace the industry. As evidenced by the heightened level of our sales order backlog, we continue to see great response to our products from our dealer partners as well as from retail consumers."</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Potts continued, "We believe the motorized RV market will continue to grow toward pre-recession levels. Improved economic indicators such as rising housing starts, lower unemployment and attractive interest rates should create a positive environment going forward."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March 28, 2013.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ectPr>
          <w:pgSz w:w="11900" w:h="16838" w:orient="portrait"/>
          <w:cols w:equalWidth="0" w:num="1">
            <w:col w:w="11380"/>
          </w:cols>
          <w:pgMar w:left="240" w:top="733" w:right="279" w:bottom="1440" w:gutter="0" w:footer="0" w:header="0"/>
        </w:sectPr>
      </w:pPr>
    </w:p>
    <w:bookmarkStart w:id="4" w:name="page5"/>
    <w:bookmarkEnd w:id="4"/>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60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U</w:t>
      </w:r>
      <w:r>
        <w:rPr>
          <w:rFonts w:ascii="Arial" w:cs="Arial" w:eastAsia="Arial" w:hAnsi="Arial"/>
          <w:sz w:val="18"/>
          <w:szCs w:val="18"/>
          <w:b w:val="1"/>
          <w:bCs w:val="1"/>
          <w:color w:val="auto"/>
        </w:rPr>
        <w:t>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rPr>
              <w:t>Quarter Ended</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March 2, 2013</w:t>
            </w: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February 25, 2012</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177,166</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100.0 %</w:t>
            </w:r>
          </w:p>
        </w:tc>
        <w:tc>
          <w:tcPr>
            <w:tcW w:w="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131,600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159,975</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90.3 %</w:t>
            </w: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124,754</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94.8 %</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17,191</w:t>
            </w: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9.7 %</w:t>
            </w:r>
          </w:p>
        </w:tc>
        <w:tc>
          <w:tcPr>
            <w:tcW w:w="60" w:type="dxa"/>
            <w:vAlign w:val="bottom"/>
            <w:tcBorders>
              <w:bottom w:val="single" w:sz="8" w:color="auto"/>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6,846</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54"/>
        </w:trPr>
        <w:tc>
          <w:tcPr>
            <w:tcW w:w="4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3,831</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2.2 %</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3,992</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4,488</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2.5 %</w:t>
            </w: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4,018</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8,319</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4.7 %</w:t>
            </w:r>
          </w:p>
        </w:tc>
        <w:tc>
          <w:tcPr>
            <w:tcW w:w="60" w:type="dxa"/>
            <w:vAlign w:val="bottom"/>
            <w:tcBorders>
              <w:bottom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8,010</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47"/>
        </w:trPr>
        <w:tc>
          <w:tcPr>
            <w:tcW w:w="45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8,872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5.0 %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(1,164)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3"/>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expense</w:t>
            </w:r>
          </w:p>
        </w:tc>
        <w:tc>
          <w:tcPr>
            <w:tcW w:w="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7"/>
        </w:trPr>
        <w:tc>
          <w:tcPr>
            <w:tcW w:w="45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8,853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5.0 %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(1,274)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3"/>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2,568</w:t>
            </w: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1.4 %</w:t>
            </w:r>
          </w:p>
        </w:tc>
        <w:tc>
          <w:tcPr>
            <w:tcW w:w="60" w:type="dxa"/>
            <w:vAlign w:val="bottom"/>
            <w:tcBorders>
              <w:bottom w:val="single" w:sz="8" w:color="auto"/>
            </w:tcBorders>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(362)</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0"/>
        </w:trPr>
        <w:tc>
          <w:tcPr>
            <w:tcW w:w="4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6,285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3.5 %</w:t>
            </w:r>
          </w:p>
        </w:tc>
        <w:tc>
          <w:tcPr>
            <w:tcW w:w="60" w:type="dxa"/>
            <w:vAlign w:val="bottom"/>
          </w:tcPr>
          <w:p>
            <w:pPr>
              <w:spacing w:after="0"/>
              <w:rPr>
                <w:sz w:val="24"/>
                <w:szCs w:val="2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(912)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4"/>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8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0.22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(0.03)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0.22</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28,084</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29,151</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28,191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29,248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9"/>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ind w:left="460"/>
              <w:spacing w:after="0"/>
              <w:rPr>
                <w:sz w:val="20"/>
                <w:szCs w:val="20"/>
                <w:color w:val="auto"/>
              </w:rPr>
            </w:pPr>
            <w:r>
              <w:rPr>
                <w:rFonts w:ascii="Arial" w:cs="Arial" w:eastAsia="Arial" w:hAnsi="Arial"/>
                <w:sz w:val="16"/>
                <w:szCs w:val="16"/>
                <w:b w:val="1"/>
                <w:bCs w:val="1"/>
                <w:color w:val="auto"/>
              </w:rPr>
              <w:t>Six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March 2, 2013</w:t>
            </w: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February 25, 2012</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370,720</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263,437</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332,782</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89.8%</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248,095</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94.2 %</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37,938</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10.2%</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15,342</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54"/>
        </w:trPr>
        <w:tc>
          <w:tcPr>
            <w:tcW w:w="4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8,792</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8,154</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60"/>
        </w:trPr>
        <w:tc>
          <w:tcPr>
            <w:tcW w:w="45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7,725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73"/>
        </w:trPr>
        <w:tc>
          <w:tcPr>
            <w:tcW w:w="45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Loss on sale of asset held for sale</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0.0%</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60" w:type="dxa"/>
            <w:vAlign w:val="bottom"/>
            <w:gridSpan w:val="5"/>
            <w:shd w:val="clear" w:color="auto" w:fill="CCEEFF"/>
          </w:tcPr>
          <w:p>
            <w:pPr>
              <w:jc w:val="right"/>
              <w:ind w:right="1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19,120</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5.2%</w:t>
            </w: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15,879</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18,818</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(537)</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595</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19,413</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5,737</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(513)</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13,676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28,196</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29,145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28,280</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29,231</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p>
      <w:pPr>
        <w:spacing w:after="0" w:line="16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six months ended March 2, 2013 and February 25, 2012 contained 27 weeks and 26 weeks, respectively.</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26,235</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62,683</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26,906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22,726</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123,944</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87,094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6,689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4,509</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9,419</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8,453</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194,471</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187,068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20,260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19,978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8,735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9,074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24,515</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23,127</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29,518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30,520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Amortizable intangible assets</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12,831</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13,886</w:t>
            </w:r>
          </w:p>
        </w:tc>
      </w:tr>
      <w:tr>
        <w:trPr>
          <w:trHeight w:val="28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292,157</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286,072</w:t>
            </w:r>
          </w:p>
        </w:tc>
      </w:tr>
      <w:tr>
        <w:trPr>
          <w:trHeight w:val="267"/>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26,083</w:t>
            </w:r>
          </w:p>
        </w:tc>
        <w:tc>
          <w:tcPr>
            <w:tcW w:w="3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24,920</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r>
      <w:tr>
        <w:trPr>
          <w:trHeight w:val="237"/>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36,767</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35,750</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64,002</w:t>
            </w:r>
          </w:p>
        </w:tc>
        <w:tc>
          <w:tcPr>
            <w:tcW w:w="3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61,018</w:t>
            </w:r>
          </w:p>
        </w:tc>
      </w:tr>
      <w:tr>
        <w:trPr>
          <w:trHeight w:val="254"/>
        </w:trPr>
        <w:tc>
          <w:tcPr>
            <w:tcW w:w="79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5,096</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5,228</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70,027</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75,135</w:t>
            </w:r>
          </w:p>
        </w:tc>
      </w:tr>
      <w:tr>
        <w:trPr>
          <w:trHeight w:val="250"/>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75,123</w:t>
            </w:r>
          </w:p>
        </w:tc>
        <w:tc>
          <w:tcPr>
            <w:tcW w:w="3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80,363</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153,032</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144,691</w:t>
            </w:r>
          </w:p>
        </w:tc>
      </w:tr>
      <w:tr>
        <w:trPr>
          <w:trHeight w:val="24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292,157</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286,072</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Six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2,</w:t>
            </w:r>
          </w:p>
        </w:tc>
        <w:tc>
          <w:tcPr>
            <w:tcW w:w="260" w:type="dxa"/>
            <w:vAlign w:val="bottom"/>
          </w:tcPr>
          <w:p>
            <w:pPr>
              <w:spacing w:after="0"/>
              <w:rPr>
                <w:sz w:val="16"/>
                <w:szCs w:val="16"/>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7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13,676</w:t>
            </w:r>
          </w:p>
        </w:tc>
        <w:tc>
          <w:tcPr>
            <w:tcW w:w="2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123</w:t>
            </w:r>
          </w:p>
        </w:tc>
      </w:tr>
      <w:tr>
        <w:trPr>
          <w:trHeight w:val="28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2,178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2,590</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529</w:t>
            </w: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996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749</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(1,550)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(320)</w:t>
            </w: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448</w:t>
            </w:r>
          </w:p>
        </w:tc>
      </w:tr>
      <w:tr>
        <w:trPr>
          <w:trHeight w:val="28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w:t>
            </w:r>
          </w:p>
        </w:tc>
      </w:tr>
      <w:tr>
        <w:trPr>
          <w:trHeight w:val="260"/>
        </w:trPr>
        <w:tc>
          <w:tcPr>
            <w:tcW w:w="7640" w:type="dxa"/>
            <w:vAlign w:val="bottom"/>
          </w:tcPr>
          <w:p>
            <w:pPr>
              <w:ind w:left="220"/>
              <w:spacing w:after="0"/>
              <w:rPr>
                <w:sz w:val="20"/>
                <w:szCs w:val="20"/>
                <w:color w:val="auto"/>
              </w:rPr>
            </w:pPr>
            <w:r>
              <w:rPr>
                <w:rFonts w:ascii="Arial" w:cs="Arial" w:eastAsia="Arial" w:hAnsi="Arial"/>
                <w:sz w:val="16"/>
                <w:szCs w:val="16"/>
                <w:color w:val="auto"/>
              </w:rPr>
              <w:t>(Gain) loss on disposal of property</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21</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r>
      <w:tr>
        <w:trPr>
          <w:trHeight w:val="260"/>
        </w:trPr>
        <w:tc>
          <w:tcPr>
            <w:tcW w:w="7640" w:type="dxa"/>
            <w:vAlign w:val="bottom"/>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(547)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(221)</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311</w:t>
            </w: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(37,401)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8,453</w:t>
            </w: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(6,334)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1,222</w:t>
            </w:r>
          </w:p>
        </w:tc>
      </w:tr>
      <w:tr>
        <w:trPr>
          <w:trHeight w:val="280"/>
        </w:trPr>
        <w:tc>
          <w:tcPr>
            <w:tcW w:w="7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1,618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(248)</w:t>
            </w: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3,052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(207)</w:t>
            </w:r>
          </w:p>
        </w:tc>
      </w:tr>
      <w:tr>
        <w:trPr>
          <w:trHeight w:val="273"/>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(2,136)</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(1,877)</w:t>
            </w: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(26,142)</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11,398</w:t>
            </w:r>
          </w:p>
        </w:tc>
      </w:tr>
      <w:tr>
        <w:trPr>
          <w:trHeight w:val="284"/>
        </w:trPr>
        <w:tc>
          <w:tcPr>
            <w:tcW w:w="7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w:t>
            </w: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Proceeds from life insurance</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974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643</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(2,443)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(1,168)</w:t>
            </w: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COLI borrowings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(1,371)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151</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65</w:t>
            </w:r>
          </w:p>
        </w:tc>
      </w:tr>
      <w:tr>
        <w:trPr>
          <w:trHeight w:val="25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(1,825)</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297</w:t>
            </w:r>
          </w:p>
        </w:tc>
      </w:tr>
      <w:tr>
        <w:trPr>
          <w:trHeight w:val="284"/>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(8,367)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(235)</w:t>
            </w:r>
          </w:p>
        </w:tc>
      </w:tr>
      <w:tr>
        <w:trPr>
          <w:trHeight w:val="273"/>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(8,481)</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w:t>
            </w:r>
          </w:p>
        </w:tc>
      </w:tr>
      <w:tr>
        <w:trPr>
          <w:trHeight w:val="284"/>
        </w:trPr>
        <w:tc>
          <w:tcPr>
            <w:tcW w:w="7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(36,448)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11,493</w:t>
            </w:r>
          </w:p>
        </w:tc>
      </w:tr>
      <w:tr>
        <w:trPr>
          <w:trHeight w:val="273"/>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8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26,235</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80,800</w:t>
            </w:r>
          </w:p>
        </w:tc>
      </w:tr>
      <w:tr>
        <w:trPr>
          <w:trHeight w:val="267"/>
        </w:trPr>
        <w:tc>
          <w:tcPr>
            <w:tcW w:w="7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5,670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w:t>
            </w:r>
          </w:p>
        </w:tc>
      </w:tr>
    </w:tbl>
    <w:p>
      <w:pPr>
        <w:spacing w:after="0" w:line="165"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The six months ended March 2, 2013 and February 25, 2012 contained 27 weeks and 26 weeks, respectively.</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2480" w:type="dxa"/>
            <w:vAlign w:val="bottom"/>
          </w:tcPr>
          <w:p>
            <w:pPr>
              <w:spacing w:after="0"/>
              <w:rPr>
                <w:sz w:val="17"/>
                <w:szCs w:val="17"/>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March 2,</w:t>
            </w: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5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25,</w:t>
            </w: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4"/>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420" w:type="dxa"/>
            <w:vAlign w:val="bottom"/>
            <w:gridSpan w:val="2"/>
          </w:tcPr>
          <w:p>
            <w:pPr>
              <w:ind w:left="2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2012</w:t>
            </w:r>
          </w:p>
        </w:tc>
        <w:tc>
          <w:tcPr>
            <w:tcW w:w="1420" w:type="dxa"/>
            <w:vAlign w:val="bottom"/>
            <w:gridSpan w:val="2"/>
          </w:tcPr>
          <w:p>
            <w:pPr>
              <w:ind w:left="2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gas</w:t>
            </w:r>
          </w:p>
        </w:tc>
        <w:tc>
          <w:tcPr>
            <w:tcW w:w="1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503</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35.4%</w:t>
            </w:r>
          </w:p>
        </w:tc>
        <w:tc>
          <w:tcPr>
            <w:tcW w:w="200" w:type="dxa"/>
            <w:vAlign w:val="bottom"/>
          </w:tcPr>
          <w:p>
            <w:pPr>
              <w:spacing w:after="0"/>
              <w:rPr>
                <w:sz w:val="20"/>
                <w:szCs w:val="20"/>
                <w:color w:val="auto"/>
              </w:rPr>
            </w:pPr>
          </w:p>
        </w:tc>
        <w:tc>
          <w:tcPr>
            <w:tcW w:w="15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353</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35.3%</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42.5 %</w:t>
            </w:r>
          </w:p>
        </w:tc>
      </w:tr>
      <w:tr>
        <w:trPr>
          <w:trHeight w:val="27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diesel</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321</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235</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23.5%</w:t>
            </w:r>
          </w:p>
        </w:tc>
        <w:tc>
          <w:tcPr>
            <w:tcW w:w="2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36.6 %</w:t>
            </w:r>
          </w:p>
        </w:tc>
      </w:tr>
      <w:tr>
        <w:trPr>
          <w:trHeight w:val="247"/>
        </w:trPr>
        <w:tc>
          <w:tcPr>
            <w:tcW w:w="2480" w:type="dxa"/>
            <w:vAlign w:val="bottom"/>
          </w:tcPr>
          <w:p>
            <w:pPr>
              <w:ind w:left="260"/>
              <w:spacing w:after="0"/>
              <w:rPr>
                <w:sz w:val="20"/>
                <w:szCs w:val="20"/>
                <w:color w:val="auto"/>
              </w:rPr>
            </w:pPr>
            <w:r>
              <w:rPr>
                <w:rFonts w:ascii="Arial" w:cs="Arial" w:eastAsia="Arial" w:hAnsi="Arial"/>
                <w:sz w:val="16"/>
                <w:szCs w:val="16"/>
                <w:color w:val="auto"/>
              </w:rPr>
              <w:t>Total Class A</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824</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58.1%</w:t>
            </w:r>
          </w:p>
        </w:tc>
        <w:tc>
          <w:tcPr>
            <w:tcW w:w="200" w:type="dxa"/>
            <w:vAlign w:val="bottom"/>
          </w:tcPr>
          <w:p>
            <w:pPr>
              <w:spacing w:after="0"/>
              <w:rPr>
                <w:sz w:val="21"/>
                <w:szCs w:val="21"/>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588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58.7%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40.1 %</w:t>
            </w:r>
          </w:p>
        </w:tc>
      </w:tr>
      <w:tr>
        <w:trPr>
          <w:trHeight w:val="28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95</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93.9 %</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500</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35.2%</w:t>
            </w: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364</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37.4 %</w:t>
            </w:r>
          </w:p>
        </w:tc>
      </w:tr>
      <w:tr>
        <w:trPr>
          <w:trHeight w:val="240"/>
        </w:trPr>
        <w:tc>
          <w:tcPr>
            <w:tcW w:w="2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motorhomes</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1,419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1,001</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41.8 %</w:t>
            </w:r>
          </w:p>
        </w:tc>
      </w:tr>
      <w:tr>
        <w:trPr>
          <w:trHeight w:val="20"/>
        </w:trPr>
        <w:tc>
          <w:tcPr>
            <w:tcW w:w="2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6"/>
        </w:trPr>
        <w:tc>
          <w:tcPr>
            <w:tcW w:w="2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79.9%</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54.1%</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44.1 %</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110</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w:t>
            </w: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45.9%</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(57.4)%</w:t>
            </w:r>
          </w:p>
        </w:tc>
      </w:tr>
      <w:tr>
        <w:trPr>
          <w:trHeight w:val="240"/>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towables</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548</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562</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r>
      <w:tr>
        <w:trPr>
          <w:trHeight w:val="20"/>
        </w:trPr>
        <w:tc>
          <w:tcPr>
            <w:tcW w:w="2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83"/>
        </w:trPr>
        <w:tc>
          <w:tcPr>
            <w:tcW w:w="24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Six Months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Ended</w:t>
            </w: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98"/>
              </w:rPr>
              <w:t>Change</w:t>
            </w:r>
          </w:p>
        </w:tc>
      </w:tr>
      <w:tr>
        <w:trPr>
          <w:trHeight w:val="191"/>
        </w:trPr>
        <w:tc>
          <w:tcPr>
            <w:tcW w:w="24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March 2,</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Product</w:t>
            </w:r>
          </w:p>
        </w:tc>
        <w:tc>
          <w:tcPr>
            <w:tcW w:w="15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25,</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Product</w:t>
            </w: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4"/>
        </w:trPr>
        <w:tc>
          <w:tcPr>
            <w:tcW w:w="2480" w:type="dxa"/>
            <w:vAlign w:val="bottom"/>
          </w:tcPr>
          <w:p>
            <w:pPr>
              <w:ind w:left="20"/>
              <w:spacing w:after="0"/>
              <w:rPr>
                <w:sz w:val="20"/>
                <w:szCs w:val="20"/>
                <w:color w:val="auto"/>
              </w:rPr>
            </w:pPr>
            <w:r>
              <w:rPr>
                <w:rFonts w:ascii="Arial" w:cs="Arial" w:eastAsia="Arial" w:hAnsi="Arial"/>
                <w:sz w:val="16"/>
                <w:szCs w:val="16"/>
                <w:color w:val="auto"/>
              </w:rPr>
              <w:t>(In units)</w:t>
            </w: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420" w:type="dxa"/>
            <w:vAlign w:val="bottom"/>
            <w:gridSpan w:val="2"/>
          </w:tcPr>
          <w:p>
            <w:pPr>
              <w:jc w:val="right"/>
              <w:ind w:right="5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2012</w:t>
            </w:r>
          </w:p>
        </w:tc>
        <w:tc>
          <w:tcPr>
            <w:tcW w:w="1420" w:type="dxa"/>
            <w:vAlign w:val="bottom"/>
            <w:gridSpan w:val="2"/>
          </w:tcPr>
          <w:p>
            <w:pPr>
              <w:jc w:val="right"/>
              <w:ind w:right="5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0"/>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gas</w:t>
            </w:r>
          </w:p>
        </w:tc>
        <w:tc>
          <w:tcPr>
            <w:tcW w:w="1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1,123</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38.0%</w:t>
            </w:r>
          </w:p>
        </w:tc>
        <w:tc>
          <w:tcPr>
            <w:tcW w:w="200" w:type="dxa"/>
            <w:vAlign w:val="bottom"/>
          </w:tcPr>
          <w:p>
            <w:pPr>
              <w:spacing w:after="0"/>
              <w:rPr>
                <w:sz w:val="20"/>
                <w:szCs w:val="20"/>
                <w:color w:val="auto"/>
              </w:rPr>
            </w:pPr>
          </w:p>
        </w:tc>
        <w:tc>
          <w:tcPr>
            <w:tcW w:w="15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734</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36.0%</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53.0 %</w:t>
            </w:r>
          </w:p>
        </w:tc>
      </w:tr>
      <w:tr>
        <w:trPr>
          <w:trHeight w:val="27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diesel</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666</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467</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c>
          <w:tcPr>
            <w:tcW w:w="2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42.6 %</w:t>
            </w:r>
          </w:p>
        </w:tc>
      </w:tr>
      <w:tr>
        <w:trPr>
          <w:trHeight w:val="247"/>
        </w:trPr>
        <w:tc>
          <w:tcPr>
            <w:tcW w:w="2480" w:type="dxa"/>
            <w:vAlign w:val="bottom"/>
          </w:tcPr>
          <w:p>
            <w:pPr>
              <w:ind w:left="260"/>
              <w:spacing w:after="0"/>
              <w:rPr>
                <w:sz w:val="20"/>
                <w:szCs w:val="20"/>
                <w:color w:val="auto"/>
              </w:rPr>
            </w:pPr>
            <w:r>
              <w:rPr>
                <w:rFonts w:ascii="Arial" w:cs="Arial" w:eastAsia="Arial" w:hAnsi="Arial"/>
                <w:sz w:val="16"/>
                <w:szCs w:val="16"/>
                <w:color w:val="auto"/>
              </w:rPr>
              <w:t>Total Class A</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1,789</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60.6%</w:t>
            </w:r>
          </w:p>
        </w:tc>
        <w:tc>
          <w:tcPr>
            <w:tcW w:w="200" w:type="dxa"/>
            <w:vAlign w:val="bottom"/>
          </w:tcPr>
          <w:p>
            <w:pPr>
              <w:spacing w:after="0"/>
              <w:rPr>
                <w:sz w:val="21"/>
                <w:szCs w:val="21"/>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1,201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58.8%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588</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49.0 %</w:t>
            </w:r>
          </w:p>
        </w:tc>
      </w:tr>
      <w:tr>
        <w:trPr>
          <w:trHeight w:val="28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185</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128</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44.5 %</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979</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33.2%</w:t>
            </w: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712</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34.9%</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37.5 %</w:t>
            </w:r>
          </w:p>
        </w:tc>
      </w:tr>
      <w:tr>
        <w:trPr>
          <w:trHeight w:val="240"/>
        </w:trPr>
        <w:tc>
          <w:tcPr>
            <w:tcW w:w="2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motor homes</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2,953</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2,041</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44.7 %</w:t>
            </w:r>
          </w:p>
        </w:tc>
      </w:tr>
      <w:tr>
        <w:trPr>
          <w:trHeight w:val="20"/>
        </w:trPr>
        <w:tc>
          <w:tcPr>
            <w:tcW w:w="2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6"/>
        </w:trPr>
        <w:tc>
          <w:tcPr>
            <w:tcW w:w="2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846</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76.6%</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571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57.3%</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48.2 %</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259</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23.4%</w:t>
            </w: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426</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(39.2)%</w:t>
            </w:r>
          </w:p>
        </w:tc>
      </w:tr>
      <w:tr>
        <w:trPr>
          <w:trHeight w:val="240"/>
        </w:trPr>
        <w:tc>
          <w:tcPr>
            <w:tcW w:w="2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towables</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1,105</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997</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10.8 %</w:t>
            </w:r>
          </w:p>
        </w:tc>
      </w:tr>
      <w:tr>
        <w:trPr>
          <w:trHeight w:val="20"/>
        </w:trPr>
        <w:tc>
          <w:tcPr>
            <w:tcW w:w="2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21"/>
          <w:szCs w:val="21"/>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six months ended March 2, 2013 and February 25, 2012 contained 27 weeks and 26 weeks,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gridSpan w:val="4"/>
          </w:tcPr>
          <w:p>
            <w:pPr>
              <w:jc w:val="right"/>
              <w:ind w:right="1140"/>
              <w:spacing w:after="0"/>
              <w:rPr>
                <w:sz w:val="20"/>
                <w:szCs w:val="20"/>
                <w:color w:val="auto"/>
              </w:rPr>
            </w:pPr>
            <w:r>
              <w:rPr>
                <w:rFonts w:ascii="Arial" w:cs="Arial" w:eastAsia="Arial" w:hAnsi="Arial"/>
                <w:sz w:val="16"/>
                <w:szCs w:val="16"/>
                <w:b w:val="1"/>
                <w:bCs w:val="1"/>
                <w:color w:val="auto"/>
              </w:rPr>
              <w:t>March 2, 2013</w:t>
            </w:r>
          </w:p>
        </w:tc>
        <w:tc>
          <w:tcPr>
            <w:tcW w:w="2440" w:type="dxa"/>
            <w:vAlign w:val="bottom"/>
            <w:gridSpan w:val="3"/>
          </w:tcPr>
          <w:p>
            <w:pPr>
              <w:ind w:left="360"/>
              <w:spacing w:after="0"/>
              <w:rPr>
                <w:sz w:val="20"/>
                <w:szCs w:val="20"/>
                <w:color w:val="auto"/>
              </w:rPr>
            </w:pPr>
            <w:r>
              <w:rPr>
                <w:rFonts w:ascii="Arial" w:cs="Arial" w:eastAsia="Arial" w:hAnsi="Arial"/>
                <w:sz w:val="16"/>
                <w:szCs w:val="16"/>
                <w:b w:val="1"/>
                <w:bCs w:val="1"/>
                <w:color w:val="auto"/>
              </w:rPr>
              <w:t>February 25, 2012</w:t>
            </w:r>
          </w:p>
        </w:tc>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3180" w:type="dxa"/>
            <w:vAlign w:val="bottom"/>
            <w:tcBorders>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Units</w:t>
            </w:r>
          </w:p>
        </w:tc>
        <w:tc>
          <w:tcPr>
            <w:tcW w:w="1300" w:type="dxa"/>
            <w:vAlign w:val="bottom"/>
            <w:tcBorders>
              <w:top w:val="single" w:sz="8" w:color="auto"/>
              <w:bottom w:val="single" w:sz="8" w:color="auto"/>
            </w:tcBorders>
          </w:tcPr>
          <w:p>
            <w:pPr>
              <w:jc w:val="right"/>
              <w:ind w:right="661"/>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220" w:type="dxa"/>
            <w:vAlign w:val="bottom"/>
            <w:tcBorders>
              <w:top w:val="single" w:sz="8" w:color="auto"/>
              <w:bottom w:val="single" w:sz="8" w:color="auto"/>
            </w:tcBorders>
          </w:tcPr>
          <w:p>
            <w:pPr>
              <w:jc w:val="right"/>
              <w:ind w:right="48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3180" w:type="dxa"/>
            <w:vAlign w:val="bottom"/>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1,216</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306</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719"/>
              <w:spacing w:after="0"/>
              <w:rPr>
                <w:sz w:val="20"/>
                <w:szCs w:val="20"/>
                <w:color w:val="auto"/>
              </w:rPr>
            </w:pPr>
            <w:r>
              <w:rPr>
                <w:rFonts w:ascii="Arial" w:cs="Arial" w:eastAsia="Arial" w:hAnsi="Arial"/>
                <w:sz w:val="16"/>
                <w:szCs w:val="16"/>
                <w:color w:val="auto"/>
              </w:rPr>
              <w:t>910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297.4 %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375</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196</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179</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91.3 %</w:t>
            </w:r>
          </w:p>
        </w:tc>
      </w:tr>
      <w:tr>
        <w:trPr>
          <w:trHeight w:val="247"/>
        </w:trPr>
        <w:tc>
          <w:tcPr>
            <w:tcW w:w="3180" w:type="dxa"/>
            <w:vAlign w:val="bottom"/>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1,591</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502</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719"/>
              <w:spacing w:after="0"/>
              <w:rPr>
                <w:sz w:val="20"/>
                <w:szCs w:val="20"/>
                <w:color w:val="auto"/>
              </w:rPr>
            </w:pPr>
            <w:r>
              <w:rPr>
                <w:rFonts w:ascii="Arial" w:cs="Arial" w:eastAsia="Arial" w:hAnsi="Arial"/>
                <w:sz w:val="16"/>
                <w:szCs w:val="16"/>
                <w:color w:val="auto"/>
              </w:rPr>
              <w:t>1,089</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216.9 %</w:t>
            </w:r>
          </w:p>
        </w:tc>
      </w:tr>
      <w:tr>
        <w:trPr>
          <w:trHeight w:val="28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83</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38</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45.8 %</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1,040</w:t>
            </w: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419</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621</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148.2 %</w:t>
            </w:r>
          </w:p>
        </w:tc>
      </w:tr>
      <w:tr>
        <w:trPr>
          <w:trHeight w:val="243"/>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2,752</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1,004</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1,748</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174.1 %</w:t>
            </w:r>
          </w:p>
        </w:tc>
      </w:tr>
      <w:tr>
        <w:trPr>
          <w:trHeight w:val="20"/>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325</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230</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95</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41.3 %</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56</w:t>
            </w: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187</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(131)</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(70.1)%</w:t>
            </w:r>
          </w:p>
        </w:tc>
      </w:tr>
      <w:tr>
        <w:trPr>
          <w:trHeight w:val="243"/>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381</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417</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(36)</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r>
      <w:tr>
        <w:trPr>
          <w:trHeight w:val="20"/>
        </w:trPr>
        <w:tc>
          <w:tcPr>
            <w:tcW w:w="44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3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70"/>
        </w:trPr>
        <w:tc>
          <w:tcPr>
            <w:tcW w:w="4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Motorhome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277,270</w:t>
            </w:r>
          </w:p>
        </w:tc>
        <w:tc>
          <w:tcPr>
            <w:tcW w:w="1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103,978</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719"/>
              <w:spacing w:after="0"/>
              <w:rPr>
                <w:sz w:val="20"/>
                <w:szCs w:val="20"/>
                <w:color w:val="auto"/>
              </w:rPr>
            </w:pPr>
            <w:r>
              <w:rPr>
                <w:rFonts w:ascii="Arial" w:cs="Arial" w:eastAsia="Arial" w:hAnsi="Arial"/>
                <w:sz w:val="16"/>
                <w:szCs w:val="16"/>
                <w:color w:val="auto"/>
              </w:rPr>
              <w:t>173,292</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166.7 %</w:t>
            </w:r>
          </w:p>
        </w:tc>
      </w:tr>
      <w:tr>
        <w:trPr>
          <w:trHeight w:val="28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8,105</w:t>
            </w: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10,671</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(2,566)</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r>
    </w:tbl>
    <w:p>
      <w:pPr>
        <w:spacing w:after="0" w:line="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18"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304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Units As Of</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198"/>
        </w:trPr>
        <w:tc>
          <w:tcPr>
            <w:tcW w:w="59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2,</w:t>
            </w: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February 25,</w:t>
            </w: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5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Units</w:t>
            </w:r>
          </w:p>
        </w:tc>
        <w:tc>
          <w:tcPr>
            <w:tcW w:w="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r>
      <w:tr>
        <w:trPr>
          <w:trHeight w:val="257"/>
        </w:trPr>
        <w:tc>
          <w:tcPr>
            <w:tcW w:w="5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318</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w:t>
            </w:r>
          </w:p>
        </w:tc>
      </w:tr>
      <w:tr>
        <w:trPr>
          <w:trHeight w:val="251"/>
        </w:trPr>
        <w:tc>
          <w:tcPr>
            <w:tcW w:w="592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1"/>
                <w:szCs w:val="21"/>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color w:val="auto"/>
              </w:rPr>
              <w:t>399</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29.0%</w:t>
            </w:r>
          </w:p>
        </w:tc>
      </w:tr>
    </w:tbl>
    <w:p>
      <w:pPr>
        <w:spacing w:after="0" w:line="1" w:lineRule="exact"/>
        <w:rPr>
          <w:sz w:val="20"/>
          <w:szCs w:val="20"/>
          <w:color w:val="auto"/>
        </w:rPr>
      </w:pPr>
    </w:p>
    <w:sectPr>
      <w:pgSz w:w="11900" w:h="16838" w:orient="portrait"/>
      <w:cols w:equalWidth="0" w:num="1">
        <w:col w:w="11420"/>
      </w:cols>
      <w:pgMar w:left="240" w:top="576" w:right="239" w:bottom="4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2019-12-05T16:47:37Z</dcterms:created>
  <dcterms:modified xsi:type="dcterms:W3CDTF">2019-12-05T16:47:37Z</dcterms:modified>
</cp:coreProperties>
</file>