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8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96" w:lineRule="exact"/>
        <w:rPr>
          <w:sz w:val="24"/>
          <w:szCs w:val="24"/>
          <w:color w:val="auto"/>
        </w:rPr>
      </w:pPr>
    </w:p>
    <w:tbl>
      <w:tblPr>
        <w:tblLayout w:type="fixed"/>
        <w:tblInd w:w="1660" w:type="dxa"/>
        <w:tblCellMar>
          <w:top w:w="0" w:type="dxa"/>
          <w:left w:w="0" w:type="dxa"/>
          <w:bottom w:w="0" w:type="dxa"/>
          <w:right w:w="0" w:type="dxa"/>
        </w:tblCellMar>
      </w:tblPr>
      <w:tr>
        <w:trPr>
          <w:trHeight w:val="207"/>
        </w:trPr>
        <w:tc>
          <w:tcPr>
            <w:tcW w:w="5020" w:type="dxa"/>
            <w:vAlign w:val="bottom"/>
            <w:gridSpan w:val="9"/>
          </w:tcPr>
          <w:p>
            <w:pPr>
              <w:ind w:left="860"/>
              <w:spacing w:after="0"/>
              <w:rPr>
                <w:sz w:val="20"/>
                <w:szCs w:val="20"/>
                <w:color w:val="auto"/>
              </w:rPr>
            </w:pPr>
            <w:r>
              <w:rPr>
                <w:rFonts w:ascii="Arial" w:cs="Arial" w:eastAsia="Arial" w:hAnsi="Arial"/>
                <w:sz w:val="18"/>
                <w:szCs w:val="18"/>
                <w:color w:val="auto"/>
              </w:rPr>
              <w:t>Date of Report (Date of earliest event reported)</w:t>
            </w:r>
          </w:p>
        </w:tc>
        <w:tc>
          <w:tcPr>
            <w:tcW w:w="2940" w:type="dxa"/>
            <w:vAlign w:val="bottom"/>
            <w:gridSpan w:val="6"/>
          </w:tcPr>
          <w:p>
            <w:pPr>
              <w:ind w:left="40"/>
              <w:spacing w:after="0"/>
              <w:rPr>
                <w:sz w:val="20"/>
                <w:szCs w:val="20"/>
                <w:color w:val="auto"/>
              </w:rPr>
            </w:pPr>
            <w:r>
              <w:rPr>
                <w:rFonts w:ascii="Arial" w:cs="Arial" w:eastAsia="Arial" w:hAnsi="Arial"/>
                <w:sz w:val="18"/>
                <w:szCs w:val="18"/>
                <w:color w:val="auto"/>
              </w:rPr>
              <w:t>November 5, 2004</w:t>
            </w:r>
          </w:p>
        </w:tc>
        <w:tc>
          <w:tcPr>
            <w:tcW w:w="80" w:type="dxa"/>
            <w:vAlign w:val="bottom"/>
          </w:tcPr>
          <w:p>
            <w:pPr>
              <w:spacing w:after="0"/>
              <w:rPr>
                <w:sz w:val="17"/>
                <w:szCs w:val="17"/>
                <w:color w:val="auto"/>
              </w:rPr>
            </w:pPr>
          </w:p>
        </w:tc>
      </w:tr>
      <w:tr>
        <w:trPr>
          <w:trHeight w:val="20"/>
        </w:trPr>
        <w:tc>
          <w:tcPr>
            <w:tcW w:w="2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22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0"/>
              </w:rPr>
              <w:t>Winnebago Industries, Inc.</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5"/>
        </w:trPr>
        <w:tc>
          <w:tcPr>
            <w:tcW w:w="7960" w:type="dxa"/>
            <w:vAlign w:val="bottom"/>
            <w:gridSpan w:val="15"/>
          </w:tcPr>
          <w:p>
            <w:pPr>
              <w:ind w:left="2240"/>
              <w:spacing w:after="0"/>
              <w:rPr>
                <w:sz w:val="20"/>
                <w:szCs w:val="20"/>
                <w:color w:val="auto"/>
              </w:rPr>
            </w:pPr>
            <w:r>
              <w:rPr>
                <w:rFonts w:ascii="Arial" w:cs="Arial" w:eastAsia="Arial" w:hAnsi="Arial"/>
                <w:sz w:val="18"/>
                <w:szCs w:val="18"/>
                <w:color w:val="auto"/>
              </w:rPr>
              <w:t>(Exact name of registrant as specified in its charter)</w:t>
            </w:r>
          </w:p>
        </w:tc>
        <w:tc>
          <w:tcPr>
            <w:tcW w:w="80" w:type="dxa"/>
            <w:vAlign w:val="bottom"/>
          </w:tcPr>
          <w:p>
            <w:pPr>
              <w:spacing w:after="0"/>
              <w:rPr>
                <w:sz w:val="20"/>
                <w:szCs w:val="20"/>
                <w:color w:val="auto"/>
              </w:rPr>
            </w:pPr>
          </w:p>
        </w:tc>
      </w:tr>
      <w:tr>
        <w:trPr>
          <w:trHeight w:val="432"/>
        </w:trPr>
        <w:tc>
          <w:tcPr>
            <w:tcW w:w="3080" w:type="dxa"/>
            <w:vAlign w:val="bottom"/>
            <w:gridSpan w:val="4"/>
          </w:tcPr>
          <w:p>
            <w:pPr>
              <w:jc w:val="center"/>
              <w:ind w:right="320"/>
              <w:spacing w:after="0"/>
              <w:rPr>
                <w:sz w:val="20"/>
                <w:szCs w:val="20"/>
                <w:color w:val="auto"/>
              </w:rPr>
            </w:pPr>
            <w:r>
              <w:rPr>
                <w:rFonts w:ascii="Arial" w:cs="Arial" w:eastAsia="Arial" w:hAnsi="Arial"/>
                <w:sz w:val="18"/>
                <w:szCs w:val="18"/>
                <w:color w:val="auto"/>
                <w:w w:val="94"/>
              </w:rPr>
              <w:t>Iowa</w:t>
            </w:r>
          </w:p>
        </w:tc>
        <w:tc>
          <w:tcPr>
            <w:tcW w:w="1940" w:type="dxa"/>
            <w:vAlign w:val="bottom"/>
            <w:gridSpan w:val="5"/>
          </w:tcPr>
          <w:p>
            <w:pPr>
              <w:jc w:val="right"/>
              <w:ind w:right="460"/>
              <w:spacing w:after="0"/>
              <w:rPr>
                <w:sz w:val="20"/>
                <w:szCs w:val="20"/>
                <w:color w:val="auto"/>
              </w:rPr>
            </w:pPr>
            <w:r>
              <w:rPr>
                <w:rFonts w:ascii="Arial" w:cs="Arial" w:eastAsia="Arial" w:hAnsi="Arial"/>
                <w:sz w:val="18"/>
                <w:szCs w:val="18"/>
                <w:color w:val="auto"/>
              </w:rPr>
              <w:t>001-06403</w:t>
            </w:r>
          </w:p>
        </w:tc>
        <w:tc>
          <w:tcPr>
            <w:tcW w:w="220" w:type="dxa"/>
            <w:vAlign w:val="bottom"/>
          </w:tcPr>
          <w:p>
            <w:pPr>
              <w:spacing w:after="0"/>
              <w:rPr>
                <w:sz w:val="24"/>
                <w:szCs w:val="24"/>
                <w:color w:val="auto"/>
              </w:rPr>
            </w:pPr>
          </w:p>
        </w:tc>
        <w:tc>
          <w:tcPr>
            <w:tcW w:w="2020" w:type="dxa"/>
            <w:vAlign w:val="bottom"/>
            <w:gridSpan w:val="4"/>
          </w:tcPr>
          <w:p>
            <w:pPr>
              <w:jc w:val="center"/>
              <w:ind w:left="952"/>
              <w:spacing w:after="0"/>
              <w:rPr>
                <w:sz w:val="20"/>
                <w:szCs w:val="20"/>
                <w:color w:val="auto"/>
              </w:rPr>
            </w:pPr>
            <w:r>
              <w:rPr>
                <w:rFonts w:ascii="Arial" w:cs="Arial" w:eastAsia="Arial" w:hAnsi="Arial"/>
                <w:sz w:val="18"/>
                <w:szCs w:val="18"/>
                <w:color w:val="auto"/>
                <w:w w:val="89"/>
              </w:rPr>
              <w:t>42-0802678</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0"/>
        </w:trPr>
        <w:tc>
          <w:tcPr>
            <w:tcW w:w="2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343"/>
        </w:trPr>
        <w:tc>
          <w:tcPr>
            <w:tcW w:w="3080" w:type="dxa"/>
            <w:vAlign w:val="bottom"/>
            <w:gridSpan w:val="4"/>
          </w:tcPr>
          <w:p>
            <w:pPr>
              <w:jc w:val="center"/>
              <w:ind w:right="320"/>
              <w:spacing w:after="0"/>
              <w:rPr>
                <w:sz w:val="20"/>
                <w:szCs w:val="20"/>
                <w:color w:val="auto"/>
              </w:rPr>
            </w:pPr>
            <w:r>
              <w:rPr>
                <w:rFonts w:ascii="Arial" w:cs="Arial" w:eastAsia="Arial" w:hAnsi="Arial"/>
                <w:sz w:val="18"/>
                <w:szCs w:val="18"/>
                <w:color w:val="auto"/>
                <w:w w:val="89"/>
              </w:rPr>
              <w:t>(State or other jurisdiction</w:t>
            </w:r>
          </w:p>
        </w:tc>
        <w:tc>
          <w:tcPr>
            <w:tcW w:w="2160" w:type="dxa"/>
            <w:vAlign w:val="bottom"/>
            <w:gridSpan w:val="6"/>
          </w:tcPr>
          <w:p>
            <w:pPr>
              <w:jc w:val="center"/>
              <w:spacing w:after="0"/>
              <w:rPr>
                <w:sz w:val="20"/>
                <w:szCs w:val="20"/>
                <w:color w:val="auto"/>
              </w:rPr>
            </w:pPr>
            <w:r>
              <w:rPr>
                <w:rFonts w:ascii="Arial" w:cs="Arial" w:eastAsia="Arial" w:hAnsi="Arial"/>
                <w:sz w:val="18"/>
                <w:szCs w:val="18"/>
                <w:color w:val="auto"/>
                <w:w w:val="90"/>
              </w:rPr>
              <w:t>(Commission File Number)</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(IRS Employer</w:t>
            </w:r>
          </w:p>
        </w:tc>
        <w:tc>
          <w:tcPr>
            <w:tcW w:w="80" w:type="dxa"/>
            <w:vAlign w:val="bottom"/>
          </w:tcPr>
          <w:p>
            <w:pPr>
              <w:spacing w:after="0"/>
              <w:rPr>
                <w:sz w:val="24"/>
                <w:szCs w:val="24"/>
                <w:color w:val="auto"/>
              </w:rPr>
            </w:pPr>
          </w:p>
        </w:tc>
      </w:tr>
      <w:tr>
        <w:trPr>
          <w:trHeight w:val="243"/>
        </w:trPr>
        <w:tc>
          <w:tcPr>
            <w:tcW w:w="3080" w:type="dxa"/>
            <w:vAlign w:val="bottom"/>
            <w:gridSpan w:val="4"/>
          </w:tcPr>
          <w:p>
            <w:pPr>
              <w:jc w:val="center"/>
              <w:ind w:right="320"/>
              <w:spacing w:after="0"/>
              <w:rPr>
                <w:sz w:val="20"/>
                <w:szCs w:val="20"/>
                <w:color w:val="auto"/>
              </w:rPr>
            </w:pPr>
            <w:r>
              <w:rPr>
                <w:rFonts w:ascii="Arial" w:cs="Arial" w:eastAsia="Arial" w:hAnsi="Arial"/>
                <w:sz w:val="18"/>
                <w:szCs w:val="18"/>
                <w:color w:val="auto"/>
                <w:w w:val="92"/>
              </w:rPr>
              <w:t>of incorporation)</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Identification No.)</w:t>
            </w:r>
          </w:p>
        </w:tc>
        <w:tc>
          <w:tcPr>
            <w:tcW w:w="80" w:type="dxa"/>
            <w:vAlign w:val="bottom"/>
          </w:tcPr>
          <w:p>
            <w:pPr>
              <w:spacing w:after="0"/>
              <w:rPr>
                <w:sz w:val="21"/>
                <w:szCs w:val="21"/>
                <w:color w:val="auto"/>
              </w:rPr>
            </w:pPr>
          </w:p>
        </w:tc>
      </w:tr>
      <w:tr>
        <w:trPr>
          <w:trHeight w:val="459"/>
        </w:trPr>
        <w:tc>
          <w:tcPr>
            <w:tcW w:w="3080" w:type="dxa"/>
            <w:vAlign w:val="bottom"/>
            <w:gridSpan w:val="4"/>
          </w:tcPr>
          <w:p>
            <w:pPr>
              <w:jc w:val="center"/>
              <w:ind w:left="712"/>
              <w:spacing w:after="0"/>
              <w:rPr>
                <w:sz w:val="20"/>
                <w:szCs w:val="20"/>
                <w:color w:val="auto"/>
              </w:rPr>
            </w:pPr>
            <w:r>
              <w:rPr>
                <w:rFonts w:ascii="Arial" w:cs="Arial" w:eastAsia="Arial" w:hAnsi="Arial"/>
                <w:sz w:val="18"/>
                <w:szCs w:val="18"/>
                <w:color w:val="auto"/>
                <w:w w:val="88"/>
              </w:rPr>
              <w:t>P.O. Box 152, Forest City, Iowa</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4"/>
          </w:tcPr>
          <w:p>
            <w:pPr>
              <w:jc w:val="right"/>
              <w:ind w:right="872"/>
              <w:spacing w:after="0"/>
              <w:rPr>
                <w:sz w:val="20"/>
                <w:szCs w:val="20"/>
                <w:color w:val="auto"/>
              </w:rPr>
            </w:pPr>
            <w:r>
              <w:rPr>
                <w:rFonts w:ascii="Arial" w:cs="Arial" w:eastAsia="Arial" w:hAnsi="Arial"/>
                <w:sz w:val="18"/>
                <w:szCs w:val="18"/>
                <w:color w:val="auto"/>
              </w:rPr>
              <w:t>50436</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0"/>
        </w:trPr>
        <w:tc>
          <w:tcPr>
            <w:tcW w:w="226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gridSpan w:val="4"/>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r>
        <w:trPr>
          <w:trHeight w:val="316"/>
        </w:trPr>
        <w:tc>
          <w:tcPr>
            <w:tcW w:w="5020" w:type="dxa"/>
            <w:vAlign w:val="bottom"/>
            <w:gridSpan w:val="9"/>
          </w:tcPr>
          <w:p>
            <w:pPr>
              <w:jc w:val="center"/>
              <w:ind w:right="1120"/>
              <w:spacing w:after="0"/>
              <w:rPr>
                <w:sz w:val="20"/>
                <w:szCs w:val="20"/>
                <w:color w:val="auto"/>
              </w:rPr>
            </w:pPr>
            <w:r>
              <w:rPr>
                <w:rFonts w:ascii="Arial" w:cs="Arial" w:eastAsia="Arial" w:hAnsi="Arial"/>
                <w:sz w:val="18"/>
                <w:szCs w:val="18"/>
                <w:color w:val="auto"/>
                <w:w w:val="90"/>
              </w:rPr>
              <w:t>(Address of principal executive offices)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3"/>
          </w:tcPr>
          <w:p>
            <w:pPr>
              <w:jc w:val="center"/>
              <w:ind w:right="1400"/>
              <w:spacing w:after="0"/>
              <w:rPr>
                <w:sz w:val="20"/>
                <w:szCs w:val="20"/>
                <w:color w:val="auto"/>
              </w:rPr>
            </w:pPr>
            <w:r>
              <w:rPr>
                <w:rFonts w:ascii="Arial" w:cs="Arial" w:eastAsia="Arial" w:hAnsi="Arial"/>
                <w:sz w:val="18"/>
                <w:szCs w:val="18"/>
                <w:color w:val="auto"/>
                <w:w w:val="89"/>
              </w:rPr>
              <w:t>(Zip Code)</w:t>
            </w:r>
          </w:p>
        </w:tc>
        <w:tc>
          <w:tcPr>
            <w:tcW w:w="80" w:type="dxa"/>
            <w:vAlign w:val="bottom"/>
          </w:tcPr>
          <w:p>
            <w:pPr>
              <w:spacing w:after="0"/>
              <w:rPr>
                <w:sz w:val="24"/>
                <w:szCs w:val="24"/>
                <w:color w:val="auto"/>
              </w:rPr>
            </w:pPr>
          </w:p>
        </w:tc>
      </w:tr>
      <w:tr>
        <w:trPr>
          <w:trHeight w:val="394"/>
        </w:trPr>
        <w:tc>
          <w:tcPr>
            <w:tcW w:w="4520" w:type="dxa"/>
            <w:vAlign w:val="bottom"/>
            <w:gridSpan w:val="8"/>
          </w:tcPr>
          <w:p>
            <w:pPr>
              <w:ind w:left="880"/>
              <w:spacing w:after="0"/>
              <w:rPr>
                <w:sz w:val="20"/>
                <w:szCs w:val="20"/>
                <w:color w:val="auto"/>
              </w:rPr>
            </w:pPr>
            <w:r>
              <w:rPr>
                <w:rFonts w:ascii="Arial" w:cs="Arial" w:eastAsia="Arial" w:hAnsi="Arial"/>
                <w:sz w:val="18"/>
                <w:szCs w:val="18"/>
                <w:color w:val="auto"/>
                <w:w w:val="88"/>
              </w:rPr>
              <w:t>Registrant's telephone number, including area code</w:t>
            </w: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8"/>
                <w:szCs w:val="18"/>
                <w:color w:val="auto"/>
                <w:w w:val="96"/>
              </w:rPr>
              <w:t>641-585-3535</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905510</wp:posOffset>
            </wp:positionH>
            <wp:positionV relativeFrom="paragraph">
              <wp:posOffset>154305</wp:posOffset>
            </wp:positionV>
            <wp:extent cx="54457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28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left="13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ind w:left="18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-125730</wp:posOffset>
            </wp:positionV>
            <wp:extent cx="94615" cy="102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232" w:lineRule="exact"/>
        <w:rPr>
          <w:sz w:val="24"/>
          <w:szCs w:val="24"/>
          <w:color w:val="auto"/>
        </w:rPr>
      </w:pPr>
    </w:p>
    <w:p>
      <w:pPr>
        <w:ind w:left="184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-125730</wp:posOffset>
            </wp:positionV>
            <wp:extent cx="94615"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232" w:lineRule="exact"/>
        <w:rPr>
          <w:sz w:val="24"/>
          <w:szCs w:val="24"/>
          <w:color w:val="auto"/>
        </w:rPr>
      </w:pPr>
    </w:p>
    <w:p>
      <w:pPr>
        <w:ind w:left="18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-125730</wp:posOffset>
            </wp:positionV>
            <wp:extent cx="94615"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232" w:lineRule="exact"/>
        <w:rPr>
          <w:sz w:val="24"/>
          <w:szCs w:val="24"/>
          <w:color w:val="auto"/>
        </w:rPr>
      </w:pPr>
    </w:p>
    <w:p>
      <w:pPr>
        <w:ind w:left="18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1038225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-125730</wp:posOffset>
            </wp:positionV>
            <wp:extent cx="94615" cy="102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31" w:lineRule="exact"/>
        <w:rPr>
          <w:sz w:val="24"/>
          <w:szCs w:val="24"/>
          <w:color w:val="auto"/>
        </w:rPr>
      </w:pPr>
    </w:p>
    <w:p>
      <w:pPr>
        <w:spacing w:after="0" w:line="298" w:lineRule="auto"/>
        <w:rPr>
          <w:sz w:val="20"/>
          <w:szCs w:val="20"/>
          <w:color w:val="auto"/>
        </w:rPr>
      </w:pPr>
      <w:r>
        <w:rPr>
          <w:rFonts w:ascii="Arial" w:cs="Arial" w:eastAsia="Arial" w:hAnsi="Arial"/>
          <w:sz w:val="16"/>
          <w:szCs w:val="16"/>
          <w:color w:val="auto"/>
        </w:rPr>
        <w:t>Winnebago Industries, Inc. (</w:t>
      </w:r>
      <w:r>
        <w:rPr>
          <w:rFonts w:ascii="Arial" w:cs="Arial" w:eastAsia="Arial" w:hAnsi="Arial"/>
          <w:sz w:val="16"/>
          <w:szCs w:val="16"/>
          <w:i w:val="1"/>
          <w:iCs w:val="1"/>
          <w:color w:val="auto"/>
        </w:rPr>
        <w:t>“Winnebago”</w:t>
      </w:r>
      <w:r>
        <w:rPr>
          <w:rFonts w:ascii="Arial" w:cs="Arial" w:eastAsia="Arial" w:hAnsi="Arial"/>
          <w:sz w:val="16"/>
          <w:szCs w:val="16"/>
          <w:color w:val="auto"/>
        </w:rPr>
        <w:t>) is filing herewith a press release issued on November 9, 2004, as Exhibit 99.1 which is included herein. The press release was issued to report that Hanson Capital Partners, LLC (</w:t>
      </w:r>
      <w:r>
        <w:rPr>
          <w:rFonts w:ascii="Arial" w:cs="Arial" w:eastAsia="Arial" w:hAnsi="Arial"/>
          <w:sz w:val="16"/>
          <w:szCs w:val="16"/>
          <w:i w:val="1"/>
          <w:iCs w:val="1"/>
          <w:color w:val="auto"/>
        </w:rPr>
        <w:t>“HCP”</w:t>
      </w:r>
      <w:r>
        <w:rPr>
          <w:rFonts w:ascii="Arial" w:cs="Arial" w:eastAsia="Arial" w:hAnsi="Arial"/>
          <w:sz w:val="16"/>
          <w:szCs w:val="16"/>
          <w:color w:val="auto"/>
        </w:rPr>
        <w:t>), which is owned and controlled by the family of Winnebago’s late founder John K. Hanson and his wife, Luise V. Hanson, completed the sale of 450,000 shares of Winnebago’s common stock that were included in a written trading plan executed on August 12, 2004, pursuant to SEC Rule 10b5-1(c) relating to sales of Winnebago’s common stock.</w:t>
      </w:r>
    </w:p>
    <w:p>
      <w:pPr>
        <w:spacing w:after="0" w:line="161"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31" w:lineRule="exact"/>
        <w:rPr>
          <w:sz w:val="24"/>
          <w:szCs w:val="24"/>
          <w:color w:val="auto"/>
        </w:rPr>
      </w:pPr>
    </w:p>
    <w:p>
      <w:pPr>
        <w:ind w:left="1180" w:hanging="618"/>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46"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580"/>
        <w:spacing w:after="0"/>
        <w:tabs>
          <w:tab w:leader="none" w:pos="16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46" w:lineRule="exact"/>
        <w:rPr>
          <w:sz w:val="24"/>
          <w:szCs w:val="24"/>
          <w:color w:val="auto"/>
        </w:rPr>
      </w:pPr>
    </w:p>
    <w:p>
      <w:pPr>
        <w:ind w:left="760"/>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November 9, 2004.</w:t>
      </w:r>
    </w:p>
    <w:p>
      <w:pPr>
        <w:spacing w:after="0" w:line="28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4"/>
          <w:szCs w:val="24"/>
          <w:color w:val="auto"/>
        </w:rPr>
      </w:pPr>
    </w:p>
    <w:p>
      <w:pPr>
        <w:spacing w:after="0"/>
        <w:tabs>
          <w:tab w:leader="none" w:pos="4040" w:val="left"/>
        </w:tabs>
        <w:rPr>
          <w:sz w:val="20"/>
          <w:szCs w:val="20"/>
          <w:color w:val="auto"/>
        </w:rPr>
      </w:pPr>
      <w:r>
        <w:rPr>
          <w:rFonts w:ascii="Arial" w:cs="Arial" w:eastAsia="Arial" w:hAnsi="Arial"/>
          <w:sz w:val="18"/>
          <w:szCs w:val="18"/>
          <w:color w:val="auto"/>
        </w:rPr>
        <w:t>Dated: November 9, 2004</w:t>
      </w:r>
      <w:r>
        <w:rPr>
          <w:sz w:val="20"/>
          <w:szCs w:val="20"/>
          <w:color w:val="auto"/>
        </w:rPr>
        <w:tab/>
      </w:r>
      <w:r>
        <w:rPr>
          <w:rFonts w:ascii="Arial" w:cs="Arial" w:eastAsia="Arial" w:hAnsi="Arial"/>
          <w:sz w:val="16"/>
          <w:szCs w:val="16"/>
          <w:color w:val="auto"/>
        </w:rPr>
        <w:t>WINNEBAGO INDUSTRIES, INC.</w:t>
      </w:r>
    </w:p>
    <w:p>
      <w:pPr>
        <w:spacing w:after="0" w:line="200" w:lineRule="exact"/>
        <w:rPr>
          <w:sz w:val="24"/>
          <w:szCs w:val="24"/>
          <w:color w:val="auto"/>
        </w:rPr>
      </w:pPr>
    </w:p>
    <w:p>
      <w:pPr>
        <w:spacing w:after="0" w:line="241"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By: /s/ Bruce D. Hertzke</w:t>
      </w:r>
    </w:p>
    <w:p>
      <w:pPr>
        <w:spacing w:after="0" w:line="15"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Name: Bruce D. Hertzke</w:t>
      </w:r>
    </w:p>
    <w:p>
      <w:pPr>
        <w:spacing w:after="0" w:line="9"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340"/>
          </w:cols>
          <w:pgMar w:left="240" w:top="233" w:right="319" w:bottom="0" w:gutter="0" w:footer="0" w:header="0"/>
        </w:sectPr>
      </w:pPr>
    </w:p>
    <w:bookmarkStart w:id="1" w:name="page2"/>
    <w:bookmarkEnd w:id="1"/>
    <w:p>
      <w:pPr>
        <w:ind w:left="4460"/>
        <w:spacing w:after="0"/>
        <w:rPr>
          <w:sz w:val="20"/>
          <w:szCs w:val="20"/>
          <w:color w:val="auto"/>
        </w:rPr>
      </w:pPr>
      <w:r>
        <w:rPr>
          <w:rFonts w:ascii="Arial" w:cs="Arial" w:eastAsia="Arial" w:hAnsi="Arial"/>
          <w:sz w:val="18"/>
          <w:szCs w:val="18"/>
          <w:b w:val="1"/>
          <w:bCs w:val="1"/>
          <w:color w:val="auto"/>
        </w:rPr>
        <w:t>EXHIBIT INDEX</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46"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November 9, 2004.</w:t>
      </w:r>
    </w:p>
    <w:p>
      <w:pPr>
        <w:sectPr>
          <w:pgSz w:w="11900" w:h="16838" w:orient="portrait"/>
          <w:cols w:equalWidth="0" w:num="1">
            <w:col w:w="9639"/>
          </w:cols>
          <w:pgMar w:left="820" w:top="125"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Contact: Sheila Davis – PR/IR Mgr. — 641-585-6803 – sdavis@winnebagoind.com</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HANSON CAPITAL PARTNERS, LLC COMPLETES STOCK SALES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TRADING PLAN</w:t>
      </w:r>
    </w:p>
    <w:p>
      <w:pPr>
        <w:spacing w:after="0" w:line="30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FOREST CITY, IOWA, November 9, 2004 – Winnebago Industries, Inc. (NYSE: WGO) announced that it was informed today that Hanson Capital Partners, LLC (</w:t>
      </w:r>
      <w:r>
        <w:rPr>
          <w:rFonts w:ascii="Arial" w:cs="Arial" w:eastAsia="Arial" w:hAnsi="Arial"/>
          <w:sz w:val="18"/>
          <w:szCs w:val="18"/>
          <w:i w:val="1"/>
          <w:iCs w:val="1"/>
          <w:color w:val="auto"/>
        </w:rPr>
        <w:t>“HCP”</w:t>
      </w:r>
      <w:r>
        <w:rPr>
          <w:rFonts w:ascii="Arial" w:cs="Arial" w:eastAsia="Arial" w:hAnsi="Arial"/>
          <w:sz w:val="18"/>
          <w:szCs w:val="18"/>
          <w:color w:val="auto"/>
        </w:rPr>
        <w:t>), which is owned and controlled by the family of the late Company founder John K. Hanson and his wife, Luise V. Hanson, completed the sale of 450,000 shares of the Company’s common stock that were included in a written trading plan executed on August 12, 2004, pursuant to SEC Rule 10b5-1(c) relating to sales of the Company’s common stock.</w:t>
      </w:r>
    </w:p>
    <w:p>
      <w:pPr>
        <w:spacing w:after="0" w:line="19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As of November 8, 2004, HCP was the owner of 2,003,012 shares of the Company’s common stock, or approximately 6% of currently outstanding shares. As announced in August 2004, HCP’s trading plan called for daily sales of the Company’s common stock in amounts dependent upon the then prevailing market price. HCP completed the sale of 450,000, shares of the Company’s common stock under the trading plan on November 5, 2004. This plan was to terminate on July 31, 2005, unless terminated earlier in accordance with its terms.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31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Winnebago Industries, Inc. is the leading United States manufacturer of motor homes, self-contained recreation vehicles used primarily in leisure travel and outdoor recreation activities. The Company builds quality motor homes under the Winnebago, Itasca and Rialta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www.winnebagoind.com/investor_relations.htm</w:t>
      </w:r>
      <w:r>
        <w:rPr>
          <w:rFonts w:ascii="Arial" w:cs="Arial" w:eastAsia="Arial" w:hAnsi="Arial"/>
          <w:sz w:val="16"/>
          <w:szCs w:val="16"/>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2019-12-11T19:25:02Z</dcterms:created>
  <dcterms:modified xsi:type="dcterms:W3CDTF">2019-12-11T19:25:02Z</dcterms:modified>
</cp:coreProperties>
</file>