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54610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168910</wp:posOffset>
            </wp:positionV>
            <wp:extent cx="342900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Iowa</w:t>
            </w:r>
          </w:p>
        </w:tc>
        <w:tc>
          <w:tcPr>
            <w:tcW w:w="358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001-06403</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42-0802678</w:t>
            </w:r>
          </w:p>
        </w:tc>
      </w:tr>
      <w:tr>
        <w:trPr>
          <w:trHeight w:val="195"/>
        </w:trPr>
        <w:tc>
          <w:tcPr>
            <w:tcW w:w="4060" w:type="dxa"/>
            <w:vAlign w:val="bottom"/>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3580" w:type="dxa"/>
            <w:vAlign w:val="bottom"/>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0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358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40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P.O. Box 152, Forest City, Iowa</w:t>
            </w:r>
          </w:p>
        </w:tc>
        <w:tc>
          <w:tcPr>
            <w:tcW w:w="3580" w:type="dxa"/>
            <w:vAlign w:val="bottom"/>
          </w:tcPr>
          <w:p>
            <w:pPr>
              <w:spacing w:after="0"/>
              <w:rPr>
                <w:sz w:val="24"/>
                <w:szCs w:val="24"/>
                <w:color w:val="auto"/>
              </w:rPr>
            </w:pPr>
          </w:p>
        </w:tc>
        <w:tc>
          <w:tcPr>
            <w:tcW w:w="36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50436</w:t>
            </w:r>
          </w:p>
        </w:tc>
      </w:tr>
      <w:tr>
        <w:trPr>
          <w:trHeight w:val="224"/>
        </w:trPr>
        <w:tc>
          <w:tcPr>
            <w:tcW w:w="4060" w:type="dxa"/>
            <w:vAlign w:val="bottom"/>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spacing w:after="0"/>
              <w:rPr>
                <w:sz w:val="19"/>
                <w:szCs w:val="19"/>
                <w:color w:val="auto"/>
              </w:rPr>
            </w:pPr>
          </w:p>
        </w:tc>
        <w:tc>
          <w:tcPr>
            <w:tcW w:w="360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641-585-3535</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-130175</wp:posOffset>
            </wp:positionV>
            <wp:extent cx="3985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2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540"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6"/>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$0.50 par value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WGO</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June 30, 2020, Winnebago Industries, Inc. (the “Company”) intends to commence a distribution of a confidential preliminary offering memorandum dated June 30, 2020 (the “Offering Memorandum”) to potential investors relating to a proposed private offering by the Company (the “Offering”), subject to market conditions and other factors, of $300.0 million in aggregate principal amount of senior secured notes due 2028 (the “Notes”). If the Offering is consummated, the Company intends to use approximately $253.5 million of the proceeds of the Offering to repay in full its obligations under its term loan facility. The remainder of the proceeds of the Offerings will be used for general corporate purposes and to pay related fees and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Attached as Exhibit 99.1 hereto are selected portions of information from the Offering Memorandum that the Company expects to disseminate to potential investors in connection with the Offering. There can be no assurance that the Offering will be completed as described in the Offering Memorandum or at all.</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Notes and the related guarantees are being offered and sold to persons reasonably believed to be “qualified institutional buyers” pursuant to Rule 144A under the Securities Act of 1933, as amended (the “Securities Act”), and to non-U.S. persons outside the United States pursuant to Regulation S under the Securities Act. The Notes and related guarantees will not be registered under the Securities Act or any state securities laws, and will not be offered or sold in the United States absent registration or an applicable exemption from the registration requirements of the Securities Act and applicable state laws.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information contained in this Item 7.01, including Exhibit 99.1 attached hereto, is being furnished and shall not be deemed “filed” under the Securities Exchange Act of 1934, as amended (the “Exchange Act”), nor shall it be incorporated by reference into any filings under the Exchange Act or under the Securities Act, except to the extent specifically provided in any such filing. The furnishing of information pursuant to this Item 7.01 will not be deemed an admission as to the materiality of any information in this Current Report on Form 8-K that is required to be disclosed solely by Regulation FD.</w:t>
      </w:r>
    </w:p>
    <w:p>
      <w:pPr>
        <w:spacing w:after="0" w:line="1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r>
        <w:rPr>
          <w:rFonts w:ascii="Arial" w:cs="Arial" w:eastAsia="Arial" w:hAnsi="Arial"/>
          <w:sz w:val="16"/>
          <w:szCs w:val="16"/>
          <w:color w:val="auto"/>
        </w:rPr>
        <w: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the Company issued a press release pursuant to Rule 135c under the Securities Act announcing its intent to commence the Offering. In accordance with Rule 135c(d) under the Securities Act, a copy of the press release is attached as Exhibit 99.2 to this Current Report on Form 8-K and is incorporated herein by reference.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on Form 8-K does not constitute an offer to sell or a solicitation of an offer to buy the securities described herein, nor shall there be any offer or sale of these securities in any state or jurisdiction in which such offer, solicitation or sale would be unlawful prior to registration or qualification under the securities laws of such jurisdiction.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0100" w:type="dxa"/>
            <w:vAlign w:val="bottom"/>
          </w:tcPr>
          <w:p>
            <w:pPr>
              <w:spacing w:after="0"/>
              <w:rPr>
                <w:sz w:val="20"/>
                <w:szCs w:val="20"/>
                <w:color w:val="auto"/>
              </w:rPr>
            </w:pPr>
          </w:p>
        </w:tc>
      </w:tr>
      <w:tr>
        <w:trPr>
          <w:trHeight w:val="414"/>
        </w:trPr>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spacing w:after="0"/>
              <w:rPr>
                <w:sz w:val="24"/>
                <w:szCs w:val="24"/>
                <w:color w:val="auto"/>
              </w:rPr>
            </w:pPr>
          </w:p>
        </w:tc>
      </w:tr>
      <w:tr>
        <w:trPr>
          <w:trHeight w:val="234"/>
        </w:trPr>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100" w:type="dxa"/>
            <w:vAlign w:val="bottom"/>
          </w:tcPr>
          <w:p>
            <w:pPr>
              <w:ind w:left="4620"/>
              <w:spacing w:after="0"/>
              <w:rPr>
                <w:sz w:val="20"/>
                <w:szCs w:val="20"/>
                <w:color w:val="auto"/>
              </w:rPr>
            </w:pPr>
            <w:r>
              <w:rPr>
                <w:rFonts w:ascii="Arial" w:cs="Arial" w:eastAsia="Arial" w:hAnsi="Arial"/>
                <w:sz w:val="18"/>
                <w:szCs w:val="18"/>
                <w:b w:val="1"/>
                <w:bCs w:val="1"/>
                <w:color w:val="auto"/>
              </w:rPr>
              <w:t>Description</w:t>
            </w:r>
          </w:p>
        </w:tc>
      </w:tr>
      <w:tr>
        <w:trPr>
          <w:trHeight w:val="291"/>
        </w:trPr>
        <w:tc>
          <w:tcPr>
            <w:tcW w:w="920" w:type="dxa"/>
            <w:vAlign w:val="bottom"/>
            <w:tcBorders>
              <w:top w:val="single" w:sz="8" w:color="auto"/>
            </w:tcBorders>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10100" w:type="dxa"/>
            <w:vAlign w:val="bottom"/>
            <w:tcBorders>
              <w:top w:val="single" w:sz="8" w:color="auto"/>
            </w:tcBorders>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Excerpts from the Preliminary Offering Memorandum, dated June 30, 2020.</w:t>
              </w:r>
            </w:hyperlink>
          </w:p>
        </w:tc>
      </w:tr>
      <w:tr>
        <w:trPr>
          <w:trHeight w:val="432"/>
        </w:trPr>
        <w:tc>
          <w:tcPr>
            <w:tcW w:w="92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99.2</w:t>
              </w:r>
            </w:hyperlink>
          </w:p>
        </w:tc>
        <w:tc>
          <w:tcPr>
            <w:tcW w:w="220" w:type="dxa"/>
            <w:vAlign w:val="bottom"/>
          </w:tcPr>
          <w:p>
            <w:pPr>
              <w:spacing w:after="0"/>
              <w:rPr>
                <w:sz w:val="24"/>
                <w:szCs w:val="24"/>
                <w:color w:val="auto"/>
              </w:rPr>
            </w:pPr>
          </w:p>
        </w:tc>
        <w:tc>
          <w:tcPr>
            <w:tcW w:w="10100" w:type="dxa"/>
            <w:vAlign w:val="bottom"/>
          </w:tcPr>
          <w:p>
            <w:pPr>
              <w:ind w:left="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Press Release, dated June 30, 2020.</w:t>
              </w:r>
            </w:hyperlink>
          </w:p>
        </w:tc>
      </w:tr>
      <w:tr>
        <w:trPr>
          <w:trHeight w:val="432"/>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100" w:type="dxa"/>
            <w:vAlign w:val="bottom"/>
          </w:tcPr>
          <w:p>
            <w:pPr>
              <w:ind w:left="40"/>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may contain forward-looking statements within the meaning of the U.S. Private Securities Litigation Reform Act of 1995. Investors are cautioned that forward-looking statements are inherently uncertain. A number of important factors could cause the Company’s actual results to differ materially from these statements, including, but not limited to, risks relating to the offering of the Notes and the related guarantees, increases in interest rates, availability of credit, low consumer confidence, availability of labor, significant increases in repurchase obligations, inadequate liquidity or capital resources, availability and price of fuel, a continued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the Company’s enterprise resource planning system, the impact of potential information technology, cybersecurity or data security breaches, risks related to compliance with debt covenants and leverage ratios, impacts of public health crises, such as COVID-19, and other factors. Additional information concerning certain risks and uncertainties that could cause actual results to differ materially from that projected or suggested is contained in the Company's filings with the U.S. Securities and Exchange Commission (the “SEC”), including in the Company’s Annual Report on Form 10-K for the fiscal year ended August 31, 2019 and subsequent quarterly reports on Form 10-Q, copies of which are available from the SEC or from the Company upon request. You should not rely upon forward-looking statements as predictions of future events. The Company disclaims any obligation or undertaking to disseminate any updates or revisions to any forward-looking statements contained in this report or to reflect any changes in the Company's expectations after the date of this report or any change in events, conditions or circumstances on which any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WINNEBAGO INDUSTRIES,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30,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Stacy L. Bogart</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Stacy L. Bogart</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Vice President, General Counsel and Corporate Secretary</w:t>
            </w:r>
          </w:p>
        </w:tc>
      </w:tr>
      <w:tr>
        <w:trPr>
          <w:trHeight w:val="675"/>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data of Winnebago</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table sets forth summary historical condensed consolidated financial data for Winnebago as of and for each of the periods indicated. The summary historical condensed consolidated statement of income and cash flow data for Fiscal 2017, Fiscal 2018 and Fiscal 2019 and the summary historical condensed consolidated balance sheet data as of August 26, 2017, August 25, 2018 and August 31, 2019 presented below have been derived from our audited consolidated financial statements included elsewhere in this offering memorandum. The unaudited summary historical condensed consolidated financial data as of May 25, 2019 and May 30, 2020 and for the nine months ended May 25, 2019 and May 30, 2020 presented below have been derived from our unaudited condensed consolidated financial statements included elsewhere in this offering memorandum.</w:t>
      </w:r>
    </w:p>
    <w:p>
      <w:pPr>
        <w:spacing w:after="0" w:line="16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unaudited summary historical consolidated financial data for the twelve months ended May 30, 2020 were calculated by subtracting the summary historical consolidated financial information for the nine months ended May 25, 2019 from the summary historical consolidated financial information for Fiscal 2019, and then adding the unaudited summary historical consolidated financial data for the nine months ended May 30, 2020.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information is only a summary. The historical results presented below are not necessarily indicative of the results to be expected for any future period.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You should read the following summary information in conjunction with “Management’s discussion and analysis of financial condition and results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operations” included elsewhere in this offering memorandum, our Quarterly Reports on Form 10-Q for the quarters ended November 30, 2019,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29, 2020 and May 30, 2020 and our audited consolidated financial statements and the related notes included or incorporated by reference in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memorandum. The results of operations for the interim periods are not necessarily indicative of the results to be expected for the full year or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2"/>
              </w:rPr>
              <w:t>Twelve months</w:t>
            </w:r>
          </w:p>
        </w:tc>
      </w:tr>
      <w:tr>
        <w:trPr>
          <w:trHeight w:val="216"/>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9"/>
              </w:rPr>
              <w:t>Nine months ended</w:t>
            </w:r>
          </w:p>
        </w:tc>
        <w:tc>
          <w:tcPr>
            <w:tcW w:w="140" w:type="dxa"/>
            <w:vAlign w:val="bottom"/>
          </w:tcPr>
          <w:p>
            <w:pPr>
              <w:spacing w:after="0"/>
              <w:rPr>
                <w:sz w:val="18"/>
                <w:szCs w:val="18"/>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8"/>
              </w:rPr>
              <w:t>Nine months ended</w:t>
            </w:r>
          </w:p>
        </w:tc>
        <w:tc>
          <w:tcPr>
            <w:tcW w:w="10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ended May 30,</w:t>
            </w: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Fiscal 2017</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Fiscal 2018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Fiscal 2019</w:t>
            </w: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May 25, 2019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May 30, 2020</w:t>
            </w: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r>
      <w:tr>
        <w:trPr>
          <w:trHeight w:val="209"/>
        </w:trPr>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(audited)</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18"/>
                <w:szCs w:val="18"/>
                <w:color w:val="auto"/>
              </w:rPr>
            </w:pPr>
          </w:p>
        </w:tc>
      </w:tr>
      <w:tr>
        <w:trPr>
          <w:trHeight w:val="198"/>
        </w:trPr>
        <w:tc>
          <w:tcPr>
            <w:tcW w:w="1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Statements of</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1,547,119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2,016,829</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1,985,674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1,455,278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1,617,726</w:t>
            </w: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2,148,122</w:t>
            </w:r>
          </w:p>
        </w:tc>
        <w:tc>
          <w:tcPr>
            <w:tcW w:w="140" w:type="dxa"/>
            <w:vAlign w:val="bottom"/>
          </w:tcPr>
          <w:p>
            <w:pPr>
              <w:spacing w:after="0"/>
              <w:rPr>
                <w:sz w:val="18"/>
                <w:szCs w:val="18"/>
                <w:color w:val="auto"/>
              </w:rPr>
            </w:pPr>
          </w:p>
        </w:tc>
      </w:tr>
      <w:tr>
        <w:trPr>
          <w:trHeight w:val="229"/>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1,324,542</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1,716,993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1,678,477</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1,231,269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1,427,307</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1,874,515</w:t>
            </w:r>
          </w:p>
        </w:tc>
        <w:tc>
          <w:tcPr>
            <w:tcW w:w="140" w:type="dxa"/>
            <w:vAlign w:val="bottom"/>
            <w:shd w:val="clear" w:color="auto" w:fill="CCEEFF"/>
          </w:tcPr>
          <w:p>
            <w:pPr>
              <w:spacing w:after="0"/>
              <w:rPr>
                <w:sz w:val="19"/>
                <w:szCs w:val="19"/>
                <w:color w:val="auto"/>
              </w:rPr>
            </w:pPr>
          </w:p>
        </w:tc>
      </w:tr>
      <w:tr>
        <w:trPr>
          <w:trHeight w:val="210"/>
        </w:trPr>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222,577</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307,197</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224,009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190,419</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273,607</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182"/>
        </w:trPr>
        <w:tc>
          <w:tcPr>
            <w:tcW w:w="17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97,607</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130,116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142,295</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106,303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126,540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162,532</w:t>
            </w:r>
          </w:p>
        </w:tc>
        <w:tc>
          <w:tcPr>
            <w:tcW w:w="140" w:type="dxa"/>
            <w:vAlign w:val="bottom"/>
            <w:shd w:val="clear" w:color="auto" w:fill="CCEEFF"/>
          </w:tcPr>
          <w:p>
            <w:pPr>
              <w:spacing w:after="0"/>
              <w:rPr>
                <w:sz w:val="20"/>
                <w:szCs w:val="20"/>
                <w:color w:val="auto"/>
              </w:rPr>
            </w:pP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Postretirement health</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care benefit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(24,796)</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Amortization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24,660</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9,328</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9,635</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7,204</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18,514</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20,945</w:t>
            </w:r>
          </w:p>
        </w:tc>
      </w:tr>
      <w:tr>
        <w:trPr>
          <w:trHeight w:val="182"/>
        </w:trPr>
        <w:tc>
          <w:tcPr>
            <w:tcW w:w="1760" w:type="dxa"/>
            <w:vAlign w:val="bottom"/>
            <w:gridSpan w:val="2"/>
          </w:tcPr>
          <w:p>
            <w:pPr>
              <w:spacing w:after="0" w:line="182" w:lineRule="exact"/>
              <w:rPr>
                <w:sz w:val="20"/>
                <w:szCs w:val="20"/>
                <w:color w:val="auto"/>
              </w:rPr>
            </w:pPr>
            <w:r>
              <w:rPr>
                <w:rFonts w:ascii="Arial" w:cs="Arial" w:eastAsia="Arial" w:hAnsi="Arial"/>
                <w:sz w:val="18"/>
                <w:szCs w:val="18"/>
                <w:color w:val="auto"/>
              </w:rPr>
              <w:t>Total operating</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4"/>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97,471</w:t>
            </w:r>
          </w:p>
        </w:tc>
        <w:tc>
          <w:tcPr>
            <w:tcW w:w="18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139,444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151,930</w:t>
            </w:r>
          </w:p>
        </w:tc>
        <w:tc>
          <w:tcPr>
            <w:tcW w:w="3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113,507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145,054</w:t>
            </w:r>
          </w:p>
        </w:tc>
        <w:tc>
          <w:tcPr>
            <w:tcW w:w="10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183,477</w:t>
            </w:r>
          </w:p>
        </w:tc>
        <w:tc>
          <w:tcPr>
            <w:tcW w:w="140" w:type="dxa"/>
            <w:vAlign w:val="bottom"/>
          </w:tcPr>
          <w:p>
            <w:pPr>
              <w:spacing w:after="0"/>
              <w:rPr>
                <w:sz w:val="21"/>
                <w:szCs w:val="21"/>
                <w:color w:val="auto"/>
              </w:rPr>
            </w:pPr>
          </w:p>
        </w:tc>
      </w:tr>
      <w:tr>
        <w:trPr>
          <w:trHeight w:val="210"/>
        </w:trPr>
        <w:tc>
          <w:tcPr>
            <w:tcW w:w="1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125,106</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160,392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155,267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45,365</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16,837</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18,246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17,939</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13,293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23,140</w:t>
            </w:r>
          </w:p>
        </w:tc>
        <w:tc>
          <w:tcPr>
            <w:tcW w:w="10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27,786</w:t>
            </w: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Non-operating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r>
      <w:tr>
        <w:trPr>
          <w:trHeight w:val="182"/>
        </w:trPr>
        <w:tc>
          <w:tcPr>
            <w:tcW w:w="1760" w:type="dxa"/>
            <w:vAlign w:val="bottom"/>
            <w:gridSpan w:val="2"/>
          </w:tcPr>
          <w:p>
            <w:pPr>
              <w:spacing w:after="0" w:line="182" w:lineRule="exact"/>
              <w:rPr>
                <w:sz w:val="20"/>
                <w:szCs w:val="20"/>
                <w:color w:val="auto"/>
              </w:rPr>
            </w:pPr>
            <w:r>
              <w:rPr>
                <w:rFonts w:ascii="Arial" w:cs="Arial" w:eastAsia="Arial" w:hAnsi="Arial"/>
                <w:sz w:val="18"/>
                <w:szCs w:val="18"/>
                <w:color w:val="auto"/>
              </w:rPr>
              <w:t>Income before</w:t>
            </w: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108,599</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142,640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138,909</w:t>
            </w:r>
          </w:p>
        </w:tc>
        <w:tc>
          <w:tcPr>
            <w:tcW w:w="30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98,539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63,055</w:t>
            </w: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Provision for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37,269</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40,283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27,111</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3,702</w:t>
            </w: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12,204</w:t>
            </w:r>
          </w:p>
        </w:tc>
      </w:tr>
      <w:tr>
        <w:trPr>
          <w:trHeight w:val="209"/>
        </w:trPr>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71,330</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111,798</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18,983</w:t>
            </w:r>
          </w:p>
        </w:tc>
        <w:tc>
          <w:tcPr>
            <w:tcW w:w="3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50,851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Net cash provided by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97,127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83,346</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133,750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82,849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162,437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213,338</w:t>
            </w:r>
          </w:p>
        </w:tc>
        <w:tc>
          <w:tcPr>
            <w:tcW w:w="140" w:type="dxa"/>
            <w:vAlign w:val="bottom"/>
          </w:tcPr>
          <w:p>
            <w:pPr>
              <w:spacing w:after="0"/>
              <w:rPr>
                <w:sz w:val="20"/>
                <w:szCs w:val="20"/>
                <w:color w:val="auto"/>
              </w:rPr>
            </w:pP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cash used in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(405,385)</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(111,761)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(38,936)</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(289,406)</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(297,845)</w:t>
            </w: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Net cash (used in)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provided by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258,620</w:t>
            </w: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(5,188)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(59,725)</w:t>
            </w:r>
          </w:p>
        </w:tc>
        <w:tc>
          <w:tcPr>
            <w:tcW w:w="3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(50,518)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242,018</w:t>
            </w:r>
          </w:p>
        </w:tc>
        <w:tc>
          <w:tcPr>
            <w:tcW w:w="10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232,811</w:t>
            </w:r>
          </w:p>
        </w:tc>
      </w:tr>
      <w:tr>
        <w:trPr>
          <w:trHeight w:val="198"/>
        </w:trPr>
        <w:tc>
          <w:tcPr>
            <w:tcW w:w="1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Non-GAAP</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Data</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1760" w:type="dxa"/>
            <w:vAlign w:val="bottom"/>
            <w:gridSpan w:val="2"/>
          </w:tcPr>
          <w:p>
            <w:pPr>
              <w:spacing w:after="0"/>
              <w:rPr>
                <w:sz w:val="20"/>
                <w:szCs w:val="20"/>
                <w:color w:val="auto"/>
              </w:rPr>
            </w:pPr>
            <w:r>
              <w:rPr>
                <w:rFonts w:ascii="Arial" w:cs="Arial" w:eastAsia="Arial" w:hAnsi="Arial"/>
                <w:sz w:val="18"/>
                <w:szCs w:val="18"/>
                <w:color w:val="auto"/>
              </w:rPr>
              <w:t>EBITDA(1)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157,411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180,863</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180,165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128,824</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76,193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127,534</w:t>
            </w:r>
          </w:p>
        </w:tc>
        <w:tc>
          <w:tcPr>
            <w:tcW w:w="140" w:type="dxa"/>
            <w:vAlign w:val="bottom"/>
          </w:tcPr>
          <w:p>
            <w:pPr>
              <w:spacing w:after="0"/>
              <w:rPr>
                <w:sz w:val="18"/>
                <w:szCs w:val="18"/>
                <w:color w:val="auto"/>
              </w:rPr>
            </w:pPr>
          </w:p>
        </w:tc>
      </w:tr>
      <w:tr>
        <w:trPr>
          <w:trHeight w:val="216"/>
        </w:trPr>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141,854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189,180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186,710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134,550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94,883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147,043</w:t>
            </w:r>
          </w:p>
        </w:tc>
        <w:tc>
          <w:tcPr>
            <w:tcW w:w="140" w:type="dxa"/>
            <w:vAlign w:val="bottom"/>
            <w:shd w:val="clear" w:color="auto" w:fill="CCEEFF"/>
          </w:tcPr>
          <w:p>
            <w:pPr>
              <w:spacing w:after="0"/>
              <w:rPr>
                <w:sz w:val="18"/>
                <w:szCs w:val="18"/>
                <w:color w:val="auto"/>
              </w:rPr>
            </w:pP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Acquisition Adjusted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EBITDA(1)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163,077</w:t>
            </w:r>
          </w:p>
        </w:tc>
        <w:tc>
          <w:tcPr>
            <w:tcW w:w="140" w:type="dxa"/>
            <w:vAlign w:val="bottom"/>
          </w:tcPr>
          <w:p>
            <w:pPr>
              <w:spacing w:after="0"/>
              <w:rPr>
                <w:sz w:val="20"/>
                <w:szCs w:val="20"/>
                <w:color w:val="auto"/>
              </w:rPr>
            </w:pP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Cash</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Interest Expense(2)</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20,347</w:t>
            </w: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Pro Forma Total</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Debt, net(2)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401,020</w:t>
            </w:r>
          </w:p>
        </w:tc>
        <w:tc>
          <w:tcPr>
            <w:tcW w:w="140" w:type="dxa"/>
            <w:vAlign w:val="bottom"/>
          </w:tcPr>
          <w:p>
            <w:pPr>
              <w:spacing w:after="0"/>
              <w:rPr>
                <w:sz w:val="20"/>
                <w:szCs w:val="20"/>
                <w:color w:val="auto"/>
              </w:rPr>
            </w:pPr>
          </w:p>
        </w:tc>
      </w:tr>
      <w:tr>
        <w:trPr>
          <w:trHeight w:val="202"/>
        </w:trPr>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 Forma Secured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1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net(2)</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101,020</w:t>
            </w:r>
          </w:p>
        </w:tc>
        <w:tc>
          <w:tcPr>
            <w:tcW w:w="140" w:type="dxa"/>
            <w:vAlign w:val="bottom"/>
            <w:shd w:val="clear" w:color="auto" w:fill="CCEEFF"/>
          </w:tcPr>
          <w:p>
            <w:pPr>
              <w:spacing w:after="0"/>
              <w:rPr>
                <w:sz w:val="20"/>
                <w:szCs w:val="20"/>
                <w:color w:val="auto"/>
              </w:rPr>
            </w:pPr>
          </w:p>
        </w:tc>
      </w:tr>
      <w:tr>
        <w:trPr>
          <w:trHeight w:val="202"/>
        </w:trPr>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Ratio of Acquisition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8.01x</w:t>
            </w:r>
          </w:p>
        </w:tc>
      </w:tr>
      <w:tr>
        <w:trPr>
          <w:trHeight w:val="216"/>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1760" w:type="dxa"/>
            <w:vAlign w:val="bottom"/>
            <w:gridSpan w:val="2"/>
          </w:tcPr>
          <w:p>
            <w:pPr>
              <w:ind w:left="180"/>
              <w:spacing w:after="0"/>
              <w:rPr>
                <w:sz w:val="20"/>
                <w:szCs w:val="20"/>
                <w:color w:val="auto"/>
              </w:rPr>
            </w:pPr>
            <w:r>
              <w:rPr>
                <w:rFonts w:ascii="Arial" w:cs="Arial" w:eastAsia="Arial" w:hAnsi="Arial"/>
                <w:sz w:val="18"/>
                <w:szCs w:val="18"/>
                <w:color w:val="auto"/>
              </w:rPr>
              <w:t>to Pro Forma Cash</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ectPr>
          <w:pgSz w:w="11900" w:h="16838" w:orient="portrait"/>
          <w:cols w:equalWidth="0" w:num="1">
            <w:col w:w="11240"/>
          </w:cols>
          <w:pgMar w:left="320" w:top="112"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w w:val="99"/>
              </w:rPr>
              <w:t>Interest Expense(1)</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Pro Forma</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 net to</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EBITDA(1)(2)</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2.46x</w:t>
            </w: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color w:val="auto"/>
              </w:rPr>
              <w:t>Ratio of Pro Forma</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Secured Debt, net</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Adjusted</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EBITDA(1)(2)</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0.62x</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13,993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28,668</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40,858</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31,681</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28,582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37,759</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Free Cash Flow(1)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83,134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54,678</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92,892</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51,168</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133,855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175,579</w:t>
            </w: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Free Cash Flow</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4"/>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Conversion(1)</w:t>
            </w: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69.5%</w:t>
            </w:r>
          </w:p>
        </w:tc>
        <w:tc>
          <w:tcPr>
            <w:tcW w:w="5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82.4%</w:t>
            </w: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82.3%</w:t>
            </w:r>
          </w:p>
        </w:tc>
      </w:tr>
      <w:tr>
        <w:trPr>
          <w:trHeight w:val="668"/>
        </w:trPr>
        <w:tc>
          <w:tcPr>
            <w:tcW w:w="176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As of</w:t>
            </w:r>
          </w:p>
        </w:tc>
      </w:tr>
      <w:tr>
        <w:trPr>
          <w:trHeight w:val="223"/>
        </w:trPr>
        <w:tc>
          <w:tcPr>
            <w:tcW w:w="5200" w:type="dxa"/>
            <w:vAlign w:val="bottom"/>
          </w:tcPr>
          <w:p>
            <w:pPr>
              <w:spacing w:after="0"/>
              <w:rPr>
                <w:sz w:val="19"/>
                <w:szCs w:val="19"/>
                <w:color w:val="auto"/>
              </w:rPr>
            </w:pPr>
          </w:p>
        </w:tc>
        <w:tc>
          <w:tcPr>
            <w:tcW w:w="14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August 26, 2017</w:t>
            </w: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August 25, 2018</w:t>
            </w:r>
          </w:p>
        </w:tc>
        <w:tc>
          <w:tcPr>
            <w:tcW w:w="13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August 31, 2019</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May 30, 2020</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35,945</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2,342</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37,431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152,480</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902,512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1,051,805</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1,104,231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1,533,040</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271,726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291,441</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245,402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451,306</w:t>
            </w:r>
          </w:p>
        </w:tc>
        <w:tc>
          <w:tcPr>
            <w:tcW w:w="100" w:type="dxa"/>
            <w:vAlign w:val="bottom"/>
          </w:tcPr>
          <w:p>
            <w:pPr>
              <w:spacing w:after="0"/>
              <w:rPr>
                <w:sz w:val="18"/>
                <w:szCs w:val="18"/>
                <w:color w:val="auto"/>
              </w:rPr>
            </w:pPr>
          </w:p>
        </w:tc>
      </w:tr>
      <w:tr>
        <w:trPr>
          <w:trHeight w:val="22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441,674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534,445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632,212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784,810</w:t>
            </w:r>
          </w:p>
        </w:tc>
        <w:tc>
          <w:tcPr>
            <w:tcW w:w="100" w:type="dxa"/>
            <w:vAlign w:val="bottom"/>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100" w:hanging="652"/>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Adjusted EBITDA, Acquisition Adjusted EBITDA, Free Cash Flow and Free Cash Flow Conversion are non-GAAP financial measures. These non-GAAP financial measures, which are not calculated or presented in accordance with GAAP, have been provided as supplemental information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 See “Non-GAAP financial measures” for a discussion of the reasons why management believes EBITDA, Adjusted EBITDA, Acquisition Adjusted EBITDA, Free Cash Flow and Free Cash Flow Conversion are useful in evaluating our business and also for a discussion of the analytical limitations of these measures.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reconciles net income to EBITDA, Adjusted EBITDA and Acquisition Adjusted EBITDA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Nine</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Twelve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Nine months</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months</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months</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May 25,</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30,</w:t>
            </w: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Fiscal 2017</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Fiscal 2018</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Fiscal 2019</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r>
      <w:tr>
        <w:trPr>
          <w:trHeight w:val="209"/>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111,798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79,930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16,837</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18,246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17,939</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13,293</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23,140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27,786</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37,269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12,204</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9,849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13,682</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9,788</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11,854</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15,748</w:t>
            </w: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24,660</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18,514</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20,945</w:t>
            </w:r>
          </w:p>
        </w:tc>
      </w:tr>
      <w:tr>
        <w:trPr>
          <w:trHeight w:val="210"/>
        </w:trPr>
        <w:tc>
          <w:tcPr>
            <w:tcW w:w="39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157,411</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180,063</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180,165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128,824</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76,193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127,534</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health care benefit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Acquisition-related costs</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2,177</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9,761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9,761</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Inventory Step-up</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4,810</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Restructuring</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1,068</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1,321</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16"/>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Non-operating income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w:t>
            </w:r>
          </w:p>
        </w:tc>
      </w:tr>
      <w:tr>
        <w:trPr>
          <w:trHeight w:val="229"/>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2,977</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7,434</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7,058</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5,735</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3,332</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4,655</w:t>
            </w:r>
          </w:p>
        </w:tc>
      </w:tr>
      <w:tr>
        <w:trPr>
          <w:trHeight w:val="210"/>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189,180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186,710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94,883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147,043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Newmar Adjusted EBITDA(1)</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16,034</w:t>
            </w:r>
          </w:p>
        </w:tc>
        <w:tc>
          <w:tcPr>
            <w:tcW w:w="100" w:type="dxa"/>
            <w:vAlign w:val="bottom"/>
            <w:tcBorders>
              <w:bottom w:val="single" w:sz="8" w:color="CCEEFF"/>
            </w:tcBorders>
          </w:tcPr>
          <w:p>
            <w:pPr>
              <w:spacing w:after="0"/>
              <w:rPr>
                <w:sz w:val="19"/>
                <w:szCs w:val="19"/>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Adjusted EBITDA</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163,077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Adjustment gives effect to the Newmar Acquisition, which was consummated on November 8, 2019, as if such acquisition had occurred on</w:t>
      </w:r>
    </w:p>
    <w:p>
      <w:pPr>
        <w:spacing w:after="0" w:line="34" w:lineRule="exact"/>
        <w:rPr>
          <w:rFonts w:ascii="Arial" w:cs="Arial" w:eastAsia="Arial" w:hAnsi="Arial"/>
          <w:sz w:val="17"/>
          <w:szCs w:val="17"/>
          <w:color w:val="auto"/>
        </w:rPr>
      </w:pPr>
    </w:p>
    <w:p>
      <w:pPr>
        <w:ind w:left="660" w:right="80"/>
        <w:spacing w:after="0" w:line="273" w:lineRule="auto"/>
        <w:rPr>
          <w:rFonts w:ascii="Arial" w:cs="Arial" w:eastAsia="Arial" w:hAnsi="Arial"/>
          <w:sz w:val="17"/>
          <w:szCs w:val="17"/>
          <w:color w:val="auto"/>
        </w:rPr>
      </w:pPr>
      <w:r>
        <w:rPr>
          <w:rFonts w:ascii="Arial" w:cs="Arial" w:eastAsia="Arial" w:hAnsi="Arial"/>
          <w:sz w:val="17"/>
          <w:szCs w:val="17"/>
          <w:color w:val="auto"/>
        </w:rPr>
        <w:t>May 25, 2019, by including management’s estimate of the Adjusted EBITDA of Newmar for the period from May 25, 2019 through November 7, 2019. This estimate is based on management’s most recently available historical financial information at the time of acquisition and makes adjustments to eliminate expenses related to the prior owners and certain other non-recurring costs and expenses, if any. This estimate does not include any contributions from synergies or cost savings management expects to achieve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980"/>
        <w:spacing w:after="0"/>
        <w:rPr>
          <w:sz w:val="20"/>
          <w:szCs w:val="20"/>
          <w:color w:val="auto"/>
        </w:rPr>
      </w:pPr>
      <w:r>
        <w:rPr>
          <w:rFonts w:ascii="Arial" w:cs="Arial" w:eastAsia="Arial" w:hAnsi="Arial"/>
          <w:sz w:val="18"/>
          <w:szCs w:val="18"/>
          <w:color w:val="auto"/>
        </w:rPr>
        <w:t>The following table reconciles net cash provided by operating activities to Free Cash Flow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Nine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Twelve</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months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Nine months</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months</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ended</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ended</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May 25,</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May 30,</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May 30,</w:t>
            </w: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Fiscal 2017</w:t>
            </w:r>
          </w:p>
        </w:tc>
        <w:tc>
          <w:tcPr>
            <w:tcW w:w="12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Fiscal 2018</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Fiscal 2019</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133,750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162,437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13,993</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40,858</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31,681</w:t>
            </w:r>
          </w:p>
        </w:tc>
        <w:tc>
          <w:tcPr>
            <w:tcW w:w="2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28,582</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37,759</w:t>
            </w:r>
          </w:p>
        </w:tc>
      </w:tr>
      <w:tr>
        <w:trPr>
          <w:trHeight w:val="209"/>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92,892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660" w:right="80" w:hanging="652"/>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 Forma Cash Interest Expense gives pro forma effect to this offering and the application of the proceeds therefrom as described under “Use of proceeds” as well as the issuance of our convertible notes due 2025, in each case, as if they had occurred on June 1, 2019. Pro Forma Total Debt, net and Pro Forma Secured Debt, net, reflect the amount of total debt and debt secured by liens, in each case net of unrestricted cash, and give pro forma effect to this offering and the application of the proceeds therefrom as described under “Use of proceeds” as if they had occurred on</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May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99.2</w:t>
      </w:r>
    </w:p>
    <w:p>
      <w:pPr>
        <w:spacing w:after="0" w:line="245" w:lineRule="exact"/>
        <w:rPr>
          <w:sz w:val="20"/>
          <w:szCs w:val="20"/>
          <w:color w:val="auto"/>
        </w:rPr>
      </w:pPr>
    </w:p>
    <w:p>
      <w:pPr>
        <w:ind w:left="6640"/>
        <w:spacing w:after="0"/>
        <w:rPr>
          <w:sz w:val="20"/>
          <w:szCs w:val="20"/>
          <w:color w:val="auto"/>
        </w:rPr>
      </w:pPr>
      <w:r>
        <w:rPr>
          <w:rFonts w:ascii="Arial" w:cs="Arial" w:eastAsia="Arial" w:hAnsi="Arial"/>
          <w:sz w:val="43"/>
          <w:szCs w:val="4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2143125"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30861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Contact: Steve Stuber - Investor Relations - 952-828-8461 - </w:t>
      </w:r>
      <w:r>
        <w:rPr>
          <w:rFonts w:ascii="Arial" w:cs="Arial" w:eastAsia="Arial" w:hAnsi="Arial"/>
          <w:sz w:val="18"/>
          <w:szCs w:val="18"/>
          <w:u w:val="single" w:color="auto"/>
          <w:color w:val="auto"/>
        </w:rPr>
        <w:t>srstuber@wgo.net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Media Contact: Sam Jefson - Public Relations Specialist – 641-585-6803 - </w:t>
      </w:r>
      <w:r>
        <w:rPr>
          <w:rFonts w:ascii="Arial" w:cs="Arial" w:eastAsia="Arial" w:hAnsi="Arial"/>
          <w:sz w:val="18"/>
          <w:szCs w:val="18"/>
          <w:u w:val="single" w:color="auto"/>
          <w:color w:val="auto"/>
        </w:rPr>
        <w:t>sjefson@wgo.net</w:t>
      </w:r>
    </w:p>
    <w:p>
      <w:pPr>
        <w:spacing w:after="0" w:line="207"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WINNEBAGO INDUSTRIES ANNOUNCES PROPOSED OFFERING OF $300.0 MILLION AGGREGATE PRINCIPAL AMOUNT OF SENIOR SECURED NOTES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FOREST CITY, IOWA, June 30, 2020 - Winnebago Industries, Inc. (NYSE: WGO) (the “Company”), a leading outdoor lifestyle product manufacturer, announced today that it intends to offer, subject to market conditions and other factors, $300.0 million in aggregate principal amount of senior secured notes due 2028 (the “Notes”). The Company intends to use approximately $253.5 million of the proceeds of the offering to repay in full its obligations under its term loan facility. The remainder of the proceeds of the offering shall be used for general corporate purposes and to pay related fees and expenses.</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Notes and the related guarantees are being offered and sold to persons reasonably believed to be “qualified institutional buyers” pursuant to Rule 144A under the Securities Act of 1933, as amended (the “Securities Act”), and to non-U.S. persons outside the United States pursuant to Regulation S under the Securities Act. The Notes and the related guarantees will not be registered under the Securities Act or any state securities laws, and will not be offered or sold in the United States absent registration or an applicable exemption from the registration requirements of the Securities Act and applicable state laws. This press release is being issued pursuant to Rule 135c under the Securities Act and shall not constitute an offer to sell or a solicitation of an offer to buy the Notes and the related guarantees or any other securities, and shall not constitute an offer, solicitation or sale in any state or jurisdiction in which such an offer, solicitation or sale would be unlawful.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Winnebago Industries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Winnebago Industries, Inc. is a leading North American manufacturer of outdoor lifestyle products under the Winnebago, Grand Design, Newmar and Chris-Craft brands, which are used primarily in leisure travel and outdoor recreation activities. The Company builds quality motorhomes, travel trailers, fifth wheel products and boats. Winnebago Industries has multiple facilities in Iowa, Indiana, Minnesota and Florida. The Company's common stock is listed on the New York Stock Exchange and traded under the symbol WGO.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the U.S. Private Securities Litigation Reform Act of 1995. Investors are cautioned that forward-looking statements are inherently uncertain. A number of important factors could cause the Company’s actual results to differ materially from these statements, including, but not limited to, risks relating to the offering of the Notes and the related guarantees, increases in interest rates, availability of credit, low consumer confidence, availability of labor, significant increases in repurchase obligations, inadequate liquidity or capital resources, availability and price of fuel, a continued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 and acquisition activities, business interruptions, any unexpected expenses related to our enterprise resource planning system, the impact of potential information technology, cybersecurity or data security breaches, risks related to compliance with debt covenants and leverage ratios, impacts of public health crises, such as COVID-19, and other factors. Additional information concerning certain risks and uncertainties that could cause actual results to differ materially from that projected or suggested is contained in the Company's filings with the U.S. Securities and Exchange Commission (the “SEC”), including in the Company’s Annual Report on Form 10-K for the fiscal year ended August 31, 2019 and subsequent quarterly reports on Form 10-Q, copies of which are available from the SEC or from the Company upon request. You should not rely upon forward-looking statements as predictions of future events.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2020-06-30T07:52:42Z</dcterms:created>
  <dcterms:modified xsi:type="dcterms:W3CDTF">2020-06-30T07:52:42Z</dcterms:modified>
</cp:coreProperties>
</file>