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22"/>
          <w:szCs w:val="22"/>
          <w:b w:val="1"/>
          <w:bCs w:val="1"/>
          <w:color w:val="auto"/>
        </w:rPr>
        <w:t>UNITED STATES</w:t>
      </w:r>
    </w:p>
    <w:p>
      <w:pPr>
        <w:spacing w:after="0" w:line="25"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20"/>
        <w:spacing w:after="0"/>
        <w:rPr>
          <w:sz w:val="20"/>
          <w:szCs w:val="20"/>
          <w:color w:val="auto"/>
        </w:rPr>
      </w:pPr>
      <w:r>
        <w:rPr>
          <w:rFonts w:ascii="Arial" w:cs="Arial" w:eastAsia="Arial" w:hAnsi="Arial"/>
          <w:sz w:val="18"/>
          <w:szCs w:val="18"/>
          <w:b w:val="1"/>
          <w:bCs w:val="1"/>
          <w:color w:val="auto"/>
        </w:rPr>
        <w:t>WASHINGTON, D.C. 20549</w:t>
      </w:r>
    </w:p>
    <w:p>
      <w:pPr>
        <w:spacing w:after="0" w:line="222" w:lineRule="exact"/>
        <w:rPr>
          <w:sz w:val="24"/>
          <w:szCs w:val="24"/>
          <w:color w:val="auto"/>
        </w:rPr>
      </w:pPr>
    </w:p>
    <w:p>
      <w:pPr>
        <w:jc w:val="center"/>
        <w:ind w:right="20"/>
        <w:spacing w:after="0"/>
        <w:rPr>
          <w:sz w:val="20"/>
          <w:szCs w:val="20"/>
          <w:color w:val="auto"/>
        </w:rPr>
      </w:pPr>
      <w:r>
        <w:rPr>
          <w:rFonts w:ascii="Arial" w:cs="Arial" w:eastAsia="Arial" w:hAnsi="Arial"/>
          <w:sz w:val="25"/>
          <w:szCs w:val="25"/>
          <w:b w:val="1"/>
          <w:bCs w:val="1"/>
          <w:color w:val="auto"/>
        </w:rPr>
        <w:t>FORM 8-K</w:t>
      </w:r>
    </w:p>
    <w:p>
      <w:pPr>
        <w:spacing w:after="0" w:line="292"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CURRENT REPORT</w:t>
      </w:r>
    </w:p>
    <w:p>
      <w:pPr>
        <w:spacing w:after="0" w:line="25"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Pursuant to Section 13 or 15(d) of The Securities Exchange Act of 1934</w:t>
      </w:r>
    </w:p>
    <w:p>
      <w:pPr>
        <w:spacing w:after="0" w:line="196" w:lineRule="exact"/>
        <w:rPr>
          <w:sz w:val="24"/>
          <w:szCs w:val="24"/>
          <w:color w:val="auto"/>
        </w:rPr>
      </w:pPr>
    </w:p>
    <w:p>
      <w:pPr>
        <w:jc w:val="center"/>
        <w:ind w:right="20"/>
        <w:spacing w:after="0"/>
        <w:rPr>
          <w:sz w:val="20"/>
          <w:szCs w:val="20"/>
          <w:color w:val="auto"/>
        </w:rPr>
      </w:pPr>
      <w:r>
        <w:rPr>
          <w:rFonts w:ascii="Arial" w:cs="Arial" w:eastAsia="Arial" w:hAnsi="Arial"/>
          <w:sz w:val="16"/>
          <w:szCs w:val="16"/>
          <w:color w:val="auto"/>
        </w:rPr>
        <w:t>Date of report (Date of earliest event reported): October 11,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1864995</wp:posOffset>
            </wp:positionH>
            <wp:positionV relativeFrom="paragraph">
              <wp:posOffset>172720</wp:posOffset>
            </wp:positionV>
            <wp:extent cx="3420110" cy="9861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420110" cy="9861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7"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Winnebago Industries, Inc.</w:t>
      </w:r>
    </w:p>
    <w:p>
      <w:pPr>
        <w:spacing w:after="0" w:line="104" w:lineRule="exact"/>
        <w:rPr>
          <w:sz w:val="24"/>
          <w:szCs w:val="24"/>
          <w:color w:val="auto"/>
        </w:rPr>
      </w:pPr>
    </w:p>
    <w:p>
      <w:pPr>
        <w:jc w:val="center"/>
        <w:ind w:right="20"/>
        <w:spacing w:after="0"/>
        <w:rPr>
          <w:sz w:val="20"/>
          <w:szCs w:val="20"/>
          <w:color w:val="auto"/>
        </w:rPr>
      </w:pPr>
      <w:r>
        <w:rPr>
          <w:rFonts w:ascii="Arial" w:cs="Arial" w:eastAsia="Arial" w:hAnsi="Arial"/>
          <w:sz w:val="16"/>
          <w:szCs w:val="16"/>
          <w:color w:val="auto"/>
        </w:rPr>
        <w:t>(Exact Name of Registrant as Specified in its Charter)</w:t>
      </w:r>
    </w:p>
    <w:p>
      <w:pPr>
        <w:spacing w:after="0" w:line="200" w:lineRule="exact"/>
        <w:rPr>
          <w:sz w:val="24"/>
          <w:szCs w:val="24"/>
          <w:color w:val="auto"/>
        </w:rPr>
      </w:pPr>
    </w:p>
    <w:p>
      <w:pPr>
        <w:spacing w:after="0" w:line="283" w:lineRule="exact"/>
        <w:rPr>
          <w:sz w:val="24"/>
          <w:szCs w:val="24"/>
          <w:color w:val="auto"/>
        </w:rPr>
      </w:pPr>
    </w:p>
    <w:tbl>
      <w:tblPr>
        <w:tblLayout w:type="fixed"/>
        <w:tblInd w:w="1000" w:type="dxa"/>
        <w:tblCellMar>
          <w:top w:w="0" w:type="dxa"/>
          <w:left w:w="0" w:type="dxa"/>
          <w:bottom w:w="0" w:type="dxa"/>
          <w:right w:w="0" w:type="dxa"/>
        </w:tblCellMar>
      </w:tblPr>
      <w:tr>
        <w:trPr>
          <w:trHeight w:val="221"/>
        </w:trPr>
        <w:tc>
          <w:tcPr>
            <w:tcW w:w="17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center"/>
              <w:ind w:right="359"/>
              <w:spacing w:after="0"/>
              <w:rPr>
                <w:sz w:val="20"/>
                <w:szCs w:val="20"/>
                <w:color w:val="auto"/>
              </w:rPr>
            </w:pPr>
            <w:r>
              <w:rPr>
                <w:rFonts w:ascii="Arial" w:cs="Arial" w:eastAsia="Arial" w:hAnsi="Arial"/>
                <w:sz w:val="16"/>
                <w:szCs w:val="16"/>
                <w:b w:val="1"/>
                <w:bCs w:val="1"/>
                <w:color w:val="auto"/>
              </w:rPr>
              <w:t>Minnesota</w:t>
            </w:r>
          </w:p>
        </w:tc>
        <w:tc>
          <w:tcPr>
            <w:tcW w:w="136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9"/>
              </w:rPr>
              <w:t>001-06403</w:t>
            </w:r>
          </w:p>
        </w:tc>
        <w:tc>
          <w:tcPr>
            <w:tcW w:w="2960" w:type="dxa"/>
            <w:vAlign w:val="bottom"/>
            <w:tcBorders>
              <w:bottom w:val="single" w:sz="8" w:color="auto"/>
            </w:tcBorders>
          </w:tcPr>
          <w:p>
            <w:pPr>
              <w:jc w:val="right"/>
              <w:ind w:right="979"/>
              <w:spacing w:after="0"/>
              <w:rPr>
                <w:sz w:val="20"/>
                <w:szCs w:val="20"/>
                <w:color w:val="auto"/>
              </w:rPr>
            </w:pPr>
            <w:r>
              <w:rPr>
                <w:rFonts w:ascii="Arial" w:cs="Arial" w:eastAsia="Arial" w:hAnsi="Arial"/>
                <w:sz w:val="16"/>
                <w:szCs w:val="16"/>
                <w:b w:val="1"/>
                <w:bCs w:val="1"/>
                <w:color w:val="auto"/>
              </w:rPr>
              <w:t>42-0802678</w:t>
            </w:r>
          </w:p>
        </w:tc>
      </w:tr>
      <w:tr>
        <w:trPr>
          <w:trHeight w:val="169"/>
        </w:trPr>
        <w:tc>
          <w:tcPr>
            <w:tcW w:w="4620" w:type="dxa"/>
            <w:vAlign w:val="bottom"/>
            <w:gridSpan w:val="3"/>
          </w:tcPr>
          <w:p>
            <w:pPr>
              <w:jc w:val="center"/>
              <w:spacing w:after="0" w:line="169" w:lineRule="exact"/>
              <w:rPr>
                <w:sz w:val="20"/>
                <w:szCs w:val="20"/>
                <w:color w:val="auto"/>
              </w:rPr>
            </w:pPr>
            <w:r>
              <w:rPr>
                <w:rFonts w:ascii="Arial" w:cs="Arial" w:eastAsia="Arial" w:hAnsi="Arial"/>
                <w:sz w:val="16"/>
                <w:szCs w:val="16"/>
                <w:color w:val="auto"/>
              </w:rPr>
              <w:t>(State or Other Jurisdiction of Incorporation)</w:t>
            </w:r>
          </w:p>
        </w:tc>
        <w:tc>
          <w:tcPr>
            <w:tcW w:w="1660" w:type="dxa"/>
            <w:vAlign w:val="bottom"/>
          </w:tcPr>
          <w:p>
            <w:pPr>
              <w:jc w:val="center"/>
              <w:spacing w:after="0" w:line="169" w:lineRule="exact"/>
              <w:rPr>
                <w:sz w:val="20"/>
                <w:szCs w:val="20"/>
                <w:color w:val="auto"/>
              </w:rPr>
            </w:pPr>
            <w:r>
              <w:rPr>
                <w:rFonts w:ascii="Arial" w:cs="Arial" w:eastAsia="Arial" w:hAnsi="Arial"/>
                <w:sz w:val="16"/>
                <w:szCs w:val="16"/>
                <w:color w:val="auto"/>
              </w:rPr>
              <w:t>(Commission File</w:t>
            </w:r>
          </w:p>
        </w:tc>
        <w:tc>
          <w:tcPr>
            <w:tcW w:w="2960" w:type="dxa"/>
            <w:vAlign w:val="bottom"/>
          </w:tcPr>
          <w:p>
            <w:pPr>
              <w:jc w:val="center"/>
              <w:spacing w:after="0" w:line="169" w:lineRule="exact"/>
              <w:rPr>
                <w:sz w:val="20"/>
                <w:szCs w:val="20"/>
                <w:color w:val="auto"/>
              </w:rPr>
            </w:pPr>
            <w:r>
              <w:rPr>
                <w:rFonts w:ascii="Arial" w:cs="Arial" w:eastAsia="Arial" w:hAnsi="Arial"/>
                <w:sz w:val="16"/>
                <w:szCs w:val="16"/>
                <w:color w:val="auto"/>
              </w:rPr>
              <w:t>(IRS Employer Identification No.)</w:t>
            </w:r>
          </w:p>
        </w:tc>
      </w:tr>
      <w:tr>
        <w:trPr>
          <w:trHeight w:val="207"/>
        </w:trPr>
        <w:tc>
          <w:tcPr>
            <w:tcW w:w="17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660" w:type="dxa"/>
            <w:vAlign w:val="bottom"/>
          </w:tcPr>
          <w:p>
            <w:pPr>
              <w:jc w:val="center"/>
              <w:spacing w:after="0"/>
              <w:rPr>
                <w:sz w:val="20"/>
                <w:szCs w:val="20"/>
                <w:color w:val="auto"/>
              </w:rPr>
            </w:pPr>
            <w:r>
              <w:rPr>
                <w:rFonts w:ascii="Arial" w:cs="Arial" w:eastAsia="Arial" w:hAnsi="Arial"/>
                <w:sz w:val="16"/>
                <w:szCs w:val="16"/>
                <w:color w:val="auto"/>
              </w:rPr>
              <w:t>Number)</w:t>
            </w:r>
          </w:p>
        </w:tc>
        <w:tc>
          <w:tcPr>
            <w:tcW w:w="2960" w:type="dxa"/>
            <w:vAlign w:val="bottom"/>
          </w:tcPr>
          <w:p>
            <w:pPr>
              <w:spacing w:after="0"/>
              <w:rPr>
                <w:sz w:val="17"/>
                <w:szCs w:val="17"/>
                <w:color w:val="auto"/>
              </w:rPr>
            </w:pPr>
          </w:p>
        </w:tc>
      </w:tr>
      <w:tr>
        <w:trPr>
          <w:trHeight w:val="549"/>
        </w:trPr>
        <w:tc>
          <w:tcPr>
            <w:tcW w:w="1780" w:type="dxa"/>
            <w:vAlign w:val="bottom"/>
            <w:tcBorders>
              <w:bottom w:val="single" w:sz="8" w:color="auto"/>
            </w:tcBorders>
          </w:tcPr>
          <w:p>
            <w:pPr>
              <w:ind w:left="200"/>
              <w:spacing w:after="0"/>
              <w:rPr>
                <w:sz w:val="20"/>
                <w:szCs w:val="20"/>
                <w:color w:val="auto"/>
              </w:rPr>
            </w:pPr>
            <w:r>
              <w:rPr>
                <w:rFonts w:ascii="Arial" w:cs="Arial" w:eastAsia="Arial" w:hAnsi="Arial"/>
                <w:sz w:val="16"/>
                <w:szCs w:val="16"/>
                <w:b w:val="1"/>
                <w:bCs w:val="1"/>
                <w:color w:val="auto"/>
              </w:rPr>
              <w:t>13200 Pioneer Trail</w:t>
            </w:r>
          </w:p>
        </w:tc>
        <w:tc>
          <w:tcPr>
            <w:tcW w:w="1480" w:type="dxa"/>
            <w:vAlign w:val="bottom"/>
            <w:tcBorders>
              <w:bottom w:val="single" w:sz="8" w:color="auto"/>
            </w:tcBorders>
          </w:tcPr>
          <w:p>
            <w:pPr>
              <w:ind w:left="280"/>
              <w:spacing w:after="0"/>
              <w:rPr>
                <w:sz w:val="20"/>
                <w:szCs w:val="20"/>
                <w:color w:val="auto"/>
              </w:rPr>
            </w:pPr>
            <w:r>
              <w:rPr>
                <w:rFonts w:ascii="Arial" w:cs="Arial" w:eastAsia="Arial" w:hAnsi="Arial"/>
                <w:sz w:val="16"/>
                <w:szCs w:val="16"/>
                <w:b w:val="1"/>
                <w:bCs w:val="1"/>
                <w:color w:val="auto"/>
              </w:rPr>
              <w:t>Eden Prairie</w:t>
            </w:r>
          </w:p>
        </w:tc>
        <w:tc>
          <w:tcPr>
            <w:tcW w:w="1360" w:type="dxa"/>
            <w:vAlign w:val="bottom"/>
            <w:tcBorders>
              <w:bottom w:val="single" w:sz="8" w:color="auto"/>
            </w:tcBorders>
          </w:tcPr>
          <w:p>
            <w:pPr>
              <w:ind w:left="260"/>
              <w:spacing w:after="0"/>
              <w:rPr>
                <w:sz w:val="20"/>
                <w:szCs w:val="20"/>
                <w:color w:val="auto"/>
              </w:rPr>
            </w:pPr>
            <w:r>
              <w:rPr>
                <w:rFonts w:ascii="Arial" w:cs="Arial" w:eastAsia="Arial" w:hAnsi="Arial"/>
                <w:sz w:val="16"/>
                <w:szCs w:val="16"/>
                <w:b w:val="1"/>
                <w:bCs w:val="1"/>
                <w:color w:val="auto"/>
              </w:rPr>
              <w:t>Minnesota</w:t>
            </w:r>
          </w:p>
        </w:tc>
        <w:tc>
          <w:tcPr>
            <w:tcW w:w="1660" w:type="dxa"/>
            <w:vAlign w:val="bottom"/>
          </w:tcPr>
          <w:p>
            <w:pPr>
              <w:spacing w:after="0"/>
              <w:rPr>
                <w:sz w:val="24"/>
                <w:szCs w:val="24"/>
                <w:color w:val="auto"/>
              </w:rPr>
            </w:pPr>
          </w:p>
        </w:tc>
        <w:tc>
          <w:tcPr>
            <w:tcW w:w="2960" w:type="dxa"/>
            <w:vAlign w:val="bottom"/>
            <w:tcBorders>
              <w:bottom w:val="single" w:sz="8" w:color="auto"/>
            </w:tcBorders>
          </w:tcPr>
          <w:p>
            <w:pPr>
              <w:jc w:val="right"/>
              <w:ind w:right="1179"/>
              <w:spacing w:after="0"/>
              <w:rPr>
                <w:sz w:val="20"/>
                <w:szCs w:val="20"/>
                <w:color w:val="auto"/>
              </w:rPr>
            </w:pPr>
            <w:r>
              <w:rPr>
                <w:rFonts w:ascii="Arial" w:cs="Arial" w:eastAsia="Arial" w:hAnsi="Arial"/>
                <w:sz w:val="16"/>
                <w:szCs w:val="16"/>
                <w:b w:val="1"/>
                <w:bCs w:val="1"/>
                <w:color w:val="auto"/>
              </w:rPr>
              <w:t>55347</w:t>
            </w:r>
          </w:p>
        </w:tc>
      </w:tr>
      <w:tr>
        <w:trPr>
          <w:trHeight w:val="230"/>
        </w:trPr>
        <w:tc>
          <w:tcPr>
            <w:tcW w:w="4620" w:type="dxa"/>
            <w:vAlign w:val="bottom"/>
            <w:gridSpan w:val="3"/>
          </w:tcPr>
          <w:p>
            <w:pPr>
              <w:jc w:val="center"/>
              <w:spacing w:after="0"/>
              <w:rPr>
                <w:sz w:val="20"/>
                <w:szCs w:val="20"/>
                <w:color w:val="auto"/>
              </w:rPr>
            </w:pPr>
            <w:r>
              <w:rPr>
                <w:rFonts w:ascii="Arial" w:cs="Arial" w:eastAsia="Arial" w:hAnsi="Arial"/>
                <w:sz w:val="16"/>
                <w:szCs w:val="16"/>
                <w:color w:val="auto"/>
              </w:rPr>
              <w:t>(Address of Principal Executive Offices)</w:t>
            </w:r>
          </w:p>
        </w:tc>
        <w:tc>
          <w:tcPr>
            <w:tcW w:w="1660" w:type="dxa"/>
            <w:vAlign w:val="bottom"/>
          </w:tcPr>
          <w:p>
            <w:pPr>
              <w:spacing w:after="0"/>
              <w:rPr>
                <w:sz w:val="20"/>
                <w:szCs w:val="20"/>
                <w:color w:val="auto"/>
              </w:rPr>
            </w:pPr>
          </w:p>
        </w:tc>
        <w:tc>
          <w:tcPr>
            <w:tcW w:w="2960" w:type="dxa"/>
            <w:vAlign w:val="bottom"/>
          </w:tcPr>
          <w:p>
            <w:pPr>
              <w:jc w:val="center"/>
              <w:spacing w:after="0"/>
              <w:rPr>
                <w:sz w:val="20"/>
                <w:szCs w:val="20"/>
                <w:color w:val="auto"/>
              </w:rPr>
            </w:pPr>
            <w:r>
              <w:rPr>
                <w:rFonts w:ascii="Arial" w:cs="Arial" w:eastAsia="Arial" w:hAnsi="Arial"/>
                <w:sz w:val="16"/>
                <w:szCs w:val="16"/>
                <w:color w:val="auto"/>
              </w:rPr>
              <w:t>(Zip Code)</w:t>
            </w:r>
          </w:p>
        </w:tc>
      </w:tr>
    </w:tbl>
    <w:p>
      <w:pPr>
        <w:spacing w:after="0" w:line="339" w:lineRule="exact"/>
        <w:rPr>
          <w:sz w:val="24"/>
          <w:szCs w:val="24"/>
          <w:color w:val="auto"/>
        </w:rPr>
      </w:pPr>
    </w:p>
    <w:p>
      <w:pPr>
        <w:jc w:val="center"/>
        <w:ind w:right="20"/>
        <w:spacing w:after="0"/>
        <w:tabs>
          <w:tab w:leader="none" w:pos="120" w:val="left"/>
        </w:tabs>
        <w:rPr>
          <w:sz w:val="20"/>
          <w:szCs w:val="20"/>
          <w:color w:val="auto"/>
        </w:rPr>
      </w:pPr>
      <w:r>
        <w:rPr>
          <w:rFonts w:ascii="Arial" w:cs="Arial" w:eastAsia="Arial" w:hAnsi="Arial"/>
          <w:sz w:val="16"/>
          <w:szCs w:val="16"/>
          <w:color w:val="auto"/>
        </w:rPr>
        <w:t>Registrant's telephone number, including area code</w:t>
      </w:r>
      <w:r>
        <w:rPr>
          <w:sz w:val="20"/>
          <w:szCs w:val="20"/>
          <w:color w:val="auto"/>
        </w:rPr>
        <w:tab/>
      </w:r>
      <w:r>
        <w:rPr>
          <w:rFonts w:ascii="Arial" w:cs="Arial" w:eastAsia="Arial" w:hAnsi="Arial"/>
          <w:sz w:val="16"/>
          <w:szCs w:val="16"/>
          <w:b w:val="1"/>
          <w:bCs w:val="1"/>
          <w:color w:val="auto"/>
        </w:rPr>
        <w:t>952-829-8600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750570</wp:posOffset>
            </wp:positionH>
            <wp:positionV relativeFrom="paragraph">
              <wp:posOffset>203200</wp:posOffset>
            </wp:positionV>
            <wp:extent cx="566610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66105" cy="8255"/>
                    </a:xfrm>
                    <a:prstGeom prst="rect">
                      <a:avLst/>
                    </a:prstGeom>
                    <a:noFill/>
                  </pic:spPr>
                </pic:pic>
              </a:graphicData>
            </a:graphic>
          </wp:anchor>
        </w:drawing>
      </w:r>
    </w:p>
    <w:p>
      <w:pPr>
        <w:spacing w:after="0" w:line="398" w:lineRule="exact"/>
        <w:rPr>
          <w:sz w:val="24"/>
          <w:szCs w:val="24"/>
          <w:color w:val="auto"/>
        </w:rPr>
      </w:pPr>
    </w:p>
    <w:p>
      <w:pPr>
        <w:jc w:val="center"/>
        <w:ind w:right="60"/>
        <w:spacing w:after="0"/>
        <w:rPr>
          <w:sz w:val="20"/>
          <w:szCs w:val="20"/>
          <w:color w:val="auto"/>
        </w:rPr>
      </w:pPr>
      <w:r>
        <w:rPr>
          <w:rFonts w:ascii="Arial" w:cs="Arial" w:eastAsia="Arial" w:hAnsi="Arial"/>
          <w:sz w:val="16"/>
          <w:szCs w:val="16"/>
          <w:color w:val="auto"/>
        </w:rPr>
        <w:t>(Former Name or Former Address, if Changed Since Last Report.)</w:t>
      </w:r>
    </w:p>
    <w:p>
      <w:pPr>
        <w:spacing w:after="0" w:line="262" w:lineRule="exact"/>
        <w:rPr>
          <w:sz w:val="24"/>
          <w:szCs w:val="24"/>
          <w:color w:val="auto"/>
        </w:rPr>
      </w:pPr>
    </w:p>
    <w:p>
      <w:pPr>
        <w:ind w:right="20"/>
        <w:spacing w:after="0" w:line="276" w:lineRule="auto"/>
        <w:rPr>
          <w:sz w:val="20"/>
          <w:szCs w:val="20"/>
          <w:color w:val="auto"/>
        </w:rPr>
      </w:pPr>
      <w:r>
        <w:rPr>
          <w:rFonts w:ascii="Arial" w:cs="Arial" w:eastAsia="Arial" w:hAnsi="Arial"/>
          <w:sz w:val="16"/>
          <w:szCs w:val="16"/>
          <w:color w:val="auto"/>
        </w:rPr>
        <w:t>Check the appropriate box below if the Form 8-K filing is intended to simultaneously satisfy the filing obligation of the registrant under any of the following provisions (see General Instruction A.2. below):</w:t>
      </w:r>
    </w:p>
    <w:p>
      <w:pPr>
        <w:spacing w:after="0" w:line="157"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207" w:lineRule="exact"/>
        <w:rPr>
          <w:rFonts w:ascii="MS PGothic" w:cs="MS PGothic" w:eastAsia="MS PGothic" w:hAnsi="MS PGothic"/>
          <w:sz w:val="16"/>
          <w:szCs w:val="16"/>
          <w:color w:val="auto"/>
        </w:rPr>
      </w:pPr>
    </w:p>
    <w:p>
      <w:pPr>
        <w:ind w:left="380" w:hanging="372"/>
        <w:spacing w:after="0"/>
        <w:tabs>
          <w:tab w:leader="none" w:pos="38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207" w:lineRule="exact"/>
        <w:rPr>
          <w:rFonts w:ascii="MS PGothic" w:cs="MS PGothic" w:eastAsia="MS PGothic" w:hAnsi="MS PGothic"/>
          <w:sz w:val="16"/>
          <w:szCs w:val="16"/>
          <w:color w:val="auto"/>
        </w:rPr>
      </w:pPr>
    </w:p>
    <w:p>
      <w:pPr>
        <w:ind w:left="380" w:hanging="372"/>
        <w:spacing w:after="0"/>
        <w:tabs>
          <w:tab w:leader="none" w:pos="38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194" w:lineRule="exact"/>
        <w:rPr>
          <w:rFonts w:ascii="MS PGothic" w:cs="MS PGothic" w:eastAsia="MS PGothic" w:hAnsi="MS PGothic"/>
          <w:sz w:val="16"/>
          <w:szCs w:val="16"/>
          <w:color w:val="auto"/>
        </w:rPr>
      </w:pPr>
    </w:p>
    <w:p>
      <w:pPr>
        <w:ind w:left="380" w:hanging="372"/>
        <w:spacing w:after="0"/>
        <w:tabs>
          <w:tab w:leader="none" w:pos="38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262" w:lineRule="exact"/>
        <w:rPr>
          <w:sz w:val="24"/>
          <w:szCs w:val="24"/>
          <w:color w:val="auto"/>
        </w:rPr>
      </w:pPr>
    </w:p>
    <w:p>
      <w:pPr>
        <w:spacing w:after="0"/>
        <w:rPr>
          <w:sz w:val="20"/>
          <w:szCs w:val="20"/>
          <w:color w:val="auto"/>
        </w:rPr>
      </w:pPr>
      <w:r>
        <w:rPr>
          <w:rFonts w:ascii="Arial" w:cs="Arial" w:eastAsia="Arial" w:hAnsi="Arial"/>
          <w:sz w:val="16"/>
          <w:szCs w:val="16"/>
          <w:color w:val="auto"/>
        </w:rPr>
        <w:t>Securities registered pursuant to Section 12(b) of the Act:</w:t>
      </w:r>
    </w:p>
    <w:p>
      <w:pPr>
        <w:spacing w:after="0" w:line="117" w:lineRule="exact"/>
        <w:rPr>
          <w:sz w:val="24"/>
          <w:szCs w:val="24"/>
          <w:color w:val="auto"/>
        </w:rPr>
      </w:pPr>
    </w:p>
    <w:tbl>
      <w:tblPr>
        <w:tblLayout w:type="fixed"/>
        <w:tblInd w:w="10" w:type="dxa"/>
        <w:tblCellMar>
          <w:top w:w="0" w:type="dxa"/>
          <w:left w:w="0" w:type="dxa"/>
          <w:bottom w:w="0" w:type="dxa"/>
          <w:right w:w="0" w:type="dxa"/>
        </w:tblCellMar>
      </w:tblPr>
      <w:tr>
        <w:trPr>
          <w:trHeight w:val="226"/>
        </w:trPr>
        <w:tc>
          <w:tcPr>
            <w:tcW w:w="47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Title of each class</w:t>
            </w:r>
          </w:p>
        </w:tc>
        <w:tc>
          <w:tcPr>
            <w:tcW w:w="17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Trading Symbol(s)</w:t>
            </w:r>
          </w:p>
        </w:tc>
        <w:tc>
          <w:tcPr>
            <w:tcW w:w="47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Name of each exchange on which registered</w:t>
            </w:r>
          </w:p>
        </w:tc>
      </w:tr>
      <w:tr>
        <w:trPr>
          <w:trHeight w:val="210"/>
        </w:trPr>
        <w:tc>
          <w:tcPr>
            <w:tcW w:w="47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Common Stock, $0.50 par value per share</w:t>
            </w:r>
          </w:p>
        </w:tc>
        <w:tc>
          <w:tcPr>
            <w:tcW w:w="1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WGO</w:t>
            </w:r>
          </w:p>
        </w:tc>
        <w:tc>
          <w:tcPr>
            <w:tcW w:w="4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New York Stock Exchange</w:t>
            </w:r>
          </w:p>
        </w:tc>
      </w:tr>
    </w:tbl>
    <w:p>
      <w:pPr>
        <w:spacing w:after="0" w:line="314" w:lineRule="exact"/>
        <w:rPr>
          <w:sz w:val="24"/>
          <w:szCs w:val="24"/>
          <w:color w:val="auto"/>
        </w:rPr>
      </w:pPr>
    </w:p>
    <w:p>
      <w:pPr>
        <w:jc w:val="both"/>
        <w:ind w:right="20"/>
        <w:spacing w:after="0" w:line="260"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 or Rule 12b-2 of the Exchange Act of 1934 (§240.12b-2 of this chapter).</w:t>
      </w:r>
    </w:p>
    <w:p>
      <w:pPr>
        <w:spacing w:after="0" w:line="1" w:lineRule="exact"/>
        <w:rPr>
          <w:sz w:val="24"/>
          <w:szCs w:val="24"/>
          <w:color w:val="auto"/>
        </w:rPr>
      </w:pPr>
    </w:p>
    <w:p>
      <w:pPr>
        <w:ind w:left="698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53" w:lineRule="exact"/>
        <w:rPr>
          <w:sz w:val="24"/>
          <w:szCs w:val="24"/>
          <w:color w:val="auto"/>
        </w:rPr>
      </w:pPr>
    </w:p>
    <w:p>
      <w:pPr>
        <w:ind w:right="160"/>
        <w:spacing w:after="0" w:line="211"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524510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998" w:right="319" w:bottom="1440" w:gutter="0" w:footer="0" w:header="0"/>
        </w:sectPr>
      </w:pPr>
    </w:p>
    <w:bookmarkStart w:id="1" w:name="page2"/>
    <w:bookmarkEnd w:id="1"/>
    <w:p>
      <w:pPr>
        <w:ind w:right="500"/>
        <w:spacing w:after="0" w:line="302" w:lineRule="auto"/>
        <w:rPr>
          <w:sz w:val="20"/>
          <w:szCs w:val="20"/>
          <w:color w:val="auto"/>
        </w:rPr>
      </w:pPr>
      <w:r>
        <w:rPr>
          <w:rFonts w:ascii="Arial" w:cs="Arial" w:eastAsia="Arial" w:hAnsi="Arial"/>
          <w:sz w:val="16"/>
          <w:szCs w:val="16"/>
          <w:b w:val="1"/>
          <w:bCs w:val="1"/>
          <w:color w:val="auto"/>
        </w:rPr>
        <w:t>Item 5.02 Departure of Directors or Certain Officers; Election of Directors; Appointment of Certain Officers; Compensatory Arrangements of Certain Officers.</w:t>
      </w:r>
    </w:p>
    <w:p>
      <w:pPr>
        <w:spacing w:after="0" w:line="179" w:lineRule="exact"/>
        <w:rPr>
          <w:sz w:val="20"/>
          <w:szCs w:val="20"/>
          <w:color w:val="auto"/>
        </w:rPr>
      </w:pPr>
    </w:p>
    <w:p>
      <w:pPr>
        <w:ind w:right="120"/>
        <w:spacing w:after="0" w:line="276" w:lineRule="auto"/>
        <w:rPr>
          <w:sz w:val="20"/>
          <w:szCs w:val="20"/>
          <w:color w:val="auto"/>
        </w:rPr>
      </w:pPr>
      <w:r>
        <w:rPr>
          <w:rFonts w:ascii="Arial" w:cs="Arial" w:eastAsia="Arial" w:hAnsi="Arial"/>
          <w:sz w:val="16"/>
          <w:szCs w:val="16"/>
          <w:color w:val="auto"/>
        </w:rPr>
        <w:t>On October 11, 2023, Winnebago Industries, Inc. (the “Company”) announced the appointment of Staci L. Kroon to its Board of Directors (“Board”) effective immediately.</w:t>
      </w:r>
    </w:p>
    <w:p>
      <w:pPr>
        <w:spacing w:after="0" w:line="211" w:lineRule="exact"/>
        <w:rPr>
          <w:sz w:val="20"/>
          <w:szCs w:val="20"/>
          <w:color w:val="auto"/>
        </w:rPr>
      </w:pPr>
    </w:p>
    <w:p>
      <w:pPr>
        <w:ind w:right="60"/>
        <w:spacing w:after="0" w:line="261" w:lineRule="auto"/>
        <w:rPr>
          <w:sz w:val="20"/>
          <w:szCs w:val="20"/>
          <w:color w:val="auto"/>
        </w:rPr>
      </w:pPr>
      <w:r>
        <w:rPr>
          <w:rFonts w:ascii="Arial" w:cs="Arial" w:eastAsia="Arial" w:hAnsi="Arial"/>
          <w:sz w:val="16"/>
          <w:szCs w:val="16"/>
          <w:color w:val="auto"/>
        </w:rPr>
        <w:t>Ms. Kroon is President and Chief Executive Officer of BraunAbility, a global manufacturer of mobility vehicles and other mobility solutions, a position she has held since 2017. Ms. Kroon also serves as a director of BraunAbility. Before joining BraunAbility, Ms. Kroon spent 20 years at Eaton Corporation, a global power management company.</w:t>
      </w: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color w:val="auto"/>
        </w:rPr>
        <w:t>Ms. Kroon will be a Class III director and will serve on the Human Resources and Finance Committees.</w:t>
      </w:r>
    </w:p>
    <w:p>
      <w:pPr>
        <w:spacing w:after="0" w:line="248" w:lineRule="exact"/>
        <w:rPr>
          <w:sz w:val="20"/>
          <w:szCs w:val="20"/>
          <w:color w:val="auto"/>
        </w:rPr>
      </w:pPr>
    </w:p>
    <w:p>
      <w:pPr>
        <w:ind w:right="280"/>
        <w:spacing w:after="0" w:line="262" w:lineRule="auto"/>
        <w:rPr>
          <w:sz w:val="20"/>
          <w:szCs w:val="20"/>
          <w:color w:val="auto"/>
        </w:rPr>
      </w:pPr>
      <w:r>
        <w:rPr>
          <w:rFonts w:ascii="Arial" w:cs="Arial" w:eastAsia="Arial" w:hAnsi="Arial"/>
          <w:sz w:val="16"/>
          <w:szCs w:val="16"/>
          <w:color w:val="auto"/>
        </w:rPr>
        <w:t>Ms. Kroon will be compensated in accordance with the Company’s standard compensation policies and practices for the Board, the components of which were disclosed in the Company’s proxy statement for its 2022 annual meeting of shareholders filed with the Securities and Exchange Commission on October 31, 2022, in the section titled “Director Compensation,” provided that effective August 27, 2023, the value of the annual and new Board member equity retainer increased from $125,000 to $150,000.</w:t>
      </w: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color w:val="auto"/>
        </w:rPr>
        <w:t>There are no transactions or relationships between the Company and Ms. Kroon that are reportable under Item 404(a) of Regulation S-K.</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Ms. Kroon is expected to stand for election to the Board at the 2023 annual meeting of shareholders.</w:t>
      </w:r>
    </w:p>
    <w:p>
      <w:pPr>
        <w:spacing w:after="0" w:line="24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7.01 Regulation FD Disclosure.</w:t>
      </w:r>
    </w:p>
    <w:p>
      <w:pPr>
        <w:spacing w:after="0" w:line="270" w:lineRule="exact"/>
        <w:rPr>
          <w:sz w:val="20"/>
          <w:szCs w:val="20"/>
          <w:color w:val="auto"/>
        </w:rPr>
      </w:pPr>
    </w:p>
    <w:p>
      <w:pPr>
        <w:ind w:right="200"/>
        <w:spacing w:after="0" w:line="276" w:lineRule="auto"/>
        <w:rPr>
          <w:sz w:val="20"/>
          <w:szCs w:val="20"/>
          <w:color w:val="auto"/>
        </w:rPr>
      </w:pPr>
      <w:r>
        <w:rPr>
          <w:rFonts w:ascii="Arial" w:cs="Arial" w:eastAsia="Arial" w:hAnsi="Arial"/>
          <w:sz w:val="16"/>
          <w:szCs w:val="16"/>
          <w:color w:val="auto"/>
        </w:rPr>
        <w:t>On October 11, 2023, the Company issued a press release announcing the appointment of Ms. Kroon to the Board as described above under Item 5.02. A copy of the news release is furnished as Exhibit 99.1 and incorporated herein by reference.</w:t>
      </w: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9.01 Financial Statements and Exhibits.</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(d) Exhibits</w:t>
      </w: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4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2"/>
          </w:tcPr>
          <w:p>
            <w:pPr>
              <w:spacing w:after="0"/>
              <w:rPr>
                <w:sz w:val="20"/>
                <w:szCs w:val="20"/>
                <w:color w:val="auto"/>
              </w:rPr>
            </w:pPr>
            <w:r>
              <w:rPr>
                <w:rFonts w:ascii="Arial" w:cs="Arial" w:eastAsia="Arial" w:hAnsi="Arial"/>
                <w:sz w:val="16"/>
                <w:szCs w:val="16"/>
                <w:b w:val="1"/>
                <w:bCs w:val="1"/>
                <w:color w:val="auto"/>
              </w:rPr>
              <w:t>Exhibit Number</w:t>
            </w:r>
          </w:p>
        </w:tc>
        <w:tc>
          <w:tcPr>
            <w:tcW w:w="9380" w:type="dxa"/>
            <w:vAlign w:val="bottom"/>
            <w:tcBorders>
              <w:bottom w:val="single" w:sz="8" w:color="auto"/>
            </w:tcBorders>
            <w:gridSpan w:val="2"/>
          </w:tcPr>
          <w:p>
            <w:pPr>
              <w:spacing w:after="0"/>
              <w:rPr>
                <w:sz w:val="20"/>
                <w:szCs w:val="20"/>
                <w:color w:val="auto"/>
              </w:rPr>
            </w:pPr>
            <w:r>
              <w:rPr>
                <w:rFonts w:ascii="Arial" w:cs="Arial" w:eastAsia="Arial" w:hAnsi="Arial"/>
                <w:sz w:val="16"/>
                <w:szCs w:val="16"/>
                <w:b w:val="1"/>
                <w:bCs w:val="1"/>
                <w:color w:val="auto"/>
              </w:rPr>
              <w:t>Description</w:t>
            </w:r>
          </w:p>
        </w:tc>
        <w:tc>
          <w:tcPr>
            <w:tcW w:w="100" w:type="dxa"/>
            <w:vAlign w:val="bottom"/>
          </w:tcPr>
          <w:p>
            <w:pPr>
              <w:spacing w:after="0"/>
              <w:rPr>
                <w:sz w:val="19"/>
                <w:szCs w:val="19"/>
                <w:color w:val="auto"/>
              </w:rPr>
            </w:pPr>
          </w:p>
        </w:tc>
      </w:tr>
      <w:tr>
        <w:trPr>
          <w:trHeight w:val="169"/>
        </w:trPr>
        <w:tc>
          <w:tcPr>
            <w:tcW w:w="1760" w:type="dxa"/>
            <w:vAlign w:val="bottom"/>
            <w:gridSpan w:val="4"/>
          </w:tcPr>
          <w:p>
            <w:pPr>
              <w:ind w:left="420"/>
              <w:spacing w:after="0" w:line="169" w:lineRule="exact"/>
              <w:rPr>
                <w:sz w:val="20"/>
                <w:szCs w:val="20"/>
                <w:color w:val="auto"/>
              </w:rPr>
            </w:pPr>
            <w:r>
              <w:rPr>
                <w:rFonts w:ascii="Arial" w:cs="Arial" w:eastAsia="Arial" w:hAnsi="Arial"/>
                <w:sz w:val="16"/>
                <w:szCs w:val="16"/>
                <w:color w:val="0000FF"/>
              </w:rPr>
              <w:t>99.</w:t>
            </w:r>
            <w:r>
              <w:rPr>
                <w:rFonts w:ascii="Arial" w:cs="Arial" w:eastAsia="Arial" w:hAnsi="Arial"/>
                <w:sz w:val="16"/>
                <w:szCs w:val="16"/>
                <w:u w:val="single" w:color="auto"/>
                <w:color w:val="0000FF"/>
              </w:rPr>
              <w:t>1</w:t>
            </w:r>
          </w:p>
        </w:tc>
        <w:tc>
          <w:tcPr>
            <w:tcW w:w="9480" w:type="dxa"/>
            <w:vAlign w:val="bottom"/>
            <w:gridSpan w:val="3"/>
          </w:tcPr>
          <w:p>
            <w:pPr>
              <w:spacing w:after="0" w:line="169" w:lineRule="exact"/>
              <w:rPr>
                <w:sz w:val="20"/>
                <w:szCs w:val="20"/>
                <w:color w:val="auto"/>
              </w:rPr>
            </w:pPr>
            <w:r>
              <w:rPr>
                <w:rFonts w:ascii="Arial" w:cs="Arial" w:eastAsia="Arial" w:hAnsi="Arial"/>
                <w:sz w:val="16"/>
                <w:szCs w:val="16"/>
                <w:color w:val="0000FF"/>
              </w:rPr>
              <w:t>Press Release of Winnebago Industries, Inc. dated October 11, 2023</w:t>
            </w:r>
          </w:p>
        </w:tc>
      </w:tr>
      <w:tr>
        <w:trPr>
          <w:trHeight w:val="20"/>
        </w:trPr>
        <w:tc>
          <w:tcPr>
            <w:tcW w:w="420" w:type="dxa"/>
            <w:vAlign w:val="bottom"/>
            <w:gridSpan w:val="2"/>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920" w:type="dxa"/>
            <w:vAlign w:val="bottom"/>
            <w:shd w:val="clear" w:color="auto" w:fill="0000FF"/>
          </w:tcPr>
          <w:p>
            <w:pPr>
              <w:spacing w:after="0" w:line="20" w:lineRule="exact"/>
              <w:rPr>
                <w:sz w:val="1"/>
                <w:szCs w:val="1"/>
                <w:color w:val="auto"/>
              </w:rPr>
            </w:pPr>
          </w:p>
        </w:tc>
        <w:tc>
          <w:tcPr>
            <w:tcW w:w="4560" w:type="dxa"/>
            <w:vAlign w:val="bottom"/>
            <w:gridSpan w:val="2"/>
          </w:tcPr>
          <w:p>
            <w:pPr>
              <w:spacing w:after="0" w:line="20" w:lineRule="exact"/>
              <w:rPr>
                <w:sz w:val="1"/>
                <w:szCs w:val="1"/>
                <w:color w:val="auto"/>
              </w:rPr>
            </w:pPr>
          </w:p>
        </w:tc>
      </w:tr>
      <w:tr>
        <w:trPr>
          <w:trHeight w:val="231"/>
        </w:trPr>
        <w:tc>
          <w:tcPr>
            <w:tcW w:w="740" w:type="dxa"/>
            <w:vAlign w:val="bottom"/>
            <w:gridSpan w:val="3"/>
          </w:tcPr>
          <w:p>
            <w:pPr>
              <w:ind w:left="420"/>
              <w:spacing w:after="0"/>
              <w:rPr>
                <w:sz w:val="20"/>
                <w:szCs w:val="20"/>
                <w:color w:val="auto"/>
              </w:rPr>
            </w:pPr>
            <w:r>
              <w:rPr>
                <w:rFonts w:ascii="Arial" w:cs="Arial" w:eastAsia="Arial" w:hAnsi="Arial"/>
                <w:sz w:val="16"/>
                <w:szCs w:val="16"/>
                <w:color w:val="auto"/>
              </w:rPr>
              <w:t>104</w:t>
            </w:r>
          </w:p>
        </w:tc>
        <w:tc>
          <w:tcPr>
            <w:tcW w:w="1020" w:type="dxa"/>
            <w:vAlign w:val="bottom"/>
          </w:tcPr>
          <w:p>
            <w:pPr>
              <w:spacing w:after="0"/>
              <w:rPr>
                <w:sz w:val="20"/>
                <w:szCs w:val="20"/>
                <w:color w:val="auto"/>
              </w:rPr>
            </w:pPr>
          </w:p>
        </w:tc>
        <w:tc>
          <w:tcPr>
            <w:tcW w:w="9480" w:type="dxa"/>
            <w:vAlign w:val="bottom"/>
            <w:gridSpan w:val="3"/>
          </w:tcPr>
          <w:p>
            <w:pPr>
              <w:spacing w:after="0"/>
              <w:rPr>
                <w:sz w:val="20"/>
                <w:szCs w:val="20"/>
                <w:color w:val="auto"/>
              </w:rPr>
            </w:pPr>
            <w:r>
              <w:rPr>
                <w:rFonts w:ascii="Arial" w:cs="Arial" w:eastAsia="Arial" w:hAnsi="Arial"/>
                <w:sz w:val="16"/>
                <w:szCs w:val="16"/>
                <w:color w:val="auto"/>
              </w:rPr>
              <w:t>Cover Page Interactive Data File (formatted as Inline XBRL)</w:t>
            </w:r>
          </w:p>
        </w:tc>
      </w:tr>
      <w:tr>
        <w:trPr>
          <w:trHeight w:val="972"/>
        </w:trPr>
        <w:tc>
          <w:tcPr>
            <w:tcW w:w="4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4920" w:type="dxa"/>
            <w:vAlign w:val="bottom"/>
            <w:tcBorders>
              <w:bottom w:val="single" w:sz="8" w:color="9A9A9A"/>
            </w:tcBorders>
          </w:tcPr>
          <w:p>
            <w:pPr>
              <w:spacing w:after="0"/>
              <w:rPr>
                <w:sz w:val="24"/>
                <w:szCs w:val="24"/>
                <w:color w:val="auto"/>
              </w:rPr>
            </w:pPr>
          </w:p>
        </w:tc>
        <w:tc>
          <w:tcPr>
            <w:tcW w:w="44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20"/>
          <w:szCs w:val="20"/>
          <w:b w:val="1"/>
          <w:bCs w:val="1"/>
          <w:color w:val="auto"/>
        </w:rPr>
        <w:t>SIGNATURES</w:t>
      </w:r>
    </w:p>
    <w:p>
      <w:pPr>
        <w:spacing w:after="0" w:line="179" w:lineRule="exact"/>
        <w:rPr>
          <w:sz w:val="20"/>
          <w:szCs w:val="20"/>
          <w:color w:val="auto"/>
        </w:rPr>
      </w:pPr>
    </w:p>
    <w:p>
      <w:pPr>
        <w:spacing w:after="0" w:line="276"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hereunto duly authorized.</w:t>
      </w:r>
    </w:p>
    <w:p>
      <w:pPr>
        <w:spacing w:after="0" w:line="280" w:lineRule="exact"/>
        <w:rPr>
          <w:sz w:val="20"/>
          <w:szCs w:val="20"/>
          <w:color w:val="auto"/>
        </w:rPr>
      </w:pPr>
    </w:p>
    <w:tbl>
      <w:tblPr>
        <w:tblLayout w:type="fixed"/>
        <w:tblInd w:w="20" w:type="dxa"/>
        <w:tblCellMar>
          <w:top w:w="0" w:type="dxa"/>
          <w:left w:w="0" w:type="dxa"/>
          <w:bottom w:w="0" w:type="dxa"/>
          <w:right w:w="0" w:type="dxa"/>
        </w:tblCellMar>
      </w:tblPr>
      <w:tr>
        <w:trPr>
          <w:trHeight w:val="275"/>
        </w:trPr>
        <w:tc>
          <w:tcPr>
            <w:tcW w:w="560" w:type="dxa"/>
            <w:vAlign w:val="bottom"/>
          </w:tcPr>
          <w:p>
            <w:pPr>
              <w:spacing w:after="0"/>
              <w:rPr>
                <w:sz w:val="23"/>
                <w:szCs w:val="23"/>
                <w:color w:val="auto"/>
              </w:rPr>
            </w:pPr>
          </w:p>
        </w:tc>
        <w:tc>
          <w:tcPr>
            <w:tcW w:w="2260" w:type="dxa"/>
            <w:vAlign w:val="bottom"/>
          </w:tcPr>
          <w:p>
            <w:pPr>
              <w:spacing w:after="0"/>
              <w:rPr>
                <w:sz w:val="23"/>
                <w:szCs w:val="23"/>
                <w:color w:val="auto"/>
              </w:rPr>
            </w:pPr>
          </w:p>
        </w:tc>
        <w:tc>
          <w:tcPr>
            <w:tcW w:w="7380" w:type="dxa"/>
            <w:vAlign w:val="bottom"/>
            <w:gridSpan w:val="2"/>
          </w:tcPr>
          <w:p>
            <w:pPr>
              <w:ind w:left="840"/>
              <w:spacing w:after="0"/>
              <w:rPr>
                <w:sz w:val="20"/>
                <w:szCs w:val="20"/>
                <w:color w:val="auto"/>
              </w:rPr>
            </w:pPr>
            <w:r>
              <w:rPr>
                <w:rFonts w:ascii="Arial" w:cs="Arial" w:eastAsia="Arial" w:hAnsi="Arial"/>
                <w:sz w:val="22"/>
                <w:szCs w:val="22"/>
                <w:color w:val="auto"/>
              </w:rPr>
              <w:t>W</w:t>
            </w:r>
            <w:r>
              <w:rPr>
                <w:rFonts w:ascii="Arial" w:cs="Arial" w:eastAsia="Arial" w:hAnsi="Arial"/>
                <w:sz w:val="16"/>
                <w:szCs w:val="16"/>
                <w:color w:val="auto"/>
              </w:rPr>
              <w:t>INNEBAGO</w:t>
            </w:r>
            <w:r>
              <w:rPr>
                <w:rFonts w:ascii="Arial" w:cs="Arial" w:eastAsia="Arial" w:hAnsi="Arial"/>
                <w:sz w:val="22"/>
                <w:szCs w:val="22"/>
                <w:color w:val="auto"/>
              </w:rPr>
              <w:t xml:space="preserve"> I</w:t>
            </w:r>
            <w:r>
              <w:rPr>
                <w:rFonts w:ascii="Arial" w:cs="Arial" w:eastAsia="Arial" w:hAnsi="Arial"/>
                <w:sz w:val="16"/>
                <w:szCs w:val="16"/>
                <w:color w:val="auto"/>
              </w:rPr>
              <w:t>NDUSTRIES,</w:t>
            </w:r>
            <w:r>
              <w:rPr>
                <w:rFonts w:ascii="Arial" w:cs="Arial" w:eastAsia="Arial" w:hAnsi="Arial"/>
                <w:sz w:val="22"/>
                <w:szCs w:val="22"/>
                <w:color w:val="auto"/>
              </w:rPr>
              <w:t xml:space="preserve"> I</w:t>
            </w:r>
            <w:r>
              <w:rPr>
                <w:rFonts w:ascii="Arial" w:cs="Arial" w:eastAsia="Arial" w:hAnsi="Arial"/>
                <w:sz w:val="16"/>
                <w:szCs w:val="16"/>
                <w:color w:val="auto"/>
              </w:rPr>
              <w:t>NC.</w:t>
            </w:r>
          </w:p>
        </w:tc>
        <w:tc>
          <w:tcPr>
            <w:tcW w:w="0" w:type="dxa"/>
            <w:vAlign w:val="bottom"/>
          </w:tcPr>
          <w:p>
            <w:pPr>
              <w:spacing w:after="0"/>
              <w:rPr>
                <w:sz w:val="1"/>
                <w:szCs w:val="1"/>
                <w:color w:val="auto"/>
              </w:rPr>
            </w:pPr>
          </w:p>
        </w:tc>
      </w:tr>
      <w:tr>
        <w:trPr>
          <w:trHeight w:val="429"/>
        </w:trPr>
        <w:tc>
          <w:tcPr>
            <w:tcW w:w="560" w:type="dxa"/>
            <w:vAlign w:val="bottom"/>
          </w:tcPr>
          <w:p>
            <w:pPr>
              <w:spacing w:after="0"/>
              <w:rPr>
                <w:sz w:val="20"/>
                <w:szCs w:val="20"/>
                <w:color w:val="auto"/>
              </w:rPr>
            </w:pPr>
            <w:r>
              <w:rPr>
                <w:rFonts w:ascii="Arial" w:cs="Arial" w:eastAsia="Arial" w:hAnsi="Arial"/>
                <w:sz w:val="16"/>
                <w:szCs w:val="16"/>
                <w:color w:val="auto"/>
              </w:rPr>
              <w:t>Date:</w:t>
            </w:r>
          </w:p>
        </w:tc>
        <w:tc>
          <w:tcPr>
            <w:tcW w:w="2260" w:type="dxa"/>
            <w:vAlign w:val="bottom"/>
          </w:tcPr>
          <w:p>
            <w:pPr>
              <w:ind w:left="160"/>
              <w:spacing w:after="0"/>
              <w:rPr>
                <w:sz w:val="20"/>
                <w:szCs w:val="20"/>
                <w:color w:val="auto"/>
              </w:rPr>
            </w:pPr>
            <w:r>
              <w:rPr>
                <w:rFonts w:ascii="Arial" w:cs="Arial" w:eastAsia="Arial" w:hAnsi="Arial"/>
                <w:sz w:val="16"/>
                <w:szCs w:val="16"/>
                <w:color w:val="auto"/>
              </w:rPr>
              <w:t>October 13, 2023</w:t>
            </w:r>
          </w:p>
        </w:tc>
        <w:tc>
          <w:tcPr>
            <w:tcW w:w="1660" w:type="dxa"/>
            <w:vAlign w:val="bottom"/>
          </w:tcPr>
          <w:p>
            <w:pPr>
              <w:ind w:left="840"/>
              <w:spacing w:after="0"/>
              <w:rPr>
                <w:sz w:val="20"/>
                <w:szCs w:val="20"/>
                <w:color w:val="auto"/>
              </w:rPr>
            </w:pPr>
            <w:r>
              <w:rPr>
                <w:rFonts w:ascii="Arial" w:cs="Arial" w:eastAsia="Arial" w:hAnsi="Arial"/>
                <w:sz w:val="16"/>
                <w:szCs w:val="16"/>
                <w:color w:val="auto"/>
              </w:rPr>
              <w:t>By:</w:t>
            </w:r>
          </w:p>
        </w:tc>
        <w:tc>
          <w:tcPr>
            <w:tcW w:w="572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/s/ Stacy L. Bogart</w:t>
            </w:r>
          </w:p>
        </w:tc>
        <w:tc>
          <w:tcPr>
            <w:tcW w:w="0" w:type="dxa"/>
            <w:vAlign w:val="bottom"/>
          </w:tcPr>
          <w:p>
            <w:pPr>
              <w:spacing w:after="0"/>
              <w:rPr>
                <w:sz w:val="1"/>
                <w:szCs w:val="1"/>
                <w:color w:val="auto"/>
              </w:rPr>
            </w:pPr>
          </w:p>
        </w:tc>
      </w:tr>
      <w:tr>
        <w:trPr>
          <w:trHeight w:val="210"/>
        </w:trPr>
        <w:tc>
          <w:tcPr>
            <w:tcW w:w="56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660" w:type="dxa"/>
            <w:vAlign w:val="bottom"/>
          </w:tcPr>
          <w:p>
            <w:pPr>
              <w:ind w:left="840"/>
              <w:spacing w:after="0"/>
              <w:rPr>
                <w:sz w:val="20"/>
                <w:szCs w:val="20"/>
                <w:color w:val="auto"/>
              </w:rPr>
            </w:pPr>
            <w:r>
              <w:rPr>
                <w:rFonts w:ascii="Arial" w:cs="Arial" w:eastAsia="Arial" w:hAnsi="Arial"/>
                <w:sz w:val="16"/>
                <w:szCs w:val="16"/>
                <w:color w:val="auto"/>
              </w:rPr>
              <w:t>Name:</w:t>
            </w:r>
          </w:p>
        </w:tc>
        <w:tc>
          <w:tcPr>
            <w:tcW w:w="5720" w:type="dxa"/>
            <w:vAlign w:val="bottom"/>
          </w:tcPr>
          <w:p>
            <w:pPr>
              <w:ind w:left="20"/>
              <w:spacing w:after="0"/>
              <w:rPr>
                <w:sz w:val="20"/>
                <w:szCs w:val="20"/>
                <w:color w:val="auto"/>
              </w:rPr>
            </w:pPr>
            <w:r>
              <w:rPr>
                <w:rFonts w:ascii="Arial" w:cs="Arial" w:eastAsia="Arial" w:hAnsi="Arial"/>
                <w:sz w:val="16"/>
                <w:szCs w:val="16"/>
                <w:color w:val="auto"/>
              </w:rPr>
              <w:t>Stacy L. Bogart</w:t>
            </w:r>
          </w:p>
        </w:tc>
        <w:tc>
          <w:tcPr>
            <w:tcW w:w="0" w:type="dxa"/>
            <w:vAlign w:val="bottom"/>
          </w:tcPr>
          <w:p>
            <w:pPr>
              <w:spacing w:after="0"/>
              <w:rPr>
                <w:sz w:val="1"/>
                <w:szCs w:val="1"/>
                <w:color w:val="auto"/>
              </w:rPr>
            </w:pPr>
          </w:p>
        </w:tc>
      </w:tr>
      <w:tr>
        <w:trPr>
          <w:trHeight w:val="171"/>
        </w:trPr>
        <w:tc>
          <w:tcPr>
            <w:tcW w:w="56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660" w:type="dxa"/>
            <w:vAlign w:val="bottom"/>
            <w:vMerge w:val="restart"/>
          </w:tcPr>
          <w:p>
            <w:pPr>
              <w:ind w:left="840"/>
              <w:spacing w:after="0"/>
              <w:rPr>
                <w:sz w:val="20"/>
                <w:szCs w:val="20"/>
                <w:color w:val="auto"/>
              </w:rPr>
            </w:pPr>
            <w:r>
              <w:rPr>
                <w:rFonts w:ascii="Arial" w:cs="Arial" w:eastAsia="Arial" w:hAnsi="Arial"/>
                <w:sz w:val="16"/>
                <w:szCs w:val="16"/>
                <w:color w:val="auto"/>
              </w:rPr>
              <w:t>Title:</w:t>
            </w:r>
          </w:p>
        </w:tc>
        <w:tc>
          <w:tcPr>
            <w:tcW w:w="5720" w:type="dxa"/>
            <w:vAlign w:val="bottom"/>
          </w:tcPr>
          <w:p>
            <w:pPr>
              <w:ind w:left="20"/>
              <w:spacing w:after="0" w:line="171" w:lineRule="exact"/>
              <w:rPr>
                <w:sz w:val="20"/>
                <w:szCs w:val="20"/>
                <w:color w:val="auto"/>
              </w:rPr>
            </w:pPr>
            <w:r>
              <w:rPr>
                <w:rFonts w:ascii="Arial" w:cs="Arial" w:eastAsia="Arial" w:hAnsi="Arial"/>
                <w:sz w:val="16"/>
                <w:szCs w:val="16"/>
                <w:color w:val="auto"/>
              </w:rPr>
              <w:t>Senior Vice President, General Counsel, Secretary and Corporate</w:t>
            </w:r>
          </w:p>
        </w:tc>
        <w:tc>
          <w:tcPr>
            <w:tcW w:w="0" w:type="dxa"/>
            <w:vAlign w:val="bottom"/>
          </w:tcPr>
          <w:p>
            <w:pPr>
              <w:spacing w:after="0"/>
              <w:rPr>
                <w:sz w:val="1"/>
                <w:szCs w:val="1"/>
                <w:color w:val="auto"/>
              </w:rPr>
            </w:pPr>
          </w:p>
        </w:tc>
      </w:tr>
      <w:tr>
        <w:trPr>
          <w:trHeight w:val="126"/>
        </w:trPr>
        <w:tc>
          <w:tcPr>
            <w:tcW w:w="560" w:type="dxa"/>
            <w:vAlign w:val="bottom"/>
          </w:tcPr>
          <w:p>
            <w:pPr>
              <w:spacing w:after="0"/>
              <w:rPr>
                <w:sz w:val="10"/>
                <w:szCs w:val="10"/>
                <w:color w:val="auto"/>
              </w:rPr>
            </w:pPr>
          </w:p>
        </w:tc>
        <w:tc>
          <w:tcPr>
            <w:tcW w:w="2260" w:type="dxa"/>
            <w:vAlign w:val="bottom"/>
          </w:tcPr>
          <w:p>
            <w:pPr>
              <w:spacing w:after="0"/>
              <w:rPr>
                <w:sz w:val="10"/>
                <w:szCs w:val="10"/>
                <w:color w:val="auto"/>
              </w:rPr>
            </w:pPr>
          </w:p>
        </w:tc>
        <w:tc>
          <w:tcPr>
            <w:tcW w:w="1660" w:type="dxa"/>
            <w:vAlign w:val="bottom"/>
            <w:vMerge w:val="continue"/>
          </w:tcPr>
          <w:p>
            <w:pPr>
              <w:spacing w:after="0"/>
              <w:rPr>
                <w:sz w:val="10"/>
                <w:szCs w:val="10"/>
                <w:color w:val="auto"/>
              </w:rPr>
            </w:pPr>
          </w:p>
        </w:tc>
        <w:tc>
          <w:tcPr>
            <w:tcW w:w="5720" w:type="dxa"/>
            <w:vAlign w:val="bottom"/>
            <w:vMerge w:val="restart"/>
          </w:tcPr>
          <w:p>
            <w:pPr>
              <w:ind w:left="20"/>
              <w:spacing w:after="0"/>
              <w:rPr>
                <w:sz w:val="20"/>
                <w:szCs w:val="20"/>
                <w:color w:val="auto"/>
              </w:rPr>
            </w:pPr>
            <w:r>
              <w:rPr>
                <w:rFonts w:ascii="Arial" w:cs="Arial" w:eastAsia="Arial" w:hAnsi="Arial"/>
                <w:sz w:val="16"/>
                <w:szCs w:val="16"/>
                <w:color w:val="auto"/>
              </w:rPr>
              <w:t>Responsibility</w:t>
            </w:r>
          </w:p>
        </w:tc>
        <w:tc>
          <w:tcPr>
            <w:tcW w:w="0" w:type="dxa"/>
            <w:vAlign w:val="bottom"/>
          </w:tcPr>
          <w:p>
            <w:pPr>
              <w:spacing w:after="0"/>
              <w:rPr>
                <w:sz w:val="1"/>
                <w:szCs w:val="1"/>
                <w:color w:val="auto"/>
              </w:rPr>
            </w:pPr>
          </w:p>
        </w:tc>
      </w:tr>
      <w:tr>
        <w:trPr>
          <w:trHeight w:val="81"/>
        </w:trPr>
        <w:tc>
          <w:tcPr>
            <w:tcW w:w="560" w:type="dxa"/>
            <w:vAlign w:val="bottom"/>
          </w:tcPr>
          <w:p>
            <w:pPr>
              <w:spacing w:after="0"/>
              <w:rPr>
                <w:sz w:val="7"/>
                <w:szCs w:val="7"/>
                <w:color w:val="auto"/>
              </w:rPr>
            </w:pPr>
          </w:p>
        </w:tc>
        <w:tc>
          <w:tcPr>
            <w:tcW w:w="2260" w:type="dxa"/>
            <w:vAlign w:val="bottom"/>
          </w:tcPr>
          <w:p>
            <w:pPr>
              <w:spacing w:after="0"/>
              <w:rPr>
                <w:sz w:val="7"/>
                <w:szCs w:val="7"/>
                <w:color w:val="auto"/>
              </w:rPr>
            </w:pPr>
          </w:p>
        </w:tc>
        <w:tc>
          <w:tcPr>
            <w:tcW w:w="1660" w:type="dxa"/>
            <w:vAlign w:val="bottom"/>
          </w:tcPr>
          <w:p>
            <w:pPr>
              <w:spacing w:after="0"/>
              <w:rPr>
                <w:sz w:val="7"/>
                <w:szCs w:val="7"/>
                <w:color w:val="auto"/>
              </w:rPr>
            </w:pPr>
          </w:p>
        </w:tc>
        <w:tc>
          <w:tcPr>
            <w:tcW w:w="57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320" w:top="881" w:right="359" w:bottom="1440" w:gutter="0" w:footer="0" w:header="0"/>
        </w:sectPr>
      </w:pPr>
    </w:p>
    <w:bookmarkStart w:id="3" w:name="page4"/>
    <w:bookmarkEnd w:id="3"/>
    <w:p>
      <w:pPr>
        <w:ind w:left="3200"/>
        <w:spacing w:after="0"/>
        <w:rPr>
          <w:sz w:val="20"/>
          <w:szCs w:val="20"/>
          <w:color w:val="auto"/>
        </w:rPr>
      </w:pPr>
      <w:r>
        <w:rPr>
          <w:rFonts w:ascii="Arial" w:cs="Arial" w:eastAsia="Arial" w:hAnsi="Arial"/>
          <w:sz w:val="25"/>
          <w:szCs w:val="25"/>
          <w:b w:val="1"/>
          <w:bCs w:val="1"/>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885950" cy="677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1885950" cy="677545"/>
                    </a:xfrm>
                    <a:prstGeom prst="rect">
                      <a:avLst/>
                    </a:prstGeom>
                    <a:noFill/>
                  </pic:spPr>
                </pic:pic>
              </a:graphicData>
            </a:graphic>
          </wp:anchor>
        </w:drawing>
        <w:t>Press Release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Winnebago Industries Appoints Staci Kroon to Board of Directors</w:t>
      </w:r>
    </w:p>
    <w:p>
      <w:pPr>
        <w:spacing w:after="0" w:line="200" w:lineRule="exact"/>
        <w:rPr>
          <w:sz w:val="20"/>
          <w:szCs w:val="20"/>
          <w:color w:val="auto"/>
        </w:rPr>
      </w:pPr>
    </w:p>
    <w:p>
      <w:pPr>
        <w:spacing w:after="0" w:line="280" w:lineRule="exact"/>
        <w:rPr>
          <w:sz w:val="20"/>
          <w:szCs w:val="20"/>
          <w:color w:val="auto"/>
        </w:rPr>
      </w:pPr>
    </w:p>
    <w:p>
      <w:pPr>
        <w:ind w:right="40"/>
        <w:spacing w:after="0" w:line="245" w:lineRule="auto"/>
        <w:rPr>
          <w:sz w:val="20"/>
          <w:szCs w:val="20"/>
          <w:color w:val="auto"/>
        </w:rPr>
      </w:pPr>
      <w:r>
        <w:rPr>
          <w:rFonts w:ascii="Arial" w:cs="Arial" w:eastAsia="Arial" w:hAnsi="Arial"/>
          <w:sz w:val="22"/>
          <w:szCs w:val="22"/>
          <w:b w:val="1"/>
          <w:bCs w:val="1"/>
          <w:color w:val="auto"/>
        </w:rPr>
        <w:t xml:space="preserve">EDEN PRAIRIE, Minn., October 11, 2023 </w:t>
      </w:r>
      <w:r>
        <w:rPr>
          <w:rFonts w:ascii="Arial" w:cs="Arial" w:eastAsia="Arial" w:hAnsi="Arial"/>
          <w:sz w:val="22"/>
          <w:szCs w:val="22"/>
          <w:color w:val="auto"/>
        </w:rPr>
        <w:t>-- Winnebago Industries, Inc. (NYSE: WGO), a leading outdoor lifestyle</w:t>
      </w:r>
      <w:r>
        <w:rPr>
          <w:rFonts w:ascii="Arial" w:cs="Arial" w:eastAsia="Arial" w:hAnsi="Arial"/>
          <w:sz w:val="22"/>
          <w:szCs w:val="22"/>
          <w:b w:val="1"/>
          <w:bCs w:val="1"/>
          <w:color w:val="auto"/>
        </w:rPr>
        <w:t xml:space="preserve"> </w:t>
      </w:r>
      <w:r>
        <w:rPr>
          <w:rFonts w:ascii="Arial" w:cs="Arial" w:eastAsia="Arial" w:hAnsi="Arial"/>
          <w:sz w:val="22"/>
          <w:szCs w:val="22"/>
          <w:color w:val="auto"/>
        </w:rPr>
        <w:t>product manufacturer, today announced the appointment of Staci Kroon to its board of directors, effective October 11, 2023.</w:t>
      </w:r>
    </w:p>
    <w:p>
      <w:pPr>
        <w:spacing w:after="0" w:line="207" w:lineRule="exact"/>
        <w:rPr>
          <w:sz w:val="20"/>
          <w:szCs w:val="20"/>
          <w:color w:val="auto"/>
        </w:rPr>
      </w:pPr>
    </w:p>
    <w:p>
      <w:pPr>
        <w:jc w:val="both"/>
        <w:ind w:right="120"/>
        <w:spacing w:after="0" w:line="241" w:lineRule="auto"/>
        <w:rPr>
          <w:sz w:val="20"/>
          <w:szCs w:val="20"/>
          <w:color w:val="auto"/>
        </w:rPr>
      </w:pPr>
      <w:r>
        <w:rPr>
          <w:rFonts w:ascii="Arial" w:cs="Arial" w:eastAsia="Arial" w:hAnsi="Arial"/>
          <w:sz w:val="22"/>
          <w:szCs w:val="22"/>
          <w:color w:val="auto"/>
        </w:rPr>
        <w:t>Kroon is the president and chief executive officer of BraunAbility, a global leader in mobility transportation solutions, providing independence to individuals in wheelchairs or with mobility challenges. In her role, she leads by fostering a learning culture and creating a climate of trust, transparency, and accountability.</w:t>
      </w:r>
    </w:p>
    <w:p>
      <w:pPr>
        <w:spacing w:after="0" w:line="210" w:lineRule="exact"/>
        <w:rPr>
          <w:sz w:val="20"/>
          <w:szCs w:val="20"/>
          <w:color w:val="auto"/>
        </w:rPr>
      </w:pPr>
    </w:p>
    <w:p>
      <w:pPr>
        <w:ind w:right="40"/>
        <w:spacing w:after="0" w:line="238" w:lineRule="auto"/>
        <w:rPr>
          <w:sz w:val="20"/>
          <w:szCs w:val="20"/>
          <w:color w:val="auto"/>
        </w:rPr>
      </w:pPr>
      <w:r>
        <w:rPr>
          <w:rFonts w:ascii="Arial" w:cs="Arial" w:eastAsia="Arial" w:hAnsi="Arial"/>
          <w:sz w:val="22"/>
          <w:szCs w:val="22"/>
          <w:color w:val="auto"/>
        </w:rPr>
        <w:t>“Winnebago Industries is committed to making the outdoors more accessible to all people,” said David Miles, Winnebago Industries’ board chair. “Staci’s professional experience and the unique industry insights she brings to the board will be highly valuable in advancing our goals. We welcome Staci and look forward to her guidance and leadership.”</w:t>
      </w:r>
    </w:p>
    <w:p>
      <w:pPr>
        <w:spacing w:after="0" w:line="198" w:lineRule="exact"/>
        <w:rPr>
          <w:sz w:val="20"/>
          <w:szCs w:val="20"/>
          <w:color w:val="auto"/>
        </w:rPr>
      </w:pPr>
    </w:p>
    <w:p>
      <w:pPr>
        <w:spacing w:after="0" w:line="236" w:lineRule="auto"/>
        <w:rPr>
          <w:sz w:val="20"/>
          <w:szCs w:val="20"/>
          <w:color w:val="auto"/>
        </w:rPr>
      </w:pPr>
      <w:r>
        <w:rPr>
          <w:rFonts w:ascii="Arial" w:cs="Arial" w:eastAsia="Arial" w:hAnsi="Arial"/>
          <w:sz w:val="22"/>
          <w:szCs w:val="22"/>
          <w:color w:val="auto"/>
        </w:rPr>
        <w:t>Prior to joining BraunAbility, Kroon held senior roles at Eaton, including executive vice president of Eaton Business System and president of Automotive North America. She has also served as a board member and chairman for Nittan Global Tech. Kroon earned a bachelor’s degree in economics with a concentration in finance from the Wharton School of Business, a bachelor’s degree in mechanical engineering from the University of Pennsylvania and a postgraduate degree in design, manufacturing, and management from Cambridge University in England.</w:t>
      </w:r>
    </w:p>
    <w:p>
      <w:pPr>
        <w:spacing w:after="0" w:line="214" w:lineRule="exact"/>
        <w:rPr>
          <w:sz w:val="20"/>
          <w:szCs w:val="20"/>
          <w:color w:val="auto"/>
        </w:rPr>
      </w:pPr>
    </w:p>
    <w:p>
      <w:pPr>
        <w:ind w:right="340"/>
        <w:spacing w:after="0" w:line="241" w:lineRule="auto"/>
        <w:rPr>
          <w:sz w:val="20"/>
          <w:szCs w:val="20"/>
          <w:color w:val="auto"/>
        </w:rPr>
      </w:pPr>
      <w:r>
        <w:rPr>
          <w:rFonts w:ascii="Arial" w:cs="Arial" w:eastAsia="Arial" w:hAnsi="Arial"/>
          <w:sz w:val="22"/>
          <w:szCs w:val="22"/>
          <w:color w:val="auto"/>
        </w:rPr>
        <w:t>“It is an honor to join the Winnebago Industries board of directors,” said Kroon. “This is an incredible opportunity to work alongside some of the most innovative minds in the industry and contribute to the strategic direction of a company that I deeply admire. I look forward to playing a pivotal role in shaping its future.”</w:t>
      </w:r>
    </w:p>
    <w:p>
      <w:pPr>
        <w:spacing w:after="0" w:line="210" w:lineRule="exact"/>
        <w:rPr>
          <w:sz w:val="20"/>
          <w:szCs w:val="20"/>
          <w:color w:val="auto"/>
        </w:rPr>
      </w:pPr>
    </w:p>
    <w:p>
      <w:pPr>
        <w:spacing w:after="0"/>
        <w:rPr>
          <w:sz w:val="20"/>
          <w:szCs w:val="20"/>
          <w:color w:val="auto"/>
        </w:rPr>
      </w:pPr>
      <w:r>
        <w:rPr>
          <w:rFonts w:ascii="Arial" w:cs="Arial" w:eastAsia="Arial" w:hAnsi="Arial"/>
          <w:sz w:val="22"/>
          <w:szCs w:val="22"/>
          <w:color w:val="auto"/>
        </w:rPr>
        <w:t>Kroon will serve on the Human Resources and Finance committees of the Winnebago Industries board.</w:t>
      </w:r>
    </w:p>
    <w:p>
      <w:pPr>
        <w:spacing w:after="0" w:line="233" w:lineRule="exact"/>
        <w:rPr>
          <w:sz w:val="20"/>
          <w:szCs w:val="20"/>
          <w:color w:val="auto"/>
        </w:rPr>
      </w:pPr>
    </w:p>
    <w:p>
      <w:pPr>
        <w:ind w:right="240"/>
        <w:spacing w:after="0" w:line="235" w:lineRule="auto"/>
        <w:rPr>
          <w:sz w:val="20"/>
          <w:szCs w:val="20"/>
          <w:color w:val="auto"/>
        </w:rPr>
      </w:pPr>
      <w:r>
        <w:rPr>
          <w:rFonts w:ascii="Arial" w:cs="Arial" w:eastAsia="Arial" w:hAnsi="Arial"/>
          <w:sz w:val="22"/>
          <w:szCs w:val="22"/>
          <w:color w:val="auto"/>
        </w:rPr>
        <w:t>“Staci brings to our board tremendous skills and extensive knowledge in product design, operations, and overall general management,” said Michael Happe, Winnebago Industries’ president and chief executive officer. “Her CEO perspective will be critical as Winnebago Industries continues to create extraordinary outdoor experiences that help everyone enjoy the positive benefits of spending time outside.”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right"/>
        <w:spacing w:after="0"/>
        <w:rPr>
          <w:sz w:val="20"/>
          <w:szCs w:val="20"/>
          <w:color w:val="auto"/>
        </w:rPr>
      </w:pPr>
      <w:r>
        <w:rPr>
          <w:rFonts w:ascii="Arial" w:cs="Arial" w:eastAsia="Arial" w:hAnsi="Arial"/>
          <w:sz w:val="20"/>
          <w:szCs w:val="20"/>
          <w:color w:val="auto"/>
        </w:rPr>
        <w:t>1</w:t>
      </w:r>
    </w:p>
    <w:p>
      <w:pPr>
        <w:sectPr>
          <w:pgSz w:w="11900" w:h="16838" w:orient="portrait"/>
          <w:cols w:equalWidth="0" w:num="1">
            <w:col w:w="11240"/>
          </w:cols>
          <w:pgMar w:left="320" w:top="1002" w:right="339" w:bottom="1440" w:gutter="0" w:footer="0" w:header="0"/>
        </w:sectPr>
      </w:pPr>
    </w:p>
    <w:bookmarkStart w:id="4" w:name="page5"/>
    <w:bookmarkEnd w:id="4"/>
    <w:p>
      <w:pPr>
        <w:ind w:left="3200"/>
        <w:spacing w:after="0"/>
        <w:rPr>
          <w:sz w:val="20"/>
          <w:szCs w:val="20"/>
          <w:color w:val="auto"/>
        </w:rPr>
      </w:pPr>
      <w:r>
        <w:rPr>
          <w:rFonts w:ascii="Arial" w:cs="Arial" w:eastAsia="Arial" w:hAnsi="Arial"/>
          <w:sz w:val="25"/>
          <w:szCs w:val="25"/>
          <w:b w:val="1"/>
          <w:bCs w:val="1"/>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885950" cy="677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1885950" cy="677545"/>
                    </a:xfrm>
                    <a:prstGeom prst="rect">
                      <a:avLst/>
                    </a:prstGeom>
                    <a:noFill/>
                  </pic:spPr>
                </pic:pic>
              </a:graphicData>
            </a:graphic>
          </wp:anchor>
        </w:drawing>
        <w:t>Press Release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About Winnebago Industries</w:t>
      </w:r>
    </w:p>
    <w:p>
      <w:pPr>
        <w:spacing w:after="0" w:line="230" w:lineRule="exact"/>
        <w:rPr>
          <w:sz w:val="20"/>
          <w:szCs w:val="20"/>
          <w:color w:val="auto"/>
        </w:rPr>
      </w:pPr>
    </w:p>
    <w:p>
      <w:pPr>
        <w:ind w:right="200"/>
        <w:spacing w:after="0" w:line="246" w:lineRule="auto"/>
        <w:rPr>
          <w:sz w:val="20"/>
          <w:szCs w:val="20"/>
          <w:color w:val="auto"/>
        </w:rPr>
      </w:pPr>
      <w:r>
        <w:rPr>
          <w:rFonts w:ascii="Arial" w:cs="Arial" w:eastAsia="Arial" w:hAnsi="Arial"/>
          <w:sz w:val="21"/>
          <w:szCs w:val="21"/>
          <w:color w:val="auto"/>
        </w:rPr>
        <w:t xml:space="preserve">Winnebago Industries, Inc. is a leading North American manufacturer of outdoor lifestyle products under the Winnebago, Grand Design, Chris-Craft, Newmar and Barletta brands, which are used primarily in leisure travel and outdoor recreation activities. The Company builds high-quality motorhomes, travel trailers, fifth-wheel products, outboard and sterndrive powerboats, pontoons, and commercial community outreach vehicles. Committed to advancing sustainable innovation and leveraging vertical integration in key component areas, Winnebago Industries has multiple facilities in Iowa, Indiana, Minnesota, and Florida. The Company’s common stock is listed on the New York Stock Exchange and traded under the symbol WGO. For access to Winnebago Industries' investor relations material or to add your name to an automatic email list for Company news releases, visit </w:t>
      </w:r>
      <w:r>
        <w:rPr>
          <w:rFonts w:ascii="Arial" w:cs="Arial" w:eastAsia="Arial" w:hAnsi="Arial"/>
          <w:sz w:val="21"/>
          <w:szCs w:val="21"/>
          <w:color w:val="0000FF"/>
        </w:rPr>
        <w:t>http://investor.wgo.net</w:t>
      </w:r>
      <w:r>
        <w:rPr>
          <w:rFonts w:ascii="Arial" w:cs="Arial" w:eastAsia="Arial" w:hAnsi="Arial"/>
          <w:sz w:val="21"/>
          <w:szCs w:val="21"/>
          <w:color w:val="auto"/>
        </w:rPr>
        <w:t>.</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Investors: Ray Posadas </w:t>
      </w:r>
      <w:r>
        <w:rPr>
          <w:rFonts w:ascii="Arial" w:cs="Arial" w:eastAsia="Arial" w:hAnsi="Arial"/>
          <w:sz w:val="22"/>
          <w:szCs w:val="22"/>
          <w:color w:val="4B7C9A"/>
        </w:rPr>
        <w:t>ir@winnebagoind.com</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Media Contact: Daniel Sullivan </w:t>
      </w:r>
      <w:r>
        <w:rPr>
          <w:rFonts w:ascii="Arial" w:cs="Arial" w:eastAsia="Arial" w:hAnsi="Arial"/>
          <w:sz w:val="22"/>
          <w:szCs w:val="22"/>
          <w:color w:val="4B7C9A"/>
        </w:rPr>
        <w:t>media@winnebagoind.com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right"/>
        <w:spacing w:after="0"/>
        <w:rPr>
          <w:sz w:val="20"/>
          <w:szCs w:val="20"/>
          <w:color w:val="auto"/>
        </w:rPr>
      </w:pPr>
      <w:r>
        <w:rPr>
          <w:rFonts w:ascii="Arial" w:cs="Arial" w:eastAsia="Arial" w:hAnsi="Arial"/>
          <w:sz w:val="20"/>
          <w:szCs w:val="20"/>
          <w:color w:val="auto"/>
        </w:rPr>
        <w:t>2</w:t>
      </w:r>
    </w:p>
    <w:sectPr>
      <w:pgSz w:w="11900" w:h="16838" w:orient="portrait"/>
      <w:cols w:equalWidth="0" w:num="1">
        <w:col w:w="11240"/>
      </w:cols>
      <w:pgMar w:left="320" w:top="100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2023-10-13T06:48:54Z</dcterms:created>
  <dcterms:modified xsi:type="dcterms:W3CDTF">2023-10-13T06:48:54Z</dcterms:modified>
</cp:coreProperties>
</file>