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2"/>
          <w:szCs w:val="22"/>
          <w:color w:val="auto"/>
        </w:rPr>
        <w:t>SEC Form 4</w:t>
      </w:r>
    </w:p>
    <w:p>
      <w:pPr>
        <w:spacing w:after="0" w:line="33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58" w:lineRule="exact"/>
        <w:rPr>
          <w:sz w:val="24"/>
          <w:szCs w:val="24"/>
          <w:color w:val="auto"/>
        </w:rPr>
      </w:pPr>
    </w:p>
    <w:p>
      <w:pPr>
        <w:ind w:left="380"/>
        <w:spacing w:after="0" w:line="24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39370</wp:posOffset>
            </wp:positionH>
            <wp:positionV relativeFrom="paragraph">
              <wp:posOffset>-248920</wp:posOffset>
            </wp:positionV>
            <wp:extent cx="137160" cy="13716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160" cy="137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7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2"/>
        </w:trPr>
        <w:tc>
          <w:tcPr>
            <w:tcW w:w="6580" w:type="dxa"/>
            <w:vAlign w:val="bottom"/>
          </w:tcPr>
          <w:p>
            <w:pPr>
              <w:jc w:val="center"/>
              <w:ind w:right="17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3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7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3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3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6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7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5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5494020</wp:posOffset>
            </wp:positionH>
            <wp:positionV relativeFrom="paragraph">
              <wp:posOffset>-654050</wp:posOffset>
            </wp:positionV>
            <wp:extent cx="59690" cy="66738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738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4159250</wp:posOffset>
            </wp:positionH>
            <wp:positionV relativeFrom="paragraph">
              <wp:posOffset>-654050</wp:posOffset>
            </wp:positionV>
            <wp:extent cx="59690" cy="66738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738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-1683385</wp:posOffset>
            </wp:positionH>
            <wp:positionV relativeFrom="paragraph">
              <wp:posOffset>29210</wp:posOffset>
            </wp:positionV>
            <wp:extent cx="7322820" cy="496189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22820" cy="4961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19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60" w:space="280"/>
            <w:col w:w="8880"/>
          </w:cols>
          <w:pgMar w:left="240" w:top="220" w:right="139" w:bottom="1440" w:gutter="0" w:footer="0" w:header="0"/>
        </w:sectPr>
      </w:pP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Times New Roman" w:cs="Times New Roman" w:eastAsia="Times New Roman" w:hAnsi="Times New Roman"/>
          <w:sz w:val="22"/>
          <w:szCs w:val="22"/>
          <w:u w:val="single" w:color="auto"/>
          <w:color w:val="0000EE"/>
        </w:rPr>
      </w:pPr>
      <w:hyperlink r:id="rId12">
        <w:r>
          <w:rPr>
            <w:rFonts w:ascii="Times New Roman" w:cs="Times New Roman" w:eastAsia="Times New Roman" w:hAnsi="Times New Roman"/>
            <w:sz w:val="22"/>
            <w:szCs w:val="22"/>
            <w:u w:val="single" w:color="auto"/>
            <w:color w:val="0000EE"/>
          </w:rPr>
          <w:t>ERICKSON LAWRENCE A</w:t>
        </w:r>
      </w:hyperlink>
    </w:p>
    <w:p>
      <w:pPr>
        <w:spacing w:after="0" w:line="300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82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color w:val="0000FF"/>
        </w:rPr>
        <w:t>WINNEBAGO INDUSTRIES, INC.</w:t>
      </w:r>
    </w:p>
    <w:p>
      <w:pPr>
        <w:spacing w:after="0" w:line="62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color w:val="0000FF"/>
        </w:rPr>
        <w:t>P.O. BOX 152</w:t>
      </w:r>
    </w:p>
    <w:p>
      <w:pPr>
        <w:spacing w:after="0" w:line="289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80"/>
        </w:trPr>
        <w:tc>
          <w:tcPr>
            <w:tcW w:w="12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</w:tr>
      <w:tr>
        <w:trPr>
          <w:trHeight w:val="239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FOREST CITY</w:t>
            </w:r>
          </w:p>
        </w:tc>
        <w:tc>
          <w:tcPr>
            <w:tcW w:w="9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IA</w:t>
            </w:r>
          </w:p>
        </w:tc>
        <w:tc>
          <w:tcPr>
            <w:tcW w:w="166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50436</w:t>
            </w:r>
          </w:p>
        </w:tc>
      </w:tr>
      <w:tr>
        <w:trPr>
          <w:trHeight w:val="15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11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9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6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2.</w:t>
            </w:r>
          </w:p>
        </w:tc>
        <w:tc>
          <w:tcPr>
            <w:tcW w:w="37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1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5.</w:t>
            </w:r>
          </w:p>
        </w:tc>
        <w:tc>
          <w:tcPr>
            <w:tcW w:w="32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3"/>
        </w:trPr>
        <w:tc>
          <w:tcPr>
            <w:tcW w:w="3980" w:type="dxa"/>
            <w:vAlign w:val="bottom"/>
            <w:gridSpan w:val="4"/>
          </w:tcPr>
          <w:p>
            <w:pPr>
              <w:ind w:left="60"/>
              <w:spacing w:after="0" w:line="216" w:lineRule="exact"/>
              <w:rPr>
                <w:rFonts w:ascii="Times New Roman" w:cs="Times New Roman" w:eastAsia="Times New Roman" w:hAnsi="Times New Roman"/>
                <w:sz w:val="22"/>
                <w:szCs w:val="22"/>
                <w:color w:val="0000EE"/>
              </w:rPr>
            </w:pPr>
            <w:hyperlink r:id="rId13">
              <w:r>
                <w:rPr>
                  <w:rFonts w:ascii="Times New Roman" w:cs="Times New Roman" w:eastAsia="Times New Roman" w:hAnsi="Times New Roman"/>
                  <w:sz w:val="22"/>
                  <w:szCs w:val="22"/>
                  <w:color w:val="0000EE"/>
                </w:rPr>
                <w:t xml:space="preserve">WINNEBAGO INDUSTRIES INC </w:t>
              </w:r>
            </w:hyperlink>
            <w:r>
              <w:rPr>
                <w:rFonts w:ascii="Times New Roman" w:cs="Times New Roman" w:eastAsia="Times New Roman" w:hAnsi="Times New Roman"/>
                <w:sz w:val="22"/>
                <w:szCs w:val="22"/>
                <w:color w:val="000000"/>
              </w:rPr>
              <w:t>[</w:t>
            </w:r>
            <w:r>
              <w:rPr>
                <w:rFonts w:ascii="Times New Roman" w:cs="Times New Roman" w:eastAsia="Times New Roman" w:hAnsi="Times New Roman"/>
                <w:sz w:val="22"/>
                <w:szCs w:val="22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WGO</w:t>
            </w:r>
            <w:r>
              <w:rPr>
                <w:rFonts w:ascii="Times New Roman" w:cs="Times New Roman" w:eastAsia="Times New Roman" w:hAnsi="Times New Roman"/>
                <w:sz w:val="22"/>
                <w:szCs w:val="22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22"/>
                <w:szCs w:val="22"/>
                <w:color w:val="000000"/>
              </w:rPr>
              <w:t>]</w:t>
            </w:r>
          </w:p>
        </w:tc>
        <w:tc>
          <w:tcPr>
            <w:tcW w:w="19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(Check all applicable)</w:t>
            </w:r>
          </w:p>
        </w:tc>
        <w:tc>
          <w:tcPr>
            <w:tcW w:w="15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1"/>
        </w:trPr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92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740" w:type="dxa"/>
            <w:vAlign w:val="bottom"/>
          </w:tcPr>
          <w:p>
            <w:pPr>
              <w:ind w:left="80"/>
              <w:spacing w:after="0" w:line="201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Director</w:t>
            </w:r>
          </w:p>
        </w:tc>
        <w:tc>
          <w:tcPr>
            <w:tcW w:w="150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740" w:type="dxa"/>
            <w:vAlign w:val="bottom"/>
            <w:vMerge w:val="restart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50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3.</w:t>
            </w:r>
          </w:p>
        </w:tc>
        <w:tc>
          <w:tcPr>
            <w:tcW w:w="378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 of Earliest Transaction (Month/Day/Year)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74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0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8"/>
        </w:trPr>
        <w:tc>
          <w:tcPr>
            <w:tcW w:w="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7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40" w:type="dxa"/>
            <w:vAlign w:val="bottom"/>
          </w:tcPr>
          <w:p>
            <w:pPr>
              <w:ind w:left="440"/>
              <w:spacing w:after="0" w:line="13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500" w:type="dxa"/>
            <w:vAlign w:val="bottom"/>
          </w:tcPr>
          <w:p>
            <w:pPr>
              <w:ind w:left="320"/>
              <w:spacing w:after="0" w:line="13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8"/>
        </w:trPr>
        <w:tc>
          <w:tcPr>
            <w:tcW w:w="312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04/29/2005</w:t>
            </w: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7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5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7"/>
        </w:trPr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1"/>
        </w:trPr>
        <w:tc>
          <w:tcPr>
            <w:tcW w:w="2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4.</w:t>
            </w:r>
          </w:p>
        </w:tc>
        <w:tc>
          <w:tcPr>
            <w:tcW w:w="37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If Amendment, Date of Original Filed (Month/Day/Year)</w:t>
            </w:r>
          </w:p>
        </w:tc>
        <w:tc>
          <w:tcPr>
            <w:tcW w:w="1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6.</w:t>
            </w:r>
          </w:p>
        </w:tc>
        <w:tc>
          <w:tcPr>
            <w:tcW w:w="32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40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ind w:left="4240"/>
        <w:spacing w:after="0" w:line="238" w:lineRule="auto"/>
        <w:tabs>
          <w:tab w:leader="none" w:pos="4580" w:val="left"/>
        </w:tabs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87" w:lineRule="exact"/>
        <w:rPr>
          <w:sz w:val="24"/>
          <w:szCs w:val="24"/>
          <w:color w:val="auto"/>
        </w:rPr>
      </w:pPr>
    </w:p>
    <w:p>
      <w:pPr>
        <w:ind w:left="46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spacing w:after="0" w:line="15" w:lineRule="exact"/>
        <w:rPr>
          <w:sz w:val="24"/>
          <w:szCs w:val="24"/>
          <w:color w:val="auto"/>
        </w:rPr>
      </w:pPr>
    </w:p>
    <w:p>
      <w:pPr>
        <w:ind w:left="46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490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900" w:space="100"/>
            <w:col w:w="7520"/>
          </w:cols>
          <w:pgMar w:left="240" w:top="220" w:right="13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22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80" w:type="dxa"/>
            <w:vAlign w:val="bottom"/>
          </w:tcPr>
          <w:p>
            <w:pPr>
              <w:ind w:left="8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98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1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8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4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ind w:left="8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980" w:type="dxa"/>
            <w:vAlign w:val="bottom"/>
            <w:gridSpan w:val="3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16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80" w:type="dxa"/>
            <w:vAlign w:val="bottom"/>
          </w:tcPr>
          <w:p>
            <w:pPr>
              <w:ind w:left="10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40" w:type="dxa"/>
            <w:vAlign w:val="bottom"/>
          </w:tcPr>
          <w:p>
            <w:pPr>
              <w:ind w:left="10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ind w:left="8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80" w:type="dxa"/>
            <w:vAlign w:val="bottom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40" w:type="dxa"/>
            <w:vAlign w:val="bottom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80" w:type="dxa"/>
            <w:vAlign w:val="bottom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40" w:type="dxa"/>
            <w:vAlign w:val="bottom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60" w:type="dxa"/>
            <w:vAlign w:val="bottom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vMerge w:val="restart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6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7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1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4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60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88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3" w:lineRule="exact"/>
        <w:rPr>
          <w:sz w:val="24"/>
          <w:szCs w:val="24"/>
          <w:color w:val="auto"/>
        </w:rPr>
      </w:pPr>
    </w:p>
    <w:p>
      <w:pPr>
        <w:jc w:val="center"/>
        <w:ind w:right="-1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Table II - Derivative Securities Acquired, Disposed of, or Beneficially Owned</w:t>
      </w:r>
    </w:p>
    <w:p>
      <w:pPr>
        <w:spacing w:after="0" w:line="19" w:lineRule="exact"/>
        <w:rPr>
          <w:sz w:val="24"/>
          <w:szCs w:val="24"/>
          <w:color w:val="auto"/>
        </w:rPr>
      </w:pPr>
    </w:p>
    <w:p>
      <w:pPr>
        <w:jc w:val="center"/>
        <w:ind w:right="-1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(e.g., puts, calls, warrants, options, convertible securities)</w:t>
      </w:r>
    </w:p>
    <w:p>
      <w:pPr>
        <w:spacing w:after="0" w:line="105" w:lineRule="exact"/>
        <w:rPr>
          <w:sz w:val="24"/>
          <w:szCs w:val="24"/>
          <w:color w:val="auto"/>
        </w:rPr>
      </w:pPr>
    </w:p>
    <w:tbl>
      <w:tblPr>
        <w:tblLayout w:type="fixed"/>
        <w:tblInd w:w="2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38"/>
        </w:trPr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8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7. Title and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4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80" w:type="dxa"/>
            <w:vAlign w:val="bottom"/>
            <w:gridSpan w:val="2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80" w:type="dxa"/>
            <w:vAlign w:val="bottom"/>
            <w:gridSpan w:val="2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Underlying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0"/>
        </w:trPr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4"/>
        </w:trPr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1"/>
        </w:trPr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4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46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</w:t>
            </w:r>
          </w:p>
        </w:tc>
        <w:tc>
          <w:tcPr>
            <w:tcW w:w="30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84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54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0"/>
        </w:trPr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4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4"/>
        </w:trPr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Winnebago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6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6"/>
                <w:szCs w:val="26"/>
                <w:color w:val="0000FF"/>
                <w:vertAlign w:val="subscript"/>
              </w:rPr>
              <w:t>91</w:t>
            </w: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40" w:type="dxa"/>
            <w:vAlign w:val="bottom"/>
            <w:vMerge w:val="restart"/>
          </w:tcPr>
          <w:p>
            <w:pPr>
              <w:ind w:left="80"/>
              <w:spacing w:after="0" w:line="336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35"/>
                <w:szCs w:val="35"/>
                <w:color w:val="0000FF"/>
                <w:vertAlign w:val="subscript"/>
              </w:rPr>
              <w:t>91</w:t>
            </w: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98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327</w:t>
            </w:r>
            <w:r>
              <w:rPr>
                <w:rFonts w:ascii="Times New Roman" w:cs="Times New Roman" w:eastAsia="Times New Roman" w:hAnsi="Times New Roman"/>
                <w:sz w:val="22"/>
                <w:szCs w:val="22"/>
                <w:color w:val="008000"/>
                <w:vertAlign w:val="superscript"/>
              </w:rPr>
              <w:t>(3)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1"/>
        </w:trPr>
        <w:tc>
          <w:tcPr>
            <w:tcW w:w="760" w:type="dxa"/>
            <w:vAlign w:val="bottom"/>
            <w:vMerge w:val="restart"/>
          </w:tcPr>
          <w:p>
            <w:pPr>
              <w:ind w:left="60"/>
              <w:spacing w:after="0" w:line="147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80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1140" w:type="dxa"/>
            <w:vAlign w:val="bottom"/>
            <w:vMerge w:val="restart"/>
          </w:tcPr>
          <w:p>
            <w:pPr>
              <w:jc w:val="right"/>
              <w:ind w:right="198"/>
              <w:spacing w:after="0" w:line="147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04/29/2005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40" w:type="dxa"/>
            <w:vAlign w:val="bottom"/>
            <w:vMerge w:val="restart"/>
          </w:tcPr>
          <w:p>
            <w:pPr>
              <w:ind w:left="180"/>
              <w:spacing w:after="0" w:line="147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A</w:t>
            </w:r>
          </w:p>
        </w:tc>
        <w:tc>
          <w:tcPr>
            <w:tcW w:w="46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40" w:type="dxa"/>
            <w:vAlign w:val="bottom"/>
            <w:vMerge w:val="restart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740" w:type="dxa"/>
            <w:vAlign w:val="bottom"/>
            <w:vMerge w:val="restart"/>
          </w:tcPr>
          <w:p>
            <w:pPr>
              <w:jc w:val="right"/>
              <w:ind w:right="24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  <w:vMerge w:val="restart"/>
          </w:tcPr>
          <w:p>
            <w:pPr>
              <w:ind w:left="140"/>
              <w:spacing w:after="0" w:line="14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28.755</w:t>
            </w:r>
          </w:p>
        </w:tc>
        <w:tc>
          <w:tcPr>
            <w:tcW w:w="98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  <w:vMerge w:val="restart"/>
          </w:tcPr>
          <w:p>
            <w:pPr>
              <w:ind w:left="340"/>
              <w:spacing w:after="0" w:line="147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7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Units</w:t>
            </w:r>
            <w:r>
              <w:rPr>
                <w:rFonts w:ascii="Times New Roman" w:cs="Times New Roman" w:eastAsia="Times New Roman" w:hAnsi="Times New Roman"/>
                <w:sz w:val="22"/>
                <w:szCs w:val="22"/>
                <w:color w:val="008000"/>
                <w:vertAlign w:val="superscript"/>
              </w:rPr>
              <w:t>(1)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4" w:lineRule="exact"/>
        <w:rPr>
          <w:sz w:val="24"/>
          <w:szCs w:val="24"/>
          <w:color w:val="auto"/>
        </w:rPr>
      </w:pPr>
    </w:p>
    <w:p>
      <w:pPr>
        <w:ind w:left="40" w:right="420" w:firstLine="8"/>
        <w:spacing w:after="0" w:line="277" w:lineRule="auto"/>
        <w:tabs>
          <w:tab w:leader="none" w:pos="175" w:val="left"/>
        </w:tabs>
        <w:numPr>
          <w:ilvl w:val="0"/>
          <w:numId w:val="1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Winnebago Stock Units are accrued under the Winnebago Industries, Inc. Directors Deferred Compensation Plan and are to be settled 100% in Winnebago common stock in January, 2011, pursuant to an election made by reporting person on 2/25/05.</w:t>
      </w:r>
    </w:p>
    <w:p>
      <w:pPr>
        <w:spacing w:after="0" w:line="5" w:lineRule="exact"/>
        <w:rPr>
          <w:rFonts w:ascii="Times New Roman" w:cs="Times New Roman" w:eastAsia="Times New Roman" w:hAnsi="Times New Roman"/>
          <w:sz w:val="13"/>
          <w:szCs w:val="13"/>
          <w:color w:val="008000"/>
        </w:rPr>
      </w:pPr>
    </w:p>
    <w:p>
      <w:pPr>
        <w:ind w:left="180" w:hanging="132"/>
        <w:spacing w:after="0"/>
        <w:tabs>
          <w:tab w:leader="none" w:pos="180" w:val="left"/>
        </w:tabs>
        <w:numPr>
          <w:ilvl w:val="0"/>
          <w:numId w:val="1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Represents amount of Winnebago Stock Units acquired by reporting person on the transaction date.</w:t>
      </w:r>
    </w:p>
    <w:p>
      <w:pPr>
        <w:spacing w:after="0" w:line="52" w:lineRule="exact"/>
        <w:rPr>
          <w:rFonts w:ascii="Times New Roman" w:cs="Times New Roman" w:eastAsia="Times New Roman" w:hAnsi="Times New Roman"/>
          <w:sz w:val="13"/>
          <w:szCs w:val="13"/>
          <w:color w:val="008000"/>
        </w:rPr>
      </w:pPr>
    </w:p>
    <w:p>
      <w:pPr>
        <w:ind w:left="180" w:hanging="132"/>
        <w:spacing w:after="0"/>
        <w:tabs>
          <w:tab w:leader="none" w:pos="180" w:val="left"/>
        </w:tabs>
        <w:numPr>
          <w:ilvl w:val="0"/>
          <w:numId w:val="1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Represents total amount of Winnebago Stock Units held by reporting person in Winnebago Industries, Inc. Directors Deferred Compensation Plan as of reporting date.</w:t>
      </w:r>
    </w:p>
    <w:p>
      <w:pPr>
        <w:sectPr>
          <w:pgSz w:w="11900" w:h="16838" w:orient="portrait"/>
          <w:cols w:equalWidth="0" w:num="1">
            <w:col w:w="11520"/>
          </w:cols>
          <w:pgMar w:left="240" w:top="220" w:right="139" w:bottom="1440" w:gutter="0" w:footer="0" w:header="0"/>
          <w:type w:val="continuous"/>
        </w:sectPr>
      </w:pPr>
    </w:p>
    <w:p>
      <w:pPr>
        <w:spacing w:after="0" w:line="78" w:lineRule="exact"/>
        <w:rPr>
          <w:sz w:val="24"/>
          <w:szCs w:val="24"/>
          <w:color w:val="auto"/>
        </w:rPr>
      </w:pP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color w:val="0000FF"/>
        </w:rPr>
        <w:t>/s/ Raymond M. Beebe,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4359910</wp:posOffset>
            </wp:positionH>
            <wp:positionV relativeFrom="paragraph">
              <wp:posOffset>-10160</wp:posOffset>
            </wp:positionV>
            <wp:extent cx="1053465" cy="8255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5346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color w:val="0000FF"/>
        </w:rPr>
        <w:t>Secretary, Winnebago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4359910</wp:posOffset>
            </wp:positionH>
            <wp:positionV relativeFrom="paragraph">
              <wp:posOffset>-18415</wp:posOffset>
            </wp:positionV>
            <wp:extent cx="976630" cy="8255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7663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6"/>
          <w:szCs w:val="16"/>
          <w:color w:val="0000FF"/>
        </w:rPr>
        <w:t>Industries, Inc. under Power of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4359910</wp:posOffset>
            </wp:positionH>
            <wp:positionV relativeFrom="paragraph">
              <wp:posOffset>-3810</wp:posOffset>
            </wp:positionV>
            <wp:extent cx="1377315" cy="8255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731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2" w:lineRule="exact"/>
        <w:rPr>
          <w:sz w:val="24"/>
          <w:szCs w:val="24"/>
          <w:color w:val="auto"/>
        </w:rPr>
      </w:pP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color w:val="0000FF"/>
        </w:rPr>
        <w:t>Attorney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4359910</wp:posOffset>
            </wp:positionH>
            <wp:positionV relativeFrom="paragraph">
              <wp:posOffset>-18415</wp:posOffset>
            </wp:positionV>
            <wp:extent cx="395605" cy="8255"/>
            <wp:wrapNone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9560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8" w:lineRule="exact"/>
        <w:rPr>
          <w:sz w:val="24"/>
          <w:szCs w:val="24"/>
          <w:color w:val="auto"/>
        </w:rPr>
      </w:pP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** Signature of Reporting Person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381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6"/>
          <w:szCs w:val="16"/>
          <w:color w:val="0000FF"/>
        </w:rPr>
        <w:t>05/02/2005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-1270</wp:posOffset>
            </wp:positionH>
            <wp:positionV relativeFrom="paragraph">
              <wp:posOffset>3810</wp:posOffset>
            </wp:positionV>
            <wp:extent cx="506730" cy="8255"/>
            <wp:wrapNone/>
            <wp:docPr id="9" name="Picture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/>
                    <pic:cNvPicPr>
                      <a:picLocks noChangeAspect="1" noChangeArrowheads="1"/>
                    </pic:cNvPicPr>
                  </pic:nvPicPr>
                  <pic:blipFill>
                    <a:blip r:embed="rId1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673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87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Date</w:t>
      </w:r>
    </w:p>
    <w:p>
      <w:pPr>
        <w:spacing w:after="0" w:line="53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9040" w:space="120"/>
            <w:col w:w="2360"/>
          </w:cols>
          <w:pgMar w:left="240" w:top="220" w:right="139" w:bottom="1440" w:gutter="0" w:footer="0" w:header="0"/>
          <w:type w:val="continuous"/>
        </w:sect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53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3" w:lineRule="exact"/>
        <w:rPr>
          <w:sz w:val="24"/>
          <w:szCs w:val="24"/>
          <w:color w:val="auto"/>
        </w:rPr>
      </w:pPr>
    </w:p>
    <w:p>
      <w:pPr>
        <w:jc w:val="both"/>
        <w:ind w:left="40" w:right="3700" w:firstLine="8"/>
        <w:spacing w:after="0" w:line="322" w:lineRule="auto"/>
        <w:tabs>
          <w:tab w:leader="none" w:pos="182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spacing w:after="0" w:line="1" w:lineRule="exact"/>
        <w:rPr>
          <w:rFonts w:ascii="Arial" w:cs="Arial" w:eastAsia="Arial" w:hAnsi="Arial"/>
          <w:sz w:val="13"/>
          <w:szCs w:val="13"/>
          <w:color w:val="auto"/>
        </w:rPr>
      </w:pP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520"/>
      </w:cols>
      <w:pgMar w:left="240" w:top="220" w:right="1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1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7" Type="http://schemas.openxmlformats.org/officeDocument/2006/relationships/image" Target="media/image8.png"/><Relationship Id="rId18" Type="http://schemas.openxmlformats.org/officeDocument/2006/relationships/image" Target="media/image9.png"/><Relationship Id="rId12" Type="http://schemas.openxmlformats.org/officeDocument/2006/relationships/hyperlink" Target="http://www.sec.gov/cgi-bin/browse-edgar?action=getcompany&amp;CIK=0001191577" TargetMode="External"/><Relationship Id="rId13" Type="http://schemas.openxmlformats.org/officeDocument/2006/relationships/hyperlink" Target="http://www.sec.gov/cgi-bin/browse-edgar?action=getcompany&amp;CIK=0000107687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2019-12-16T07:36:19Z</dcterms:created>
  <dcterms:modified xsi:type="dcterms:W3CDTF">2019-12-16T07:36:19Z</dcterms:modified>
</cp:coreProperties>
</file>