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40"/>
        <w:spacing w:after="0"/>
        <w:rPr>
          <w:sz w:val="20"/>
          <w:szCs w:val="20"/>
          <w:color w:val="auto"/>
        </w:rPr>
      </w:pPr>
      <w:r>
        <w:rPr>
          <w:rFonts w:ascii="Courier New" w:cs="Courier New" w:eastAsia="Courier New" w:hAnsi="Courier New"/>
          <w:sz w:val="17"/>
          <w:szCs w:val="17"/>
          <w:color w:val="auto"/>
        </w:rPr>
        <w:t>SCHEDULE 14A</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(RULE 14a-101)</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INFORMATION REQUIRED IN PROXY STATEMENT</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SCHEDULE 14A INFORMATION</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7"/>
          <w:szCs w:val="17"/>
          <w:color w:val="auto"/>
        </w:rPr>
        <w:t>PROXY STATEMENT PURSUANT TO SECTION 14(a) OF THE</w:t>
      </w:r>
    </w:p>
    <w:p>
      <w:pPr>
        <w:spacing w:after="0" w:line="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4"/>
          <w:szCs w:val="24"/>
          <w:color w:val="auto"/>
        </w:rPr>
      </w:pPr>
    </w:p>
    <w:p>
      <w:pPr>
        <w:sectPr>
          <w:pgSz w:w="11900" w:h="16838" w:orient="portrait"/>
          <w:cols w:equalWidth="0" w:num="2">
            <w:col w:w="6560" w:space="100"/>
            <w:col w:w="3559"/>
          </w:cols>
          <w:pgMar w:left="240" w:top="448" w:right="1440" w:bottom="0" w:gutter="0" w:footer="0" w:header="0"/>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ectPr>
          <w:pgSz w:w="11900" w:h="16838" w:orient="portrait"/>
          <w:cols w:equalWidth="0" w:num="1">
            <w:col w:w="10219"/>
          </w:cols>
          <w:pgMar w:left="240" w:top="448"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7" w:lineRule="exact"/>
        <w:rPr>
          <w:sz w:val="24"/>
          <w:szCs w:val="24"/>
          <w:color w:val="auto"/>
        </w:rPr>
      </w:pPr>
    </w:p>
    <w:p>
      <w:pPr>
        <w:ind w:right="6999" w:firstLine="7"/>
        <w:spacing w:after="0" w:line="248" w:lineRule="auto"/>
        <w:tabs>
          <w:tab w:leader="none" w:pos="2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Preliminary proxy statement [X] Definitive proxy statement</w:t>
      </w:r>
    </w:p>
    <w:p>
      <w:pPr>
        <w:spacing w:after="0" w:line="1"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Rule 14a-11(c) or Rule 14a-12</w:t>
      </w:r>
    </w:p>
    <w:p>
      <w:pPr>
        <w:spacing w:after="0" w:line="20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Winnebago Industries, Inc.</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0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Raymond M. Beebe, Secretary</w:t>
      </w:r>
    </w:p>
    <w:p>
      <w:pPr>
        <w:spacing w:after="0" w:line="7" w:lineRule="exact"/>
        <w:rPr>
          <w:sz w:val="24"/>
          <w:szCs w:val="24"/>
          <w:color w:val="auto"/>
        </w:rPr>
      </w:pPr>
    </w:p>
    <w:p>
      <w:pPr>
        <w:ind w:left="188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7" w:lineRule="exact"/>
        <w:rPr>
          <w:sz w:val="24"/>
          <w:szCs w:val="24"/>
          <w:color w:val="auto"/>
        </w:rPr>
      </w:pPr>
    </w:p>
    <w:p>
      <w:pPr>
        <w:ind w:right="2419" w:firstLine="7"/>
        <w:spacing w:after="0" w:line="24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 0-11(c)(1)(ii), 14a-6(i)(1), or 14a-6(j)(2). [ ] $500 per each party to the controversy pursuant to Exchange Act Rule 14a-6(i)(3).</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Fee computed on table below per Exchange Act Rules 14a-6(i)(4) and 0-11.</w:t>
      </w:r>
    </w:p>
    <w:p>
      <w:pPr>
        <w:spacing w:after="0" w:line="207" w:lineRule="exact"/>
        <w:rPr>
          <w:sz w:val="24"/>
          <w:szCs w:val="24"/>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 Common Stock</w:t>
      </w:r>
    </w:p>
    <w:p>
      <w:pPr>
        <w:spacing w:after="0" w:line="20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transactions applies: $23,345,993</w:t>
      </w:r>
    </w:p>
    <w:p>
      <w:pPr>
        <w:spacing w:after="0" w:line="207" w:lineRule="exact"/>
        <w:rPr>
          <w:rFonts w:ascii="Courier New" w:cs="Courier New" w:eastAsia="Courier New" w:hAnsi="Courier New"/>
          <w:sz w:val="17"/>
          <w:szCs w:val="17"/>
          <w:color w:val="auto"/>
        </w:rPr>
      </w:pPr>
    </w:p>
    <w:p>
      <w:pPr>
        <w:ind w:right="2219" w:firstLine="7"/>
        <w:spacing w:after="0" w:line="251"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0-11:1 $.50 Per Value</w:t>
      </w:r>
    </w:p>
    <w:p>
      <w:pPr>
        <w:spacing w:after="0" w:line="19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 ---</w:t>
      </w:r>
    </w:p>
    <w:p>
      <w:pPr>
        <w:spacing w:after="0" w:line="20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 $125</w:t>
      </w:r>
    </w:p>
    <w:p>
      <w:pPr>
        <w:spacing w:after="0" w:line="207" w:lineRule="exact"/>
        <w:rPr>
          <w:sz w:val="24"/>
          <w:szCs w:val="24"/>
          <w:color w:val="auto"/>
        </w:rPr>
      </w:pPr>
    </w:p>
    <w:p>
      <w:pPr>
        <w:ind w:right="221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7" w:lineRule="exact"/>
        <w:rPr>
          <w:sz w:val="24"/>
          <w:szCs w:val="24"/>
          <w:color w:val="auto"/>
        </w:rPr>
      </w:pPr>
    </w:p>
    <w:p>
      <w:pPr>
        <w:ind w:left="420" w:right="1999" w:hanging="413"/>
        <w:spacing w:after="0" w:line="251"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the amount on which the filing fee is calculated and state how it was determined.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3860"/>
        <w:spacing w:after="0"/>
        <w:rPr>
          <w:sz w:val="20"/>
          <w:szCs w:val="20"/>
          <w:color w:val="auto"/>
        </w:rPr>
      </w:pPr>
      <w:r>
        <w:rPr>
          <w:rFonts w:ascii="Courier New" w:cs="Courier New" w:eastAsia="Courier New" w:hAnsi="Courier New"/>
          <w:sz w:val="17"/>
          <w:szCs w:val="17"/>
          <w:color w:val="auto"/>
        </w:rPr>
        <w:t>[LOGO]</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WINNEBAGO</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INDUSTRIES, INC.</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FOREST CITY, IOWA 50436</w:t>
      </w:r>
    </w:p>
    <w:p>
      <w:pPr>
        <w:spacing w:after="0" w:line="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NOTICE OF</w:t>
      </w:r>
    </w:p>
    <w:p>
      <w:pPr>
        <w:spacing w:after="0" w:line="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1995</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ANNUAL MEETING</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OF SHAREHOLDERS</w:t>
      </w:r>
    </w:p>
    <w:p>
      <w:pPr>
        <w:spacing w:after="0" w:line="7" w:lineRule="exact"/>
        <w:rPr>
          <w:sz w:val="24"/>
          <w:szCs w:val="24"/>
          <w:color w:val="auto"/>
        </w:rPr>
      </w:pPr>
    </w:p>
    <w:p>
      <w:pPr>
        <w:ind w:left="3960"/>
        <w:spacing w:after="0"/>
        <w:rPr>
          <w:sz w:val="20"/>
          <w:szCs w:val="20"/>
          <w:color w:val="auto"/>
        </w:rPr>
      </w:pPr>
      <w:r>
        <w:rPr>
          <w:rFonts w:ascii="Courier New" w:cs="Courier New" w:eastAsia="Courier New" w:hAnsi="Courier New"/>
          <w:sz w:val="17"/>
          <w:szCs w:val="17"/>
          <w:color w:val="auto"/>
        </w:rPr>
        <w:t>AND</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PROXY STATEMENT</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 BE HELD DECEMBER 13, 1995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WINNEBAGO INDUSTRIES, INC.</w:t>
      </w:r>
    </w:p>
    <w:p>
      <w:pPr>
        <w:spacing w:after="0" w:line="207" w:lineRule="exact"/>
        <w:rPr>
          <w:sz w:val="24"/>
          <w:szCs w:val="24"/>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The Annual Meeting of Shareholders of Winnebago Industries, Inc. will be held on Wednesday, December 13, 1995, at 7:30 p.m., Central Standard Time, at Friendship Hall, Highway 69 South, Forest City, Iowa, for the following</w:t>
      </w:r>
    </w:p>
    <w:p>
      <w:pPr>
        <w:sectPr>
          <w:pgSz w:w="11900" w:h="16838" w:orient="portrait"/>
          <w:cols w:equalWidth="0" w:num="1">
            <w:col w:w="10219"/>
          </w:cols>
          <w:pgMar w:left="240" w:top="44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purposes:</w:t>
      </w:r>
    </w:p>
    <w:p>
      <w:pPr>
        <w:spacing w:after="0" w:line="207" w:lineRule="exact"/>
        <w:rPr>
          <w:sz w:val="20"/>
          <w:szCs w:val="20"/>
          <w:color w:val="auto"/>
        </w:rPr>
      </w:pPr>
    </w:p>
    <w:p>
      <w:pPr>
        <w:ind w:left="520" w:hanging="513"/>
        <w:spacing w:after="0"/>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9 directors; and</w:t>
      </w:r>
    </w:p>
    <w:p>
      <w:pPr>
        <w:spacing w:after="0" w:line="207" w:lineRule="exact"/>
        <w:rPr>
          <w:rFonts w:ascii="Courier New" w:cs="Courier New" w:eastAsia="Courier New" w:hAnsi="Courier New"/>
          <w:sz w:val="17"/>
          <w:szCs w:val="17"/>
          <w:color w:val="auto"/>
        </w:rPr>
      </w:pPr>
    </w:p>
    <w:p>
      <w:pPr>
        <w:ind w:left="520" w:right="2419" w:hanging="513"/>
        <w:spacing w:after="0" w:line="251" w:lineRule="auto"/>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 or adjournments thereof.</w:t>
      </w:r>
    </w:p>
    <w:p>
      <w:pPr>
        <w:spacing w:after="0" w:line="19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The Board of Directors of the Company has fixed the close of business on October 16, 1995, as the record date for the determination of shareholders entitled to notice of and to vote at this meeting and at any and all adjournments thereof.</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 RAYMOND M. BEEBE</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RAYMOND M. BEEBE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Secretary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Forest City,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13, 1995</w:t>
      </w: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YOUR VOTE IS IMPORTANT</w:t>
      </w:r>
    </w:p>
    <w:p>
      <w:pPr>
        <w:spacing w:after="0" w:line="207"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EVEN IF YOU PLAN TO ATTEND THE MEETING IN PERSON, PLEASE DATE, SIGN AND RETURN YOUR PROXY IN THE ENCLOSED ENVELOPE. A PROMPT RESPONSE IS HELPFUL AND YOUR COOPERATION IS APPRECIATED.</w:t>
      </w:r>
    </w:p>
    <w:p>
      <w:pPr>
        <w:spacing w:after="0" w:line="39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WINNEBAGO INDUSTRIES, INC.</w:t>
      </w:r>
    </w:p>
    <w:p>
      <w:pPr>
        <w:spacing w:after="0" w:line="20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PROXY STATEMENT</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This Proxy Statement is furnished in connection with the solicitation by the Board of Directors of Winnebago Industries, Inc., an Iowa corporation (the "Company"), P.O. Box 152, Forest City, Iowa 50436, of proxies to be used at the Annual Meeting of Shareholders of the Company to be held at Friendship Hall, Highway 69 South, Forest City, Iowa on December 13, 1995, at 7:30 p.m., Central Standard Time, and at any and all adjournments thereof. This Proxy Statement was first mailed to shareholders on or about November 13, 1995.</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Only holders of Common Stock of record at the close of business on October 16, 1995 will be entitled to vote at the Annual Meeting of Shareholders. At such date, the Company had outstanding 25,345,993 shares of Common Stock, par value $.50 per share ("Common Stock"). Each share of Common Stock entitles the holder to one vote upon each matter to be voted upon at the meeting. A majority of the outstanding shares of Common Stock will constitute a quorum for the Annual Meeting of Shareholders. Election of each director requires the affirmative vote of the holders of a majority of the shares of the Company's Common Stock present or represented by proxy and voted at the meeting.</w:t>
      </w:r>
    </w:p>
    <w:p>
      <w:pPr>
        <w:spacing w:after="0" w:line="4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 form of proxy is enclosed for use at the meeting. If the proxy is executed and returned, it may nevertheless be revoked at any time insofar as it has not been exercised. A person giving the enclosed proxy may revoke it by giving written notice to the Secretary, or by subsequently granting a later-dated proxy. Unless revoked, the shares represented by validly executed proxies will be voted at the meeting in accordance with the instructions indicated thereon. Withholding authority to vote on a director nominee will in effect count as a vote against the director nominee. If no instructions are indicated on the proxy, it will be voted: (i) for the election of the nominees for director named below; and (ii) in the discretion of the named proxies upon such other matters as may properly come before the meeting. Abstentions and broker non-votes (i.e.,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have the same effect as a vote against a director nominee, however, as to any other matter which may properly come before the meeting, abstentions and broker non-votes will not have any effect.</w:t>
      </w:r>
    </w:p>
    <w:p>
      <w:pPr>
        <w:spacing w:after="0" w:line="200"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VOTING SECURITIES AND PRINCIPAL HOLDERS THEREOF</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At October 16, 1995, John K. Hanson and Luise V. Hanson owned, of record and beneficially, an aggregate of 10,763,317 shares (42.5 percent) of the outstanding Common Stock, owning 5,799,943 (22.9 percent) and 4,963,374 (19.6 percent) shares, respectively. By virtue of their stock ownership, the Hansons may be deemed to be controlling persons of the Company. At the same date, Mary Jo Boman, daughter of John K. and Luise V. Hanson, owned 253,330 shares (1.0 percent) of Common Stock and her husband, Gerald E. Boman, owned 224,062 shares (0.9 percent) of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contains information with respect to the ownership of</w:t>
      </w:r>
    </w:p>
    <w:p>
      <w:pPr>
        <w:sectPr>
          <w:pgSz w:w="11900" w:h="16838" w:orient="portrait"/>
          <w:cols w:equalWidth="0" w:num="1">
            <w:col w:w="10219"/>
          </w:cols>
          <w:pgMar w:left="240" w:top="142" w:right="1440" w:bottom="0" w:gutter="0" w:footer="0" w:header="0"/>
        </w:sectPr>
      </w:pPr>
    </w:p>
    <w:bookmarkStart w:id="2" w:name="page3"/>
    <w:bookmarkEnd w:id="2"/>
    <w:p>
      <w:pPr>
        <w:ind w:right="2800"/>
        <w:spacing w:after="0" w:line="249" w:lineRule="auto"/>
        <w:rPr>
          <w:sz w:val="20"/>
          <w:szCs w:val="20"/>
          <w:color w:val="auto"/>
        </w:rPr>
      </w:pPr>
      <w:r>
        <w:rPr>
          <w:rFonts w:ascii="Courier New" w:cs="Courier New" w:eastAsia="Courier New" w:hAnsi="Courier New"/>
          <w:sz w:val="17"/>
          <w:szCs w:val="17"/>
          <w:color w:val="auto"/>
        </w:rPr>
        <w:t>Common Stock by (i) each person known to the Company who is the beneficial owner of more than five percent of the outstanding Common Stock, (ii) each director, (iii) each nominee for election as a director, (iv) each executive officer listed in the Summary Compensation Table and (v) the group named below.</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SHARES OF COMMON STOCK</w:t>
            </w:r>
          </w:p>
        </w:tc>
        <w:tc>
          <w:tcPr>
            <w:tcW w:w="1560" w:type="dxa"/>
            <w:vAlign w:val="bottom"/>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7"/>
                <w:szCs w:val="17"/>
                <w:color w:val="auto"/>
              </w:rPr>
              <w:t>OWNED BENEFICIALLY AT</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PERCENT OF</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080" w:type="dxa"/>
            <w:vAlign w:val="bottom"/>
          </w:tcPr>
          <w:p>
            <w:pPr>
              <w:spacing w:after="0"/>
              <w:rPr>
                <w:sz w:val="17"/>
                <w:szCs w:val="17"/>
                <w:color w:val="auto"/>
              </w:rPr>
            </w:pPr>
          </w:p>
        </w:tc>
        <w:tc>
          <w:tcPr>
            <w:tcW w:w="26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OCTOBER 16, 1995(1)</w:t>
            </w:r>
          </w:p>
        </w:tc>
        <w:tc>
          <w:tcPr>
            <w:tcW w:w="1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COMMON STOCK</w:t>
            </w:r>
          </w:p>
        </w:tc>
      </w:tr>
      <w:tr>
        <w:trPr>
          <w:trHeight w:val="4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John K. Hanson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5,799,943(2)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22.9</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Luise</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V. Hanson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4,963,374(2)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19.6</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Edwin</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F. Barker</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68,666(4)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Raymond M. Beebe</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65,726(4)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Gerald E. Boman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477,392(2)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Jerome V. Clouse</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65,666(4)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David</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G. Croonquist</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40,000(4)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Fred G. Dohrmann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75,516(4)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Keith</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D. Elwick</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16,000(4)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Bruce</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D. Hertzke</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45,666(4)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James</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P. Jaskoviak</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Donald W. Olson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Joseph M. Shuster</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11,000(4)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Frederick M. Zimmerman</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10,650(4)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Francis L. Zrostlik</w:t>
            </w:r>
          </w:p>
        </w:tc>
        <w:tc>
          <w:tcPr>
            <w:tcW w:w="26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10,000(4)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officers</w:t>
            </w:r>
          </w:p>
        </w:tc>
        <w:tc>
          <w:tcPr>
            <w:tcW w:w="2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0"/>
        </w:trPr>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as a</w:t>
            </w:r>
          </w:p>
        </w:tc>
        <w:tc>
          <w:tcPr>
            <w:tcW w:w="2080" w:type="dxa"/>
            <w:vAlign w:val="bottom"/>
          </w:tcPr>
          <w:p>
            <w:pPr>
              <w:ind w:left="60"/>
              <w:spacing w:after="0"/>
              <w:rPr>
                <w:sz w:val="20"/>
                <w:szCs w:val="20"/>
                <w:color w:val="auto"/>
              </w:rPr>
            </w:pPr>
            <w:r>
              <w:rPr>
                <w:rFonts w:ascii="Courier New" w:cs="Courier New" w:eastAsia="Courier New" w:hAnsi="Courier New"/>
                <w:sz w:val="17"/>
                <w:szCs w:val="17"/>
                <w:color w:val="auto"/>
              </w:rPr>
              <w:t>group (15 persons)</w:t>
            </w:r>
          </w:p>
        </w:tc>
        <w:tc>
          <w:tcPr>
            <w:tcW w:w="26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11,667,265(4)(5)</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45.4</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3420" w:hanging="513"/>
        <w:spacing w:after="0" w:line="251"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held jointly with or by spouse and shares held as custodian, beneficial ownership of which is disclaimed.</w:t>
      </w:r>
    </w:p>
    <w:p>
      <w:pPr>
        <w:spacing w:after="0" w:line="196" w:lineRule="exact"/>
        <w:rPr>
          <w:rFonts w:ascii="Courier New" w:cs="Courier New" w:eastAsia="Courier New" w:hAnsi="Courier New"/>
          <w:sz w:val="17"/>
          <w:szCs w:val="17"/>
          <w:color w:val="auto"/>
        </w:rPr>
      </w:pPr>
    </w:p>
    <w:p>
      <w:pPr>
        <w:ind w:left="520" w:right="3100" w:hanging="513"/>
        <w:spacing w:after="0" w:line="251"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narrative above provides further information with regard to such ownership.</w:t>
      </w:r>
    </w:p>
    <w:p>
      <w:pPr>
        <w:spacing w:after="0" w:line="196"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w:t>
      </w:r>
    </w:p>
    <w:p>
      <w:pPr>
        <w:spacing w:after="0" w:line="207" w:lineRule="exact"/>
        <w:rPr>
          <w:rFonts w:ascii="Courier New" w:cs="Courier New" w:eastAsia="Courier New" w:hAnsi="Courier New"/>
          <w:sz w:val="17"/>
          <w:szCs w:val="17"/>
          <w:color w:val="auto"/>
        </w:rPr>
      </w:pPr>
    </w:p>
    <w:p>
      <w:pPr>
        <w:ind w:left="520" w:right="2480" w:hanging="513"/>
        <w:spacing w:after="0" w:line="249"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57,666, 57,666, 57,666, 10,000, 74,666, 10,000, 42,666, 1,000, 10,000, 10,000, 10,000, 10,000 and 357,996 shares, respectively, which Mr. Barker, Mr. Beebe, Mr. Clouse, Mr. Croonquist, Mr. Dohrmann, Mr. Elwick, Mr. Hertzke, Mr. Jaskoviak, Mr. Olson, Mr. Shuster, Mr. Zimmerman, Mr. Zrostlik and the directors and officers as a group have the right to acquire within 60 days of October 16, 1995 through the exercise of stock options.</w:t>
      </w:r>
    </w:p>
    <w:p>
      <w:pPr>
        <w:spacing w:after="0" w:line="199"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owned by Luise V. Hanson.</w:t>
      </w: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ELECTION OF DIRECTORS</w:t>
      </w:r>
    </w:p>
    <w:p>
      <w:pPr>
        <w:spacing w:after="0" w:line="207" w:lineRule="exact"/>
        <w:rPr>
          <w:sz w:val="20"/>
          <w:szCs w:val="20"/>
          <w:color w:val="auto"/>
        </w:rPr>
      </w:pPr>
    </w:p>
    <w:p>
      <w:pPr>
        <w:ind w:right="2800"/>
        <w:spacing w:after="0" w:line="249" w:lineRule="auto"/>
        <w:rPr>
          <w:sz w:val="20"/>
          <w:szCs w:val="20"/>
          <w:color w:val="auto"/>
        </w:rPr>
      </w:pPr>
      <w:r>
        <w:rPr>
          <w:rFonts w:ascii="Courier New" w:cs="Courier New" w:eastAsia="Courier New" w:hAnsi="Courier New"/>
          <w:sz w:val="17"/>
          <w:szCs w:val="17"/>
          <w:color w:val="auto"/>
        </w:rPr>
        <w:t>All current directors are standing for reelection. Each nominee is being elected to serve until the next ensuing annual meeting and until a successor is elected and qualified. The shares represented by the enclosed proxy will be voted for the election as directors of the nominees named below if no direction is made otherwise.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Courier New" w:cs="Courier New" w:eastAsia="Courier New" w:hAnsi="Courier New"/>
                <w:sz w:val="17"/>
                <w:szCs w:val="17"/>
                <w:color w:val="auto"/>
              </w:rPr>
              <w:t>YEAR FIRST</w:t>
            </w:r>
          </w:p>
        </w:tc>
      </w:tr>
      <w:tr>
        <w:trPr>
          <w:trHeight w:val="2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NAME (AGE)(1)</w:t>
            </w:r>
          </w:p>
        </w:tc>
        <w:tc>
          <w:tcPr>
            <w:tcW w:w="6120" w:type="dxa"/>
            <w:vAlign w:val="bottom"/>
          </w:tcPr>
          <w:p>
            <w:pPr>
              <w:ind w:left="2060"/>
              <w:spacing w:after="0"/>
              <w:rPr>
                <w:sz w:val="20"/>
                <w:szCs w:val="20"/>
                <w:color w:val="auto"/>
              </w:rPr>
            </w:pPr>
            <w:r>
              <w:rPr>
                <w:rFonts w:ascii="Courier New" w:cs="Courier New" w:eastAsia="Courier New" w:hAnsi="Courier New"/>
                <w:sz w:val="17"/>
                <w:szCs w:val="17"/>
                <w:color w:val="auto"/>
              </w:rPr>
              <w:t>PRINCIPAL OCCUPATION</w:t>
            </w:r>
          </w:p>
        </w:tc>
        <w:tc>
          <w:tcPr>
            <w:tcW w:w="1760" w:type="dxa"/>
            <w:vAlign w:val="bottom"/>
            <w:gridSpan w:val="2"/>
          </w:tcPr>
          <w:p>
            <w:pPr>
              <w:spacing w:after="0"/>
              <w:rPr>
                <w:sz w:val="20"/>
                <w:szCs w:val="20"/>
                <w:color w:val="auto"/>
              </w:rPr>
            </w:pPr>
            <w:r>
              <w:rPr>
                <w:rFonts w:ascii="Courier New" w:cs="Courier New" w:eastAsia="Courier New" w:hAnsi="Courier New"/>
                <w:sz w:val="17"/>
                <w:szCs w:val="17"/>
                <w:color w:val="auto"/>
              </w:rPr>
              <w:t>BECAME A DIRECTOR</w:t>
            </w: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John K. Hanson (82)</w:t>
            </w:r>
          </w:p>
        </w:tc>
        <w:tc>
          <w:tcPr>
            <w:tcW w:w="6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Chairman of the Board of Directors, Winnebago Industries,</w:t>
            </w: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1958</w:t>
            </w:r>
          </w:p>
        </w:tc>
      </w:tr>
      <w:tr>
        <w:trPr>
          <w:trHeight w:val="200"/>
        </w:trPr>
        <w:tc>
          <w:tcPr>
            <w:tcW w:w="28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Inc.</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Gerald E. Boman (60)</w:t>
            </w: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Retired; former Senior Vice President, Winnebago</w:t>
            </w:r>
          </w:p>
        </w:tc>
        <w:tc>
          <w:tcPr>
            <w:tcW w:w="260" w:type="dxa"/>
            <w:vAlign w:val="bottom"/>
          </w:tcPr>
          <w:p>
            <w:pPr>
              <w:spacing w:after="0"/>
              <w:rPr>
                <w:sz w:val="24"/>
                <w:szCs w:val="24"/>
                <w:color w:val="auto"/>
              </w:rPr>
            </w:pP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1962</w:t>
            </w:r>
          </w:p>
        </w:tc>
      </w:tr>
      <w:tr>
        <w:trPr>
          <w:trHeight w:val="200"/>
        </w:trPr>
        <w:tc>
          <w:tcPr>
            <w:tcW w:w="28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Industries, Inc.</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David G. Croonquist (74)</w:t>
            </w:r>
          </w:p>
        </w:tc>
        <w:tc>
          <w:tcPr>
            <w:tcW w:w="6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Retired; former Director and Member of Executive Committee</w:t>
            </w: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1976</w:t>
            </w:r>
          </w:p>
        </w:tc>
      </w:tr>
      <w:tr>
        <w:trPr>
          <w:trHeight w:val="200"/>
        </w:trPr>
        <w:tc>
          <w:tcPr>
            <w:tcW w:w="2820" w:type="dxa"/>
            <w:vAlign w:val="bottom"/>
          </w:tcPr>
          <w:p>
            <w:pPr>
              <w:spacing w:after="0"/>
              <w:rPr>
                <w:sz w:val="17"/>
                <w:szCs w:val="17"/>
                <w:color w:val="auto"/>
              </w:rPr>
            </w:pPr>
          </w:p>
        </w:tc>
        <w:tc>
          <w:tcPr>
            <w:tcW w:w="78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of H. B. Fuller Company, manufacturer of specialty chemicals</w:t>
            </w: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Fred G. Dohrmann (63)</w:t>
            </w: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President and Chief Executive Officer, Winnebago</w:t>
            </w:r>
          </w:p>
        </w:tc>
        <w:tc>
          <w:tcPr>
            <w:tcW w:w="260" w:type="dxa"/>
            <w:vAlign w:val="bottom"/>
          </w:tcPr>
          <w:p>
            <w:pPr>
              <w:spacing w:after="0"/>
              <w:rPr>
                <w:sz w:val="24"/>
                <w:szCs w:val="24"/>
                <w:color w:val="auto"/>
              </w:rPr>
            </w:pP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1989</w:t>
            </w:r>
          </w:p>
        </w:tc>
      </w:tr>
      <w:tr>
        <w:trPr>
          <w:trHeight w:val="200"/>
        </w:trPr>
        <w:tc>
          <w:tcPr>
            <w:tcW w:w="28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Industries, Inc.</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Keith D. Elwick (76)</w:t>
            </w: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Retired; former executive officer of Chromalloy Farm and</w:t>
            </w:r>
          </w:p>
        </w:tc>
        <w:tc>
          <w:tcPr>
            <w:tcW w:w="260" w:type="dxa"/>
            <w:vAlign w:val="bottom"/>
          </w:tcPr>
          <w:p>
            <w:pPr>
              <w:spacing w:after="0"/>
              <w:rPr>
                <w:sz w:val="24"/>
                <w:szCs w:val="24"/>
                <w:color w:val="auto"/>
              </w:rPr>
            </w:pP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1981</w:t>
            </w:r>
          </w:p>
        </w:tc>
      </w:tr>
      <w:tr>
        <w:trPr>
          <w:trHeight w:val="200"/>
        </w:trPr>
        <w:tc>
          <w:tcPr>
            <w:tcW w:w="28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Industrial Equipment Co.</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Donald W. Olson (72)</w:t>
            </w: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Retired; former Chairman of Don Olson Firestone, Inc.,</w:t>
            </w:r>
          </w:p>
        </w:tc>
        <w:tc>
          <w:tcPr>
            <w:tcW w:w="260" w:type="dxa"/>
            <w:vAlign w:val="bottom"/>
          </w:tcPr>
          <w:p>
            <w:pPr>
              <w:spacing w:after="0"/>
              <w:rPr>
                <w:sz w:val="24"/>
                <w:szCs w:val="24"/>
                <w:color w:val="auto"/>
              </w:rPr>
            </w:pP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2820" w:type="dxa"/>
            <w:vAlign w:val="bottom"/>
          </w:tcPr>
          <w:p>
            <w:pPr>
              <w:spacing w:after="0"/>
              <w:rPr>
                <w:sz w:val="17"/>
                <w:szCs w:val="17"/>
                <w:color w:val="auto"/>
              </w:rPr>
            </w:pP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chain of tire and auto repair shops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0"/>
        </w:trPr>
        <w:tc>
          <w:tcPr>
            <w:tcW w:w="2820" w:type="dxa"/>
            <w:vAlign w:val="bottom"/>
          </w:tcPr>
          <w:p>
            <w:pPr>
              <w:spacing w:after="0"/>
              <w:rPr>
                <w:sz w:val="20"/>
                <w:szCs w:val="20"/>
                <w:color w:val="auto"/>
              </w:rPr>
            </w:pPr>
            <w:r>
              <w:rPr>
                <w:rFonts w:ascii="Courier New" w:cs="Courier New" w:eastAsia="Courier New" w:hAnsi="Courier New"/>
                <w:sz w:val="17"/>
                <w:szCs w:val="17"/>
                <w:color w:val="auto"/>
              </w:rPr>
              <w:t>Joseph M. Shuster (63)</w:t>
            </w:r>
          </w:p>
        </w:tc>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Chairman, Teltech, national technology transfer company</w:t>
            </w:r>
          </w:p>
        </w:tc>
        <w:tc>
          <w:tcPr>
            <w:tcW w:w="260" w:type="dxa"/>
            <w:vAlign w:val="bottom"/>
          </w:tcPr>
          <w:p>
            <w:pPr>
              <w:spacing w:after="0"/>
              <w:rPr>
                <w:sz w:val="24"/>
                <w:szCs w:val="24"/>
                <w:color w:val="auto"/>
              </w:rPr>
            </w:pPr>
          </w:p>
        </w:tc>
        <w:tc>
          <w:tcPr>
            <w:tcW w:w="150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1988</w:t>
            </w:r>
          </w:p>
        </w:tc>
      </w:tr>
    </w:tbl>
    <w:p>
      <w:pPr>
        <w:sectPr>
          <w:pgSz w:w="11900" w:h="16838" w:orient="portrait"/>
          <w:cols w:equalWidth="0" w:num="1">
            <w:col w:w="10700"/>
          </w:cols>
          <w:pgMar w:left="240" w:top="142" w:right="9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20"/>
                <w:szCs w:val="20"/>
                <w:color w:val="auto"/>
              </w:rPr>
            </w:pPr>
            <w:r>
              <w:rPr>
                <w:rFonts w:ascii="Courier New" w:cs="Courier New" w:eastAsia="Courier New" w:hAnsi="Courier New"/>
                <w:sz w:val="17"/>
                <w:szCs w:val="17"/>
                <w:color w:val="auto"/>
              </w:rPr>
              <w:t>Frederick M. Zimmerman (59)</w:t>
            </w:r>
          </w:p>
        </w:tc>
        <w:tc>
          <w:tcPr>
            <w:tcW w:w="5000" w:type="dxa"/>
            <w:vAlign w:val="bottom"/>
          </w:tcPr>
          <w:p>
            <w:pPr>
              <w:ind w:left="160"/>
              <w:spacing w:after="0"/>
              <w:rPr>
                <w:sz w:val="20"/>
                <w:szCs w:val="20"/>
                <w:color w:val="auto"/>
              </w:rPr>
            </w:pPr>
            <w:r>
              <w:rPr>
                <w:rFonts w:ascii="Courier New" w:cs="Courier New" w:eastAsia="Courier New" w:hAnsi="Courier New"/>
                <w:sz w:val="17"/>
                <w:szCs w:val="17"/>
                <w:color w:val="auto"/>
              </w:rPr>
              <w:t>Professor of Manufacturing Systems Engineering</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at</w:t>
            </w:r>
          </w:p>
        </w:tc>
        <w:tc>
          <w:tcPr>
            <w:tcW w:w="10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1992</w:t>
            </w:r>
          </w:p>
        </w:tc>
      </w:tr>
      <w:tr>
        <w:trPr>
          <w:trHeight w:val="200"/>
        </w:trPr>
        <w:tc>
          <w:tcPr>
            <w:tcW w:w="296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Courier New" w:cs="Courier New" w:eastAsia="Courier New" w:hAnsi="Courier New"/>
                <w:sz w:val="17"/>
                <w:szCs w:val="17"/>
                <w:color w:val="auto"/>
              </w:rPr>
              <w:t>University of St. Thomas, St. Paul, Minnesota</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Francis L. Zrostlik (61)</w:t>
            </w:r>
          </w:p>
        </w:tc>
        <w:tc>
          <w:tcPr>
            <w:tcW w:w="5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President, Stellar Industries, Inc., manufacturer</w:t>
            </w:r>
          </w:p>
        </w:tc>
        <w:tc>
          <w:tcPr>
            <w:tcW w:w="100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1993(2)</w:t>
            </w:r>
          </w:p>
        </w:tc>
      </w:tr>
      <w:tr>
        <w:trPr>
          <w:trHeight w:val="200"/>
        </w:trPr>
        <w:tc>
          <w:tcPr>
            <w:tcW w:w="296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Courier New" w:cs="Courier New" w:eastAsia="Courier New" w:hAnsi="Courier New"/>
                <w:sz w:val="17"/>
                <w:szCs w:val="17"/>
                <w:color w:val="auto"/>
              </w:rPr>
              <w:t>hydraulic truck equipment; former President of</w:t>
            </w:r>
          </w:p>
        </w:tc>
        <w:tc>
          <w:tcPr>
            <w:tcW w:w="13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Iowa Mold</w:t>
            </w:r>
          </w:p>
        </w:tc>
        <w:tc>
          <w:tcPr>
            <w:tcW w:w="1040" w:type="dxa"/>
            <w:vAlign w:val="bottom"/>
          </w:tcPr>
          <w:p>
            <w:pPr>
              <w:spacing w:after="0"/>
              <w:rPr>
                <w:sz w:val="17"/>
                <w:szCs w:val="17"/>
                <w:color w:val="auto"/>
              </w:rPr>
            </w:pPr>
          </w:p>
        </w:tc>
      </w:tr>
      <w:tr>
        <w:trPr>
          <w:trHeight w:val="200"/>
        </w:trPr>
        <w:tc>
          <w:tcPr>
            <w:tcW w:w="296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Courier New" w:cs="Courier New" w:eastAsia="Courier New" w:hAnsi="Courier New"/>
                <w:sz w:val="17"/>
                <w:szCs w:val="17"/>
                <w:color w:val="auto"/>
              </w:rPr>
              <w:t>Tooling</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left="520" w:hanging="513"/>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is made to "Voting Securities and Principal Holders Thereof."</w:t>
      </w:r>
    </w:p>
    <w:p>
      <w:pPr>
        <w:spacing w:after="0" w:line="207"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served as a director from 1979 to 1986.</w:t>
      </w:r>
    </w:p>
    <w:p>
      <w:pPr>
        <w:spacing w:after="0" w:line="207" w:lineRule="exact"/>
        <w:rPr>
          <w:sz w:val="20"/>
          <w:szCs w:val="20"/>
          <w:color w:val="auto"/>
        </w:rPr>
      </w:pPr>
    </w:p>
    <w:p>
      <w:pPr>
        <w:ind w:right="2400"/>
        <w:spacing w:after="0" w:line="249" w:lineRule="auto"/>
        <w:rPr>
          <w:sz w:val="20"/>
          <w:szCs w:val="20"/>
          <w:color w:val="auto"/>
        </w:rPr>
      </w:pPr>
      <w:r>
        <w:rPr>
          <w:rFonts w:ascii="Courier New" w:cs="Courier New" w:eastAsia="Courier New" w:hAnsi="Courier New"/>
          <w:sz w:val="17"/>
          <w:szCs w:val="17"/>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0" w:lineRule="exact"/>
        <w:rPr>
          <w:sz w:val="20"/>
          <w:szCs w:val="20"/>
          <w:color w:val="auto"/>
        </w:rPr>
      </w:pPr>
    </w:p>
    <w:p>
      <w:pPr>
        <w:ind w:right="2820"/>
        <w:spacing w:after="0" w:line="251" w:lineRule="auto"/>
        <w:rPr>
          <w:sz w:val="20"/>
          <w:szCs w:val="20"/>
          <w:color w:val="auto"/>
        </w:rPr>
      </w:pPr>
      <w:r>
        <w:rPr>
          <w:rFonts w:ascii="Courier New" w:cs="Courier New" w:eastAsia="Courier New" w:hAnsi="Courier New"/>
          <w:sz w:val="17"/>
          <w:szCs w:val="17"/>
          <w:color w:val="auto"/>
        </w:rPr>
        <w:t>John K. Hanson is the father of Paul D. Hanson, Vice President-Strategic Planning of the Company, and the father-in-law of Gerald E. Boman.</w:t>
      </w:r>
    </w:p>
    <w:p>
      <w:pPr>
        <w:spacing w:after="0" w:line="197" w:lineRule="exact"/>
        <w:rPr>
          <w:sz w:val="20"/>
          <w:szCs w:val="20"/>
          <w:color w:val="auto"/>
        </w:rPr>
      </w:pPr>
    </w:p>
    <w:p>
      <w:pPr>
        <w:ind w:right="2300"/>
        <w:spacing w:after="0" w:line="251" w:lineRule="auto"/>
        <w:rPr>
          <w:sz w:val="20"/>
          <w:szCs w:val="20"/>
          <w:color w:val="auto"/>
        </w:rPr>
      </w:pPr>
      <w:r>
        <w:rPr>
          <w:rFonts w:ascii="Courier New" w:cs="Courier New" w:eastAsia="Courier New" w:hAnsi="Courier New"/>
          <w:sz w:val="17"/>
          <w:szCs w:val="17"/>
          <w:color w:val="auto"/>
        </w:rPr>
        <w:t>Mr. Zimmerman is also a director of HEI, Inc., a designer and manufacturer of custom microelectronics and light pens.</w:t>
      </w:r>
    </w:p>
    <w:p>
      <w:pPr>
        <w:spacing w:after="0" w:line="197" w:lineRule="exact"/>
        <w:rPr>
          <w:sz w:val="20"/>
          <w:szCs w:val="20"/>
          <w:color w:val="auto"/>
        </w:rPr>
      </w:pPr>
    </w:p>
    <w:p>
      <w:pPr>
        <w:ind w:right="2300"/>
        <w:spacing w:after="0" w:line="250" w:lineRule="auto"/>
        <w:rPr>
          <w:sz w:val="20"/>
          <w:szCs w:val="20"/>
          <w:color w:val="auto"/>
        </w:rPr>
      </w:pPr>
      <w:r>
        <w:rPr>
          <w:rFonts w:ascii="Courier New" w:cs="Courier New" w:eastAsia="Courier New" w:hAnsi="Courier New"/>
          <w:sz w:val="17"/>
          <w:szCs w:val="17"/>
          <w:color w:val="auto"/>
        </w:rPr>
        <w:t>Discretionary authority is solicited to vote for the election of a substitute for any of said nominees who, for any reason currently unknown, cannot be a candidate for election.</w:t>
      </w:r>
    </w:p>
    <w:p>
      <w:pPr>
        <w:spacing w:after="0" w:line="197" w:lineRule="exact"/>
        <w:rPr>
          <w:sz w:val="20"/>
          <w:szCs w:val="20"/>
          <w:color w:val="auto"/>
        </w:rPr>
      </w:pPr>
    </w:p>
    <w:p>
      <w:pPr>
        <w:jc w:val="center"/>
        <w:ind w:right="2180"/>
        <w:spacing w:after="0"/>
        <w:rPr>
          <w:sz w:val="20"/>
          <w:szCs w:val="20"/>
          <w:color w:val="auto"/>
        </w:rPr>
      </w:pPr>
      <w:r>
        <w:rPr>
          <w:rFonts w:ascii="Courier New" w:cs="Courier New" w:eastAsia="Courier New" w:hAnsi="Courier New"/>
          <w:sz w:val="17"/>
          <w:szCs w:val="17"/>
          <w:color w:val="auto"/>
        </w:rPr>
        <w:t>BOARD OF DIRECTORS AND COMMITTEES OF THE BOARD</w:t>
      </w:r>
    </w:p>
    <w:p>
      <w:pPr>
        <w:spacing w:after="0" w:line="207" w:lineRule="exact"/>
        <w:rPr>
          <w:sz w:val="20"/>
          <w:szCs w:val="20"/>
          <w:color w:val="auto"/>
        </w:rPr>
      </w:pPr>
    </w:p>
    <w:p>
      <w:pPr>
        <w:ind w:right="2300"/>
        <w:spacing w:after="0" w:line="250" w:lineRule="auto"/>
        <w:rPr>
          <w:sz w:val="20"/>
          <w:szCs w:val="20"/>
          <w:color w:val="auto"/>
        </w:rPr>
      </w:pPr>
      <w:r>
        <w:rPr>
          <w:rFonts w:ascii="Courier New" w:cs="Courier New" w:eastAsia="Courier New" w:hAnsi="Courier New"/>
          <w:sz w:val="17"/>
          <w:szCs w:val="17"/>
          <w:color w:val="auto"/>
        </w:rPr>
        <w:t>The Board has established Audit, Human Resources and Nominating Committees to assist it in the discharge of its responsibilities. The principal responsibilities of each of these committees are described below.</w:t>
      </w:r>
    </w:p>
    <w:p>
      <w:pPr>
        <w:spacing w:after="0" w:line="197" w:lineRule="exact"/>
        <w:rPr>
          <w:sz w:val="20"/>
          <w:szCs w:val="20"/>
          <w:color w:val="auto"/>
        </w:rPr>
      </w:pPr>
    </w:p>
    <w:p>
      <w:pPr>
        <w:ind w:right="2400"/>
        <w:spacing w:after="0" w:line="249" w:lineRule="auto"/>
        <w:rPr>
          <w:sz w:val="20"/>
          <w:szCs w:val="20"/>
          <w:color w:val="auto"/>
        </w:rPr>
      </w:pPr>
      <w:r>
        <w:rPr>
          <w:rFonts w:ascii="Courier New" w:cs="Courier New" w:eastAsia="Courier New" w:hAnsi="Courier New"/>
          <w:sz w:val="17"/>
          <w:szCs w:val="17"/>
          <w:color w:val="auto"/>
        </w:rPr>
        <w:t>The members of the Audit Committee are Messrs. Croonquist, Elwick and Shuster. Each year, the committee recommends to the Board the appointment of independent public accountants to examine the books of the Company. It reviews with representatives of the independent public accountants the auditing arrangements and scope of the independent public accountants' examination of the books, results of those audits, their fees and any problems identified by and recommendations of the independent public accountants regarding internal controls. The committee is also prepared to meet privately at any time at the request of the independent public accountants or members of management to review any special situation arising on any of the above subjects. The committee met four times in fiscal 1995.</w:t>
      </w:r>
    </w:p>
    <w:p>
      <w:pPr>
        <w:spacing w:after="0" w:line="200" w:lineRule="exact"/>
        <w:rPr>
          <w:sz w:val="20"/>
          <w:szCs w:val="20"/>
          <w:color w:val="auto"/>
        </w:rPr>
      </w:pPr>
    </w:p>
    <w:p>
      <w:pPr>
        <w:ind w:right="2500"/>
        <w:spacing w:after="0" w:line="249" w:lineRule="auto"/>
        <w:rPr>
          <w:sz w:val="20"/>
          <w:szCs w:val="20"/>
          <w:color w:val="auto"/>
        </w:rPr>
      </w:pPr>
      <w:r>
        <w:rPr>
          <w:rFonts w:ascii="Courier New" w:cs="Courier New" w:eastAsia="Courier New" w:hAnsi="Courier New"/>
          <w:sz w:val="17"/>
          <w:szCs w:val="17"/>
          <w:color w:val="auto"/>
        </w:rPr>
        <w:t>The Human Resources Committee, consisting of Messrs. Elwick, Zimmerman and Olson, met seven times in fiscal 1995. This committee makes recommendations to the Board of Directors as to the salary of the Chief Executive Officer (CEO) and sets the salaries and bonus payments, if any, of all other employee-directors and elected officers. It also has responsibility for administration of the Officer Incentive Compensation Plan and certain other employee incentive plans.</w:t>
      </w:r>
    </w:p>
    <w:p>
      <w:pPr>
        <w:spacing w:after="0" w:line="200" w:lineRule="exact"/>
        <w:rPr>
          <w:sz w:val="20"/>
          <w:szCs w:val="20"/>
          <w:color w:val="auto"/>
        </w:rPr>
      </w:pPr>
    </w:p>
    <w:p>
      <w:pPr>
        <w:ind w:right="2300"/>
        <w:spacing w:after="0" w:line="249" w:lineRule="auto"/>
        <w:rPr>
          <w:sz w:val="20"/>
          <w:szCs w:val="20"/>
          <w:color w:val="auto"/>
        </w:rPr>
      </w:pPr>
      <w:r>
        <w:rPr>
          <w:rFonts w:ascii="Courier New" w:cs="Courier New" w:eastAsia="Courier New" w:hAnsi="Courier New"/>
          <w:sz w:val="17"/>
          <w:szCs w:val="17"/>
          <w:color w:val="auto"/>
        </w:rPr>
        <w:t>The members of the Nominating Committee are Messrs. Hanson, Croonquist and Dohrmann. This committee recommended to the Board the director-nominees proposed in this Proxy Statement for election by the shareholders. It reviews the qualifications of, and recommends to the Board, candidates to fill Board vacancies as they may occur during the year. The Nominating Committee will consider suggestions from all sources, including shareholders, regarding possible candidates for director. Such suggestions, together with appropriate biographical information, should be submitted to the Secretary of the Company. The committee met once in fiscal 1995.</w:t>
      </w:r>
    </w:p>
    <w:p>
      <w:pPr>
        <w:spacing w:after="0" w:line="200" w:lineRule="exact"/>
        <w:rPr>
          <w:sz w:val="20"/>
          <w:szCs w:val="20"/>
          <w:color w:val="auto"/>
        </w:rPr>
      </w:pPr>
    </w:p>
    <w:p>
      <w:pPr>
        <w:ind w:right="2300"/>
        <w:spacing w:after="0" w:line="249" w:lineRule="auto"/>
        <w:rPr>
          <w:sz w:val="20"/>
          <w:szCs w:val="20"/>
          <w:color w:val="auto"/>
        </w:rPr>
      </w:pPr>
      <w:r>
        <w:rPr>
          <w:rFonts w:ascii="Courier New" w:cs="Courier New" w:eastAsia="Courier New" w:hAnsi="Courier New"/>
          <w:sz w:val="17"/>
          <w:szCs w:val="17"/>
          <w:color w:val="auto"/>
        </w:rPr>
        <w:t>The Board of Directors of the Company held seven meetings during fiscal 1995. Actions taken by any committee of the Board are reported to the Board of Directors, usually at its next meeting. During fiscal 1995, all of the directors attended more than 75 percent of the aggregate of Board of Directors' meetings and meetings of committees of the Board on which they served. Each director (except a director who is an employee of the Company) currently receives a monthly fee of $1,400.</w:t>
      </w:r>
    </w:p>
    <w:p>
      <w:pPr>
        <w:spacing w:after="0" w:line="200" w:lineRule="exact"/>
        <w:rPr>
          <w:sz w:val="20"/>
          <w:szCs w:val="20"/>
          <w:color w:val="auto"/>
        </w:rPr>
      </w:pPr>
    </w:p>
    <w:p>
      <w:pPr>
        <w:ind w:right="2300"/>
        <w:spacing w:after="0" w:line="249" w:lineRule="auto"/>
        <w:rPr>
          <w:sz w:val="20"/>
          <w:szCs w:val="20"/>
          <w:color w:val="auto"/>
        </w:rPr>
      </w:pPr>
      <w:r>
        <w:rPr>
          <w:rFonts w:ascii="Courier New" w:cs="Courier New" w:eastAsia="Courier New" w:hAnsi="Courier New"/>
          <w:sz w:val="17"/>
          <w:szCs w:val="17"/>
          <w:color w:val="auto"/>
        </w:rPr>
        <w:t>The Winnebago Industries, Inc. Stock Option Plan for Outside Directors (the "Outside Directors Option Plan") provides that each director who is not a current or former full-time employee of the Company or a subsidiary (an "Outside Director") will receive an option to purchase 10,000 shares of Common Stock. Pursuant to the Outside Directors Option Plan, each Outside Director as of May 7, 1992 (consisting of Messrs. Croonquist, Elwick and Shuster) automatically received an option to purchase 10,000 shares of Common Stock at a price of $5.50 per share. In addition, each person who first becomes a member of the Board of Directors as an Outside Director after May 7, 1992 will automatically receive an option to purchase 10,000 shares of</w:t>
      </w:r>
    </w:p>
    <w:p>
      <w:pPr>
        <w:sectPr>
          <w:pgSz w:w="11900" w:h="16838" w:orient="portrait"/>
          <w:cols w:equalWidth="0" w:num="1">
            <w:col w:w="10300"/>
          </w:cols>
          <w:pgMar w:left="240" w:top="342" w:right="1359" w:bottom="0" w:gutter="0" w:footer="0" w:header="0"/>
        </w:sectPr>
      </w:pPr>
    </w:p>
    <w:bookmarkStart w:id="4" w:name="page5"/>
    <w:bookmarkEnd w:id="4"/>
    <w:p>
      <w:pPr>
        <w:ind w:right="3440"/>
        <w:spacing w:after="0" w:line="249" w:lineRule="auto"/>
        <w:rPr>
          <w:sz w:val="20"/>
          <w:szCs w:val="20"/>
          <w:color w:val="auto"/>
        </w:rPr>
      </w:pPr>
      <w:r>
        <w:rPr>
          <w:rFonts w:ascii="Courier New" w:cs="Courier New" w:eastAsia="Courier New" w:hAnsi="Courier New"/>
          <w:sz w:val="17"/>
          <w:szCs w:val="17"/>
          <w:color w:val="auto"/>
        </w:rPr>
        <w:t>Common Stock as of the date on which such person first becomes an Outside Director. Under this provision, Frederick M. Zimmerman received an option to purchase 10,000 shares of Common Stock on December 16, 1992 at a price of $9.00 per share, Francis L. Zrostlik received an option to purchase 10,000 shares of Common Stock on December 15, 1993 at a price of $8.875 per share and Donald W. Olson received an option to purchase 10,000 shares of Common Stock on December 14, 1994 at a price of $10.00 per share. No option is exercisable during the first year after the date such option is granted. Thereafter, the options are exercisable for a period of ten years from the date each such option is granted. Notwithstanding the foregoing, in the event of a merger, consolidation, dissolution or liquidation of the Company, the expiration dates of any outstanding options may be accelerated and the dates on which outstanding options may be exercised may be accelerated, but the effectiveness of such acceleration and any exercise of options pursuant thereto with respect to shares in excess of the number of shares that could have been exercised in the absence of such acceleration, is conditioned upon, among other requirements, the consummation of the merger, consolidation, dissolution or liquidation. The purchase price of options granted under the plan is equal to 100 percent of the fair market value per share of the Common Stock at the time the option is granted. At August 26, 1995, options for 60,000 shares were outstanding under the Outside Directors Option Plan and options for 40,000 shares were available for grant thereunder.</w:t>
      </w:r>
    </w:p>
    <w:p>
      <w:pPr>
        <w:spacing w:after="0" w:line="200"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7"/>
          <w:szCs w:val="17"/>
          <w:color w:val="auto"/>
        </w:rPr>
        <w:t>EXECUTIVE COMPENSATION</w:t>
      </w:r>
    </w:p>
    <w:p>
      <w:pPr>
        <w:spacing w:after="0" w:line="207" w:lineRule="exact"/>
        <w:rPr>
          <w:sz w:val="20"/>
          <w:szCs w:val="20"/>
          <w:color w:val="auto"/>
        </w:rPr>
      </w:pPr>
    </w:p>
    <w:p>
      <w:pPr>
        <w:ind w:right="3440"/>
        <w:spacing w:after="0" w:line="249" w:lineRule="auto"/>
        <w:rPr>
          <w:sz w:val="20"/>
          <w:szCs w:val="20"/>
          <w:color w:val="auto"/>
        </w:rPr>
      </w:pPr>
      <w:r>
        <w:rPr>
          <w:rFonts w:ascii="Courier New" w:cs="Courier New" w:eastAsia="Courier New" w:hAnsi="Courier New"/>
          <w:sz w:val="17"/>
          <w:szCs w:val="17"/>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26, 1995, and (ii) each of the six other most highly compensated executive officers of the Company serving at August 26, 1995.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20" w:type="dxa"/>
            <w:vAlign w:val="bottom"/>
          </w:tcPr>
          <w:p>
            <w:pPr>
              <w:spacing w:after="0"/>
              <w:rPr>
                <w:sz w:val="16"/>
                <w:szCs w:val="16"/>
                <w:color w:val="auto"/>
              </w:rPr>
            </w:pPr>
          </w:p>
        </w:tc>
        <w:tc>
          <w:tcPr>
            <w:tcW w:w="4360" w:type="dxa"/>
            <w:vAlign w:val="bottom"/>
            <w:gridSpan w:val="3"/>
          </w:tcPr>
          <w:p>
            <w:pPr>
              <w:jc w:val="right"/>
              <w:ind w:right="473"/>
              <w:spacing w:after="0"/>
              <w:rPr>
                <w:sz w:val="20"/>
                <w:szCs w:val="20"/>
                <w:color w:val="auto"/>
              </w:rPr>
            </w:pPr>
            <w:r>
              <w:rPr>
                <w:rFonts w:ascii="Courier New" w:cs="Courier New" w:eastAsia="Courier New" w:hAnsi="Courier New"/>
                <w:sz w:val="17"/>
                <w:szCs w:val="17"/>
                <w:color w:val="auto"/>
              </w:rPr>
              <w:t>SUMMARY COMPENSATION TABLE</w:t>
            </w:r>
          </w:p>
        </w:tc>
        <w:tc>
          <w:tcPr>
            <w:tcW w:w="1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799"/>
        </w:trPr>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ANNUAL COMPENSATION(1)</w:t>
            </w:r>
          </w:p>
        </w:tc>
        <w:tc>
          <w:tcPr>
            <w:tcW w:w="364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LONG-TERM COMPENSATION</w:t>
            </w:r>
          </w:p>
        </w:tc>
      </w:tr>
      <w:tr>
        <w:trPr>
          <w:trHeight w:val="200"/>
        </w:trPr>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ALL OTHER</w:t>
            </w:r>
          </w:p>
        </w:tc>
      </w:tr>
      <w:tr>
        <w:trPr>
          <w:trHeight w:val="200"/>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NAME AND PRINCIPAL POSITION</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SALARY ($)</w:t>
            </w:r>
          </w:p>
        </w:tc>
        <w:tc>
          <w:tcPr>
            <w:tcW w:w="1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BONUS ($)(2)</w:t>
            </w:r>
          </w:p>
        </w:tc>
        <w:tc>
          <w:tcPr>
            <w:tcW w:w="14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OPTIONS(3)</w:t>
            </w: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COMPENSATION ($)(4)</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53,409</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16,702</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President and</w:t>
            </w:r>
          </w:p>
        </w:tc>
        <w:tc>
          <w:tcPr>
            <w:tcW w:w="172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130,000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25,000</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16,645</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Chief Executive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Officer</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129,000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15,959</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John K. Hanson</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66,534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Chairman of the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Board</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125,000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250,000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125,000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139,808</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3,960</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Chief Operating</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Officer</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10,000</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3,960</w:t>
            </w:r>
          </w:p>
        </w:tc>
      </w:tr>
      <w:tr>
        <w:trPr>
          <w:trHeight w:val="200"/>
        </w:trPr>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125,096</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66,456</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3,960</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15,064</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Vice President,</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Controller</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10,000</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15,064</w:t>
            </w:r>
          </w:p>
        </w:tc>
      </w:tr>
      <w:tr>
        <w:trPr>
          <w:trHeight w:val="200"/>
        </w:trPr>
        <w:tc>
          <w:tcPr>
            <w:tcW w:w="34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and Chief Financial Officer</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128,365</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66,456</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14,156</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18,830</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Vice President,</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General</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10,000</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18,830</w:t>
            </w:r>
          </w:p>
        </w:tc>
      </w:tr>
      <w:tr>
        <w:trPr>
          <w:trHeight w:val="200"/>
        </w:trPr>
        <w:tc>
          <w:tcPr>
            <w:tcW w:w="34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Counsel and Secetary</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128,365</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66,456</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18,101</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Jerome V. Clouse</w:t>
            </w:r>
          </w:p>
        </w:tc>
        <w:tc>
          <w:tcPr>
            <w:tcW w:w="172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16,614</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Vice President,</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Treasurer</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130,000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70,000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10,000</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16,614</w:t>
            </w:r>
          </w:p>
        </w:tc>
      </w:tr>
      <w:tr>
        <w:trPr>
          <w:trHeight w:val="200"/>
        </w:trPr>
        <w:tc>
          <w:tcPr>
            <w:tcW w:w="34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and International Development</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128,365</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86,456</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15,969</w:t>
            </w:r>
          </w:p>
        </w:tc>
      </w:tr>
      <w:tr>
        <w:trPr>
          <w:trHeight w:val="400"/>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James P. Jaskoviak</w:t>
            </w: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136,731</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35,034</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1,484</w:t>
            </w:r>
          </w:p>
        </w:tc>
      </w:tr>
      <w:tr>
        <w:trPr>
          <w:trHeight w:val="200"/>
        </w:trPr>
        <w:tc>
          <w:tcPr>
            <w:tcW w:w="1720" w:type="dxa"/>
            <w:vAlign w:val="bottom"/>
          </w:tcPr>
          <w:p>
            <w:pPr>
              <w:ind w:left="120"/>
              <w:spacing w:after="0"/>
              <w:rPr>
                <w:sz w:val="20"/>
                <w:szCs w:val="20"/>
                <w:color w:val="auto"/>
              </w:rPr>
            </w:pPr>
            <w:r>
              <w:rPr>
                <w:rFonts w:ascii="Courier New" w:cs="Courier New" w:eastAsia="Courier New" w:hAnsi="Courier New"/>
                <w:sz w:val="17"/>
                <w:szCs w:val="17"/>
                <w:color w:val="auto"/>
              </w:rPr>
              <w:t>Vice President,</w:t>
            </w:r>
          </w:p>
        </w:tc>
        <w:tc>
          <w:tcPr>
            <w:tcW w:w="172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7"/>
                <w:szCs w:val="17"/>
                <w:color w:val="auto"/>
              </w:rPr>
              <w:t>1994(5)</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92,070</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35,553</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34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Sales and Marketing</w:t>
            </w: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3220" w:hanging="513"/>
        <w:spacing w:after="0" w:line="251"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executive officer received personal benefits in excess of the lesser of 10% of cash compensation or $50,000.</w:t>
      </w:r>
    </w:p>
    <w:p>
      <w:pPr>
        <w:spacing w:after="0" w:line="196" w:lineRule="exact"/>
        <w:rPr>
          <w:rFonts w:ascii="Courier New" w:cs="Courier New" w:eastAsia="Courier New" w:hAnsi="Courier New"/>
          <w:sz w:val="17"/>
          <w:szCs w:val="17"/>
          <w:color w:val="auto"/>
        </w:rPr>
      </w:pPr>
    </w:p>
    <w:p>
      <w:pPr>
        <w:ind w:left="520" w:right="3320" w:hanging="513"/>
        <w:spacing w:after="0" w:line="249"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bonus amounts include bonuses paid pursuant to the Company's Officer Incentive Compensation Plan as well as bonuses paid in the discretion of the Board of Directors, all as described under the caption "Report of the Human Resources Committee on Executive Compensation."</w:t>
      </w:r>
    </w:p>
    <w:p>
      <w:pPr>
        <w:spacing w:after="0" w:line="199" w:lineRule="exact"/>
        <w:rPr>
          <w:rFonts w:ascii="Courier New" w:cs="Courier New" w:eastAsia="Courier New" w:hAnsi="Courier New"/>
          <w:sz w:val="17"/>
          <w:szCs w:val="17"/>
          <w:color w:val="auto"/>
        </w:rPr>
      </w:pPr>
    </w:p>
    <w:p>
      <w:pPr>
        <w:ind w:left="520" w:right="3120" w:hanging="513"/>
        <w:spacing w:after="0" w:line="250"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the table above represent options for the purchase of shares of the Company's Common Stock granted to the named persons under the Company's 1987 Nonqualified Stock Option Plan.</w:t>
      </w:r>
    </w:p>
    <w:p>
      <w:pPr>
        <w:sectPr>
          <w:pgSz w:w="11900" w:h="16838" w:orient="portrait"/>
          <w:cols w:equalWidth="0" w:num="1">
            <w:col w:w="11440"/>
          </w:cols>
          <w:pgMar w:left="240" w:top="142" w:right="219" w:bottom="0" w:gutter="0" w:footer="0" w:header="0"/>
        </w:sectPr>
      </w:pPr>
    </w:p>
    <w:bookmarkStart w:id="5" w:name="page6"/>
    <w:bookmarkEnd w:id="5"/>
    <w:p>
      <w:pPr>
        <w:ind w:left="520" w:right="1899" w:hanging="513"/>
        <w:spacing w:after="0" w:line="249"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of All Other Compensation are premiums paid by the Company pursuant to the Company's Executive Split Dollar Life Insurance Plan. The Plan provides for preretirement death benefits for the named executives and certain other executive officers (except Mr. Hanson who does not participate in the Plan) and annual or a lump sum payment upon retirement at age 65.</w:t>
      </w:r>
    </w:p>
    <w:p>
      <w:pPr>
        <w:spacing w:after="0" w:line="399"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Elected Vice President, Sales and Marketing on March 23, 1994.</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STOCK OPTIONS</w:t>
      </w:r>
    </w:p>
    <w:p>
      <w:pPr>
        <w:spacing w:after="0" w:line="20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7"/>
          <w:szCs w:val="17"/>
          <w:color w:val="auto"/>
        </w:rPr>
        <w:t>None of the named executive officers received any stock options in fiscal 1995.</w:t>
      </w:r>
    </w:p>
    <w:p>
      <w:pPr>
        <w:spacing w:after="0" w:line="19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AGGREGATED FISCAL YEAR-END OPTION VALUES</w:t>
      </w:r>
    </w:p>
    <w:p>
      <w:pPr>
        <w:spacing w:after="0" w:line="20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The following table provides information related to the number and value of options held at August 26, 1995 by the named executive officers. Since no options were exercised by the above-named executives in fiscal 1995, no shares were acquired or value realized upon the exercise of options by such persons in the last fiscal year.</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3520" w:type="dxa"/>
            <w:vAlign w:val="bottom"/>
            <w:gridSpan w:val="2"/>
          </w:tcPr>
          <w:p>
            <w:pPr>
              <w:jc w:val="right"/>
              <w:ind w:right="573"/>
              <w:spacing w:after="0"/>
              <w:rPr>
                <w:sz w:val="20"/>
                <w:szCs w:val="20"/>
                <w:color w:val="auto"/>
              </w:rPr>
            </w:pPr>
            <w:r>
              <w:rPr>
                <w:rFonts w:ascii="Courier New" w:cs="Courier New" w:eastAsia="Courier New" w:hAnsi="Courier New"/>
                <w:sz w:val="17"/>
                <w:szCs w:val="17"/>
                <w:color w:val="auto"/>
              </w:rPr>
              <w:t>NUMBER OF UNEXERCISED</w:t>
            </w:r>
          </w:p>
        </w:tc>
        <w:tc>
          <w:tcPr>
            <w:tcW w:w="32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VALUE OF UNEXERCISED,</w:t>
            </w:r>
          </w:p>
        </w:tc>
      </w:tr>
      <w:tr>
        <w:trPr>
          <w:trHeight w:val="200"/>
        </w:trPr>
        <w:tc>
          <w:tcPr>
            <w:tcW w:w="2140" w:type="dxa"/>
            <w:vAlign w:val="bottom"/>
          </w:tcPr>
          <w:p>
            <w:pPr>
              <w:spacing w:after="0"/>
              <w:rPr>
                <w:sz w:val="17"/>
                <w:szCs w:val="17"/>
                <w:color w:val="auto"/>
              </w:rPr>
            </w:pPr>
          </w:p>
        </w:tc>
        <w:tc>
          <w:tcPr>
            <w:tcW w:w="3520" w:type="dxa"/>
            <w:vAlign w:val="bottom"/>
            <w:gridSpan w:val="2"/>
          </w:tcPr>
          <w:p>
            <w:pPr>
              <w:jc w:val="right"/>
              <w:ind w:right="893"/>
              <w:spacing w:after="0"/>
              <w:rPr>
                <w:sz w:val="20"/>
                <w:szCs w:val="20"/>
                <w:color w:val="auto"/>
              </w:rPr>
            </w:pPr>
            <w:r>
              <w:rPr>
                <w:rFonts w:ascii="Courier New" w:cs="Courier New" w:eastAsia="Courier New" w:hAnsi="Courier New"/>
                <w:sz w:val="17"/>
                <w:szCs w:val="17"/>
                <w:color w:val="auto"/>
              </w:rPr>
              <w:t>OPTIONS HELD AT</w:t>
            </w:r>
          </w:p>
        </w:tc>
        <w:tc>
          <w:tcPr>
            <w:tcW w:w="32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IN-THE-MONEY OPTIONS AT</w:t>
            </w:r>
          </w:p>
        </w:tc>
      </w:tr>
      <w:tr>
        <w:trPr>
          <w:trHeight w:val="200"/>
        </w:trPr>
        <w:tc>
          <w:tcPr>
            <w:tcW w:w="2140" w:type="dxa"/>
            <w:vAlign w:val="bottom"/>
          </w:tcPr>
          <w:p>
            <w:pPr>
              <w:spacing w:after="0"/>
              <w:rPr>
                <w:sz w:val="17"/>
                <w:szCs w:val="17"/>
                <w:color w:val="auto"/>
              </w:rPr>
            </w:pPr>
          </w:p>
        </w:tc>
        <w:tc>
          <w:tcPr>
            <w:tcW w:w="3520" w:type="dxa"/>
            <w:vAlign w:val="bottom"/>
            <w:gridSpan w:val="2"/>
          </w:tcPr>
          <w:p>
            <w:pPr>
              <w:jc w:val="right"/>
              <w:ind w:right="893"/>
              <w:spacing w:after="0"/>
              <w:rPr>
                <w:sz w:val="20"/>
                <w:szCs w:val="20"/>
                <w:color w:val="auto"/>
              </w:rPr>
            </w:pPr>
            <w:r>
              <w:rPr>
                <w:rFonts w:ascii="Courier New" w:cs="Courier New" w:eastAsia="Courier New" w:hAnsi="Courier New"/>
                <w:sz w:val="17"/>
                <w:szCs w:val="17"/>
                <w:color w:val="auto"/>
              </w:rPr>
              <w:t>AUGUST 26, 1995</w:t>
            </w:r>
          </w:p>
        </w:tc>
        <w:tc>
          <w:tcPr>
            <w:tcW w:w="328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AUGUST 26, 1995(1)</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EXERCISABLE</w:t>
            </w:r>
          </w:p>
        </w:tc>
        <w:tc>
          <w:tcPr>
            <w:tcW w:w="18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UNEXERCISABLE</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EXERCISABLE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4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Fred G. Dohrmann</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66,333</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16,667</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$213,750</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John K. Hanson</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Bruce D. Hertzke</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39,333</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6,667</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124,375</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Edwin F. Barker</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54,333</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6,667</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152,813</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Raymond M. Beebe</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54,333</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6,667</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152,813</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Jerome V. Clouse</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54,333</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6,667</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152,813</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James P. Jaskoviak</w:t>
            </w:r>
          </w:p>
        </w:tc>
        <w:tc>
          <w:tcPr>
            <w:tcW w:w="166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1,000</w:t>
            </w:r>
          </w:p>
        </w:tc>
        <w:tc>
          <w:tcPr>
            <w:tcW w:w="18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2,688</w:t>
            </w:r>
          </w:p>
        </w:tc>
        <w:tc>
          <w:tcPr>
            <w:tcW w:w="16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5" w:lineRule="exact"/>
        <w:rPr>
          <w:sz w:val="20"/>
          <w:szCs w:val="20"/>
          <w:color w:val="auto"/>
        </w:rPr>
      </w:pPr>
    </w:p>
    <w:p>
      <w:pPr>
        <w:ind w:left="520" w:right="1899" w:hanging="513"/>
        <w:spacing w:after="0" w:line="250" w:lineRule="auto"/>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aggregate exercise price and $8.375 (the closing price of the Company's Common Stock on August 25, 1995 (August 26, 1995 being a non-business day)).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PLANS</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Company does not provide retirement benefits for its employees, including executive officers.</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REPORT OF THE HUMAN RESOURCES COMMITTEE ON EXECUTIVE COMPENSATION 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200"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200"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200" w:lineRule="exact"/>
        <w:rPr>
          <w:sz w:val="20"/>
          <w:szCs w:val="20"/>
          <w:color w:val="auto"/>
        </w:rPr>
      </w:pPr>
    </w:p>
    <w:p>
      <w:pPr>
        <w:ind w:left="1040" w:hanging="514"/>
        <w:spacing w:after="0"/>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Align the interests of management with those of shareholders;</w:t>
      </w:r>
    </w:p>
    <w:p>
      <w:pPr>
        <w:spacing w:after="0" w:line="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fair and competitive compensation;</w:t>
      </w:r>
    </w:p>
    <w:p>
      <w:pPr>
        <w:spacing w:after="0" w:line="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Integrate compensation with the Company's business plans;</w:t>
      </w:r>
    </w:p>
    <w:p>
      <w:pPr>
        <w:spacing w:after="0" w:line="7" w:lineRule="exact"/>
        <w:rPr>
          <w:rFonts w:ascii="Courier New" w:cs="Courier New" w:eastAsia="Courier New" w:hAnsi="Courier New"/>
          <w:sz w:val="17"/>
          <w:szCs w:val="17"/>
          <w:color w:val="auto"/>
        </w:rPr>
      </w:pPr>
    </w:p>
    <w:p>
      <w:pPr>
        <w:ind w:left="1040" w:hanging="514"/>
        <w:spacing w:after="0"/>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Reward both business and individual performance; and</w:t>
      </w:r>
    </w:p>
    <w:p>
      <w:pPr>
        <w:spacing w:after="0" w:line="7" w:lineRule="exact"/>
        <w:rPr>
          <w:rFonts w:ascii="Courier New" w:cs="Courier New" w:eastAsia="Courier New" w:hAnsi="Courier New"/>
          <w:sz w:val="17"/>
          <w:szCs w:val="17"/>
          <w:color w:val="auto"/>
        </w:rPr>
      </w:pPr>
    </w:p>
    <w:p>
      <w:pPr>
        <w:ind w:left="1040" w:right="2519" w:hanging="514"/>
        <w:spacing w:after="0" w:line="251" w:lineRule="auto"/>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 and retain key executives critical to the success of the Company.</w:t>
      </w:r>
    </w:p>
    <w:p>
      <w:pPr>
        <w:spacing w:after="0" w:line="19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The Company's executive compensation is primarily based on three components, each of which is intended to help achieve the overall compensation philosophy; these are base salary, quarterly incentive awards, and long-term incentives.</w:t>
      </w:r>
    </w:p>
    <w:p>
      <w:pPr>
        <w:spacing w:after="0" w:line="200"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Base salary levels for the Company's executive officers are set by the Committee and approved by the Board of Directors. In determining base salary levels and annual salary adjustments for executive officers, including the Chairman of the Board (Chairman) and the Chief Executive Officer (CEO), the Committee considers market compensation levels in its peer group in the recreation vehicle industry as well as individual performance and</w:t>
      </w:r>
    </w:p>
    <w:p>
      <w:pPr>
        <w:sectPr>
          <w:pgSz w:w="11900" w:h="16838" w:orient="portrait"/>
          <w:cols w:equalWidth="0" w:num="1">
            <w:col w:w="10219"/>
          </w:cols>
          <w:pgMar w:left="240" w:top="142" w:right="1440" w:bottom="0" w:gutter="0" w:footer="0" w:header="0"/>
        </w:sectPr>
      </w:pPr>
    </w:p>
    <w:bookmarkStart w:id="6" w:name="page7"/>
    <w:bookmarkEnd w:id="6"/>
    <w:p>
      <w:pPr>
        <w:ind w:right="2219"/>
        <w:spacing w:after="0" w:line="249" w:lineRule="auto"/>
        <w:rPr>
          <w:sz w:val="20"/>
          <w:szCs w:val="20"/>
          <w:color w:val="auto"/>
        </w:rPr>
      </w:pPr>
      <w:r>
        <w:rPr>
          <w:rFonts w:ascii="Courier New" w:cs="Courier New" w:eastAsia="Courier New" w:hAnsi="Courier New"/>
          <w:sz w:val="17"/>
          <w:szCs w:val="17"/>
          <w:color w:val="auto"/>
        </w:rPr>
        <w:t>contributions. John K. Hanson is the Chairman and during fiscal 1994, Fred G. Dohrmann was named CEO in recognition of his instrumental role in implementing quality and cost control programs that are now driving the profitability of the Company.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base salaries of the Chairman and the CEO were $256,730 and $206,730, respectively, in fiscal 1995 and $250,000 and $200,000, respectively, in fiscal 1994. The CEO participates in the quarterly incentive award program for officers and other key management personnel described below. The Chairman does not participate in the quarterly incentive award program. The Committee has not found it practicable to, and has not attempted to, assign relative weights to the specific factors considered in determining the Chairman's and the CEO's compensation.</w:t>
      </w:r>
    </w:p>
    <w:p>
      <w:pPr>
        <w:spacing w:after="0" w:line="200"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The Company's officers (including the CEO, but excluding the Chairman) and other key management personnel are eligible for quarterly incentive awards. These awards are based upon the Company's attainment of a predetermined profit goal for each fiscal quarter. The profit goals are recommended by management and approved by the Board of Directors each year at the beginning of the fiscal year. The Committee believes that this program provides an excellent link between the value created for shareholders and the incentives paid to the participants. Incentive award levels are established for each class of participant and are correlated to the profit goal. The profit goal, for purposes of this plan, is based upon certain specified operations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achieved for each quarter in relation to the profit goal that was set. If the operating profit achieved is less than 80 percent of the goal set, no bonus is paid and the maximum bonus paid is paid at 120 percent of the profit goal. The maximum bonus payable under this plan during fiscal 1995 was 52-1/2 percent and during fiscal 1994, it was 70 percent of an officer's base salary.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Aggregate incentive awards under the plan in fiscal 1995 were 25.1 percent of base salary for the officers participating in the program. The CEO received $53,409 and $100,000 in fiscal 1995 and 1994, respectively, pursuant to this program. In addition, for fiscal 1994, the CEO was awarded a discretionary bonus of $30,000 based on the Committee's positive assessment of his performance and contributions as CEO. The Chairman does not participate in such program, but received discretionary bonuses of $66,534 and $125,000 in fiscal 1995 and fiscal 1994, respectively.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during the first year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There were no stock options awarded during fiscal 1995. During fiscal 1994, the Committee awarded the CEO stock options for 25,000 shares of the Company's Common Stock. The Chairman does not participate in the stock option program.</w:t>
      </w:r>
    </w:p>
    <w:p>
      <w:pPr>
        <w:spacing w:after="0" w:line="200"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Since all options are granted at the 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200"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No member of Human Resources Committee is a current or former officer or employee of the Company or any of its subsidiaries.</w:t>
      </w:r>
    </w:p>
    <w:p>
      <w:pPr>
        <w:spacing w:after="0" w:line="197" w:lineRule="exact"/>
        <w:rPr>
          <w:sz w:val="20"/>
          <w:szCs w:val="20"/>
          <w:color w:val="auto"/>
        </w:rPr>
      </w:pPr>
    </w:p>
    <w:p>
      <w:pPr>
        <w:ind w:left="1040"/>
        <w:spacing w:after="0"/>
        <w:tabs>
          <w:tab w:leader="none" w:pos="3000" w:val="left"/>
          <w:tab w:leader="none" w:pos="5500" w:val="left"/>
        </w:tabs>
        <w:rPr>
          <w:sz w:val="20"/>
          <w:szCs w:val="20"/>
          <w:color w:val="auto"/>
        </w:rPr>
      </w:pPr>
      <w:r>
        <w:rPr>
          <w:rFonts w:ascii="Courier New" w:cs="Courier New" w:eastAsia="Courier New" w:hAnsi="Courier New"/>
          <w:sz w:val="17"/>
          <w:szCs w:val="17"/>
          <w:color w:val="auto"/>
        </w:rPr>
        <w:t>Keith D. Elwick</w:t>
      </w:r>
      <w:r>
        <w:rPr>
          <w:sz w:val="20"/>
          <w:szCs w:val="20"/>
          <w:color w:val="auto"/>
        </w:rPr>
        <w:tab/>
      </w:r>
      <w:r>
        <w:rPr>
          <w:rFonts w:ascii="Courier New" w:cs="Courier New" w:eastAsia="Courier New" w:hAnsi="Courier New"/>
          <w:sz w:val="17"/>
          <w:szCs w:val="17"/>
          <w:color w:val="auto"/>
        </w:rPr>
        <w:t>Fredrick M. Zimmerman</w:t>
      </w:r>
      <w:r>
        <w:rPr>
          <w:sz w:val="20"/>
          <w:szCs w:val="20"/>
          <w:color w:val="auto"/>
        </w:rPr>
        <w:tab/>
      </w:r>
      <w:r>
        <w:rPr>
          <w:rFonts w:ascii="Courier New" w:cs="Courier New" w:eastAsia="Courier New" w:hAnsi="Courier New"/>
          <w:sz w:val="17"/>
          <w:szCs w:val="17"/>
          <w:color w:val="auto"/>
        </w:rPr>
        <w:t>Donald W. Olson</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Members of the Human Resources Committee</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of the Board of Directors</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PERFORMANCE GRAPH</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following graph compares the five-year cumulative total shareholder return (including reinvestment of dividends) of the company with the cumulative total return on the Standard &amp; Poor's 500 Index and a peer group1 of companies over the period indicated. It is assumed in the graph that $100 was invested in the Company's Common Stock, in the stock of the companies in the Standard &amp; Poor's 500 Index and in the stocks of the peer group companies</w:t>
      </w:r>
    </w:p>
    <w:p>
      <w:pPr>
        <w:sectPr>
          <w:pgSz w:w="11900" w:h="16838" w:orient="portrait"/>
          <w:cols w:equalWidth="0" w:num="1">
            <w:col w:w="10219"/>
          </w:cols>
          <w:pgMar w:left="240" w:top="142" w:right="1440" w:bottom="0" w:gutter="0" w:footer="0" w:header="0"/>
        </w:sectPr>
      </w:pPr>
    </w:p>
    <w:bookmarkStart w:id="7" w:name="page8"/>
    <w:bookmarkEnd w:id="7"/>
    <w:p>
      <w:pPr>
        <w:ind w:right="2219"/>
        <w:spacing w:after="0" w:line="249" w:lineRule="auto"/>
        <w:rPr>
          <w:sz w:val="20"/>
          <w:szCs w:val="20"/>
          <w:color w:val="auto"/>
        </w:rPr>
      </w:pPr>
      <w:r>
        <w:rPr>
          <w:rFonts w:ascii="Courier New" w:cs="Courier New" w:eastAsia="Courier New" w:hAnsi="Courier New"/>
          <w:sz w:val="17"/>
          <w:szCs w:val="17"/>
          <w:color w:val="auto"/>
        </w:rPr>
        <w:t>on August 24, 1990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2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[Line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8/24/90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8/30/91</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8/28/92</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8/27/93</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8/26/94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8/25/95</w:t>
            </w:r>
          </w:p>
        </w:tc>
      </w:tr>
      <w:tr>
        <w:trPr>
          <w:trHeight w:val="4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Winnebago Industries Index</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$123.10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$161.50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$269.20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$315.40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$266.00</w:t>
            </w: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Market Index</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165.10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172.30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266.40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302.10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252.50</w:t>
            </w:r>
          </w:p>
        </w:tc>
      </w:tr>
      <w:tr>
        <w:trPr>
          <w:trHeight w:val="200"/>
        </w:trPr>
        <w:tc>
          <w:tcPr>
            <w:tcW w:w="2960" w:type="dxa"/>
            <w:vAlign w:val="bottom"/>
          </w:tcPr>
          <w:p>
            <w:pPr>
              <w:spacing w:after="0"/>
              <w:rPr>
                <w:sz w:val="20"/>
                <w:szCs w:val="20"/>
                <w:color w:val="auto"/>
              </w:rPr>
            </w:pPr>
            <w:r>
              <w:rPr>
                <w:rFonts w:ascii="Courier New" w:cs="Courier New" w:eastAsia="Courier New" w:hAnsi="Courier New"/>
                <w:sz w:val="17"/>
                <w:szCs w:val="17"/>
                <w:color w:val="auto"/>
              </w:rPr>
              <w:t>Peer Index(1)</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131.80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142.20</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162.30</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171.70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208.80</w:t>
            </w:r>
          </w:p>
        </w:tc>
      </w:tr>
    </w:tbl>
    <w:p>
      <w:pPr>
        <w:spacing w:after="0" w:line="200" w:lineRule="exact"/>
        <w:rPr>
          <w:sz w:val="20"/>
          <w:szCs w:val="20"/>
          <w:color w:val="auto"/>
        </w:rPr>
      </w:pPr>
    </w:p>
    <w:p>
      <w:pPr>
        <w:spacing w:after="0" w:line="205" w:lineRule="exact"/>
        <w:rPr>
          <w:sz w:val="20"/>
          <w:szCs w:val="20"/>
          <w:color w:val="auto"/>
        </w:rPr>
      </w:pPr>
    </w:p>
    <w:p>
      <w:pPr>
        <w:ind w:left="520" w:right="1999" w:hanging="513"/>
        <w:spacing w:after="0" w:line="249" w:lineRule="auto"/>
        <w:tabs>
          <w:tab w:leader="none" w:pos="5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companies are Coachmen Industries, Inc., Fleetwood Enterprises, Thor Industries, Inc. and Winnebago Industries, Inc. The Company selected Coachmen Industries, Inc., Fleetwood Enterprises and Thor Industries, Inc. on the basis of the similarity of their business to that of the Company.</w:t>
      </w:r>
    </w:p>
    <w:p>
      <w:pPr>
        <w:spacing w:after="0" w:line="20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CERTAIN TRANSACTIONS WITH MANAGEMENT</w:t>
      </w:r>
    </w:p>
    <w:p>
      <w:pPr>
        <w:spacing w:after="0" w:line="20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The Company maintains normal banking relations on customary terms with Manufacturers Bank &amp; Trust Company, Forest City and Crystal Lake, Iowa. Mr. Hanson is an officer and director of the bank and owns approximately 99 percent of its outstanding stock. Luise V. Hanson is also a director of the bank.</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currently owns 80 percent and John K. and Luise V. Hanson (in the aggregate) currently own 20 percent of the outstanding common stock of Cycle-Sat, Inc. ("Cycle-Sat"), an Iowa corporation, engaged in the distribution of television and radio commercials using satellite, fiber-optic, and digital technologies.</w:t>
      </w:r>
    </w:p>
    <w:p>
      <w:pPr>
        <w:spacing w:after="0" w:line="200"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At August 26, 1995, the Company was leasing certain facilities, capital equipment and other items which were acquired by the Company at an approximate aggregate cost of $1,014,000 to Cycle-Sat under leases with various expiration dates. Aggregate rentals received by the Company on such leases in fiscal 1995 were $111,682. The Company has also guaranteed Cycle-Sat's obligations under certain leases which expire on various dates between 1996 and 2000 and under which remaining lease payments aggregate approximately $2,726,000. The Company has also guaranteed Cycle-Sat's obligations under a working capital line of credit agreement. At August 26, 1995 $4,000,000 was outstanding under such agreement.</w:t>
      </w:r>
    </w:p>
    <w:p>
      <w:pPr>
        <w:spacing w:after="0" w:line="2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SHAREHOLDER PROPOSALS</w:t>
      </w:r>
    </w:p>
    <w:p>
      <w:pPr>
        <w:spacing w:after="0" w:line="207"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Proposals of shareholders to be included in the Company's Proxy Statement for the December 1996 Annual Meeting of Shareholders must be received by the Company at its executive offices no later than July 17, 1996.</w:t>
      </w:r>
    </w:p>
    <w:p>
      <w:pPr>
        <w:spacing w:after="0" w:line="19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GENERAL</w:t>
      </w:r>
    </w:p>
    <w:p>
      <w:pPr>
        <w:spacing w:after="0" w:line="207" w:lineRule="exact"/>
        <w:rPr>
          <w:sz w:val="20"/>
          <w:szCs w:val="20"/>
          <w:color w:val="auto"/>
        </w:rPr>
      </w:pPr>
    </w:p>
    <w:p>
      <w:pPr>
        <w:ind w:right="2319"/>
        <w:spacing w:after="0" w:line="248" w:lineRule="auto"/>
        <w:rPr>
          <w:sz w:val="20"/>
          <w:szCs w:val="20"/>
          <w:color w:val="auto"/>
        </w:rPr>
      </w:pPr>
      <w:r>
        <w:rPr>
          <w:rFonts w:ascii="Courier New" w:cs="Courier New" w:eastAsia="Courier New" w:hAnsi="Courier New"/>
          <w:sz w:val="17"/>
          <w:szCs w:val="17"/>
          <w:color w:val="auto"/>
        </w:rPr>
        <w:t>Deloitte &amp; Touche LLP has been selected as the Company's accountants for the current fiscal year upon the recommendation of the Audit Committee. Deloitte</w:t>
      </w:r>
    </w:p>
    <w:p>
      <w:pPr>
        <w:spacing w:after="0" w:line="2" w:lineRule="exact"/>
        <w:rPr>
          <w:sz w:val="20"/>
          <w:szCs w:val="20"/>
          <w:color w:val="auto"/>
        </w:rPr>
      </w:pPr>
    </w:p>
    <w:p>
      <w:pPr>
        <w:ind w:right="2219" w:firstLine="7"/>
        <w:spacing w:after="0" w:line="249" w:lineRule="auto"/>
        <w:tabs>
          <w:tab w:leader="none" w:pos="20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Touche LLP have been the Company's accountants for ten years. Representatives of that firm are expected to be present at the Annual Meeting with the opportunity to make a statement if they desire to do so and to be available to respond to appropriate questions.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Section 16(a) of the Securities Exchange Act of 1934 requires the Company's officers and directors and persons who own more than ten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1995, all the Reporting Persons complied with all applicable filing requirements with the exception of the inadvertent late filing by Mr. Paul D. Hanson, Vice President-Strategic Planning, of one Form 4 reporting the single sale of Common Stock and the inadvertent late filing by Mr. Frederick M. Zimmerman, a director of the Company, of one Form 4 reporting the single purchase of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cost of this proxy solicitation will be borne by the Company.</w:t>
      </w:r>
    </w:p>
    <w:p>
      <w:pPr>
        <w:sectPr>
          <w:pgSz w:w="11900" w:h="16838" w:orient="portrait"/>
          <w:cols w:equalWidth="0" w:num="1">
            <w:col w:w="10219"/>
          </w:cols>
          <w:pgMar w:left="240" w:top="142" w:right="1440" w:bottom="0" w:gutter="0" w:footer="0" w:header="0"/>
        </w:sectPr>
      </w:pPr>
    </w:p>
    <w:bookmarkStart w:id="8" w:name="page9"/>
    <w:bookmarkEnd w:id="8"/>
    <w:p>
      <w:pPr>
        <w:ind w:right="2419"/>
        <w:spacing w:after="0" w:line="249" w:lineRule="auto"/>
        <w:rPr>
          <w:sz w:val="20"/>
          <w:szCs w:val="20"/>
          <w:color w:val="auto"/>
        </w:rPr>
      </w:pPr>
      <w:r>
        <w:rPr>
          <w:rFonts w:ascii="Courier New" w:cs="Courier New" w:eastAsia="Courier New" w:hAnsi="Courier New"/>
          <w:sz w:val="17"/>
          <w:szCs w:val="17"/>
          <w:color w:val="auto"/>
        </w:rPr>
        <w:t>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 copy of the Company's Annual Report for the fiscal year ended August 26, 1995, which includes audited financial statements, has previously been mailed to you.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As of the date of the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20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 RAYMOND M. BEEBE</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RAYMOND M. BEEBE</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Secretary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13, 1995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p>
      <w:pPr>
        <w:jc w:val="center"/>
        <w:ind w:right="2099"/>
        <w:spacing w:after="0" w:line="250" w:lineRule="auto"/>
        <w:rPr>
          <w:sz w:val="20"/>
          <w:szCs w:val="20"/>
          <w:color w:val="auto"/>
        </w:rPr>
      </w:pPr>
      <w:r>
        <w:rPr>
          <w:rFonts w:ascii="Courier New" w:cs="Courier New" w:eastAsia="Courier New" w:hAnsi="Courier New"/>
          <w:sz w:val="17"/>
          <w:szCs w:val="17"/>
          <w:color w:val="auto"/>
        </w:rPr>
        <w:t>WINNEBAGO INDUSTRIES, INC. *  FOREST CITY, IOWA PROXY SOLICITED ON BEHALF OF THE BOARD OF DIRECTORS OF THE COMPANY FOR ANNUAL MEETING ON DECEMBER 13, 1995</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undersigned hereby appoints John K. Hanson and Gerald E. Boman,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13th day of December, 1995, at 7:30 p.m., Central Standard Time, and at any and all adjournments thereof: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DIRECTORS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JOHN K. HANSON, GERALD E. BOMAN, DAVID G. CROONQUIST, FRED G. DOHRMANN,</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KEITH D. ELWICK, DONALD W. OLSON, JOSEPH M. SHUSTER,</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FREDERICK M. ZIMMERMAN, AND FRANCIS L. ZROSTLIK.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FOR all nominees listed above</w:t>
      </w:r>
    </w:p>
    <w:p>
      <w:pPr>
        <w:spacing w:after="0" w:line="7"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WITHHOLD AUTHORITY to vote for all nominees listed above</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 all nominees listed above except</w:t>
      </w:r>
    </w:p>
    <w:p>
      <w:pPr>
        <w:spacing w:after="0" w:line="207" w:lineRule="exact"/>
        <w:rPr>
          <w:sz w:val="20"/>
          <w:szCs w:val="20"/>
          <w:color w:val="auto"/>
        </w:rPr>
      </w:pPr>
    </w:p>
    <w:p>
      <w:pPr>
        <w:ind w:left="520" w:right="2099" w:hanging="513"/>
        <w:spacing w:after="0" w:line="251" w:lineRule="auto"/>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SUCH OTHER MATTERS AS MAY PROPERLY COME BEFORE THE MEETING.</w:t>
      </w:r>
    </w:p>
    <w:p>
      <w:pPr>
        <w:spacing w:after="0" w:line="19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(continued, and to be signed and dated, on the other side)</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(continued from the other side)</w:t>
      </w:r>
    </w:p>
    <w:p>
      <w:pPr>
        <w:spacing w:after="0" w:line="207"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GIVEN, THIS PROXY WILL BE VOTED FOR THE ELECTION OF THE NOMINEES LISTED IN ITEM 1, AND IN THE DISCRETION OF THE PROXY HOLDERS ON ALL OTHER MATTERS.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Please sign exactly as name appears below. When shares are held by joint tenants, both should sign. When signing as administrator, attorney, executor, guardian or trustee, please give full title as such. If a corporation, authorized officer please sign full corporate name and indicate office held.</w:t>
      </w:r>
    </w:p>
    <w:p>
      <w:pPr>
        <w:spacing w:after="0" w:line="20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Dated ______________________, 1995</w:t>
      </w:r>
    </w:p>
    <w:p>
      <w:pPr>
        <w:spacing w:after="0" w:line="200" w:lineRule="exact"/>
        <w:rPr>
          <w:sz w:val="20"/>
          <w:szCs w:val="20"/>
          <w:color w:val="auto"/>
        </w:rPr>
      </w:pPr>
    </w:p>
    <w:p>
      <w:pPr>
        <w:spacing w:after="0" w:line="20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__________________________________</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Signature if held jointly or</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office or title held</w:t>
      </w:r>
    </w:p>
    <w:p>
      <w:pPr>
        <w:spacing w:after="0" w:line="207" w:lineRule="exact"/>
        <w:rPr>
          <w:sz w:val="20"/>
          <w:szCs w:val="20"/>
          <w:color w:val="auto"/>
        </w:rPr>
      </w:pPr>
    </w:p>
    <w:p>
      <w:pPr>
        <w:ind w:left="3020" w:right="2739" w:hanging="3012"/>
        <w:spacing w:after="0" w:line="251" w:lineRule="auto"/>
        <w:rPr>
          <w:sz w:val="20"/>
          <w:szCs w:val="20"/>
          <w:color w:val="auto"/>
        </w:rPr>
      </w:pPr>
      <w:r>
        <w:rPr>
          <w:rFonts w:ascii="Courier New" w:cs="Courier New" w:eastAsia="Courier New" w:hAnsi="Courier New"/>
          <w:sz w:val="17"/>
          <w:szCs w:val="17"/>
          <w:color w:val="auto"/>
        </w:rPr>
        <w:t>PLEASE DATE, SIGN, AND MAIL THIS PROXY CARD IN THE ENCLOSED ENVELOPE. NO POSTAGE IS REQUIRED.</w:t>
      </w:r>
    </w:p>
    <w:p>
      <w:pPr>
        <w:sectPr>
          <w:pgSz w:w="11900" w:h="16838" w:orient="portrait"/>
          <w:cols w:equalWidth="0" w:num="1">
            <w:col w:w="10219"/>
          </w:cols>
          <w:pgMar w:left="240" w:top="142" w:right="1440" w:bottom="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24"/>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4"/>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amp;"/>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2019-12-12T07:21:24Z</dcterms:created>
  <dcterms:modified xsi:type="dcterms:W3CDTF">2019-12-12T07:21:24Z</dcterms:modified>
</cp:coreProperties>
</file>