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Folkers Scott 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40" w:type="dxa"/>
            <w:vAlign w:val="bottom"/>
          </w:tcPr>
          <w:p>
            <w:pPr>
              <w:ind w:left="14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VP-General Counsel &amp; Secretary</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10/10/2014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w w:val="90"/>
              </w:rPr>
              <w:t>1,529</w:t>
            </w:r>
            <w:r>
              <w:rPr>
                <w:rFonts w:ascii="Times New Roman" w:cs="Times New Roman" w:eastAsia="Times New Roman" w:hAnsi="Times New Roman"/>
                <w:sz w:val="22"/>
                <w:szCs w:val="22"/>
                <w:color w:val="008000"/>
                <w:w w:val="9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12,971</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Scott C. Folkers, Secretary,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10/13/2014</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Winnebago Industries, Inc.</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2019-12-16T07:14:25Z</dcterms:created>
  <dcterms:modified xsi:type="dcterms:W3CDTF">2019-12-16T07:14:25Z</dcterms:modified>
</cp:coreProperties>
</file>