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229235</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351"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42545</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240"/>
        <w:spacing w:after="0"/>
        <w:rPr>
          <w:sz w:val="20"/>
          <w:szCs w:val="20"/>
          <w:color w:val="auto"/>
        </w:rPr>
      </w:pPr>
      <w:r>
        <w:rPr>
          <w:rFonts w:ascii="Arial" w:cs="Arial" w:eastAsia="Arial" w:hAnsi="Arial"/>
          <w:sz w:val="16"/>
          <w:szCs w:val="16"/>
          <w:color w:val="auto"/>
        </w:rPr>
        <w:t>(Mark One)</w:t>
      </w:r>
    </w:p>
    <w:p>
      <w:pPr>
        <w:spacing w:after="0" w:line="188" w:lineRule="exact"/>
        <w:rPr>
          <w:sz w:val="24"/>
          <w:szCs w:val="24"/>
          <w:color w:val="auto"/>
        </w:rPr>
      </w:pPr>
    </w:p>
    <w:p>
      <w:pPr>
        <w:ind w:left="680" w:hanging="44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May 28, 2016</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88" w:lineRule="exact"/>
        <w:rPr>
          <w:sz w:val="24"/>
          <w:szCs w:val="24"/>
          <w:color w:val="auto"/>
        </w:rPr>
      </w:pPr>
    </w:p>
    <w:p>
      <w:pPr>
        <w:ind w:left="3020" w:right="2420" w:hanging="2789"/>
        <w:spacing w:after="0" w:line="510" w:lineRule="auto"/>
        <w:tabs>
          <w:tab w:leader="none" w:pos="684"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Arial" w:cs="Arial" w:eastAsia="Arial" w:hAnsi="Arial"/>
          <w:sz w:val="16"/>
          <w:szCs w:val="16"/>
          <w:color w:val="auto"/>
        </w:rPr>
      </w:pPr>
    </w:p>
    <w:p>
      <w:pPr>
        <w:ind w:left="4380"/>
        <w:spacing w:after="0"/>
        <w:rPr>
          <w:rFonts w:ascii="Arial" w:cs="Arial" w:eastAsia="Arial" w:hAnsi="Arial"/>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254635</wp:posOffset>
            </wp:positionV>
            <wp:extent cx="312991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991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020" w:type="dxa"/>
        <w:tblCellMar>
          <w:top w:w="0" w:type="dxa"/>
          <w:left w:w="0" w:type="dxa"/>
          <w:bottom w:w="0" w:type="dxa"/>
          <w:right w:w="0" w:type="dxa"/>
        </w:tblCellMar>
      </w:tblPr>
      <w:tr>
        <w:trPr>
          <w:trHeight w:val="22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8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31750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91" w:lineRule="exact"/>
        <w:rPr>
          <w:sz w:val="24"/>
          <w:szCs w:val="24"/>
          <w:color w:val="auto"/>
        </w:rPr>
      </w:pPr>
    </w:p>
    <w:p>
      <w:pPr>
        <w:jc w:val="both"/>
        <w:ind w:right="120"/>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5"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55" w:lineRule="exact"/>
        <w:rPr>
          <w:sz w:val="24"/>
          <w:szCs w:val="24"/>
          <w:color w:val="auto"/>
        </w:rPr>
      </w:pPr>
    </w:p>
    <w:p>
      <w:pPr>
        <w:ind w:right="1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9"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Arial" w:cs="Arial" w:eastAsia="Arial" w:hAnsi="Arial"/>
          <w:sz w:val="18"/>
          <w:szCs w:val="18"/>
          <w:color w:val="auto"/>
        </w:rPr>
        <w:t>o</w:t>
      </w:r>
    </w:p>
    <w:p>
      <w:pPr>
        <w:spacing w:after="0" w:line="243" w:lineRule="exact"/>
        <w:rPr>
          <w:sz w:val="24"/>
          <w:szCs w:val="24"/>
          <w:color w:val="auto"/>
        </w:rPr>
      </w:pPr>
    </w:p>
    <w:p>
      <w:pPr>
        <w:ind w:right="2480"/>
        <w:spacing w:after="0" w:line="487"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The number of shares of common stock, par value $0.50 per share, outstanding June 21, 2016 was 26,893,756.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40" w:type="dxa"/>
            <w:vAlign w:val="bottom"/>
            <w:gridSpan w:val="8"/>
          </w:tcPr>
          <w:p>
            <w:pPr>
              <w:jc w:val="center"/>
              <w:ind w:right="180"/>
              <w:spacing w:after="0"/>
              <w:rPr>
                <w:sz w:val="20"/>
                <w:szCs w:val="20"/>
                <w:color w:val="auto"/>
              </w:rPr>
            </w:pPr>
            <w:r>
              <w:rPr>
                <w:rFonts w:ascii="Arial" w:cs="Arial" w:eastAsia="Arial" w:hAnsi="Arial"/>
                <w:sz w:val="22"/>
                <w:szCs w:val="22"/>
                <w:b w:val="1"/>
                <w:bCs w:val="1"/>
                <w:color w:val="auto"/>
                <w:w w:val="97"/>
              </w:rPr>
              <w:t>Winnebago Industries, Inc.</w:t>
            </w: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gridSpan w:val="8"/>
          </w:tcPr>
          <w:p>
            <w:pPr>
              <w:jc w:val="center"/>
              <w:ind w:right="180"/>
              <w:spacing w:after="0"/>
              <w:rPr>
                <w:sz w:val="20"/>
                <w:szCs w:val="20"/>
                <w:color w:val="auto"/>
              </w:rPr>
            </w:pPr>
            <w:r>
              <w:rPr>
                <w:rFonts w:ascii="Arial" w:cs="Arial" w:eastAsia="Arial" w:hAnsi="Arial"/>
                <w:sz w:val="22"/>
                <w:szCs w:val="22"/>
                <w:b w:val="1"/>
                <w:bCs w:val="1"/>
                <w:color w:val="auto"/>
                <w:w w:val="97"/>
              </w:rPr>
              <w:t>Table of Contents</w:t>
            </w:r>
          </w:p>
        </w:tc>
      </w:tr>
      <w:tr>
        <w:trPr>
          <w:trHeight w:val="530"/>
        </w:trPr>
        <w:tc>
          <w:tcPr>
            <w:tcW w:w="64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Glossary</w:t>
              </w:r>
            </w:hyperlink>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20"/>
        </w:trPr>
        <w:tc>
          <w:tcPr>
            <w:tcW w:w="520" w:type="dxa"/>
            <w:vAlign w:val="bottom"/>
          </w:tcPr>
          <w:p>
            <w:pPr>
              <w:spacing w:after="0"/>
              <w:rPr>
                <w:rFonts w:ascii="Arial" w:cs="Arial" w:eastAsia="Arial" w:hAnsi="Arial"/>
                <w:sz w:val="16"/>
                <w:szCs w:val="16"/>
                <w:b w:val="1"/>
                <w:bCs w:val="1"/>
                <w:color w:val="0000EE"/>
                <w:w w:val="95"/>
              </w:rPr>
            </w:pPr>
            <w:hyperlink w:anchor="page4">
              <w:r>
                <w:rPr>
                  <w:rFonts w:ascii="Arial" w:cs="Arial" w:eastAsia="Arial" w:hAnsi="Arial"/>
                  <w:sz w:val="16"/>
                  <w:szCs w:val="16"/>
                  <w:b w:val="1"/>
                  <w:bCs w:val="1"/>
                  <w:color w:val="0000EE"/>
                  <w:w w:val="95"/>
                </w:rPr>
                <w:t>PART I</w:t>
              </w:r>
            </w:hyperlink>
          </w:p>
        </w:tc>
        <w:tc>
          <w:tcPr>
            <w:tcW w:w="1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360" w:type="dxa"/>
            <w:vAlign w:val="bottom"/>
            <w:gridSpan w:val="28"/>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FINANCIAL INFORMATION</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6"/>
                <w:szCs w:val="16"/>
                <w:color w:val="auto"/>
              </w:rPr>
              <w:t>Item 1.</w:t>
            </w:r>
          </w:p>
        </w:tc>
        <w:tc>
          <w:tcPr>
            <w:tcW w:w="1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4280" w:type="dxa"/>
            <w:vAlign w:val="bottom"/>
            <w:tcBorders>
              <w:bottom w:val="single" w:sz="8" w:color="0000EE"/>
            </w:tcBorders>
            <w:gridSpan w:val="2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Financial Statements (Unaudited)</w:t>
              </w:r>
            </w:hyperlink>
          </w:p>
        </w:tc>
        <w:tc>
          <w:tcPr>
            <w:tcW w:w="2080" w:type="dxa"/>
            <w:vAlign w:val="bottom"/>
            <w:gridSpan w:val="3"/>
          </w:tcPr>
          <w:p>
            <w:pPr>
              <w:spacing w:after="0"/>
              <w:rPr>
                <w:sz w:val="19"/>
                <w:szCs w:val="19"/>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40" w:type="dxa"/>
            <w:vAlign w:val="bottom"/>
            <w:tcBorders>
              <w:bottom w:val="single" w:sz="8" w:color="0000EE"/>
            </w:tcBorders>
            <w:gridSpan w:val="2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and Comprehensive Income</w:t>
              </w:r>
            </w:hyperlink>
          </w:p>
        </w:tc>
        <w:tc>
          <w:tcPr>
            <w:tcW w:w="1480" w:type="dxa"/>
            <w:vAlign w:val="bottom"/>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7"/>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80" w:type="dxa"/>
            <w:vAlign w:val="bottom"/>
            <w:tcBorders>
              <w:bottom w:val="single" w:sz="8" w:color="0000EE"/>
            </w:tcBorders>
            <w:gridSpan w:val="16"/>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Cash Flows</w:t>
              </w:r>
            </w:hyperlink>
          </w:p>
        </w:tc>
        <w:tc>
          <w:tcPr>
            <w:tcW w:w="3240" w:type="dxa"/>
            <w:vAlign w:val="bottom"/>
            <w:gridSpan w:val="11"/>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20" w:type="dxa"/>
            <w:vAlign w:val="bottom"/>
            <w:gridSpan w:val="27"/>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Condensed Consolidated Financial Statements</w:t>
              </w:r>
            </w:hyperlink>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100" w:type="dxa"/>
            <w:vAlign w:val="bottom"/>
            <w:tcBorders>
              <w:top w:val="single" w:sz="8" w:color="0000EE"/>
              <w:bottom w:val="single" w:sz="8" w:color="0000EE"/>
            </w:tcBorders>
            <w:gridSpan w:val="14"/>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1: Basis of Presentation</w:t>
              </w:r>
            </w:hyperlink>
          </w:p>
        </w:tc>
        <w:tc>
          <w:tcPr>
            <w:tcW w:w="1700" w:type="dxa"/>
            <w:vAlign w:val="bottom"/>
            <w:tcBorders>
              <w:top w:val="single" w:sz="8" w:color="0000EE"/>
            </w:tcBorders>
            <w:gridSpan w:val="8"/>
          </w:tcPr>
          <w:p>
            <w:pPr>
              <w:spacing w:after="0"/>
              <w:rPr>
                <w:sz w:val="21"/>
                <w:szCs w:val="21"/>
                <w:color w:val="auto"/>
              </w:rPr>
            </w:pPr>
          </w:p>
        </w:tc>
        <w:tc>
          <w:tcPr>
            <w:tcW w:w="2100" w:type="dxa"/>
            <w:vAlign w:val="bottom"/>
            <w:gridSpan w:val="4"/>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6"/>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 2: Concentration Risk</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tcBorders>
              <w:bottom w:val="single" w:sz="8" w:color="0000EE"/>
            </w:tcBorders>
            <w:gridSpan w:val="20"/>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 3: Investments and Fair Value Measurements</w:t>
              </w:r>
            </w:hyperlink>
          </w:p>
        </w:tc>
        <w:tc>
          <w:tcPr>
            <w:tcW w:w="2260" w:type="dxa"/>
            <w:vAlign w:val="bottom"/>
            <w:gridSpan w:val="6"/>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0000EE"/>
            </w:tcBorders>
            <w:gridSpan w:val="7"/>
          </w:tcPr>
          <w:p>
            <w:pPr>
              <w:spacing w:after="0"/>
              <w:rPr>
                <w:rFonts w:ascii="Arial" w:cs="Arial" w:eastAsia="Arial" w:hAnsi="Arial"/>
                <w:sz w:val="16"/>
                <w:szCs w:val="16"/>
                <w:color w:val="0000EE"/>
                <w:w w:val="99"/>
              </w:rPr>
            </w:pPr>
            <w:hyperlink w:anchor="page9">
              <w:r>
                <w:rPr>
                  <w:rFonts w:ascii="Arial" w:cs="Arial" w:eastAsia="Arial" w:hAnsi="Arial"/>
                  <w:sz w:val="16"/>
                  <w:szCs w:val="16"/>
                  <w:color w:val="0000EE"/>
                  <w:w w:val="99"/>
                </w:rPr>
                <w:t>Note 4: Inventories</w:t>
              </w:r>
            </w:hyperlink>
          </w:p>
        </w:tc>
        <w:tc>
          <w:tcPr>
            <w:tcW w:w="4540" w:type="dxa"/>
            <w:vAlign w:val="bottom"/>
            <w:gridSpan w:val="19"/>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tcBorders>
              <w:bottom w:val="single" w:sz="8" w:color="0000EE"/>
            </w:tcBorders>
            <w:gridSpan w:val="16"/>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5: Property, Plant and Equipment</w:t>
              </w:r>
            </w:hyperlink>
          </w:p>
        </w:tc>
        <w:tc>
          <w:tcPr>
            <w:tcW w:w="3140" w:type="dxa"/>
            <w:vAlign w:val="bottom"/>
            <w:gridSpan w:val="10"/>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9">
              <w:r>
                <w:rPr>
                  <w:rFonts w:ascii="Arial" w:cs="Arial" w:eastAsia="Arial" w:hAnsi="Arial"/>
                  <w:sz w:val="16"/>
                  <w:szCs w:val="16"/>
                  <w:color w:val="0000EE"/>
                  <w:w w:val="99"/>
                </w:rPr>
                <w:t>Note 6: Warranty</w:t>
              </w:r>
            </w:hyperlink>
          </w:p>
        </w:tc>
        <w:tc>
          <w:tcPr>
            <w:tcW w:w="4680" w:type="dxa"/>
            <w:vAlign w:val="bottom"/>
            <w:gridSpan w:val="22"/>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0000EE"/>
            </w:tcBorders>
            <w:gridSpan w:val="17"/>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 7: Employee and Retiree Benefits</w:t>
              </w:r>
            </w:hyperlink>
          </w:p>
        </w:tc>
        <w:tc>
          <w:tcPr>
            <w:tcW w:w="3100" w:type="dxa"/>
            <w:vAlign w:val="bottom"/>
            <w:gridSpan w:val="9"/>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Borders>
              <w:bottom w:val="single" w:sz="8" w:color="0000EE"/>
            </w:tcBorders>
            <w:gridSpan w:val="13"/>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8: Shareholders' Equity</w:t>
              </w:r>
            </w:hyperlink>
          </w:p>
        </w:tc>
        <w:tc>
          <w:tcPr>
            <w:tcW w:w="3840" w:type="dxa"/>
            <w:vAlign w:val="bottom"/>
            <w:gridSpan w:val="13"/>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tcBorders>
              <w:bottom w:val="single" w:sz="8" w:color="0000EE"/>
            </w:tcBorders>
            <w:gridSpan w:val="19"/>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 9: Contingent Liabilities and Commitments</w:t>
              </w:r>
            </w:hyperlink>
          </w:p>
        </w:tc>
        <w:tc>
          <w:tcPr>
            <w:tcW w:w="2480" w:type="dxa"/>
            <w:vAlign w:val="bottom"/>
            <w:gridSpan w:val="7"/>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Borders>
              <w:bottom w:val="single" w:sz="8" w:color="0000EE"/>
            </w:tcBorders>
            <w:gridSpan w:val="9"/>
          </w:tcPr>
          <w:p>
            <w:pPr>
              <w:spacing w:after="0"/>
              <w:rPr>
                <w:rFonts w:ascii="Arial" w:cs="Arial" w:eastAsia="Arial" w:hAnsi="Arial"/>
                <w:sz w:val="16"/>
                <w:szCs w:val="16"/>
                <w:color w:val="0000EE"/>
                <w:w w:val="99"/>
              </w:rPr>
            </w:pPr>
            <w:hyperlink w:anchor="page12">
              <w:r>
                <w:rPr>
                  <w:rFonts w:ascii="Arial" w:cs="Arial" w:eastAsia="Arial" w:hAnsi="Arial"/>
                  <w:sz w:val="16"/>
                  <w:szCs w:val="16"/>
                  <w:color w:val="0000EE"/>
                  <w:w w:val="99"/>
                </w:rPr>
                <w:t>Note 10: Income Taxes</w:t>
              </w:r>
            </w:hyperlink>
          </w:p>
        </w:tc>
        <w:tc>
          <w:tcPr>
            <w:tcW w:w="4240" w:type="dxa"/>
            <w:vAlign w:val="bottom"/>
            <w:gridSpan w:val="17"/>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00" w:type="dxa"/>
            <w:vAlign w:val="bottom"/>
            <w:gridSpan w:val="26"/>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11: Earnings Per Share</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tcBorders>
              <w:bottom w:val="single" w:sz="8" w:color="0000EE"/>
            </w:tcBorders>
            <w:gridSpan w:val="18"/>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12: Comprehensive Income (Loss)</w:t>
              </w:r>
            </w:hyperlink>
          </w:p>
        </w:tc>
        <w:tc>
          <w:tcPr>
            <w:tcW w:w="3040" w:type="dxa"/>
            <w:vAlign w:val="bottom"/>
            <w:gridSpan w:val="8"/>
          </w:tcPr>
          <w:p>
            <w:pPr>
              <w:spacing w:after="0"/>
              <w:rPr>
                <w:sz w:val="21"/>
                <w:szCs w:val="21"/>
                <w:color w:val="auto"/>
              </w:rPr>
            </w:pPr>
          </w:p>
        </w:tc>
      </w:tr>
      <w:tr>
        <w:trPr>
          <w:trHeight w:val="250"/>
        </w:trPr>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Borders>
              <w:bottom w:val="single" w:sz="8" w:color="0000EE"/>
            </w:tcBorders>
            <w:gridSpan w:val="12"/>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13: Subsequent Event</w:t>
              </w:r>
            </w:hyperlink>
          </w:p>
        </w:tc>
        <w:tc>
          <w:tcPr>
            <w:tcW w:w="3920" w:type="dxa"/>
            <w:vAlign w:val="bottom"/>
            <w:gridSpan w:val="14"/>
          </w:tcPr>
          <w:p>
            <w:pPr>
              <w:spacing w:after="0"/>
              <w:rPr>
                <w:sz w:val="21"/>
                <w:szCs w:val="21"/>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21"/>
                <w:szCs w:val="21"/>
                <w:color w:val="auto"/>
              </w:rPr>
            </w:pPr>
          </w:p>
        </w:tc>
        <w:tc>
          <w:tcPr>
            <w:tcW w:w="6360" w:type="dxa"/>
            <w:vAlign w:val="bottom"/>
            <w:tcBorders>
              <w:bottom w:val="single" w:sz="8" w:color="0000EE"/>
            </w:tcBorders>
            <w:gridSpan w:val="28"/>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Management's Discussion and Analysis of Financial Condition and Results of Operations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3.</w:t>
            </w:r>
          </w:p>
        </w:tc>
        <w:tc>
          <w:tcPr>
            <w:tcW w:w="280" w:type="dxa"/>
            <w:vAlign w:val="bottom"/>
          </w:tcPr>
          <w:p>
            <w:pPr>
              <w:spacing w:after="0"/>
              <w:rPr>
                <w:sz w:val="19"/>
                <w:szCs w:val="19"/>
                <w:color w:val="auto"/>
              </w:rPr>
            </w:pPr>
          </w:p>
        </w:tc>
        <w:tc>
          <w:tcPr>
            <w:tcW w:w="4240" w:type="dxa"/>
            <w:vAlign w:val="bottom"/>
            <w:tcBorders>
              <w:bottom w:val="single" w:sz="8" w:color="0000EE"/>
            </w:tcBorders>
            <w:gridSpan w:val="23"/>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Quantitative and Qualitative Disclosures About Market Risk</w:t>
              </w:r>
            </w:hyperlink>
          </w:p>
        </w:tc>
        <w:tc>
          <w:tcPr>
            <w:tcW w:w="2120" w:type="dxa"/>
            <w:vAlign w:val="bottom"/>
            <w:gridSpan w:val="5"/>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4.</w:t>
            </w:r>
          </w:p>
        </w:tc>
        <w:tc>
          <w:tcPr>
            <w:tcW w:w="280" w:type="dxa"/>
            <w:vAlign w:val="bottom"/>
          </w:tcPr>
          <w:p>
            <w:pPr>
              <w:spacing w:after="0"/>
              <w:rPr>
                <w:sz w:val="19"/>
                <w:szCs w:val="19"/>
                <w:color w:val="auto"/>
              </w:rPr>
            </w:pPr>
          </w:p>
        </w:tc>
        <w:tc>
          <w:tcPr>
            <w:tcW w:w="6360" w:type="dxa"/>
            <w:vAlign w:val="bottom"/>
            <w:gridSpan w:val="28"/>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22">
              <w:r>
                <w:rPr>
                  <w:rFonts w:ascii="Arial" w:cs="Arial" w:eastAsia="Arial" w:hAnsi="Arial"/>
                  <w:sz w:val="16"/>
                  <w:szCs w:val="16"/>
                  <w:b w:val="1"/>
                  <w:bCs w:val="1"/>
                  <w:color w:val="0000EE"/>
                  <w:w w:val="94"/>
                </w:rPr>
                <w:t>PART II</w:t>
              </w:r>
            </w:hyperlink>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7"/>
          </w:tcPr>
          <w:p>
            <w:pPr>
              <w:spacing w:after="0"/>
              <w:rPr>
                <w:rFonts w:ascii="Arial" w:cs="Arial" w:eastAsia="Arial" w:hAnsi="Arial"/>
                <w:sz w:val="16"/>
                <w:szCs w:val="16"/>
                <w:b w:val="1"/>
                <w:bCs w:val="1"/>
                <w:color w:val="0000EE"/>
                <w:w w:val="99"/>
              </w:rPr>
            </w:pPr>
            <w:hyperlink w:anchor="page22">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4580" w:type="dxa"/>
            <w:vAlign w:val="bottom"/>
            <w:gridSpan w:val="20"/>
          </w:tcPr>
          <w:p>
            <w:pPr>
              <w:spacing w:after="0"/>
              <w:rPr>
                <w:sz w:val="24"/>
                <w:szCs w:val="24"/>
                <w:color w:val="auto"/>
              </w:rPr>
            </w:pPr>
          </w:p>
        </w:tc>
      </w:tr>
      <w:tr>
        <w:trPr>
          <w:trHeight w:val="250"/>
        </w:trPr>
        <w:tc>
          <w:tcPr>
            <w:tcW w:w="640" w:type="dxa"/>
            <w:vAlign w:val="bottom"/>
            <w:gridSpan w:val="3"/>
          </w:tcPr>
          <w:p>
            <w:pPr>
              <w:spacing w:after="0"/>
              <w:rPr>
                <w:sz w:val="20"/>
                <w:szCs w:val="20"/>
                <w:color w:val="auto"/>
              </w:rPr>
            </w:pPr>
            <w:r>
              <w:rPr>
                <w:rFonts w:ascii="Arial" w:cs="Arial" w:eastAsia="Arial" w:hAnsi="Arial"/>
                <w:sz w:val="16"/>
                <w:szCs w:val="16"/>
                <w:color w:val="auto"/>
              </w:rPr>
              <w:t>Item 1.</w:t>
            </w:r>
          </w:p>
        </w:tc>
        <w:tc>
          <w:tcPr>
            <w:tcW w:w="280" w:type="dxa"/>
            <w:vAlign w:val="bottom"/>
          </w:tcPr>
          <w:p>
            <w:pPr>
              <w:spacing w:after="0"/>
              <w:rPr>
                <w:sz w:val="21"/>
                <w:szCs w:val="21"/>
                <w:color w:val="auto"/>
              </w:rPr>
            </w:pPr>
          </w:p>
        </w:tc>
        <w:tc>
          <w:tcPr>
            <w:tcW w:w="1340" w:type="dxa"/>
            <w:vAlign w:val="bottom"/>
            <w:tcBorders>
              <w:bottom w:val="single" w:sz="8" w:color="0000EE"/>
            </w:tcBorders>
            <w:gridSpan w:val="5"/>
          </w:tcPr>
          <w:p>
            <w:pPr>
              <w:spacing w:after="0"/>
              <w:rPr>
                <w:rFonts w:ascii="Arial" w:cs="Arial" w:eastAsia="Arial" w:hAnsi="Arial"/>
                <w:sz w:val="16"/>
                <w:szCs w:val="16"/>
                <w:color w:val="0000EE"/>
                <w:w w:val="99"/>
              </w:rPr>
            </w:pPr>
            <w:hyperlink w:anchor="page22">
              <w:r>
                <w:rPr>
                  <w:rFonts w:ascii="Arial" w:cs="Arial" w:eastAsia="Arial" w:hAnsi="Arial"/>
                  <w:sz w:val="16"/>
                  <w:szCs w:val="16"/>
                  <w:color w:val="0000EE"/>
                  <w:w w:val="99"/>
                </w:rPr>
                <w:t>Legal Proceedings</w:t>
              </w:r>
            </w:hyperlink>
          </w:p>
        </w:tc>
        <w:tc>
          <w:tcPr>
            <w:tcW w:w="5020" w:type="dxa"/>
            <w:vAlign w:val="bottom"/>
            <w:gridSpan w:val="23"/>
          </w:tcPr>
          <w:p>
            <w:pPr>
              <w:spacing w:after="0"/>
              <w:rPr>
                <w:sz w:val="21"/>
                <w:szCs w:val="21"/>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1A</w:t>
            </w:r>
          </w:p>
        </w:tc>
        <w:tc>
          <w:tcPr>
            <w:tcW w:w="280" w:type="dxa"/>
            <w:vAlign w:val="bottom"/>
          </w:tcPr>
          <w:p>
            <w:pPr>
              <w:spacing w:after="0"/>
              <w:rPr>
                <w:sz w:val="19"/>
                <w:szCs w:val="19"/>
                <w:color w:val="auto"/>
              </w:rPr>
            </w:pPr>
          </w:p>
        </w:tc>
        <w:tc>
          <w:tcPr>
            <w:tcW w:w="900" w:type="dxa"/>
            <w:vAlign w:val="bottom"/>
            <w:tcBorders>
              <w:bottom w:val="single" w:sz="8" w:color="0000EE"/>
            </w:tcBorders>
            <w:gridSpan w:val="4"/>
          </w:tcPr>
          <w:p>
            <w:pPr>
              <w:spacing w:after="0"/>
              <w:rPr>
                <w:rFonts w:ascii="Arial" w:cs="Arial" w:eastAsia="Arial" w:hAnsi="Arial"/>
                <w:sz w:val="16"/>
                <w:szCs w:val="16"/>
                <w:color w:val="0000EE"/>
                <w:w w:val="98"/>
              </w:rPr>
            </w:pPr>
            <w:hyperlink w:anchor="page22">
              <w:r>
                <w:rPr>
                  <w:rFonts w:ascii="Arial" w:cs="Arial" w:eastAsia="Arial" w:hAnsi="Arial"/>
                  <w:sz w:val="16"/>
                  <w:szCs w:val="16"/>
                  <w:color w:val="0000EE"/>
                  <w:w w:val="98"/>
                </w:rPr>
                <w:t>Risk Factors</w:t>
              </w:r>
            </w:hyperlink>
          </w:p>
        </w:tc>
        <w:tc>
          <w:tcPr>
            <w:tcW w:w="5460" w:type="dxa"/>
            <w:vAlign w:val="bottom"/>
            <w:gridSpan w:val="24"/>
          </w:tcPr>
          <w:p>
            <w:pPr>
              <w:spacing w:after="0"/>
              <w:rPr>
                <w:sz w:val="19"/>
                <w:szCs w:val="19"/>
                <w:color w:val="auto"/>
              </w:rPr>
            </w:pPr>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2.</w:t>
            </w:r>
          </w:p>
        </w:tc>
        <w:tc>
          <w:tcPr>
            <w:tcW w:w="280" w:type="dxa"/>
            <w:vAlign w:val="bottom"/>
          </w:tcPr>
          <w:p>
            <w:pPr>
              <w:spacing w:after="0"/>
              <w:rPr>
                <w:sz w:val="19"/>
                <w:szCs w:val="19"/>
                <w:color w:val="auto"/>
              </w:rPr>
            </w:pPr>
          </w:p>
        </w:tc>
        <w:tc>
          <w:tcPr>
            <w:tcW w:w="6360" w:type="dxa"/>
            <w:vAlign w:val="bottom"/>
            <w:gridSpan w:val="28"/>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Unregistered Sales of Equity Securities and Use of Proceeds</w:t>
              </w:r>
            </w:hyperlink>
          </w:p>
        </w:tc>
      </w:tr>
      <w:tr>
        <w:trPr>
          <w:trHeight w:val="223"/>
        </w:trPr>
        <w:tc>
          <w:tcPr>
            <w:tcW w:w="640" w:type="dxa"/>
            <w:vAlign w:val="bottom"/>
            <w:gridSpan w:val="3"/>
          </w:tcPr>
          <w:p>
            <w:pPr>
              <w:spacing w:after="0"/>
              <w:rPr>
                <w:sz w:val="20"/>
                <w:szCs w:val="20"/>
                <w:color w:val="auto"/>
              </w:rPr>
            </w:pPr>
            <w:r>
              <w:rPr>
                <w:rFonts w:ascii="Arial" w:cs="Arial" w:eastAsia="Arial" w:hAnsi="Arial"/>
                <w:sz w:val="16"/>
                <w:szCs w:val="16"/>
                <w:color w:val="auto"/>
              </w:rPr>
              <w:t>Item 6.</w:t>
            </w:r>
          </w:p>
        </w:tc>
        <w:tc>
          <w:tcPr>
            <w:tcW w:w="280" w:type="dxa"/>
            <w:vAlign w:val="bottom"/>
          </w:tcPr>
          <w:p>
            <w:pPr>
              <w:spacing w:after="0"/>
              <w:rPr>
                <w:sz w:val="19"/>
                <w:szCs w:val="19"/>
                <w:color w:val="auto"/>
              </w:rPr>
            </w:pPr>
          </w:p>
        </w:tc>
        <w:tc>
          <w:tcPr>
            <w:tcW w:w="4360" w:type="dxa"/>
            <w:vAlign w:val="bottom"/>
            <w:tcBorders>
              <w:top w:val="single" w:sz="8" w:color="0000EE"/>
            </w:tcBorders>
            <w:gridSpan w:val="2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Exhibits</w:t>
              </w:r>
            </w:hyperlink>
          </w:p>
        </w:tc>
        <w:tc>
          <w:tcPr>
            <w:tcW w:w="2000" w:type="dxa"/>
            <w:vAlign w:val="bottom"/>
            <w:gridSpan w:val="2"/>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47" w:lineRule="exact"/>
        <w:rPr>
          <w:sz w:val="20"/>
          <w:szCs w:val="20"/>
          <w:color w:val="auto"/>
        </w:rPr>
      </w:pPr>
    </w:p>
    <w:p>
      <w:pPr>
        <w:spacing w:after="0"/>
        <w:rPr>
          <w:rFonts w:ascii="Arial" w:cs="Arial" w:eastAsia="Arial" w:hAnsi="Arial"/>
          <w:sz w:val="16"/>
          <w:szCs w:val="16"/>
          <w:b w:val="1"/>
          <w:bCs w:val="1"/>
          <w:u w:val="single" w:color="auto"/>
          <w:color w:val="0000EE"/>
        </w:rPr>
      </w:pPr>
      <w:hyperlink w:anchor="page24">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4</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6</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6</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8</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9</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9</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2">
        <w:r>
          <w:rPr>
            <w:rFonts w:ascii="Arial" w:cs="Arial" w:eastAsia="Arial" w:hAnsi="Arial"/>
            <w:sz w:val="16"/>
            <w:szCs w:val="16"/>
            <w:color w:val="0000EE"/>
          </w:rPr>
          <w:t>20</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2">
        <w:r>
          <w:rPr>
            <w:rFonts w:ascii="Arial" w:cs="Arial" w:eastAsia="Arial" w:hAnsi="Arial"/>
            <w:sz w:val="16"/>
            <w:szCs w:val="16"/>
            <w:color w:val="0000EE"/>
          </w:rPr>
          <w:t>20</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color w:val="0000EE"/>
        </w:rPr>
      </w:pPr>
      <w:hyperlink w:anchor="page22">
        <w:r>
          <w:rPr>
            <w:rFonts w:ascii="Arial" w:cs="Arial" w:eastAsia="Arial" w:hAnsi="Arial"/>
            <w:sz w:val="16"/>
            <w:szCs w:val="16"/>
            <w:color w:val="0000EE"/>
          </w:rPr>
          <w:t>20</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2">
        <w:r>
          <w:rPr>
            <w:rFonts w:ascii="Arial" w:cs="Arial" w:eastAsia="Arial" w:hAnsi="Arial"/>
            <w:sz w:val="16"/>
            <w:szCs w:val="16"/>
            <w:color w:val="0000EE"/>
          </w:rPr>
          <w:t>20</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2">
        <w:r>
          <w:rPr>
            <w:rFonts w:ascii="Arial" w:cs="Arial" w:eastAsia="Arial" w:hAnsi="Arial"/>
            <w:sz w:val="16"/>
            <w:szCs w:val="16"/>
            <w:color w:val="0000EE"/>
          </w:rPr>
          <w:t>20</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3">
        <w:r>
          <w:rPr>
            <w:rFonts w:ascii="Arial" w:cs="Arial" w:eastAsia="Arial" w:hAnsi="Arial"/>
            <w:sz w:val="16"/>
            <w:szCs w:val="16"/>
            <w:color w:val="0000EE"/>
          </w:rPr>
          <w:t>21</w:t>
        </w:r>
      </w:hyperlink>
    </w:p>
    <w:p>
      <w:pPr>
        <w:spacing w:after="0" w:line="356" w:lineRule="exact"/>
        <w:rPr>
          <w:sz w:val="20"/>
          <w:szCs w:val="20"/>
          <w:color w:val="auto"/>
        </w:rPr>
      </w:pPr>
    </w:p>
    <w:p>
      <w:pPr>
        <w:spacing w:after="0"/>
        <w:rPr>
          <w:rFonts w:ascii="Arial" w:cs="Arial" w:eastAsia="Arial" w:hAnsi="Arial"/>
          <w:sz w:val="16"/>
          <w:szCs w:val="16"/>
          <w:color w:val="0000EE"/>
        </w:rPr>
      </w:pPr>
      <w:hyperlink w:anchor="page24">
        <w:r>
          <w:rPr>
            <w:rFonts w:ascii="Arial" w:cs="Arial" w:eastAsia="Arial" w:hAnsi="Arial"/>
            <w:sz w:val="16"/>
            <w:szCs w:val="16"/>
            <w:color w:val="0000EE"/>
          </w:rPr>
          <w:t>22</w:t>
        </w:r>
      </w:hyperlink>
    </w:p>
    <w:p>
      <w:pPr>
        <w:sectPr>
          <w:pgSz w:w="11900" w:h="16838" w:orient="portrait"/>
          <w:cols w:equalWidth="0" w:num="2">
            <w:col w:w="10460" w:space="720"/>
            <w:col w:w="18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18"/>
        </w:trPr>
        <w:tc>
          <w:tcPr>
            <w:tcW w:w="2360" w:type="dxa"/>
            <w:vAlign w:val="bottom"/>
          </w:tcPr>
          <w:p>
            <w:pPr>
              <w:ind w:left="40"/>
              <w:spacing w:after="0"/>
              <w:rPr>
                <w:sz w:val="20"/>
                <w:szCs w:val="20"/>
                <w:color w:val="auto"/>
              </w:rPr>
            </w:pPr>
            <w:r>
              <w:rPr>
                <w:rFonts w:ascii="Arial" w:cs="Arial" w:eastAsia="Arial" w:hAnsi="Arial"/>
                <w:sz w:val="16"/>
                <w:szCs w:val="16"/>
                <w:color w:val="auto"/>
              </w:rPr>
              <w:t>Amended Credit Agreement</w:t>
            </w:r>
          </w:p>
        </w:tc>
        <w:tc>
          <w:tcPr>
            <w:tcW w:w="9060" w:type="dxa"/>
            <w:vAlign w:val="bottom"/>
          </w:tcPr>
          <w:p>
            <w:pPr>
              <w:ind w:left="30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 LLC,</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9060" w:type="dxa"/>
            <w:vAlign w:val="bottom"/>
          </w:tcPr>
          <w:p>
            <w:pPr>
              <w:ind w:left="300"/>
              <w:spacing w:after="0"/>
              <w:rPr>
                <w:sz w:val="20"/>
                <w:szCs w:val="20"/>
                <w:color w:val="auto"/>
              </w:rPr>
            </w:pPr>
            <w:r>
              <w:rPr>
                <w:rFonts w:ascii="Arial" w:cs="Arial" w:eastAsia="Arial" w:hAnsi="Arial"/>
                <w:sz w:val="16"/>
                <w:szCs w:val="16"/>
                <w:color w:val="auto"/>
              </w:rPr>
              <w:t>as Borrowers, and Wells Fargo Capital Finance, as Agent</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ASC</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ASP</w:t>
            </w:r>
          </w:p>
        </w:tc>
        <w:tc>
          <w:tcPr>
            <w:tcW w:w="9060" w:type="dxa"/>
            <w:vAlign w:val="bottom"/>
          </w:tcPr>
          <w:p>
            <w:pPr>
              <w:ind w:left="30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ASU</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EPS</w:t>
            </w:r>
          </w:p>
        </w:tc>
        <w:tc>
          <w:tcPr>
            <w:tcW w:w="9060" w:type="dxa"/>
            <w:vAlign w:val="bottom"/>
          </w:tcPr>
          <w:p>
            <w:pPr>
              <w:ind w:left="30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ERP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Enterprise Resource Planning</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FASB</w:t>
            </w:r>
          </w:p>
        </w:tc>
        <w:tc>
          <w:tcPr>
            <w:tcW w:w="9060" w:type="dxa"/>
            <w:vAlign w:val="bottom"/>
          </w:tcPr>
          <w:p>
            <w:pPr>
              <w:ind w:left="30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FIFO</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GAAP</w:t>
            </w:r>
          </w:p>
        </w:tc>
        <w:tc>
          <w:tcPr>
            <w:tcW w:w="9060" w:type="dxa"/>
            <w:vAlign w:val="bottom"/>
          </w:tcPr>
          <w:p>
            <w:pPr>
              <w:ind w:left="30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IT</w:t>
            </w:r>
          </w:p>
        </w:tc>
        <w:tc>
          <w:tcPr>
            <w:tcW w:w="9060" w:type="dxa"/>
            <w:vAlign w:val="bottom"/>
          </w:tcPr>
          <w:p>
            <w:pPr>
              <w:ind w:left="300"/>
              <w:spacing w:after="0"/>
              <w:rPr>
                <w:sz w:val="20"/>
                <w:szCs w:val="20"/>
                <w:color w:val="auto"/>
              </w:rPr>
            </w:pPr>
            <w:r>
              <w:rPr>
                <w:rFonts w:ascii="Arial" w:cs="Arial" w:eastAsia="Arial" w:hAnsi="Arial"/>
                <w:sz w:val="16"/>
                <w:szCs w:val="16"/>
                <w:color w:val="auto"/>
              </w:rPr>
              <w:t>Information Technology</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Knott</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Knott Investment Pty Ltd, et. al.</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LIFO</w:t>
            </w:r>
          </w:p>
        </w:tc>
        <w:tc>
          <w:tcPr>
            <w:tcW w:w="9060" w:type="dxa"/>
            <w:vAlign w:val="bottom"/>
          </w:tcPr>
          <w:p>
            <w:pPr>
              <w:ind w:left="30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NMF</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NYSE</w:t>
            </w:r>
          </w:p>
        </w:tc>
        <w:tc>
          <w:tcPr>
            <w:tcW w:w="9060" w:type="dxa"/>
            <w:vAlign w:val="bottom"/>
          </w:tcPr>
          <w:p>
            <w:pPr>
              <w:ind w:left="30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OCI</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RV</w:t>
            </w:r>
          </w:p>
        </w:tc>
        <w:tc>
          <w:tcPr>
            <w:tcW w:w="9060" w:type="dxa"/>
            <w:vAlign w:val="bottom"/>
          </w:tcPr>
          <w:p>
            <w:pPr>
              <w:ind w:left="30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RVIA</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vMerge w:val="restart"/>
          </w:tcPr>
          <w:p>
            <w:pPr>
              <w:ind w:left="40"/>
              <w:spacing w:after="0"/>
              <w:rPr>
                <w:sz w:val="20"/>
                <w:szCs w:val="20"/>
                <w:color w:val="auto"/>
              </w:rPr>
            </w:pPr>
            <w:r>
              <w:rPr>
                <w:rFonts w:ascii="Arial" w:cs="Arial" w:eastAsia="Arial" w:hAnsi="Arial"/>
                <w:sz w:val="16"/>
                <w:szCs w:val="16"/>
                <w:color w:val="auto"/>
              </w:rPr>
              <w:t>SEC</w:t>
            </w:r>
          </w:p>
        </w:tc>
        <w:tc>
          <w:tcPr>
            <w:tcW w:w="9060" w:type="dxa"/>
            <w:vAlign w:val="bottom"/>
          </w:tcPr>
          <w:p>
            <w:pPr>
              <w:ind w:left="30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9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74"/>
        </w:trPr>
        <w:tc>
          <w:tcPr>
            <w:tcW w:w="2360" w:type="dxa"/>
            <w:vAlign w:val="bottom"/>
            <w:vMerge w:val="continue"/>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9060" w:type="dxa"/>
            <w:vAlign w:val="bottom"/>
          </w:tcPr>
          <w:p>
            <w:pPr>
              <w:ind w:left="30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Winnebago of Indiana, LLC, a wholly-owned subsidiary of Winnebago Industries, Inc.</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US</w:t>
            </w:r>
          </w:p>
        </w:tc>
        <w:tc>
          <w:tcPr>
            <w:tcW w:w="9060" w:type="dxa"/>
            <w:vAlign w:val="bottom"/>
          </w:tcPr>
          <w:p>
            <w:pPr>
              <w:ind w:left="30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9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2360" w:type="dxa"/>
            <w:vAlign w:val="bottom"/>
            <w:shd w:val="clear" w:color="auto" w:fill="CCEEFF"/>
          </w:tcPr>
          <w:p>
            <w:pPr>
              <w:spacing w:after="0"/>
              <w:rPr>
                <w:sz w:val="6"/>
                <w:szCs w:val="6"/>
                <w:color w:val="auto"/>
              </w:rPr>
            </w:pPr>
          </w:p>
        </w:tc>
        <w:tc>
          <w:tcPr>
            <w:tcW w:w="9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40"/>
              <w:spacing w:after="0"/>
              <w:rPr>
                <w:sz w:val="20"/>
                <w:szCs w:val="20"/>
                <w:color w:val="auto"/>
              </w:rPr>
            </w:pPr>
            <w:r>
              <w:rPr>
                <w:rFonts w:ascii="Arial" w:cs="Arial" w:eastAsia="Arial" w:hAnsi="Arial"/>
                <w:sz w:val="16"/>
                <w:szCs w:val="16"/>
                <w:color w:val="auto"/>
              </w:rPr>
              <w:t>YTD</w:t>
            </w:r>
          </w:p>
        </w:tc>
        <w:tc>
          <w:tcPr>
            <w:tcW w:w="9060" w:type="dxa"/>
            <w:vAlign w:val="bottom"/>
          </w:tcPr>
          <w:p>
            <w:pPr>
              <w:ind w:left="300"/>
              <w:spacing w:after="0"/>
              <w:rPr>
                <w:sz w:val="20"/>
                <w:szCs w:val="20"/>
                <w:color w:val="auto"/>
              </w:rPr>
            </w:pPr>
            <w:r>
              <w:rPr>
                <w:rFonts w:ascii="Arial" w:cs="Arial" w:eastAsia="Arial" w:hAnsi="Arial"/>
                <w:sz w:val="16"/>
                <w:szCs w:val="16"/>
                <w:color w:val="auto"/>
              </w:rPr>
              <w:t>Year to Date</w:t>
            </w:r>
          </w:p>
        </w:tc>
        <w:tc>
          <w:tcPr>
            <w:tcW w:w="0" w:type="dxa"/>
            <w:vAlign w:val="bottom"/>
          </w:tcPr>
          <w:p>
            <w:pPr>
              <w:spacing w:after="0"/>
              <w:rPr>
                <w:sz w:val="1"/>
                <w:szCs w:val="1"/>
                <w:color w:val="auto"/>
              </w:rPr>
            </w:pPr>
          </w:p>
        </w:tc>
      </w:tr>
      <w:tr>
        <w:trPr>
          <w:trHeight w:val="918"/>
        </w:trPr>
        <w:tc>
          <w:tcPr>
            <w:tcW w:w="2360" w:type="dxa"/>
            <w:vAlign w:val="bottom"/>
          </w:tcPr>
          <w:p>
            <w:pPr>
              <w:spacing w:after="0"/>
              <w:rPr>
                <w:sz w:val="24"/>
                <w:szCs w:val="24"/>
                <w:color w:val="auto"/>
              </w:rPr>
            </w:pPr>
          </w:p>
        </w:tc>
        <w:tc>
          <w:tcPr>
            <w:tcW w:w="9060" w:type="dxa"/>
            <w:vAlign w:val="bottom"/>
          </w:tcPr>
          <w:p>
            <w:pPr>
              <w:ind w:left="33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28,</w:t>
            </w:r>
          </w:p>
        </w:tc>
        <w:tc>
          <w:tcPr>
            <w:tcW w:w="340" w:type="dxa"/>
            <w:vAlign w:val="bottom"/>
          </w:tcPr>
          <w:p>
            <w:pPr>
              <w:spacing w:after="0"/>
              <w:rPr>
                <w:sz w:val="17"/>
                <w:szCs w:val="17"/>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30,</w:t>
            </w: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28,</w:t>
            </w:r>
          </w:p>
        </w:tc>
        <w:tc>
          <w:tcPr>
            <w:tcW w:w="280" w:type="dxa"/>
            <w:vAlign w:val="bottom"/>
          </w:tcPr>
          <w:p>
            <w:pPr>
              <w:spacing w:after="0"/>
              <w:rPr>
                <w:sz w:val="17"/>
                <w:szCs w:val="17"/>
                <w:color w:val="auto"/>
              </w:rPr>
            </w:pPr>
          </w:p>
        </w:tc>
        <w:tc>
          <w:tcPr>
            <w:tcW w:w="124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30,</w:t>
            </w:r>
          </w:p>
        </w:tc>
        <w:tc>
          <w:tcPr>
            <w:tcW w:w="0" w:type="dxa"/>
            <w:vAlign w:val="bottom"/>
          </w:tcPr>
          <w:p>
            <w:pPr>
              <w:spacing w:after="0"/>
              <w:rPr>
                <w:sz w:val="1"/>
                <w:szCs w:val="1"/>
                <w:color w:val="auto"/>
              </w:rPr>
            </w:pPr>
          </w:p>
        </w:tc>
      </w:tr>
      <w:tr>
        <w:trPr>
          <w:trHeight w:val="228"/>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272,077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266,510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711,972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725,456</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241,820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238,327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631,191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648,629</w:t>
            </w:r>
          </w:p>
        </w:tc>
        <w:tc>
          <w:tcPr>
            <w:tcW w:w="0" w:type="dxa"/>
            <w:vAlign w:val="bottom"/>
          </w:tcPr>
          <w:p>
            <w:pPr>
              <w:spacing w:after="0"/>
              <w:rPr>
                <w:sz w:val="1"/>
                <w:szCs w:val="1"/>
                <w:color w:val="auto"/>
              </w:rPr>
            </w:pP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30,257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28,183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80,781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76,827</w:t>
            </w:r>
          </w:p>
        </w:tc>
        <w:tc>
          <w:tcPr>
            <w:tcW w:w="0" w:type="dxa"/>
            <w:vAlign w:val="bottom"/>
          </w:tcPr>
          <w:p>
            <w:pPr>
              <w:spacing w:after="0"/>
              <w:rPr>
                <w:sz w:val="1"/>
                <w:szCs w:val="1"/>
                <w:color w:val="auto"/>
              </w:rPr>
            </w:pPr>
          </w:p>
        </w:tc>
      </w:tr>
      <w:tr>
        <w:trPr>
          <w:trHeight w:val="254"/>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4,770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5,150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14,714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14,703</w:t>
            </w:r>
          </w:p>
        </w:tc>
        <w:tc>
          <w:tcPr>
            <w:tcW w:w="0" w:type="dxa"/>
            <w:vAlign w:val="bottom"/>
          </w:tcPr>
          <w:p>
            <w:pPr>
              <w:spacing w:after="0"/>
              <w:rPr>
                <w:sz w:val="1"/>
                <w:szCs w:val="1"/>
                <w:color w:val="auto"/>
              </w:rPr>
            </w:pP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4,894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6,453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19,212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19,154</w:t>
            </w:r>
          </w:p>
        </w:tc>
        <w:tc>
          <w:tcPr>
            <w:tcW w:w="0" w:type="dxa"/>
            <w:vAlign w:val="bottom"/>
          </w:tcPr>
          <w:p>
            <w:pPr>
              <w:spacing w:after="0"/>
              <w:rPr>
                <w:sz w:val="1"/>
                <w:szCs w:val="1"/>
                <w:color w:val="auto"/>
              </w:rPr>
            </w:pPr>
          </w:p>
        </w:tc>
      </w:tr>
      <w:tr>
        <w:trPr>
          <w:trHeight w:val="273"/>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Impairment of fixed assets</w:t>
            </w:r>
          </w:p>
        </w:tc>
        <w:tc>
          <w:tcPr>
            <w:tcW w:w="3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9,664</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12,065</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33,926</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34,319</w:t>
            </w:r>
          </w:p>
        </w:tc>
        <w:tc>
          <w:tcPr>
            <w:tcW w:w="0" w:type="dxa"/>
            <w:vAlign w:val="bottom"/>
          </w:tcPr>
          <w:p>
            <w:pPr>
              <w:spacing w:after="0"/>
              <w:rPr>
                <w:sz w:val="1"/>
                <w:szCs w:val="1"/>
                <w:color w:val="auto"/>
              </w:rPr>
            </w:pPr>
          </w:p>
        </w:tc>
      </w:tr>
      <w:tr>
        <w:trPr>
          <w:trHeight w:val="257"/>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20,593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16,118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46,855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42,508</w:t>
            </w:r>
          </w:p>
        </w:tc>
        <w:tc>
          <w:tcPr>
            <w:tcW w:w="0" w:type="dxa"/>
            <w:vAlign w:val="bottom"/>
          </w:tcPr>
          <w:p>
            <w:pPr>
              <w:spacing w:after="0"/>
              <w:rPr>
                <w:sz w:val="1"/>
                <w:szCs w:val="1"/>
                <w:color w:val="auto"/>
              </w:rPr>
            </w:pPr>
          </w:p>
        </w:tc>
      </w:tr>
      <w:tr>
        <w:trPr>
          <w:trHeight w:val="264"/>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Non-operating income</w:t>
            </w: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57"/>
        </w:trPr>
        <w:tc>
          <w:tcPr>
            <w:tcW w:w="46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20,670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16,118</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47,049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42,543</w:t>
            </w:r>
          </w:p>
        </w:tc>
        <w:tc>
          <w:tcPr>
            <w:tcW w:w="0" w:type="dxa"/>
            <w:vAlign w:val="bottom"/>
          </w:tcPr>
          <w:p>
            <w:pPr>
              <w:spacing w:after="0"/>
              <w:rPr>
                <w:sz w:val="1"/>
                <w:szCs w:val="1"/>
                <w:color w:val="auto"/>
              </w:rPr>
            </w:pPr>
          </w:p>
        </w:tc>
      </w:tr>
      <w:tr>
        <w:trPr>
          <w:trHeight w:val="264"/>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taxes</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6,232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4,616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14,699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13,050</w:t>
            </w:r>
          </w:p>
        </w:tc>
        <w:tc>
          <w:tcPr>
            <w:tcW w:w="0" w:type="dxa"/>
            <w:vAlign w:val="bottom"/>
          </w:tcPr>
          <w:p>
            <w:pPr>
              <w:spacing w:after="0"/>
              <w:rPr>
                <w:sz w:val="1"/>
                <w:szCs w:val="1"/>
                <w:color w:val="auto"/>
              </w:rPr>
            </w:pPr>
          </w:p>
        </w:tc>
      </w:tr>
      <w:tr>
        <w:trPr>
          <w:trHeight w:val="24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14,438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11,502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32,350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29,493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97"/>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26,892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26,932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26,935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26,942</w:t>
            </w:r>
          </w:p>
        </w:tc>
        <w:tc>
          <w:tcPr>
            <w:tcW w:w="0" w:type="dxa"/>
            <w:vAlign w:val="bottom"/>
          </w:tcPr>
          <w:p>
            <w:pPr>
              <w:spacing w:after="0"/>
              <w:rPr>
                <w:sz w:val="1"/>
                <w:szCs w:val="1"/>
                <w:color w:val="auto"/>
              </w:rPr>
            </w:pPr>
          </w:p>
        </w:tc>
      </w:tr>
      <w:tr>
        <w:trPr>
          <w:trHeight w:val="280"/>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27,029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27,042</w:t>
            </w:r>
          </w:p>
        </w:tc>
        <w:tc>
          <w:tcPr>
            <w:tcW w:w="0" w:type="dxa"/>
            <w:vAlign w:val="bottom"/>
          </w:tcPr>
          <w:p>
            <w:pPr>
              <w:spacing w:after="0"/>
              <w:rPr>
                <w:sz w:val="1"/>
                <w:szCs w:val="1"/>
                <w:color w:val="auto"/>
              </w:rPr>
            </w:pPr>
          </w:p>
        </w:tc>
      </w:tr>
      <w:tr>
        <w:trPr>
          <w:trHeight w:val="297"/>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Dividends paid per common share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97"/>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14,438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11,502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32,350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29,493</w:t>
            </w:r>
          </w:p>
        </w:tc>
        <w:tc>
          <w:tcPr>
            <w:tcW w:w="0" w:type="dxa"/>
            <w:vAlign w:val="bottom"/>
          </w:tcPr>
          <w:p>
            <w:pPr>
              <w:spacing w:after="0"/>
              <w:rPr>
                <w:sz w:val="1"/>
                <w:szCs w:val="1"/>
                <w:color w:val="auto"/>
              </w:rPr>
            </w:pPr>
          </w:p>
        </w:tc>
      </w:tr>
      <w:tr>
        <w:trPr>
          <w:trHeight w:val="260"/>
        </w:trPr>
        <w:tc>
          <w:tcPr>
            <w:tcW w:w="4640" w:type="dxa"/>
            <w:vAlign w:val="bottom"/>
            <w:gridSpan w:val="2"/>
          </w:tcPr>
          <w:p>
            <w:pPr>
              <w:ind w:left="40"/>
              <w:spacing w:after="0"/>
              <w:rPr>
                <w:sz w:val="20"/>
                <w:szCs w:val="20"/>
                <w:color w:val="auto"/>
              </w:rPr>
            </w:pPr>
            <w:r>
              <w:rPr>
                <w:rFonts w:ascii="Arial" w:cs="Arial" w:eastAsia="Arial" w:hAnsi="Arial"/>
                <w:sz w:val="16"/>
                <w:szCs w:val="16"/>
                <w:color w:val="auto"/>
              </w:rPr>
              <w:t>Other comprehensive (loss) income:</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$765, $556, $2,182 and $1,554)</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218"/>
        </w:trPr>
        <w:tc>
          <w:tcPr>
            <w:tcW w:w="4640" w:type="dxa"/>
            <w:vAlign w:val="bottom"/>
            <w:gridSpan w:val="2"/>
          </w:tcPr>
          <w:p>
            <w:pPr>
              <w:ind w:left="280"/>
              <w:spacing w:after="0"/>
              <w:rPr>
                <w:sz w:val="20"/>
                <w:szCs w:val="20"/>
                <w:color w:val="auto"/>
              </w:rPr>
            </w:pPr>
            <w:r>
              <w:rPr>
                <w:rFonts w:ascii="Arial" w:cs="Arial" w:eastAsia="Arial" w:hAnsi="Arial"/>
                <w:sz w:val="16"/>
                <w:szCs w:val="16"/>
                <w:color w:val="auto"/>
              </w:rPr>
              <w:t>Amortization of net actuarial loss</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40" w:type="dxa"/>
            <w:vAlign w:val="bottom"/>
            <w:gridSpan w:val="2"/>
          </w:tcPr>
          <w:p>
            <w:pPr>
              <w:ind w:left="360"/>
              <w:spacing w:after="0"/>
              <w:rPr>
                <w:sz w:val="20"/>
                <w:szCs w:val="20"/>
                <w:color w:val="auto"/>
              </w:rPr>
            </w:pPr>
            <w:r>
              <w:rPr>
                <w:rFonts w:ascii="Arial" w:cs="Arial" w:eastAsia="Arial" w:hAnsi="Arial"/>
                <w:sz w:val="16"/>
                <w:szCs w:val="16"/>
                <w:color w:val="auto"/>
              </w:rPr>
              <w:t>(net of tax of $160, $154, $462 and $412)</w:t>
            </w:r>
          </w:p>
        </w:tc>
        <w:tc>
          <w:tcPr>
            <w:tcW w:w="34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28"/>
        </w:trPr>
        <w:tc>
          <w:tcPr>
            <w:tcW w:w="46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Plan amendment</w:t>
            </w:r>
          </w:p>
        </w:tc>
        <w:tc>
          <w:tcPr>
            <w:tcW w:w="340" w:type="dxa"/>
            <w:vAlign w:val="bottom"/>
            <w:shd w:val="clear" w:color="auto" w:fill="CCEEFF"/>
          </w:tcPr>
          <w:p>
            <w:pPr>
              <w:spacing w:after="0"/>
              <w:rPr>
                <w:sz w:val="19"/>
                <w:szCs w:val="19"/>
                <w:color w:val="auto"/>
              </w:rPr>
            </w:pPr>
          </w:p>
        </w:tc>
        <w:tc>
          <w:tcPr>
            <w:tcW w:w="148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6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$0, $0, $10,895 and $581)</w:t>
            </w:r>
          </w:p>
        </w:tc>
        <w:tc>
          <w:tcPr>
            <w:tcW w:w="34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other comprehensive (loss) income</w:t>
            </w:r>
          </w:p>
        </w:tc>
        <w:tc>
          <w:tcPr>
            <w:tcW w:w="3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(983)</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14,907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(913)</w:t>
            </w:r>
          </w:p>
        </w:tc>
        <w:tc>
          <w:tcPr>
            <w:tcW w:w="0" w:type="dxa"/>
            <w:vAlign w:val="bottom"/>
          </w:tcPr>
          <w:p>
            <w:pPr>
              <w:spacing w:after="0"/>
              <w:rPr>
                <w:sz w:val="1"/>
                <w:szCs w:val="1"/>
                <w:color w:val="auto"/>
              </w:rPr>
            </w:pPr>
          </w:p>
        </w:tc>
      </w:tr>
      <w:tr>
        <w:trPr>
          <w:trHeight w:val="240"/>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13,455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10,848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47,257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28,580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1"/>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Consolidated Balance Sheets</w:t>
            </w: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15"/>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6"/>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May 28,</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2015</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71,253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70,239</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($147 and $120)</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65,474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66,936</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130,136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112,165</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6,670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6,882</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9,995</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assets</w:t>
            </w:r>
          </w:p>
        </w:tc>
        <w:tc>
          <w:tcPr>
            <w:tcW w:w="38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273,533</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266,217</w:t>
            </w:r>
          </w:p>
        </w:tc>
      </w:tr>
      <w:tr>
        <w:trPr>
          <w:trHeight w:val="25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52,799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37,250</w:t>
            </w: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Investment in life insurance</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26,739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26,172</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17,946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21,994</w:t>
            </w:r>
          </w:p>
        </w:tc>
      </w:tr>
      <w:tr>
        <w:trPr>
          <w:trHeight w:val="264"/>
        </w:trPr>
        <w:tc>
          <w:tcPr>
            <w:tcW w:w="7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10,541</w:t>
            </w:r>
          </w:p>
        </w:tc>
      </w:tr>
      <w:tr>
        <w:trPr>
          <w:trHeight w:val="240"/>
        </w:trPr>
        <w:tc>
          <w:tcPr>
            <w:tcW w:w="7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380,037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362,174</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7"/>
        </w:trPr>
        <w:tc>
          <w:tcPr>
            <w:tcW w:w="126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47,748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33,158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Income taxes payable</w:t>
            </w:r>
          </w:p>
        </w:tc>
        <w:tc>
          <w:tcPr>
            <w:tcW w:w="380" w:type="dxa"/>
            <w:vAlign w:val="bottom"/>
          </w:tcPr>
          <w:p>
            <w:pPr>
              <w:spacing w:after="0"/>
              <w:rPr>
                <w:sz w:val="22"/>
                <w:szCs w:val="22"/>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2,314</w:t>
            </w:r>
          </w:p>
        </w:tc>
      </w:tr>
      <w:tr>
        <w:trPr>
          <w:trHeight w:val="28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Accrued expenses: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compensation</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18,346</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Product warranties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11,911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11,254</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Self-insurance</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6,536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6,242</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loss on repurchases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1,329</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3,594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3,149</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5,383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5,818</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92,798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81,610</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Unrecognized tax benefits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2,511</w:t>
            </w:r>
          </w:p>
        </w:tc>
      </w:tr>
      <w:tr>
        <w:trPr>
          <w:trHeight w:val="273"/>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25,988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57,090</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non-current liabilities</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28,321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59,601</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18"/>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Capital stock common, par value $0.50;</w:t>
            </w: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4"/>
        </w:trPr>
        <w:tc>
          <w:tcPr>
            <w:tcW w:w="7280" w:type="dxa"/>
            <w:vAlign w:val="bottom"/>
            <w:gridSpan w:val="2"/>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380" w:type="dxa"/>
            <w:vAlign w:val="bottom"/>
          </w:tcPr>
          <w:p>
            <w:pPr>
              <w:spacing w:after="0"/>
              <w:rPr>
                <w:sz w:val="17"/>
                <w:szCs w:val="17"/>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25,888</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32,173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32,018</w:t>
            </w:r>
          </w:p>
        </w:tc>
      </w:tr>
      <w:tr>
        <w:trPr>
          <w:trHeight w:val="260"/>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Retained earnings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610,118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585,941</w:t>
            </w:r>
          </w:p>
        </w:tc>
      </w:tr>
      <w:tr>
        <w:trPr>
          <w:trHeight w:val="280"/>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income (loss)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12,633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(2,274)</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Treasury stock, at cost (24,883 and 24,825 shares)</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(421,894)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(420,610)</w:t>
            </w:r>
          </w:p>
        </w:tc>
      </w:tr>
      <w:tr>
        <w:trPr>
          <w:trHeight w:val="250"/>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shareholders' equity</w:t>
            </w:r>
          </w:p>
        </w:tc>
        <w:tc>
          <w:tcPr>
            <w:tcW w:w="3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258,918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220,963</w:t>
            </w:r>
          </w:p>
        </w:tc>
      </w:tr>
      <w:tr>
        <w:trPr>
          <w:trHeight w:val="240"/>
        </w:trPr>
        <w:tc>
          <w:tcPr>
            <w:tcW w:w="7280" w:type="dxa"/>
            <w:vAlign w:val="bottom"/>
            <w:gridSpan w:val="2"/>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380,037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362,174</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21"/>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9"/>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5"/>
        </w:trPr>
        <w:tc>
          <w:tcPr>
            <w:tcW w:w="77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91"/>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126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28,</w:t>
            </w:r>
          </w:p>
        </w:tc>
        <w:tc>
          <w:tcPr>
            <w:tcW w:w="340" w:type="dxa"/>
            <w:vAlign w:val="bottom"/>
          </w:tcPr>
          <w:p>
            <w:pPr>
              <w:spacing w:after="0"/>
              <w:rPr>
                <w:sz w:val="17"/>
                <w:szCs w:val="17"/>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May 30,</w:t>
            </w:r>
          </w:p>
        </w:tc>
      </w:tr>
      <w:tr>
        <w:trPr>
          <w:trHeight w:val="228"/>
        </w:trPr>
        <w:tc>
          <w:tcPr>
            <w:tcW w:w="77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r>
      <w:tr>
        <w:trPr>
          <w:trHeight w:val="27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32,350</w:t>
            </w:r>
          </w:p>
        </w:tc>
        <w:tc>
          <w:tcPr>
            <w:tcW w:w="12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29,493</w:t>
            </w:r>
          </w:p>
        </w:tc>
      </w:tr>
      <w:tr>
        <w:trPr>
          <w:trHeight w:val="28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4,243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3,284</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1,280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1,041</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Asset impairment</w:t>
            </w:r>
          </w:p>
        </w:tc>
        <w:tc>
          <w:tcPr>
            <w:tcW w:w="34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462</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1,818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1,739</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2,717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2,793</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(587)</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Loss (gain) on disposal of property</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Gain on life insurance</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(657)</w:t>
            </w: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(19,251)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(10,768)</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1,905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3,581</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 in operating leases, net of repurchase obligations</w:t>
            </w:r>
          </w:p>
        </w:tc>
        <w:tc>
          <w:tcPr>
            <w:tcW w:w="3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(72)</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(2,375)</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14,345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(6,308)</w:t>
            </w:r>
          </w:p>
        </w:tc>
      </w:tr>
      <w:tr>
        <w:trPr>
          <w:trHeight w:val="264"/>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(3,167)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(3,049)</w:t>
            </w:r>
          </w:p>
        </w:tc>
      </w:tr>
      <w:tr>
        <w:trPr>
          <w:trHeight w:val="25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31,741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18,557</w:t>
            </w:r>
          </w:p>
        </w:tc>
      </w:tr>
      <w:tr>
        <w:trPr>
          <w:trHeight w:val="284"/>
        </w:trPr>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(19,928)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(14,174)</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Proceeds from life insurance</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435</w:t>
            </w:r>
          </w:p>
        </w:tc>
      </w:tr>
      <w:tr>
        <w:trPr>
          <w:trHeight w:val="250"/>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(19,536)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(13,696)</w:t>
            </w:r>
          </w:p>
        </w:tc>
      </w:tr>
      <w:tr>
        <w:trPr>
          <w:trHeight w:val="284"/>
        </w:trPr>
        <w:tc>
          <w:tcPr>
            <w:tcW w:w="126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(6,166)</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Payments of cash dividends</w:t>
            </w:r>
          </w:p>
        </w:tc>
        <w:tc>
          <w:tcPr>
            <w:tcW w:w="340" w:type="dxa"/>
            <w:vAlign w:val="bottom"/>
          </w:tcPr>
          <w:p>
            <w:pPr>
              <w:spacing w:after="0"/>
              <w:rPr>
                <w:sz w:val="22"/>
                <w:szCs w:val="22"/>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(8,173)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(7,324)</w:t>
            </w: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Borrowings on loans</w:t>
            </w:r>
          </w:p>
        </w:tc>
        <w:tc>
          <w:tcPr>
            <w:tcW w:w="3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22,000</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Repayments of loans</w:t>
            </w:r>
          </w:p>
        </w:tc>
        <w:tc>
          <w:tcPr>
            <w:tcW w:w="34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(22,000)</w:t>
            </w:r>
          </w:p>
        </w:tc>
      </w:tr>
      <w:tr>
        <w:trPr>
          <w:trHeight w:val="273"/>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w:t>
            </w:r>
          </w:p>
        </w:tc>
      </w:tr>
      <w:tr>
        <w:trPr>
          <w:trHeight w:val="250"/>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(11,191)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(13,450)</w:t>
            </w:r>
          </w:p>
        </w:tc>
      </w:tr>
      <w:tr>
        <w:trPr>
          <w:trHeight w:val="284"/>
        </w:trPr>
        <w:tc>
          <w:tcPr>
            <w:tcW w:w="1260" w:type="dxa"/>
            <w:vAlign w:val="bottom"/>
            <w:shd w:val="clear" w:color="auto" w:fill="CCEEFF"/>
          </w:tcPr>
          <w:p>
            <w:pPr>
              <w:spacing w:after="0"/>
              <w:rPr>
                <w:sz w:val="24"/>
                <w:szCs w:val="24"/>
                <w:color w:val="auto"/>
              </w:rPr>
            </w:pPr>
          </w:p>
        </w:tc>
        <w:tc>
          <w:tcPr>
            <w:tcW w:w="6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(8,589)</w:t>
            </w:r>
          </w:p>
        </w:tc>
      </w:tr>
      <w:tr>
        <w:trPr>
          <w:trHeight w:val="273"/>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70,239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57,804</w:t>
            </w:r>
          </w:p>
        </w:tc>
      </w:tr>
      <w:tr>
        <w:trPr>
          <w:trHeight w:val="280"/>
        </w:trPr>
        <w:tc>
          <w:tcPr>
            <w:tcW w:w="7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71,253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49,215</w:t>
            </w:r>
          </w:p>
        </w:tc>
      </w:tr>
      <w:tr>
        <w:trPr>
          <w:trHeight w:val="267"/>
        </w:trPr>
        <w:tc>
          <w:tcPr>
            <w:tcW w:w="1260" w:type="dxa"/>
            <w:vAlign w:val="bottom"/>
            <w:shd w:val="clear" w:color="auto" w:fill="CCEEFF"/>
          </w:tcPr>
          <w:p>
            <w:pPr>
              <w:spacing w:after="0"/>
              <w:rPr>
                <w:sz w:val="23"/>
                <w:szCs w:val="23"/>
                <w:color w:val="auto"/>
              </w:rPr>
            </w:pPr>
          </w:p>
        </w:tc>
        <w:tc>
          <w:tcPr>
            <w:tcW w:w="65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Supplement cash flow disclosure:</w:t>
            </w: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13,137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12,361</w:t>
            </w:r>
          </w:p>
        </w:tc>
      </w:tr>
      <w:tr>
        <w:trPr>
          <w:trHeight w:val="260"/>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10</w:t>
            </w:r>
          </w:p>
        </w:tc>
      </w:tr>
      <w:tr>
        <w:trPr>
          <w:trHeight w:val="28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51"/>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18" w:right="239" w:bottom="1079"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079"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87"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subsidiary, Winnebago of Indiana, LLC, as appropriate in the context.</w:t>
      </w:r>
    </w:p>
    <w:p>
      <w:pPr>
        <w:spacing w:after="0" w:line="169"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 our website is www.winnebagoind.com. Our common stock trades on the NYSE under the symbol “WGO.”</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GAAP for interim financial information and with the instructions to Form 10-Q and Article 10 of Regulation S-X. As permitted under those rules, certain footnotes or other financial information that are normally required by GAAP can be condensed or omitted. In our opinion, the accompanying unaudited condensed consolidated financial statements contain all adjustments, consisting of normal recurring accruals, necessary to present fairly our consolidated financial position as of May 28, 2016 and the consolidated results of income and comprehensive income and consolidated cash flows for the first nine months of Fiscal 2016 and 2015. The consolidated statement of income and comprehensive income for the first nine months of Fiscal 2016 is not necessarily indicative of the results to be expected for the full year. These interim financial statements should be read in conjunction with the audited consolidated financial statements and notes thereto appearing in our Annual Report on Form 10-K for the fiscal year ended August 29, 2015.</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Both Fiscal 2016 and Fiscal 2015 are 52-week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specifies how and when to recognize revenue as well as providing informative, relevant disclosures. In August 2015, the FASB deferred the effective date of this standard by one year, which would become effective for fiscal years beginning after December 15, 2017 (our Fiscal 2019). We are currently evaluating the impact on our consolidated financial statements.</w:t>
      </w:r>
    </w:p>
    <w:p>
      <w:pPr>
        <w:spacing w:after="0" w:line="15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xml:space="preserve">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 inventory method is unchanged. ASU 2015-11 will become effective prospectively for fiscal years beginning after December 15, 2016 (our Fiscal 2018). We are currently evaluating the impact on our consolidated financial statements.</w:t>
      </w:r>
    </w:p>
    <w:p>
      <w:pPr>
        <w:spacing w:after="0" w:line="154"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to simplify the accounting for measurement-period adjustments in a business combination. Under the new standard, an acquirer must recognize adjustments to provisional amounts in a business combination in the reporting period in which the adjustment amounts are determined, rather than retrospectively adjusting the provisional amounts recognized at the acquisition date with a corresponding adjustment to goodwill as under current guidance. ASU 2015-16 is effective for fiscal years, and the interim periods within those years, beginning after December 15, 2015 (our Fiscal 2017). This new standard will be applied prospectively to adjustments to provisional amounts that occur after the effective date with earlier application permitted for financial statements that have not been issued. We are currently evaluating the impact of this ASU on our consolidated financial statements, which will be dependent on future acquisitions.</w:t>
      </w:r>
    </w:p>
    <w:p>
      <w:pPr>
        <w:spacing w:after="0" w:line="160"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(Topic 740)</w:t>
      </w:r>
      <w:r>
        <w:rPr>
          <w:rFonts w:ascii="Arial" w:cs="Arial" w:eastAsia="Arial" w:hAnsi="Arial"/>
          <w:sz w:val="16"/>
          <w:szCs w:val="16"/>
          <w:color w:val="auto"/>
        </w:rPr>
        <w:t>, to simplify the presentation of deferred income taxes. Under the new standard, both deferred tax liabilities and assets are required to be classified as noncurrent in a classified balance sheet. During the first quarter of Fiscal 2016, we elected to prospectively adopt ASU 2015-17, thus reclassifying current deferred tax assets to noncurrent on the accompanying consolidated balance sheet. The prior reporting period was not retrospectively adjusted. The adoption of this guidance had no impact on our consolidated statements of income and comprehensive income.</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which simplifies several aspects of the accounting for employee share-based payment transactions, including the accounting for the related income taxes, forfeitures, statutory tax withholding requirements and classification in the statement of cash flows. ASU 2016-09 is effective for annual reporting periods beginning after December 15, 2016 (our Fiscal 2018), including interim periods within those annual reporting periods. Early adoption is permitted. We are currently evaluating the impact of this ASU on our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w:t>
      </w:r>
      <w:r>
        <w:rPr>
          <w:rFonts w:ascii="Arial" w:cs="Arial" w:eastAsia="Arial" w:hAnsi="Arial"/>
          <w:sz w:val="18"/>
          <w:szCs w:val="18"/>
          <w:b w:val="1"/>
          <w:bCs w:val="1"/>
          <w:color w:val="auto"/>
        </w:rPr>
        <w:t>:</w:t>
      </w:r>
      <w:r>
        <w:rPr>
          <w:rFonts w:ascii="Arial" w:cs="Arial" w:eastAsia="Arial" w:hAnsi="Arial"/>
          <w:sz w:val="16"/>
          <w:szCs w:val="16"/>
          <w:b w:val="1"/>
          <w:bCs w:val="1"/>
          <w:color w:val="auto"/>
        </w:rPr>
        <w:t xml:space="preserve"> Concentration Risk</w:t>
      </w:r>
    </w:p>
    <w:p>
      <w:pPr>
        <w:spacing w:after="0" w:line="21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One of our dealer organizations accounted for 17.6% and 17.0% of our consolidated net revenues for the first nine months of Fiscal 2016 and Fiscal 2015, respectively. A second dealer organization accounted for 13.8% and 18.1% of our consolidated net revenues for the first nine months of Fiscal 2016 and Fiscal 2015, respectively. The loss of either or both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90" w:lineRule="exact"/>
        <w:rPr>
          <w:sz w:val="20"/>
          <w:szCs w:val="20"/>
          <w:color w:val="auto"/>
        </w:rPr>
      </w:pPr>
    </w:p>
    <w:p>
      <w:pPr>
        <w:ind w:right="28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May 28, 2016 and August 29, 2015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16"/>
                <w:szCs w:val="16"/>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May 28,</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53,168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53,168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3"/>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57,564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57,410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ind w:left="1139"/>
              <w:spacing w:after="0"/>
              <w:rPr>
                <w:sz w:val="20"/>
                <w:szCs w:val="20"/>
                <w:color w:val="auto"/>
              </w:rPr>
            </w:pPr>
            <w:r>
              <w:rPr>
                <w:rFonts w:ascii="Arial" w:cs="Arial" w:eastAsia="Arial" w:hAnsi="Arial"/>
                <w:sz w:val="16"/>
                <w:szCs w:val="16"/>
                <w:b w:val="1"/>
                <w:bCs w:val="1"/>
                <w:color w:val="auto"/>
              </w:rPr>
              <w:t>Fair Value Measurements</w:t>
            </w:r>
          </w:p>
        </w:tc>
        <w:tc>
          <w:tcPr>
            <w:tcW w:w="1300" w:type="dxa"/>
            <w:vAlign w:val="bottom"/>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Level 1 Quoted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Fair Value at</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Prices in Active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29,</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Markets for</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Inputs</w:t>
            </w:r>
          </w:p>
        </w:tc>
      </w:tr>
      <w:tr>
        <w:trPr>
          <w:trHeight w:val="25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63,107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63,107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60"/>
        </w:trPr>
        <w:tc>
          <w:tcPr>
            <w:tcW w:w="5160" w:type="dxa"/>
            <w:vAlign w:val="bottom"/>
            <w:gridSpan w:val="2"/>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r>
      <w:tr>
        <w:trPr>
          <w:trHeight w:val="273"/>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r>
      <w:tr>
        <w:trPr>
          <w:trHeight w:val="24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Total assets at fair value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68,821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68,729</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5"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 and are included in cash and cash equivalents on the accompanying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 majority of which are classified as Level 1 as they are traded in an active market for which closing stock prices are readily available. These securities fund the Executive share option plan and the Executive deferred compensation plan (see Note 7). The assets related to these deferred compensation plans that will expire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within a year are included in prepaid expenses and other assets in the accompanying consolidated balance sheets; the remaining noncurrent assets are included in other assets.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5" w:lineRule="exact"/>
        <w:rPr>
          <w:sz w:val="20"/>
          <w:szCs w:val="20"/>
          <w:color w:val="auto"/>
        </w:rPr>
      </w:pPr>
    </w:p>
    <w:p>
      <w:pPr>
        <w:ind w:right="660"/>
        <w:spacing w:after="0" w:line="251" w:lineRule="auto"/>
        <w:rPr>
          <w:sz w:val="20"/>
          <w:szCs w:val="20"/>
          <w:color w:val="auto"/>
        </w:rPr>
      </w:pPr>
      <w:r>
        <w:rPr>
          <w:rFonts w:ascii="Arial" w:cs="Arial" w:eastAsia="Arial" w:hAnsi="Arial"/>
          <w:sz w:val="16"/>
          <w:szCs w:val="16"/>
          <w:color w:val="auto"/>
        </w:rPr>
        <w:t>Our non-financial assets, which include goodwill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nine months of Fiscal 2016, no impairments were recorded for non-financial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Note 4: Inventories</w:t>
            </w:r>
          </w:p>
        </w:tc>
        <w:tc>
          <w:tcPr>
            <w:tcW w:w="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51"/>
        </w:trPr>
        <w:tc>
          <w:tcPr>
            <w:tcW w:w="678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6"/>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28,</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2015</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17,875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12,179</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Work-in-process</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74,918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66,602</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71,167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65,928</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Pr>
          <w:p>
            <w:pPr>
              <w:spacing w:after="0"/>
              <w:rPr>
                <w:sz w:val="21"/>
                <w:szCs w:val="21"/>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163,960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144,709</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(33,824)</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(32,544)</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inventories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130,136</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112,165</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54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$164.0 million and $144.7 million inventory at May 28, 2016 and August 29, 2015, respectively, $153.5 million and $136.3 million is valued on a LIFO basis; the remaining inventories of $10.4 million and $8.4 million at May 28, 2016 and August 29, 2015, respectively, are valued on a FIFO basis.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Property, Plant and Equipment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28,</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29,</w:t>
            </w:r>
          </w:p>
        </w:tc>
      </w:tr>
      <w:tr>
        <w:trPr>
          <w:trHeight w:val="228"/>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2015</w:t>
            </w:r>
          </w:p>
        </w:tc>
      </w:tr>
      <w:tr>
        <w:trPr>
          <w:trHeight w:val="257"/>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3,864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1,874</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61,860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53,388</w:t>
            </w:r>
          </w:p>
        </w:tc>
      </w:tr>
      <w:tr>
        <w:trPr>
          <w:trHeight w:val="280"/>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97,761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94,034</w:t>
            </w:r>
          </w:p>
        </w:tc>
      </w:tr>
      <w:tr>
        <w:trPr>
          <w:trHeight w:val="26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Software</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13,303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8,033</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8,976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8,913</w:t>
            </w:r>
          </w:p>
        </w:tc>
      </w:tr>
      <w:tr>
        <w:trPr>
          <w:trHeight w:val="247"/>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480" w:type="dxa"/>
            <w:vAlign w:val="bottom"/>
          </w:tcPr>
          <w:p>
            <w:pPr>
              <w:spacing w:after="0"/>
              <w:rPr>
                <w:sz w:val="21"/>
                <w:szCs w:val="21"/>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185,764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166,242</w:t>
            </w:r>
          </w:p>
        </w:tc>
      </w:tr>
      <w:tr>
        <w:trPr>
          <w:trHeight w:val="273"/>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(132,965)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(128,992)</w:t>
            </w:r>
          </w:p>
        </w:tc>
      </w:tr>
      <w:tr>
        <w:trPr>
          <w:trHeight w:val="240"/>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52,799</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37,250</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On November 30, 2015 we purchased land and buildings from Country Coach in Junction City, OR for approximately $5.7 million. On January 6, 2016 we purchased adjacent property in Junction City, OR for approximately $4.0 million. These properties are being used for expansion of our West Coast motorhome manufacturing and service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Warranty</w:t>
      </w:r>
    </w:p>
    <w:p>
      <w:pPr>
        <w:spacing w:after="0" w:line="21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We have voluntarily agreed to pay certain warranty-type costs to help protect the reputation of our products and the goodwill of our customers. Warranty expense is affected by dealership labor rates, the cost of parts and the frequency of claims. Estimated costs related to product warranty are accrued at the time of sale and are based upon past warranty claims and unit sales history and adjusted as required to reflect actual costs incurred, as information becomes available.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442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420" w:type="dxa"/>
            <w:vAlign w:val="bottom"/>
            <w:gridSpan w:val="3"/>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right"/>
              <w:ind w:right="8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May 28,</w:t>
            </w:r>
          </w:p>
        </w:tc>
        <w:tc>
          <w:tcPr>
            <w:tcW w:w="320" w:type="dxa"/>
            <w:vAlign w:val="bottom"/>
          </w:tcPr>
          <w:p>
            <w:pPr>
              <w:spacing w:after="0"/>
              <w:rPr>
                <w:sz w:val="17"/>
                <w:szCs w:val="17"/>
                <w:color w:val="auto"/>
              </w:rPr>
            </w:pPr>
          </w:p>
        </w:tc>
        <w:tc>
          <w:tcPr>
            <w:tcW w:w="1460" w:type="dxa"/>
            <w:vAlign w:val="bottom"/>
            <w:gridSpan w:val="4"/>
          </w:tcPr>
          <w:p>
            <w:pPr>
              <w:ind w:left="200"/>
              <w:spacing w:after="0"/>
              <w:rPr>
                <w:sz w:val="20"/>
                <w:szCs w:val="20"/>
                <w:color w:val="auto"/>
              </w:rPr>
            </w:pPr>
            <w:r>
              <w:rPr>
                <w:rFonts w:ascii="Arial" w:cs="Arial" w:eastAsia="Arial" w:hAnsi="Arial"/>
                <w:sz w:val="16"/>
                <w:szCs w:val="16"/>
                <w:b w:val="1"/>
                <w:bCs w:val="1"/>
                <w:color w:val="auto"/>
              </w:rPr>
              <w:t>May 30,</w:t>
            </w:r>
          </w:p>
        </w:tc>
        <w:tc>
          <w:tcPr>
            <w:tcW w:w="160" w:type="dxa"/>
            <w:vAlign w:val="bottom"/>
          </w:tcPr>
          <w:p>
            <w:pPr>
              <w:spacing w:after="0"/>
              <w:rPr>
                <w:sz w:val="17"/>
                <w:szCs w:val="17"/>
                <w:color w:val="auto"/>
              </w:rPr>
            </w:pPr>
          </w:p>
        </w:tc>
        <w:tc>
          <w:tcPr>
            <w:tcW w:w="1320" w:type="dxa"/>
            <w:vAlign w:val="bottom"/>
            <w:gridSpan w:val="2"/>
          </w:tcPr>
          <w:p>
            <w:pPr>
              <w:ind w:left="360"/>
              <w:spacing w:after="0"/>
              <w:rPr>
                <w:sz w:val="20"/>
                <w:szCs w:val="20"/>
                <w:color w:val="auto"/>
              </w:rPr>
            </w:pPr>
            <w:r>
              <w:rPr>
                <w:rFonts w:ascii="Arial" w:cs="Arial" w:eastAsia="Arial" w:hAnsi="Arial"/>
                <w:sz w:val="16"/>
                <w:szCs w:val="16"/>
                <w:b w:val="1"/>
                <w:bCs w:val="1"/>
                <w:color w:val="auto"/>
              </w:rPr>
              <w:t>May 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30,</w:t>
            </w:r>
          </w:p>
        </w:tc>
        <w:tc>
          <w:tcPr>
            <w:tcW w:w="0" w:type="dxa"/>
            <w:vAlign w:val="bottom"/>
          </w:tcPr>
          <w:p>
            <w:pPr>
              <w:spacing w:after="0"/>
              <w:rPr>
                <w:sz w:val="1"/>
                <w:szCs w:val="1"/>
                <w:color w:val="auto"/>
              </w:rPr>
            </w:pPr>
          </w:p>
        </w:tc>
      </w:tr>
      <w:tr>
        <w:trPr>
          <w:trHeight w:val="228"/>
        </w:trPr>
        <w:tc>
          <w:tcPr>
            <w:tcW w:w="43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7"/>
        </w:trPr>
        <w:tc>
          <w:tcPr>
            <w:tcW w:w="44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11,727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9,856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11,254</w:t>
            </w:r>
          </w:p>
        </w:tc>
        <w:tc>
          <w:tcPr>
            <w:tcW w:w="10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9,501</w:t>
            </w:r>
          </w:p>
        </w:tc>
        <w:tc>
          <w:tcPr>
            <w:tcW w:w="0" w:type="dxa"/>
            <w:vAlign w:val="bottom"/>
          </w:tcPr>
          <w:p>
            <w:pPr>
              <w:spacing w:after="0"/>
              <w:rPr>
                <w:sz w:val="1"/>
                <w:szCs w:val="1"/>
                <w:color w:val="auto"/>
              </w:rPr>
            </w:pPr>
          </w:p>
        </w:tc>
      </w:tr>
      <w:tr>
        <w:trPr>
          <w:trHeight w:val="260"/>
        </w:trPr>
        <w:tc>
          <w:tcPr>
            <w:tcW w:w="4420" w:type="dxa"/>
            <w:vAlign w:val="bottom"/>
            <w:gridSpan w:val="3"/>
          </w:tcPr>
          <w:p>
            <w:pPr>
              <w:ind w:left="40"/>
              <w:spacing w:after="0"/>
              <w:rPr>
                <w:sz w:val="20"/>
                <w:szCs w:val="20"/>
                <w:color w:val="auto"/>
              </w:rPr>
            </w:pPr>
            <w:r>
              <w:rPr>
                <w:rFonts w:ascii="Arial" w:cs="Arial" w:eastAsia="Arial" w:hAnsi="Arial"/>
                <w:sz w:val="16"/>
                <w:szCs w:val="16"/>
                <w:color w:val="auto"/>
              </w:rPr>
              <w:t>Provision</w:t>
            </w:r>
          </w:p>
        </w:tc>
        <w:tc>
          <w:tcPr>
            <w:tcW w:w="520" w:type="dxa"/>
            <w:vAlign w:val="bottom"/>
          </w:tcPr>
          <w:p>
            <w:pPr>
              <w:spacing w:after="0"/>
              <w:rPr>
                <w:sz w:val="22"/>
                <w:szCs w:val="22"/>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color w:val="auto"/>
              </w:rPr>
              <w:t>4,844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6"/>
                <w:szCs w:val="16"/>
                <w:color w:val="auto"/>
              </w:rPr>
              <w:t>3,233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12,311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8,079</w:t>
            </w:r>
          </w:p>
        </w:tc>
        <w:tc>
          <w:tcPr>
            <w:tcW w:w="0" w:type="dxa"/>
            <w:vAlign w:val="bottom"/>
          </w:tcPr>
          <w:p>
            <w:pPr>
              <w:spacing w:after="0"/>
              <w:rPr>
                <w:sz w:val="1"/>
                <w:szCs w:val="1"/>
                <w:color w:val="auto"/>
              </w:rPr>
            </w:pPr>
          </w:p>
        </w:tc>
      </w:tr>
      <w:tr>
        <w:trPr>
          <w:trHeight w:val="273"/>
        </w:trPr>
        <w:tc>
          <w:tcPr>
            <w:tcW w:w="44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5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(4,660)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(3,284)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(11,654)</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(7,775)</w:t>
            </w:r>
          </w:p>
        </w:tc>
        <w:tc>
          <w:tcPr>
            <w:tcW w:w="0" w:type="dxa"/>
            <w:vAlign w:val="bottom"/>
          </w:tcPr>
          <w:p>
            <w:pPr>
              <w:spacing w:after="0"/>
              <w:rPr>
                <w:sz w:val="1"/>
                <w:szCs w:val="1"/>
                <w:color w:val="auto"/>
              </w:rPr>
            </w:pPr>
          </w:p>
        </w:tc>
      </w:tr>
      <w:tr>
        <w:trPr>
          <w:trHeight w:val="237"/>
        </w:trPr>
        <w:tc>
          <w:tcPr>
            <w:tcW w:w="4420" w:type="dxa"/>
            <w:vAlign w:val="bottom"/>
            <w:gridSpan w:val="3"/>
          </w:tcPr>
          <w:p>
            <w:pPr>
              <w:ind w:left="40"/>
              <w:spacing w:after="0"/>
              <w:rPr>
                <w:sz w:val="20"/>
                <w:szCs w:val="20"/>
                <w:color w:val="auto"/>
              </w:rPr>
            </w:pPr>
            <w:r>
              <w:rPr>
                <w:rFonts w:ascii="Arial" w:cs="Arial" w:eastAsia="Arial" w:hAnsi="Arial"/>
                <w:sz w:val="16"/>
                <w:szCs w:val="16"/>
                <w:color w:val="auto"/>
              </w:rPr>
              <w:t>Balance at end of period</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59"/>
              <w:spacing w:after="0"/>
              <w:rPr>
                <w:sz w:val="20"/>
                <w:szCs w:val="20"/>
                <w:color w:val="auto"/>
              </w:rPr>
            </w:pPr>
            <w:r>
              <w:rPr>
                <w:rFonts w:ascii="Arial" w:cs="Arial" w:eastAsia="Arial" w:hAnsi="Arial"/>
                <w:sz w:val="16"/>
                <w:szCs w:val="16"/>
                <w:color w:val="auto"/>
              </w:rPr>
              <w:t>11,911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420"/>
              <w:spacing w:after="0"/>
              <w:rPr>
                <w:sz w:val="20"/>
                <w:szCs w:val="20"/>
                <w:color w:val="auto"/>
              </w:rPr>
            </w:pPr>
            <w:r>
              <w:rPr>
                <w:rFonts w:ascii="Arial" w:cs="Arial" w:eastAsia="Arial" w:hAnsi="Arial"/>
                <w:sz w:val="16"/>
                <w:szCs w:val="16"/>
                <w:color w:val="auto"/>
              </w:rPr>
              <w:t>9,805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11,911</w:t>
            </w:r>
          </w:p>
        </w:tc>
        <w:tc>
          <w:tcPr>
            <w:tcW w:w="100" w:type="dxa"/>
            <w:vAlign w:val="bottom"/>
          </w:tcPr>
          <w:p>
            <w:pPr>
              <w:spacing w:after="0"/>
              <w:rPr>
                <w:sz w:val="20"/>
                <w:szCs w:val="20"/>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9,805</w:t>
            </w: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Note 7: Employee and Retiree Benefits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00" w:type="dxa"/>
            <w:vAlign w:val="bottom"/>
            <w:gridSpan w:val="6"/>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May 28,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29,</w:t>
            </w:r>
          </w:p>
        </w:tc>
        <w:tc>
          <w:tcPr>
            <w:tcW w:w="0" w:type="dxa"/>
            <w:vAlign w:val="bottom"/>
          </w:tcPr>
          <w:p>
            <w:pPr>
              <w:spacing w:after="0"/>
              <w:rPr>
                <w:sz w:val="1"/>
                <w:szCs w:val="1"/>
                <w:color w:val="auto"/>
              </w:rPr>
            </w:pPr>
          </w:p>
        </w:tc>
      </w:tr>
      <w:tr>
        <w:trPr>
          <w:trHeight w:val="228"/>
        </w:trPr>
        <w:tc>
          <w:tcPr>
            <w:tcW w:w="44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57"/>
        </w:trPr>
        <w:tc>
          <w:tcPr>
            <w:tcW w:w="44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5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5,556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34,535</w:t>
            </w:r>
          </w:p>
        </w:tc>
        <w:tc>
          <w:tcPr>
            <w:tcW w:w="0" w:type="dxa"/>
            <w:vAlign w:val="bottom"/>
          </w:tcPr>
          <w:p>
            <w:pPr>
              <w:spacing w:after="0"/>
              <w:rPr>
                <w:sz w:val="1"/>
                <w:szCs w:val="1"/>
                <w:color w:val="auto"/>
              </w:rPr>
            </w:pPr>
          </w:p>
        </w:tc>
      </w:tr>
      <w:tr>
        <w:trPr>
          <w:trHeight w:val="260"/>
        </w:trPr>
        <w:tc>
          <w:tcPr>
            <w:tcW w:w="4420" w:type="dxa"/>
            <w:vAlign w:val="bottom"/>
            <w:gridSpan w:val="3"/>
          </w:tcPr>
          <w:p>
            <w:pPr>
              <w:ind w:left="40"/>
              <w:spacing w:after="0"/>
              <w:rPr>
                <w:sz w:val="20"/>
                <w:szCs w:val="20"/>
                <w:color w:val="auto"/>
              </w:rPr>
            </w:pPr>
            <w:r>
              <w:rPr>
                <w:rFonts w:ascii="Arial" w:cs="Arial" w:eastAsia="Arial" w:hAnsi="Arial"/>
                <w:sz w:val="16"/>
                <w:szCs w:val="16"/>
                <w:color w:val="auto"/>
              </w:rPr>
              <w:t>Non-qualified deferred compensation</w:t>
            </w: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18,360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19,508</w:t>
            </w:r>
          </w:p>
        </w:tc>
        <w:tc>
          <w:tcPr>
            <w:tcW w:w="0" w:type="dxa"/>
            <w:vAlign w:val="bottom"/>
          </w:tcPr>
          <w:p>
            <w:pPr>
              <w:spacing w:after="0"/>
              <w:rPr>
                <w:sz w:val="1"/>
                <w:szCs w:val="1"/>
                <w:color w:val="auto"/>
              </w:rPr>
            </w:pPr>
          </w:p>
        </w:tc>
      </w:tr>
      <w:tr>
        <w:trPr>
          <w:trHeight w:val="280"/>
        </w:trPr>
        <w:tc>
          <w:tcPr>
            <w:tcW w:w="44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3,593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4,788</w:t>
            </w:r>
          </w:p>
        </w:tc>
        <w:tc>
          <w:tcPr>
            <w:tcW w:w="0" w:type="dxa"/>
            <w:vAlign w:val="bottom"/>
          </w:tcPr>
          <w:p>
            <w:pPr>
              <w:spacing w:after="0"/>
              <w:rPr>
                <w:sz w:val="1"/>
                <w:szCs w:val="1"/>
                <w:color w:val="auto"/>
              </w:rPr>
            </w:pPr>
          </w:p>
        </w:tc>
      </w:tr>
      <w:tr>
        <w:trPr>
          <w:trHeight w:val="260"/>
        </w:trPr>
        <w:tc>
          <w:tcPr>
            <w:tcW w:w="4420" w:type="dxa"/>
            <w:vAlign w:val="bottom"/>
            <w:gridSpan w:val="3"/>
          </w:tcPr>
          <w:p>
            <w:pPr>
              <w:ind w:left="40"/>
              <w:spacing w:after="0"/>
              <w:rPr>
                <w:sz w:val="20"/>
                <w:szCs w:val="20"/>
                <w:color w:val="auto"/>
              </w:rPr>
            </w:pPr>
            <w:r>
              <w:rPr>
                <w:rFonts w:ascii="Arial" w:cs="Arial" w:eastAsia="Arial" w:hAnsi="Arial"/>
                <w:sz w:val="16"/>
                <w:szCs w:val="16"/>
                <w:color w:val="auto"/>
              </w:rPr>
              <w:t>SERP benefit liability</w:t>
            </w:r>
          </w:p>
        </w:tc>
        <w:tc>
          <w:tcPr>
            <w:tcW w:w="5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2,497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2,649</w:t>
            </w:r>
          </w:p>
        </w:tc>
        <w:tc>
          <w:tcPr>
            <w:tcW w:w="0" w:type="dxa"/>
            <w:vAlign w:val="bottom"/>
          </w:tcPr>
          <w:p>
            <w:pPr>
              <w:spacing w:after="0"/>
              <w:rPr>
                <w:sz w:val="1"/>
                <w:szCs w:val="1"/>
                <w:color w:val="auto"/>
              </w:rPr>
            </w:pPr>
          </w:p>
        </w:tc>
      </w:tr>
      <w:tr>
        <w:trPr>
          <w:trHeight w:val="280"/>
        </w:trPr>
        <w:tc>
          <w:tcPr>
            <w:tcW w:w="44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5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Officer stock-based compensation</w:t>
            </w:r>
          </w:p>
        </w:tc>
        <w:tc>
          <w:tcPr>
            <w:tcW w:w="5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57"/>
        </w:trPr>
        <w:tc>
          <w:tcPr>
            <w:tcW w:w="494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30,581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62,021</w:t>
            </w: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current portion</w:t>
            </w:r>
          </w:p>
        </w:tc>
        <w:tc>
          <w:tcPr>
            <w:tcW w:w="5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(4,593)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(4,931)</w:t>
            </w:r>
          </w:p>
        </w:tc>
        <w:tc>
          <w:tcPr>
            <w:tcW w:w="0" w:type="dxa"/>
            <w:vAlign w:val="bottom"/>
          </w:tcPr>
          <w:p>
            <w:pPr>
              <w:spacing w:after="0"/>
              <w:rPr>
                <w:sz w:val="1"/>
                <w:szCs w:val="1"/>
                <w:color w:val="auto"/>
              </w:rPr>
            </w:pPr>
          </w:p>
        </w:tc>
      </w:tr>
      <w:tr>
        <w:trPr>
          <w:trHeight w:val="240"/>
        </w:trPr>
        <w:tc>
          <w:tcPr>
            <w:tcW w:w="620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32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25,988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57,090</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w:t>
      </w:r>
    </w:p>
    <w:p>
      <w:pPr>
        <w:spacing w:after="0" w:line="18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Fiscal 2005, through a plan amendment,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 Each year from 2012 to 2015, the employer established dollar caps were reduced</w:t>
      </w:r>
    </w:p>
    <w:p>
      <w:pPr>
        <w:spacing w:after="0" w:line="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by 10% through plan amendments. On September 28, 2015, we announced a plan amendment to our postretirement health care benefits. On January 1, 2016, postretirement health care benefits were discontinued for retirees age 65 and over. We will fund up to a $700,000 health reimbursement account in calendar 2016 to assist retirees over age 65 with medical expenses. The plan amendment also includes a 10% reduction in employer paid premiums for retirees under age 65. As a result of these amendments, our liability for postretirement health care was reduced as presented in the following table.</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13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Liability</w:t>
            </w:r>
          </w:p>
        </w:tc>
        <w:tc>
          <w:tcPr>
            <w:tcW w:w="1400" w:type="dxa"/>
            <w:vAlign w:val="bottom"/>
          </w:tcPr>
          <w:p>
            <w:pPr>
              <w:spacing w:after="0"/>
              <w:rPr>
                <w:sz w:val="16"/>
                <w:szCs w:val="16"/>
                <w:color w:val="auto"/>
              </w:rPr>
            </w:pPr>
          </w:p>
        </w:tc>
      </w:tr>
      <w:tr>
        <w:trPr>
          <w:trHeight w:val="189"/>
        </w:trPr>
        <w:tc>
          <w:tcPr>
            <w:tcW w:w="13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left="39"/>
              <w:spacing w:after="0"/>
              <w:rPr>
                <w:sz w:val="20"/>
                <w:szCs w:val="20"/>
                <w:color w:val="auto"/>
              </w:rPr>
            </w:pPr>
            <w:r>
              <w:rPr>
                <w:rFonts w:ascii="Arial" w:cs="Arial" w:eastAsia="Arial" w:hAnsi="Arial"/>
                <w:sz w:val="16"/>
                <w:szCs w:val="16"/>
                <w:b w:val="1"/>
                <w:bCs w:val="1"/>
                <w:color w:val="auto"/>
              </w:rPr>
              <w:t>Dollar Cap</w:t>
            </w:r>
          </w:p>
        </w:tc>
        <w:tc>
          <w:tcPr>
            <w:tcW w:w="28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Reduction</w:t>
            </w: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34"/>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54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Event</w:t>
            </w:r>
          </w:p>
        </w:tc>
        <w:tc>
          <w:tcPr>
            <w:tcW w:w="14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w w:val="99"/>
              </w:rPr>
              <w:t>Reduction</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(In thousands)</w:t>
            </w:r>
          </w:p>
        </w:tc>
        <w:tc>
          <w:tcPr>
            <w:tcW w:w="1400" w:type="dxa"/>
            <w:vAlign w:val="bottom"/>
            <w:tcBorders>
              <w:bottom w:val="single" w:sz="8" w:color="auto"/>
            </w:tcBorders>
          </w:tcPr>
          <w:p>
            <w:pPr>
              <w:jc w:val="right"/>
              <w:ind w:right="339"/>
              <w:spacing w:after="0" w:line="234"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(1)</w:t>
            </w:r>
          </w:p>
        </w:tc>
      </w:tr>
      <w:tr>
        <w:trPr>
          <w:trHeight w:val="264"/>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2005</w:t>
            </w:r>
          </w:p>
        </w:tc>
        <w:tc>
          <w:tcPr>
            <w:tcW w:w="5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Established employer dollar caps</w:t>
            </w:r>
          </w:p>
        </w:tc>
        <w:tc>
          <w:tcPr>
            <w:tcW w:w="1300" w:type="dxa"/>
            <w:vAlign w:val="bottom"/>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40,414</w:t>
            </w: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11.5 years</w:t>
            </w:r>
          </w:p>
        </w:tc>
      </w:tr>
      <w:tr>
        <w:trPr>
          <w:trHeight w:val="260"/>
        </w:trPr>
        <w:tc>
          <w:tcPr>
            <w:tcW w:w="1380" w:type="dxa"/>
            <w:vAlign w:val="bottom"/>
          </w:tcPr>
          <w:p>
            <w:pPr>
              <w:ind w:left="20"/>
              <w:spacing w:after="0"/>
              <w:rPr>
                <w:sz w:val="20"/>
                <w:szCs w:val="20"/>
                <w:color w:val="auto"/>
              </w:rPr>
            </w:pPr>
            <w:r>
              <w:rPr>
                <w:rFonts w:ascii="Arial" w:cs="Arial" w:eastAsia="Arial" w:hAnsi="Arial"/>
                <w:sz w:val="16"/>
                <w:szCs w:val="16"/>
                <w:color w:val="auto"/>
              </w:rPr>
              <w:t>January 2012</w:t>
            </w:r>
          </w:p>
        </w:tc>
        <w:tc>
          <w:tcPr>
            <w:tcW w:w="5540" w:type="dxa"/>
            <w:vAlign w:val="bottom"/>
            <w:gridSpan w:val="2"/>
          </w:tcPr>
          <w:p>
            <w:pPr>
              <w:ind w:left="220"/>
              <w:spacing w:after="0"/>
              <w:rPr>
                <w:sz w:val="20"/>
                <w:szCs w:val="20"/>
                <w:color w:val="auto"/>
              </w:rPr>
            </w:pPr>
            <w:r>
              <w:rPr>
                <w:rFonts w:ascii="Arial" w:cs="Arial" w:eastAsia="Arial" w:hAnsi="Arial"/>
                <w:sz w:val="16"/>
                <w:szCs w:val="16"/>
                <w:color w:val="auto"/>
              </w:rPr>
              <w:t>Reduced employer dollar caps</w:t>
            </w:r>
          </w:p>
        </w:tc>
        <w:tc>
          <w:tcPr>
            <w:tcW w:w="1300" w:type="dxa"/>
            <w:vAlign w:val="bottom"/>
          </w:tcPr>
          <w:p>
            <w:pPr>
              <w:jc w:val="center"/>
              <w:ind w:left="59"/>
              <w:spacing w:after="0"/>
              <w:rPr>
                <w:sz w:val="20"/>
                <w:szCs w:val="20"/>
                <w:color w:val="auto"/>
              </w:rPr>
            </w:pPr>
            <w:r>
              <w:rPr>
                <w:rFonts w:ascii="Arial" w:cs="Arial" w:eastAsia="Arial" w:hAnsi="Arial"/>
                <w:sz w:val="16"/>
                <w:szCs w:val="16"/>
                <w:color w:val="auto"/>
                <w:w w:val="99"/>
              </w:rPr>
              <w:t>10%</w:t>
            </w:r>
          </w:p>
        </w:tc>
        <w:tc>
          <w:tcPr>
            <w:tcW w:w="28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4,598</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7.8 years</w:t>
            </w:r>
          </w:p>
        </w:tc>
      </w:tr>
      <w:tr>
        <w:trPr>
          <w:trHeight w:val="280"/>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2013</w:t>
            </w:r>
          </w:p>
        </w:tc>
        <w:tc>
          <w:tcPr>
            <w:tcW w:w="5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Reduced employer dollar caps</w:t>
            </w:r>
          </w:p>
        </w:tc>
        <w:tc>
          <w:tcPr>
            <w:tcW w:w="13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10%</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4,289</w:t>
            </w: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7.5 years</w:t>
            </w:r>
          </w:p>
        </w:tc>
      </w:tr>
      <w:tr>
        <w:trPr>
          <w:trHeight w:val="260"/>
        </w:trPr>
        <w:tc>
          <w:tcPr>
            <w:tcW w:w="1380" w:type="dxa"/>
            <w:vAlign w:val="bottom"/>
          </w:tcPr>
          <w:p>
            <w:pPr>
              <w:ind w:left="20"/>
              <w:spacing w:after="0"/>
              <w:rPr>
                <w:sz w:val="20"/>
                <w:szCs w:val="20"/>
                <w:color w:val="auto"/>
              </w:rPr>
            </w:pPr>
            <w:r>
              <w:rPr>
                <w:rFonts w:ascii="Arial" w:cs="Arial" w:eastAsia="Arial" w:hAnsi="Arial"/>
                <w:sz w:val="16"/>
                <w:szCs w:val="16"/>
                <w:color w:val="auto"/>
              </w:rPr>
              <w:t>January 2014</w:t>
            </w:r>
          </w:p>
        </w:tc>
        <w:tc>
          <w:tcPr>
            <w:tcW w:w="5540" w:type="dxa"/>
            <w:vAlign w:val="bottom"/>
            <w:gridSpan w:val="2"/>
          </w:tcPr>
          <w:p>
            <w:pPr>
              <w:ind w:left="220"/>
              <w:spacing w:after="0"/>
              <w:rPr>
                <w:sz w:val="20"/>
                <w:szCs w:val="20"/>
                <w:color w:val="auto"/>
              </w:rPr>
            </w:pPr>
            <w:r>
              <w:rPr>
                <w:rFonts w:ascii="Arial" w:cs="Arial" w:eastAsia="Arial" w:hAnsi="Arial"/>
                <w:sz w:val="16"/>
                <w:szCs w:val="16"/>
                <w:color w:val="auto"/>
              </w:rPr>
              <w:t>Reduced employer dollar caps</w:t>
            </w:r>
          </w:p>
        </w:tc>
        <w:tc>
          <w:tcPr>
            <w:tcW w:w="1300" w:type="dxa"/>
            <w:vAlign w:val="bottom"/>
          </w:tcPr>
          <w:p>
            <w:pPr>
              <w:jc w:val="center"/>
              <w:ind w:left="59"/>
              <w:spacing w:after="0"/>
              <w:rPr>
                <w:sz w:val="20"/>
                <w:szCs w:val="20"/>
                <w:color w:val="auto"/>
              </w:rPr>
            </w:pPr>
            <w:r>
              <w:rPr>
                <w:rFonts w:ascii="Arial" w:cs="Arial" w:eastAsia="Arial" w:hAnsi="Arial"/>
                <w:sz w:val="16"/>
                <w:szCs w:val="16"/>
                <w:color w:val="auto"/>
                <w:w w:val="99"/>
              </w:rPr>
              <w:t>10%</w:t>
            </w:r>
          </w:p>
        </w:tc>
        <w:tc>
          <w:tcPr>
            <w:tcW w:w="28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3,580</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7.3 years</w:t>
            </w:r>
          </w:p>
        </w:tc>
      </w:tr>
      <w:tr>
        <w:trPr>
          <w:trHeight w:val="280"/>
        </w:trPr>
        <w:tc>
          <w:tcPr>
            <w:tcW w:w="1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2015</w:t>
            </w:r>
          </w:p>
        </w:tc>
        <w:tc>
          <w:tcPr>
            <w:tcW w:w="5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Reduced employer dollar caps</w:t>
            </w:r>
          </w:p>
        </w:tc>
        <w:tc>
          <w:tcPr>
            <w:tcW w:w="13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10%</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3,960</w:t>
            </w: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7.1 years</w:t>
            </w:r>
          </w:p>
        </w:tc>
      </w:tr>
      <w:tr>
        <w:trPr>
          <w:trHeight w:val="218"/>
        </w:trPr>
        <w:tc>
          <w:tcPr>
            <w:tcW w:w="1380" w:type="dxa"/>
            <w:vAlign w:val="bottom"/>
          </w:tcPr>
          <w:p>
            <w:pPr>
              <w:ind w:left="20"/>
              <w:spacing w:after="0"/>
              <w:rPr>
                <w:sz w:val="20"/>
                <w:szCs w:val="20"/>
                <w:color w:val="auto"/>
              </w:rPr>
            </w:pPr>
            <w:r>
              <w:rPr>
                <w:rFonts w:ascii="Arial" w:cs="Arial" w:eastAsia="Arial" w:hAnsi="Arial"/>
                <w:sz w:val="16"/>
                <w:szCs w:val="16"/>
                <w:color w:val="auto"/>
              </w:rPr>
              <w:t xml:space="preserve">January 2016 </w:t>
            </w:r>
            <w:r>
              <w:rPr>
                <w:rFonts w:ascii="Arial" w:cs="Arial" w:eastAsia="Arial" w:hAnsi="Arial"/>
                <w:sz w:val="17"/>
                <w:szCs w:val="17"/>
                <w:color w:val="auto"/>
                <w:vertAlign w:val="superscript"/>
              </w:rPr>
              <w:t>(2)</w:t>
            </w:r>
          </w:p>
        </w:tc>
        <w:tc>
          <w:tcPr>
            <w:tcW w:w="5540" w:type="dxa"/>
            <w:vAlign w:val="bottom"/>
            <w:gridSpan w:val="2"/>
          </w:tcPr>
          <w:p>
            <w:pPr>
              <w:ind w:left="220"/>
              <w:spacing w:after="0"/>
              <w:rPr>
                <w:sz w:val="20"/>
                <w:szCs w:val="20"/>
                <w:color w:val="auto"/>
              </w:rPr>
            </w:pPr>
            <w:r>
              <w:rPr>
                <w:rFonts w:ascii="Arial" w:cs="Arial" w:eastAsia="Arial" w:hAnsi="Arial"/>
                <w:sz w:val="16"/>
                <w:szCs w:val="16"/>
                <w:color w:val="auto"/>
              </w:rPr>
              <w:t>Reduced employer dollar caps for retirees under age 65; discontinued</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5"/>
        </w:trPr>
        <w:tc>
          <w:tcPr>
            <w:tcW w:w="1380" w:type="dxa"/>
            <w:vAlign w:val="bottom"/>
          </w:tcPr>
          <w:p>
            <w:pPr>
              <w:spacing w:after="0"/>
              <w:rPr>
                <w:sz w:val="16"/>
                <w:szCs w:val="16"/>
                <w:color w:val="auto"/>
              </w:rPr>
            </w:pPr>
          </w:p>
        </w:tc>
        <w:tc>
          <w:tcPr>
            <w:tcW w:w="5540" w:type="dxa"/>
            <w:vAlign w:val="bottom"/>
            <w:gridSpan w:val="2"/>
          </w:tcPr>
          <w:p>
            <w:pPr>
              <w:ind w:left="220"/>
              <w:spacing w:after="0"/>
              <w:rPr>
                <w:sz w:val="20"/>
                <w:szCs w:val="20"/>
                <w:color w:val="auto"/>
              </w:rPr>
            </w:pPr>
            <w:r>
              <w:rPr>
                <w:rFonts w:ascii="Arial" w:cs="Arial" w:eastAsia="Arial" w:hAnsi="Arial"/>
                <w:sz w:val="16"/>
                <w:szCs w:val="16"/>
                <w:color w:val="auto"/>
              </w:rPr>
              <w:t>retiree benefits for retirees age 65 and over</w:t>
            </w:r>
          </w:p>
        </w:tc>
        <w:tc>
          <w:tcPr>
            <w:tcW w:w="1300" w:type="dxa"/>
            <w:vAlign w:val="bottom"/>
          </w:tcPr>
          <w:p>
            <w:pPr>
              <w:jc w:val="center"/>
              <w:ind w:left="59"/>
              <w:spacing w:after="0"/>
              <w:rPr>
                <w:sz w:val="20"/>
                <w:szCs w:val="20"/>
                <w:color w:val="auto"/>
              </w:rPr>
            </w:pPr>
            <w:r>
              <w:rPr>
                <w:rFonts w:ascii="Arial" w:cs="Arial" w:eastAsia="Arial" w:hAnsi="Arial"/>
                <w:sz w:val="16"/>
                <w:szCs w:val="16"/>
                <w:color w:val="auto"/>
                <w:w w:val="99"/>
              </w:rPr>
              <w:t>10%</w:t>
            </w:r>
          </w:p>
        </w:tc>
        <w:tc>
          <w:tcPr>
            <w:tcW w:w="280" w:type="dxa"/>
            <w:vAlign w:val="bottom"/>
          </w:tcPr>
          <w:p>
            <w:pPr>
              <w:spacing w:after="0"/>
              <w:rPr>
                <w:sz w:val="16"/>
                <w:szCs w:val="16"/>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28,596</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6.9 years</w:t>
            </w:r>
          </w:p>
        </w:tc>
      </w:tr>
    </w:tbl>
    <w:p>
      <w:pPr>
        <w:spacing w:after="0" w:line="2"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Plan amendments are amortized on a straight-line basis over the expected remaining service period of active plan participants.</w:t>
      </w:r>
    </w:p>
    <w:p>
      <w:pPr>
        <w:ind w:right="80" w:firstLine="8"/>
        <w:spacing w:after="0" w:line="225" w:lineRule="auto"/>
        <w:tabs>
          <w:tab w:leader="none" w:pos="150"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In accordance with ASC 715, the effects of the plan amendment are accounted for at the date the amendment is adopted and the date the amendment has been communicated to plan participants. The effective date for this plan amendment was September 28, 2015.</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28,</w:t>
            </w:r>
          </w:p>
        </w:tc>
        <w:tc>
          <w:tcPr>
            <w:tcW w:w="340" w:type="dxa"/>
            <w:vAlign w:val="bottom"/>
          </w:tcPr>
          <w:p>
            <w:pPr>
              <w:spacing w:after="0"/>
              <w:rPr>
                <w:sz w:val="17"/>
                <w:szCs w:val="17"/>
                <w:color w:val="auto"/>
              </w:rPr>
            </w:pPr>
          </w:p>
        </w:tc>
        <w:tc>
          <w:tcPr>
            <w:tcW w:w="1540" w:type="dxa"/>
            <w:vAlign w:val="bottom"/>
            <w:gridSpan w:val="2"/>
          </w:tcPr>
          <w:p>
            <w:pPr>
              <w:ind w:left="240"/>
              <w:spacing w:after="0"/>
              <w:rPr>
                <w:sz w:val="20"/>
                <w:szCs w:val="20"/>
                <w:color w:val="auto"/>
              </w:rPr>
            </w:pPr>
            <w:r>
              <w:rPr>
                <w:rFonts w:ascii="Arial" w:cs="Arial" w:eastAsia="Arial" w:hAnsi="Arial"/>
                <w:sz w:val="16"/>
                <w:szCs w:val="16"/>
                <w:b w:val="1"/>
                <w:bCs w:val="1"/>
                <w:color w:val="auto"/>
              </w:rPr>
              <w:t>May 30,</w:t>
            </w:r>
          </w:p>
        </w:tc>
        <w:tc>
          <w:tcPr>
            <w:tcW w:w="34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28,</w:t>
            </w:r>
          </w:p>
        </w:tc>
        <w:tc>
          <w:tcPr>
            <w:tcW w:w="340" w:type="dxa"/>
            <w:vAlign w:val="bottom"/>
          </w:tcPr>
          <w:p>
            <w:pPr>
              <w:spacing w:after="0"/>
              <w:rPr>
                <w:sz w:val="17"/>
                <w:szCs w:val="17"/>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May 30,</w:t>
            </w:r>
          </w:p>
        </w:tc>
      </w:tr>
      <w:tr>
        <w:trPr>
          <w:trHeight w:val="228"/>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2015</w:t>
            </w:r>
          </w:p>
        </w:tc>
      </w:tr>
      <w:tr>
        <w:trPr>
          <w:trHeight w:val="257"/>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269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1,034</w:t>
            </w:r>
          </w:p>
        </w:tc>
      </w:tr>
      <w:tr>
        <w:trPr>
          <w:trHeight w:val="260"/>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340" w:type="dxa"/>
            <w:vAlign w:val="bottom"/>
          </w:tcPr>
          <w:p>
            <w:pPr>
              <w:spacing w:after="0"/>
              <w:rPr>
                <w:sz w:val="22"/>
                <w:szCs w:val="22"/>
                <w:color w:val="auto"/>
              </w:rPr>
            </w:pPr>
          </w:p>
        </w:tc>
        <w:tc>
          <w:tcPr>
            <w:tcW w:w="1420" w:type="dxa"/>
            <w:vAlign w:val="bottom"/>
          </w:tcPr>
          <w:p>
            <w:pPr>
              <w:jc w:val="right"/>
              <w:ind w:right="35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359"/>
              <w:spacing w:after="0"/>
              <w:rPr>
                <w:sz w:val="20"/>
                <w:szCs w:val="20"/>
                <w:color w:val="auto"/>
              </w:rPr>
            </w:pPr>
            <w:r>
              <w:rPr>
                <w:rFonts w:ascii="Arial" w:cs="Arial" w:eastAsia="Arial" w:hAnsi="Arial"/>
                <w:sz w:val="16"/>
                <w:szCs w:val="16"/>
                <w:color w:val="auto"/>
              </w:rPr>
              <w:t>320</w:t>
            </w:r>
          </w:p>
        </w:tc>
      </w:tr>
      <w:tr>
        <w:trPr>
          <w:trHeight w:val="280"/>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(2,008)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(1,459)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(5,728)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(4,079)</w:t>
            </w:r>
          </w:p>
        </w:tc>
      </w:tr>
      <w:tr>
        <w:trPr>
          <w:trHeight w:val="264"/>
        </w:trPr>
        <w:tc>
          <w:tcPr>
            <w:tcW w:w="40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1,197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1,066</w:t>
            </w:r>
          </w:p>
        </w:tc>
      </w:tr>
      <w:tr>
        <w:trPr>
          <w:trHeight w:val="24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(1,512)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(4,176)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(1,659)</w:t>
            </w: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7"/>
        </w:trPr>
        <w:tc>
          <w:tcPr>
            <w:tcW w:w="3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4"/>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707</w:t>
            </w: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Shareholders'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in place as approved by shareholders, which allows us to grant or issue non-qualified stock options, incentive stock options, share awards and other equity compensation to key employees and to non-employee directors.</w:t>
      </w:r>
    </w:p>
    <w:p>
      <w:pPr>
        <w:spacing w:after="0" w:line="14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On October 13, 2015 and October 15, 2014 the Human Resources Committee of the Board of Directors granted an aggregate of 204,200 and 99,600 shares, respectively, of restricted common stock to our key employees and non-employee directors under the Plan. The Human Resources Committee of the Board of Directors granted Michael J. Happe incentive stock options of 10,000 shares and restricted stock awards of 10,000 shares in January 2016, fulfilling terms of his employment contract. The value of the restricted stock award is determined using the intrinsic value method which, in this case, is based on the number of shares granted and the closing price of our common stock on the date of grant.</w:t>
      </w:r>
    </w:p>
    <w:p>
      <w:pPr>
        <w:spacing w:after="0" w:line="163"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Stock-based compensation expense was $553,000 and $391,000 during the third quarters of Fiscal 2016 and 2015, respectively. Stock-based compensation expense was $1.8 million and $1.7 million during the first nine months of Fiscal 2016 and 2015, respectively. Of the $1.8 million expense recognized in Fiscal 2016, $1.1 million related to the October 13, 2015 grant of 204,200 shares. The remainder is related to the amortization of previously granted restricted stock awards, non-employee director stock units issued in lieu of director fees and the CEO stock grants. Compensation expense is recognized over the requisite service period of the award.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5"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On March 16, 2016, the Board of Directors declared a quarterly cash dividend of $0.10 per share of common stock, which was paid on April 27, 2016 to shareholders of record at the close of business on April 13, 2016.</w:t>
      </w:r>
    </w:p>
    <w:p>
      <w:pPr>
        <w:spacing w:after="0" w:line="16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On June 15, 2016, the Board of Directors declared a quarterly cash dividend of $0.10 per share of common stock, payable on July 27, 2016 to shareholders of record at the close of business on July 13, 2016.</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 vehicles purchased.</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to the lending institution, or dealer invoice less periodic reductions based on the time since the date of the original invoice. Our total contingent liability on all repurchase agreements was approximately $419.0 million and $386.0 million at May 28, 2016 and August 29, 2015, respectively.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recreation vehicles to repurchase current inventory if a dealership exits the business. Incremental repurchase exposure beyond existing repurchase agreements, related to dealer inventory in states that we have had historical experience of repurchasing inventory, totaled $7.3 million and $7.2 million at May 28, 2016 and August 29, 2015, respectively.</w:t>
      </w:r>
    </w:p>
    <w:p>
      <w:pPr>
        <w:spacing w:after="0" w:line="14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although two dealer organizations account for approximately 31% of our revenues. The aggregate contingent liability related to our repurchase agreements represents all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$1.1 million as of May 28, 2016 and $1.3 million as of August 29, 2015.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91"/>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May 28,</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May 30,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28,</w:t>
            </w:r>
          </w:p>
        </w:tc>
        <w:tc>
          <w:tcPr>
            <w:tcW w:w="24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30,</w:t>
            </w:r>
          </w:p>
        </w:tc>
      </w:tr>
      <w:tr>
        <w:trPr>
          <w:trHeight w:val="228"/>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2015</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57"/>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7"/>
              </w:rPr>
              <w:t>445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7,325</w:t>
            </w:r>
          </w:p>
        </w:tc>
      </w:tr>
      <w:tr>
        <w:trPr>
          <w:trHeight w:val="260"/>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Cash collected on resold inventory</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6,309</w:t>
            </w:r>
          </w:p>
        </w:tc>
      </w:tr>
      <w:tr>
        <w:trPr>
          <w:trHeight w:val="280"/>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loss realized on resold inventory</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1,033</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4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For the past several years we have been involved in litigation in Australia seeking to recover from Knott for damages arising from Knott using our name on RVs without our approval. On December 2, 2015, the Federal Court of Australia, New South Wales District Registry, General Division, entered judgment in our favor and against Knott for damages arising out of its use of the Winnebago name. Damages awarded were 1.0% of the total sales of Winnebago branded recreation vehicles from October 14, 2004, through October 17, 2013, plus interest. We previously disclosed that the amount of that award was likely to exceed $5.0 million, plus attorneys’ fees. Knott appealed that ruling. On May 26, 2016, in exchange for immediate payment to Winnebago of $2.75 million, Winnebago and Knott executed a global settlement pursuant to which Knott will cease all use of the Winnebago name and logos, all appeals and oppositions are terminated, and all proceedings between the parties have been settled. Winnebago’s trademarks in Australia will proceed to registration without further opposition from Knott. The settlement of $2.75 million was recorded within general and administrative expense in the third quarter of Fiscal 2016.</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Income Taxes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6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 by the IRS and various state taxing authorities, net operating loss carryforwards generated in those years may still be adjusted upon examination by the IRS or state taxing authorities if they have been or will be used in a future period. As of May 28, 2016, our federal returns from Fiscal 2012 to present continue to be subject to review by the IRS. Currently, our Fiscal 2014 Federal Return is being reviewed. With few exceptions, the state returns from Fiscal 2009 to present continue to be subject to review by the state taxing jurisdictions. A number of years may elapse before an uncertain tax position is audited and finally resolved, and it is often very difficult to predict the outcome of such audits.</w:t>
      </w:r>
    </w:p>
    <w:p>
      <w:pPr>
        <w:spacing w:after="0" w:line="17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As of May 28, 2016, our unrecognized tax benefits were $2.3 million including accrued interest and penalties of $793,000. If we were to prevail on all unrecognized tax benefits recorded, $1.7 million of the $2.3 million would benefit the overall effective tax rate. It is our policy to recognize interest and penalties accrued relative to unrecognized tax benefits as tax expense. We do not believe that there will be a significant change in the total amount of unrecognized tax benefits within the next twelve months.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net income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28,</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30,</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28,</w:t>
            </w:r>
          </w:p>
        </w:tc>
        <w:tc>
          <w:tcPr>
            <w:tcW w:w="280" w:type="dxa"/>
            <w:vAlign w:val="bottom"/>
          </w:tcPr>
          <w:p>
            <w:pPr>
              <w:spacing w:after="0"/>
              <w:rPr>
                <w:sz w:val="17"/>
                <w:szCs w:val="17"/>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30,</w:t>
            </w:r>
          </w:p>
        </w:tc>
      </w:tr>
      <w:tr>
        <w:trPr>
          <w:trHeight w:val="22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7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14,438</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11,502</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32,350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29,493</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26,892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26,942</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293"/>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14,438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29,493</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26,892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26,932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26,935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26,942</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60"/>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27,004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27,030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27,029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27,042</w:t>
            </w:r>
          </w:p>
        </w:tc>
      </w:tr>
      <w:tr>
        <w:trPr>
          <w:trHeight w:val="28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bl>
    <w:p>
      <w:pPr>
        <w:spacing w:after="0" w:line="19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 xml:space="preserve">The computation of weighted average shares and potential dilutive shares outstanding excludes options to purchase 10,000 and 175,434 shares of common stock for the third quarter of Fiscal 2016 and Fiscal 2015, respectively, and options to purchase 40,616 and 232,902 shares of common stock for the nine months of Fiscal 2016 and Fiscal 2015, respectively. These amounts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Comprehensive Income (Loss)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in defined benefit pension items in AOCI,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Nine Months Ended</w:t>
            </w:r>
          </w:p>
        </w:tc>
      </w:tr>
      <w:tr>
        <w:trPr>
          <w:trHeight w:val="264"/>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May 28, 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May 30,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May 28, 2016</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May 30, 2015</w:t>
            </w:r>
          </w:p>
        </w:tc>
      </w:tr>
      <w:tr>
        <w:trPr>
          <w:trHeight w:val="27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13,616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(2,274)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(1,808)</w:t>
            </w:r>
          </w:p>
        </w:tc>
      </w:tr>
      <w:tr>
        <w:trPr>
          <w:trHeight w:val="270"/>
        </w:trPr>
        <w:tc>
          <w:tcPr>
            <w:tcW w:w="4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24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17,701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944</w:t>
            </w:r>
          </w:p>
        </w:tc>
      </w:tr>
      <w:tr>
        <w:trPr>
          <w:trHeight w:val="264"/>
        </w:trPr>
        <w:tc>
          <w:tcPr>
            <w:tcW w:w="4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Amounts reclassified from AOCI</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(983)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(2,794)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(1,857)</w:t>
            </w:r>
          </w:p>
        </w:tc>
      </w:tr>
      <w:tr>
        <w:trPr>
          <w:trHeight w:val="250"/>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(654)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14,907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(913)</w:t>
            </w:r>
          </w:p>
        </w:tc>
      </w:tr>
      <w:tr>
        <w:trPr>
          <w:trHeight w:val="270"/>
        </w:trPr>
        <w:tc>
          <w:tcPr>
            <w:tcW w:w="4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4"/>
        </w:trPr>
        <w:tc>
          <w:tcPr>
            <w:tcW w:w="4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12,633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(2,721)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12,633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(2,721)</w:t>
            </w: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9"/>
                <w:szCs w:val="19"/>
                <w:color w:val="auto"/>
              </w:rPr>
            </w:pPr>
          </w:p>
        </w:tc>
        <w:tc>
          <w:tcPr>
            <w:tcW w:w="26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184"/>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20"/>
              <w:spacing w:after="0"/>
              <w:rPr>
                <w:sz w:val="20"/>
                <w:szCs w:val="20"/>
                <w:color w:val="auto"/>
              </w:rPr>
            </w:pPr>
            <w:r>
              <w:rPr>
                <w:rFonts w:ascii="Arial" w:cs="Arial" w:eastAsia="Arial" w:hAnsi="Arial"/>
                <w:sz w:val="16"/>
                <w:szCs w:val="16"/>
                <w:b w:val="1"/>
                <w:bCs w:val="1"/>
                <w:color w:val="auto"/>
              </w:rPr>
              <w:t>Location on Consolidated</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189"/>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20"/>
              <w:spacing w:after="0"/>
              <w:rPr>
                <w:sz w:val="20"/>
                <w:szCs w:val="20"/>
                <w:color w:val="auto"/>
              </w:rPr>
            </w:pPr>
            <w:r>
              <w:rPr>
                <w:rFonts w:ascii="Arial" w:cs="Arial" w:eastAsia="Arial" w:hAnsi="Arial"/>
                <w:sz w:val="16"/>
                <w:szCs w:val="16"/>
                <w:b w:val="1"/>
                <w:bCs w:val="1"/>
                <w:color w:val="auto"/>
              </w:rPr>
              <w:t>of Income and</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28,</w:t>
            </w:r>
          </w:p>
        </w:tc>
        <w:tc>
          <w:tcPr>
            <w:tcW w:w="24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May 30,</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28,</w:t>
            </w:r>
          </w:p>
        </w:tc>
        <w:tc>
          <w:tcPr>
            <w:tcW w:w="240" w:type="dxa"/>
            <w:vAlign w:val="bottom"/>
          </w:tcPr>
          <w:p>
            <w:pPr>
              <w:spacing w:after="0"/>
              <w:rPr>
                <w:sz w:val="16"/>
                <w:szCs w:val="16"/>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30,</w:t>
            </w:r>
          </w:p>
        </w:tc>
      </w:tr>
      <w:tr>
        <w:trPr>
          <w:trHeight w:val="228"/>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257"/>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2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(3,545)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(2,525)</w:t>
            </w:r>
          </w:p>
        </w:tc>
      </w:tr>
      <w:tr>
        <w:trPr>
          <w:trHeight w:val="26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2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751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668</w:t>
            </w:r>
          </w:p>
        </w:tc>
      </w:tr>
      <w:tr>
        <w:trPr>
          <w:trHeight w:val="25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23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(2,794)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(1,857)</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Subsequent Event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On June 15, 2016 our Board of Directors declared a cash dividend of $0.10 per share as noted in Note 8.</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jc w:val="both"/>
        <w:ind w:right="40"/>
        <w:spacing w:after="0" w:line="191" w:lineRule="exact"/>
        <w:rPr>
          <w:sz w:val="20"/>
          <w:szCs w:val="20"/>
          <w:color w:val="auto"/>
        </w:rPr>
      </w:pPr>
      <w:r>
        <w:rPr>
          <w:rFonts w:ascii="Arial" w:cs="Arial" w:eastAsia="Arial" w:hAnsi="Arial"/>
          <w:sz w:val="16"/>
          <w:szCs w:val="16"/>
          <w:color w:val="auto"/>
        </w:rPr>
        <w:t>This management's discussion should be read in conjunction with the Unaudited Consolidated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29, 2015 and in Part II, Item 1A of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1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18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currently produce all of our motorhomes in vertically integrated manufacturing facilities in Iowa and we produce all travel trailer and fifth wheel trailers in Indiana. We are in the process of expanding some motorhome manufacturing to Junction City, Oregon. We distribute our products primarily through independent dealers throughout the US and Canada, who then retail the products to the end consumer.</w:t>
      </w:r>
    </w:p>
    <w:p>
      <w:pPr>
        <w:spacing w:after="0" w:line="162" w:lineRule="exact"/>
        <w:rPr>
          <w:sz w:val="20"/>
          <w:szCs w:val="20"/>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3"/>
          </w:tcPr>
          <w:p>
            <w:pPr>
              <w:ind w:left="820"/>
              <w:spacing w:after="0"/>
              <w:rPr>
                <w:sz w:val="20"/>
                <w:szCs w:val="20"/>
                <w:color w:val="auto"/>
              </w:rPr>
            </w:pPr>
            <w:r>
              <w:rPr>
                <w:rFonts w:ascii="Arial" w:cs="Arial" w:eastAsia="Arial" w:hAnsi="Arial"/>
                <w:sz w:val="14"/>
                <w:szCs w:val="14"/>
                <w:b w:val="1"/>
                <w:bCs w:val="1"/>
                <w:color w:val="auto"/>
              </w:rPr>
              <w:t>Rolling 12 Months</w:t>
            </w:r>
          </w:p>
        </w:tc>
        <w:tc>
          <w:tcPr>
            <w:tcW w:w="1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Through April</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Calendar Year</w:t>
            </w:r>
          </w:p>
        </w:tc>
        <w:tc>
          <w:tcPr>
            <w:tcW w:w="1260" w:type="dxa"/>
            <w:vAlign w:val="bottom"/>
            <w:tcBorders>
              <w:bottom w:val="single" w:sz="8" w:color="auto"/>
            </w:tcBorders>
          </w:tcPr>
          <w:p>
            <w:pPr>
              <w:spacing w:after="0"/>
              <w:rPr>
                <w:sz w:val="17"/>
                <w:szCs w:val="17"/>
                <w:color w:val="auto"/>
              </w:rPr>
            </w:pPr>
          </w:p>
        </w:tc>
      </w:tr>
      <w:tr>
        <w:trPr>
          <w:trHeight w:val="25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right"/>
              <w:ind w:right="984"/>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2015</w:t>
            </w:r>
          </w:p>
        </w:tc>
        <w:tc>
          <w:tcPr>
            <w:tcW w:w="160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b w:val="1"/>
                <w:bCs w:val="1"/>
                <w:color w:val="auto"/>
              </w:rPr>
              <w:t>2014</w:t>
            </w: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r>
      <w:tr>
        <w:trPr>
          <w:trHeight w:val="256"/>
        </w:trPr>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94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rPr>
              <w:t>19.5%</w:t>
            </w:r>
          </w:p>
        </w:tc>
        <w:tc>
          <w:tcPr>
            <w:tcW w:w="9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20.4%</w:t>
            </w:r>
          </w:p>
        </w:tc>
        <w:tc>
          <w:tcPr>
            <w:tcW w:w="160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20.7%</w:t>
            </w:r>
          </w:p>
        </w:tc>
        <w:tc>
          <w:tcPr>
            <w:tcW w:w="12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18.6%</w:t>
            </w:r>
          </w:p>
        </w:tc>
      </w:tr>
      <w:tr>
        <w:trPr>
          <w:trHeight w:val="251"/>
        </w:trPr>
        <w:tc>
          <w:tcPr>
            <w:tcW w:w="4220" w:type="dxa"/>
            <w:vAlign w:val="bottom"/>
            <w:gridSpan w:val="2"/>
          </w:tcPr>
          <w:p>
            <w:pPr>
              <w:ind w:left="40"/>
              <w:spacing w:after="0"/>
              <w:rPr>
                <w:sz w:val="20"/>
                <w:szCs w:val="20"/>
                <w:color w:val="auto"/>
              </w:rPr>
            </w:pPr>
            <w:r>
              <w:rPr>
                <w:rFonts w:ascii="Arial" w:cs="Arial" w:eastAsia="Arial" w:hAnsi="Arial"/>
                <w:sz w:val="16"/>
                <w:szCs w:val="16"/>
                <w:color w:val="auto"/>
              </w:rPr>
              <w:t>Travel trailer and fifth wheels</w:t>
            </w:r>
          </w:p>
        </w:tc>
        <w:tc>
          <w:tcPr>
            <w:tcW w:w="1940" w:type="dxa"/>
            <w:vAlign w:val="bottom"/>
          </w:tcPr>
          <w:p>
            <w:pPr>
              <w:jc w:val="right"/>
              <w:ind w:right="724"/>
              <w:spacing w:after="0"/>
              <w:rPr>
                <w:sz w:val="20"/>
                <w:szCs w:val="20"/>
                <w:color w:val="auto"/>
              </w:rPr>
            </w:pPr>
            <w:r>
              <w:rPr>
                <w:rFonts w:ascii="Arial" w:cs="Arial" w:eastAsia="Arial" w:hAnsi="Arial"/>
                <w:sz w:val="16"/>
                <w:szCs w:val="16"/>
                <w:color w:val="auto"/>
              </w:rPr>
              <w:t>1.0%</w:t>
            </w:r>
          </w:p>
        </w:tc>
        <w:tc>
          <w:tcPr>
            <w:tcW w:w="900" w:type="dxa"/>
            <w:vAlign w:val="bottom"/>
          </w:tcPr>
          <w:p>
            <w:pPr>
              <w:jc w:val="right"/>
              <w:ind w:right="20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1400" w:type="dxa"/>
            <w:vAlign w:val="bottom"/>
          </w:tcPr>
          <w:p>
            <w:pPr>
              <w:jc w:val="right"/>
              <w:ind w:right="182"/>
              <w:spacing w:after="0"/>
              <w:rPr>
                <w:sz w:val="20"/>
                <w:szCs w:val="20"/>
                <w:color w:val="auto"/>
              </w:rPr>
            </w:pPr>
            <w:r>
              <w:rPr>
                <w:rFonts w:ascii="Arial" w:cs="Arial" w:eastAsia="Arial" w:hAnsi="Arial"/>
                <w:sz w:val="16"/>
                <w:szCs w:val="16"/>
                <w:color w:val="auto"/>
              </w:rPr>
              <w:t>0.9%</w:t>
            </w:r>
          </w:p>
        </w:tc>
        <w:tc>
          <w:tcPr>
            <w:tcW w:w="1600" w:type="dxa"/>
            <w:vAlign w:val="bottom"/>
          </w:tcPr>
          <w:p>
            <w:pPr>
              <w:jc w:val="right"/>
              <w:ind w:right="363"/>
              <w:spacing w:after="0"/>
              <w:rPr>
                <w:sz w:val="20"/>
                <w:szCs w:val="20"/>
                <w:color w:val="auto"/>
              </w:rPr>
            </w:pPr>
            <w:r>
              <w:rPr>
                <w:rFonts w:ascii="Arial" w:cs="Arial" w:eastAsia="Arial" w:hAnsi="Arial"/>
                <w:sz w:val="16"/>
                <w:szCs w:val="16"/>
                <w:color w:val="auto"/>
              </w:rPr>
              <w:t>0.8%</w:t>
            </w:r>
          </w:p>
        </w:tc>
        <w:tc>
          <w:tcPr>
            <w:tcW w:w="1260" w:type="dxa"/>
            <w:vAlign w:val="bottom"/>
          </w:tcPr>
          <w:p>
            <w:pPr>
              <w:jc w:val="right"/>
              <w:ind w:right="202"/>
              <w:spacing w:after="0"/>
              <w:rPr>
                <w:sz w:val="20"/>
                <w:szCs w:val="20"/>
                <w:color w:val="auto"/>
              </w:rPr>
            </w:pPr>
            <w:r>
              <w:rPr>
                <w:rFonts w:ascii="Arial" w:cs="Arial" w:eastAsia="Arial" w:hAnsi="Arial"/>
                <w:sz w:val="16"/>
                <w:szCs w:val="16"/>
                <w:color w:val="auto"/>
              </w:rPr>
              <w:t>1.0%</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RVIA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the dealer, which is reported monthly by Stat Surveys</w:t>
      </w:r>
    </w:p>
    <w:p>
      <w:pPr>
        <w:spacing w:after="0" w:line="208"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to the overall industry. The rolling twelve months shipment and retail information for 2016 and 2015 as noted below illustrates that the RV industry continues to grow both at the wholesale and retail level. We believe that retail demand is the key driver to continued growth in the RV industry and that annual RV shipments will generally be in line with retail registrations in the future.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4"/>
                <w:szCs w:val="14"/>
                <w:b w:val="1"/>
                <w:bCs w:val="1"/>
                <w:color w:val="auto"/>
              </w:rPr>
              <w:t>US and Canada Industry</w:t>
            </w:r>
          </w:p>
        </w:tc>
        <w:tc>
          <w:tcPr>
            <w:tcW w:w="10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58"/>
        </w:trPr>
        <w:tc>
          <w:tcPr>
            <w:tcW w:w="1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Wholesale Unit Shipments per RVIA</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Retail Unit Registrations per Stat Surveys</w:t>
            </w:r>
          </w:p>
        </w:tc>
      </w:tr>
      <w:tr>
        <w:trPr>
          <w:trHeight w:val="276"/>
        </w:trPr>
        <w:tc>
          <w:tcPr>
            <w:tcW w:w="19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4"/>
                <w:szCs w:val="14"/>
                <w:b w:val="1"/>
                <w:bCs w:val="1"/>
                <w:color w:val="auto"/>
              </w:rPr>
              <w:t>Rolling 12 Months through April</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Rolling 12 Months through April</w:t>
            </w:r>
          </w:p>
        </w:tc>
        <w:tc>
          <w:tcPr>
            <w:tcW w:w="1140" w:type="dxa"/>
            <w:vAlign w:val="bottom"/>
            <w:tcBorders>
              <w:bottom w:val="single" w:sz="8" w:color="auto"/>
            </w:tcBorders>
          </w:tcPr>
          <w:p>
            <w:pPr>
              <w:spacing w:after="0"/>
              <w:rPr>
                <w:sz w:val="24"/>
                <w:szCs w:val="24"/>
                <w:color w:val="auto"/>
              </w:rPr>
            </w:pPr>
          </w:p>
        </w:tc>
      </w:tr>
      <w:tr>
        <w:trPr>
          <w:trHeight w:val="250"/>
        </w:trPr>
        <w:tc>
          <w:tcPr>
            <w:tcW w:w="198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4"/>
                <w:szCs w:val="14"/>
                <w:b w:val="1"/>
                <w:bCs w:val="1"/>
                <w:color w:val="auto"/>
              </w:rPr>
              <w:t>2016</w:t>
            </w:r>
          </w:p>
        </w:tc>
        <w:tc>
          <w:tcPr>
            <w:tcW w:w="1140" w:type="dxa"/>
            <w:vAlign w:val="bottom"/>
          </w:tcPr>
          <w:p>
            <w:pPr>
              <w:jc w:val="right"/>
              <w:ind w:right="43"/>
              <w:spacing w:after="0"/>
              <w:rPr>
                <w:sz w:val="20"/>
                <w:szCs w:val="20"/>
                <w:color w:val="auto"/>
              </w:rPr>
            </w:pPr>
            <w:r>
              <w:rPr>
                <w:rFonts w:ascii="Arial" w:cs="Arial" w:eastAsia="Arial" w:hAnsi="Arial"/>
                <w:sz w:val="14"/>
                <w:szCs w:val="14"/>
                <w:b w:val="1"/>
                <w:bCs w:val="1"/>
                <w:color w:val="auto"/>
              </w:rPr>
              <w:t>2015</w:t>
            </w: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Unit Change</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1080" w:type="dxa"/>
            <w:vAlign w:val="bottom"/>
          </w:tcPr>
          <w:p>
            <w:pPr>
              <w:jc w:val="right"/>
              <w:ind w:right="43"/>
              <w:spacing w:after="0"/>
              <w:rPr>
                <w:sz w:val="20"/>
                <w:szCs w:val="20"/>
                <w:color w:val="auto"/>
              </w:rPr>
            </w:pPr>
            <w:r>
              <w:rPr>
                <w:rFonts w:ascii="Arial" w:cs="Arial" w:eastAsia="Arial" w:hAnsi="Arial"/>
                <w:sz w:val="14"/>
                <w:szCs w:val="14"/>
                <w:b w:val="1"/>
                <w:bCs w:val="1"/>
                <w:color w:val="auto"/>
              </w:rPr>
              <w:t>2015</w:t>
            </w:r>
          </w:p>
        </w:tc>
        <w:tc>
          <w:tcPr>
            <w:tcW w:w="1340" w:type="dxa"/>
            <w:vAlign w:val="bottom"/>
          </w:tcPr>
          <w:p>
            <w:pPr>
              <w:jc w:val="right"/>
              <w:ind w:right="301"/>
              <w:spacing w:after="0"/>
              <w:rPr>
                <w:sz w:val="20"/>
                <w:szCs w:val="20"/>
                <w:color w:val="auto"/>
              </w:rPr>
            </w:pPr>
            <w:r>
              <w:rPr>
                <w:rFonts w:ascii="Arial" w:cs="Arial" w:eastAsia="Arial" w:hAnsi="Arial"/>
                <w:sz w:val="14"/>
                <w:szCs w:val="14"/>
                <w:b w:val="1"/>
                <w:bCs w:val="1"/>
                <w:color w:val="auto"/>
              </w:rPr>
              <w:t>Unit Change</w:t>
            </w:r>
          </w:p>
        </w:tc>
        <w:tc>
          <w:tcPr>
            <w:tcW w:w="1140" w:type="dxa"/>
            <w:vAlign w:val="bottom"/>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6"/>
        </w:trPr>
        <w:tc>
          <w:tcPr>
            <w:tcW w:w="1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Towable </w:t>
            </w:r>
            <w:r>
              <w:rPr>
                <w:rFonts w:ascii="Arial" w:cs="Arial" w:eastAsia="Arial" w:hAnsi="Arial"/>
                <w:sz w:val="21"/>
                <w:szCs w:val="21"/>
                <w:color w:val="auto"/>
                <w:vertAlign w:val="superscript"/>
              </w:rPr>
              <w:t>(1)</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324,552</w:t>
            </w: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309,539</w:t>
            </w:r>
          </w:p>
        </w:tc>
        <w:tc>
          <w:tcPr>
            <w:tcW w:w="14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15,013</w:t>
            </w:r>
          </w:p>
        </w:tc>
        <w:tc>
          <w:tcPr>
            <w:tcW w:w="10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4.9%</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325,322</w:t>
            </w:r>
          </w:p>
        </w:tc>
        <w:tc>
          <w:tcPr>
            <w:tcW w:w="10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293,828</w:t>
            </w:r>
          </w:p>
        </w:tc>
        <w:tc>
          <w:tcPr>
            <w:tcW w:w="134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31,494</w:t>
            </w:r>
          </w:p>
        </w:tc>
        <w:tc>
          <w:tcPr>
            <w:tcW w:w="114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10.7%</w:t>
            </w:r>
          </w:p>
        </w:tc>
      </w:tr>
      <w:tr>
        <w:trPr>
          <w:trHeight w:val="270"/>
        </w:trPr>
        <w:tc>
          <w:tcPr>
            <w:tcW w:w="1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Motorized </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49,943</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45,156</w:t>
            </w: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4,787</w:t>
            </w:r>
          </w:p>
        </w:tc>
        <w:tc>
          <w:tcPr>
            <w:tcW w:w="10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45,624</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41,014</w:t>
            </w:r>
          </w:p>
        </w:tc>
        <w:tc>
          <w:tcPr>
            <w:tcW w:w="13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4,610</w:t>
            </w: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11.2%</w:t>
            </w:r>
          </w:p>
        </w:tc>
      </w:tr>
      <w:tr>
        <w:trPr>
          <w:trHeight w:val="234"/>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374,495</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354,695</w:t>
            </w:r>
          </w:p>
        </w:tc>
        <w:tc>
          <w:tcPr>
            <w:tcW w:w="14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19,800</w:t>
            </w:r>
          </w:p>
        </w:tc>
        <w:tc>
          <w:tcPr>
            <w:tcW w:w="10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370,946</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334,842</w:t>
            </w:r>
          </w:p>
        </w:tc>
        <w:tc>
          <w:tcPr>
            <w:tcW w:w="134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36,104</w:t>
            </w:r>
          </w:p>
        </w:tc>
        <w:tc>
          <w:tcPr>
            <w:tcW w:w="11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10.8%</w:t>
            </w:r>
          </w:p>
        </w:tc>
      </w:tr>
      <w:tr>
        <w:trPr>
          <w:trHeight w:val="20"/>
        </w:trPr>
        <w:tc>
          <w:tcPr>
            <w:tcW w:w="1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Towable: Fifth wheel and travel trailer products</w:t>
      </w:r>
    </w:p>
    <w:p>
      <w:pPr>
        <w:ind w:left="340" w:hanging="332"/>
        <w:spacing w:after="0" w:line="199" w:lineRule="auto"/>
        <w:tabs>
          <w:tab w:leader="none" w:pos="3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Motorized: Class A, B and C products</w:t>
      </w:r>
    </w:p>
    <w:p>
      <w:pPr>
        <w:spacing w:after="0" w:line="150"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most recent towable and motorized RVIA wholesale shipment forecasts for calendar year 2016 and 2017 as noted in the table below illustrates continued projected growth of the industry. The outlook for future growth in RV sales is based on continued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modest gains in job and disposable income prospects as well as low inflation, and takes into account the impact of slowly rising interest rates, a strong U.S.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dollar and continued weakness in energy production and prices.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rPr>
              <w:t>Calendar Year</w:t>
            </w:r>
          </w:p>
        </w:tc>
        <w:tc>
          <w:tcPr>
            <w:tcW w:w="1300" w:type="dxa"/>
            <w:vAlign w:val="bottom"/>
            <w:tcBorders>
              <w:bottom w:val="single" w:sz="8" w:color="auto"/>
            </w:tcBorders>
          </w:tcPr>
          <w:p>
            <w:pPr>
              <w:spacing w:after="0"/>
              <w:rPr>
                <w:sz w:val="17"/>
                <w:szCs w:val="17"/>
                <w:color w:val="auto"/>
              </w:rPr>
            </w:pPr>
          </w:p>
        </w:tc>
      </w:tr>
      <w:tr>
        <w:trPr>
          <w:trHeight w:val="25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Wholesale Unit Shipment Forecast per RVIA </w:t>
            </w:r>
            <w:r>
              <w:rPr>
                <w:rFonts w:ascii="Arial" w:cs="Arial" w:eastAsia="Arial" w:hAnsi="Arial"/>
                <w:sz w:val="17"/>
                <w:szCs w:val="17"/>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2017</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Unit Change</w:t>
            </w: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341,200</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334,200</w:t>
            </w:r>
          </w:p>
        </w:tc>
        <w:tc>
          <w:tcPr>
            <w:tcW w:w="12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7,000</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2.1%</w:t>
            </w:r>
          </w:p>
        </w:tc>
      </w:tr>
      <w:tr>
        <w:trPr>
          <w:trHeight w:val="264"/>
        </w:trPr>
        <w:tc>
          <w:tcPr>
            <w:tcW w:w="6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Motorized</w:t>
            </w:r>
          </w:p>
        </w:tc>
        <w:tc>
          <w:tcPr>
            <w:tcW w:w="12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52,500</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50,900</w:t>
            </w:r>
          </w:p>
        </w:tc>
        <w:tc>
          <w:tcPr>
            <w:tcW w:w="12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1,600</w:t>
            </w: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3.1%</w:t>
            </w:r>
          </w:p>
        </w:tc>
      </w:tr>
      <w:tr>
        <w:trPr>
          <w:trHeight w:val="257"/>
        </w:trPr>
        <w:tc>
          <w:tcPr>
            <w:tcW w:w="6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2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393,700</w:t>
            </w: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385,100</w:t>
            </w:r>
          </w:p>
        </w:tc>
        <w:tc>
          <w:tcPr>
            <w:tcW w:w="12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8,600</w:t>
            </w:r>
          </w:p>
        </w:tc>
        <w:tc>
          <w:tcPr>
            <w:tcW w:w="13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2.2%</w:t>
            </w:r>
          </w:p>
        </w:tc>
      </w:tr>
    </w:tbl>
    <w:p>
      <w:pPr>
        <w:spacing w:after="0" w:line="59" w:lineRule="exact"/>
        <w:rPr>
          <w:sz w:val="20"/>
          <w:szCs w:val="20"/>
          <w:color w:val="auto"/>
        </w:rPr>
      </w:pPr>
    </w:p>
    <w:p>
      <w:pPr>
        <w:ind w:left="340" w:right="80" w:hanging="332"/>
        <w:spacing w:after="0" w:line="218"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Prepared by Dr. Richard Curtin of the University of Michigan Consumer Survey Research Center for RVIA and reported in the Roadsigns RV Summer 2016 Industry Forecast Issue.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187" w:lineRule="exact"/>
        <w:rPr>
          <w:sz w:val="20"/>
          <w:szCs w:val="20"/>
          <w:color w:val="auto"/>
        </w:rPr>
      </w:pPr>
    </w:p>
    <w:p>
      <w:pPr>
        <w:ind w:right="400"/>
        <w:spacing w:after="0" w:line="253" w:lineRule="auto"/>
        <w:rPr>
          <w:sz w:val="20"/>
          <w:szCs w:val="20"/>
          <w:color w:val="auto"/>
        </w:rPr>
      </w:pPr>
      <w:r>
        <w:rPr>
          <w:rFonts w:ascii="Arial" w:cs="Arial" w:eastAsia="Arial" w:hAnsi="Arial"/>
          <w:sz w:val="16"/>
          <w:szCs w:val="16"/>
          <w:color w:val="auto"/>
        </w:rPr>
        <w:t>In the first calendar quarter of 2016 the RV industry continued to experience growth in both wholesale and retail volumes. This sustained growth has been consistent for several years in the motorized and towable segments. We have been able to capitalize on the industry growth to varying degrees with our towable and motorized products while making technology and other investments that we believe will support our growth.</w:t>
      </w:r>
    </w:p>
    <w:p>
      <w:pPr>
        <w:spacing w:after="0" w:line="17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the first nine months of Fiscal 2016 we achieved strong results in our towables division, where our shipments grew much faster than the industry as a result of greater penetration of our new products and further expansion of our distribution base. We believe we can continue to achieve growth in excess of the overall towables market projections for the remainder of Fiscal 2016.</w:t>
      </w:r>
    </w:p>
    <w:p>
      <w:pPr>
        <w:spacing w:after="0" w:line="174"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In the motorized business, however, we did not achieve unit growth commensurate with the industry. While we had a strong fiscal third quarter where our deliveries grew by 12.4%, fiscal year to date our deliveries have grown at a slower rate than the industry as a whole as we are still facing manufacturing capacity challenges and losing retail market share in select product categories. Our overall motorized market share has moved from 20.9% to 19.5% when comparing shipments during the twelve month trailing periods ended April 2015 to April 2016.</w:t>
      </w:r>
    </w:p>
    <w:p>
      <w:pPr>
        <w:spacing w:after="0" w:line="17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part, the motorized market share decline has been influenced by limited production capacity within our North Iowa facilities. In recent quarters, we have begun to make investments in unlocking further capacity via improved operational processes and adding new facilities. While these investments have not been fully realized to date, we have taken near term actions to maximize the profitability of the motorized product with improved mix, cost containment efforts and pricing initiatives.</w:t>
      </w:r>
    </w:p>
    <w:p>
      <w:pPr>
        <w:spacing w:after="0" w:line="17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As a result of the actions taken within our motorized and towable products, we have seen similar changes to the backlog volumes at the end of our fiscal third quarter.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Towable backlog grew 130.2% on a unit basis, which is driven by the expansion of our distribution base and the new products that were mentioned earlier.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motorized unit backlog decreased by 33.6% on a unit basis when compared to the third quarter of Fiscal 2015. Several factors contributed as follows:</w:t>
      </w:r>
    </w:p>
    <w:p>
      <w:pPr>
        <w:spacing w:after="0" w:line="5" w:lineRule="exact"/>
        <w:rPr>
          <w:sz w:val="20"/>
          <w:szCs w:val="20"/>
          <w:color w:val="auto"/>
        </w:rPr>
      </w:pPr>
    </w:p>
    <w:p>
      <w:pPr>
        <w:ind w:left="340" w:right="240" w:hanging="332"/>
        <w:spacing w:after="0" w:line="246"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prior years, we have hosted a dealer event in our fiscal third quarter that historically would generate substantial motorized sales orders. This year, we elected to reallocate some of these marketing dollars to other programs which occur later in the year and thus we believe these programs will generate sales orders in future quarters.</w:t>
      </w:r>
    </w:p>
    <w:p>
      <w:pPr>
        <w:spacing w:after="0" w:line="1"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Another factor was related to the timing of when certain rental units were delivered. In the third quarter of Fiscal 2015, a portion of our rental business was still in the backlog count as the units were delivered in the fourth quarter of Fiscal 2015. This year, all of our rental volume was delivered in the third quarter.</w:t>
      </w:r>
    </w:p>
    <w:p>
      <w:pPr>
        <w:spacing w:after="0" w:line="179" w:lineRule="exact"/>
        <w:rPr>
          <w:rFonts w:ascii="Arial" w:cs="Arial" w:eastAsia="Arial" w:hAnsi="Arial"/>
          <w:sz w:val="16"/>
          <w:szCs w:val="16"/>
          <w:color w:val="auto"/>
        </w:rPr>
      </w:pPr>
    </w:p>
    <w:p>
      <w:pPr>
        <w:ind w:left="340" w:right="20" w:hanging="332"/>
        <w:spacing w:after="0" w:line="253"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Lastly, we have begun to see some modest improvement from the operational improvement efforts that started in January. In the quarter, these operational improvements allowed us to more quickly deliver motorized units to our dealer network and thus further reduced the backlog. We believe it is critical to timely satisfy dealer demand and we will continue to work on reducing product throughput time.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color w:val="auto"/>
                <w:vertAlign w:val="superscript"/>
              </w:rPr>
              <w:t>(1)</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82"/>
              <w:spacing w:after="0"/>
              <w:rPr>
                <w:sz w:val="20"/>
                <w:szCs w:val="20"/>
                <w:color w:val="auto"/>
              </w:rPr>
            </w:pPr>
            <w:r>
              <w:rPr>
                <w:rFonts w:ascii="Arial" w:cs="Arial" w:eastAsia="Arial" w:hAnsi="Arial"/>
                <w:sz w:val="14"/>
                <w:szCs w:val="14"/>
                <w:b w:val="1"/>
                <w:bCs w:val="1"/>
                <w:color w:val="auto"/>
              </w:rPr>
              <w:t>(Decrease)</w:t>
            </w:r>
          </w:p>
        </w:tc>
        <w:tc>
          <w:tcPr>
            <w:tcW w:w="1320" w:type="dxa"/>
            <w:vAlign w:val="bottom"/>
          </w:tcPr>
          <w:p>
            <w:pPr>
              <w:jc w:val="right"/>
              <w:ind w:right="6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5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May 28, 2016</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May 30, 2015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Increase</w:t>
            </w:r>
          </w:p>
        </w:tc>
        <w:tc>
          <w:tcPr>
            <w:tcW w:w="13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 (in units)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(766)</w:t>
            </w:r>
          </w:p>
        </w:tc>
        <w:tc>
          <w:tcPr>
            <w:tcW w:w="13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60"/>
        </w:trPr>
        <w:tc>
          <w:tcPr>
            <w:tcW w:w="5800" w:type="dxa"/>
            <w:vAlign w:val="bottom"/>
            <w:gridSpan w:val="2"/>
          </w:tcPr>
          <w:p>
            <w:pPr>
              <w:ind w:left="40"/>
              <w:spacing w:after="0"/>
              <w:rPr>
                <w:sz w:val="20"/>
                <w:szCs w:val="20"/>
                <w:color w:val="auto"/>
              </w:rPr>
            </w:pPr>
            <w:r>
              <w:rPr>
                <w:rFonts w:ascii="Arial" w:cs="Arial" w:eastAsia="Arial" w:hAnsi="Arial"/>
                <w:sz w:val="16"/>
                <w:szCs w:val="16"/>
                <w:color w:val="auto"/>
              </w:rPr>
              <w:t>Motorhomes (approximate revenues in thousands)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134,495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196,915</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42"/>
              <w:spacing w:after="0"/>
              <w:rPr>
                <w:sz w:val="20"/>
                <w:szCs w:val="20"/>
                <w:color w:val="auto"/>
              </w:rPr>
            </w:pPr>
            <w:r>
              <w:rPr>
                <w:rFonts w:ascii="Arial" w:cs="Arial" w:eastAsia="Arial" w:hAnsi="Arial"/>
                <w:sz w:val="16"/>
                <w:szCs w:val="16"/>
                <w:color w:val="auto"/>
              </w:rPr>
              <w:t>(62,420)</w:t>
            </w:r>
          </w:p>
        </w:tc>
        <w:tc>
          <w:tcPr>
            <w:tcW w:w="1320" w:type="dxa"/>
            <w:vAlign w:val="bottom"/>
          </w:tcPr>
          <w:p>
            <w:pPr>
              <w:jc w:val="right"/>
              <w:ind w:right="82"/>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80"/>
        </w:trPr>
        <w:tc>
          <w:tcPr>
            <w:tcW w:w="5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800" w:type="dxa"/>
            <w:vAlign w:val="bottom"/>
            <w:gridSpan w:val="2"/>
          </w:tcPr>
          <w:p>
            <w:pPr>
              <w:ind w:left="40"/>
              <w:spacing w:after="0"/>
              <w:rPr>
                <w:sz w:val="20"/>
                <w:szCs w:val="20"/>
                <w:color w:val="auto"/>
              </w:rPr>
            </w:pPr>
            <w:r>
              <w:rPr>
                <w:rFonts w:ascii="Arial" w:cs="Arial" w:eastAsia="Arial" w:hAnsi="Arial"/>
                <w:sz w:val="16"/>
                <w:szCs w:val="16"/>
                <w:color w:val="auto"/>
              </w:rPr>
              <w:t>Towables (in units)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233</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130.2 %</w:t>
            </w:r>
          </w:p>
        </w:tc>
        <w:tc>
          <w:tcPr>
            <w:tcW w:w="0" w:type="dxa"/>
            <w:vAlign w:val="bottom"/>
          </w:tcPr>
          <w:p>
            <w:pPr>
              <w:spacing w:after="0"/>
              <w:rPr>
                <w:sz w:val="1"/>
                <w:szCs w:val="1"/>
                <w:color w:val="auto"/>
              </w:rPr>
            </w:pPr>
          </w:p>
        </w:tc>
      </w:tr>
      <w:tr>
        <w:trPr>
          <w:trHeight w:val="270"/>
        </w:trPr>
        <w:tc>
          <w:tcPr>
            <w:tcW w:w="5800" w:type="dxa"/>
            <w:vAlign w:val="bottom"/>
            <w:gridSpan w:val="2"/>
          </w:tcPr>
          <w:p>
            <w:pPr>
              <w:ind w:left="40"/>
              <w:spacing w:after="0"/>
              <w:rPr>
                <w:sz w:val="20"/>
                <w:szCs w:val="20"/>
                <w:color w:val="auto"/>
              </w:rPr>
            </w:pPr>
            <w:r>
              <w:rPr>
                <w:rFonts w:ascii="Arial" w:cs="Arial" w:eastAsia="Arial" w:hAnsi="Arial"/>
                <w:sz w:val="16"/>
                <w:szCs w:val="16"/>
                <w:color w:val="auto"/>
              </w:rPr>
              <w:t>Towables (approximate revenues in thousands)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8,058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4,512</w:t>
            </w:r>
          </w:p>
        </w:tc>
        <w:tc>
          <w:tcPr>
            <w:tcW w:w="4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82"/>
              <w:spacing w:after="0"/>
              <w:rPr>
                <w:sz w:val="20"/>
                <w:szCs w:val="20"/>
                <w:color w:val="auto"/>
              </w:rPr>
            </w:pPr>
            <w:r>
              <w:rPr>
                <w:rFonts w:ascii="Arial" w:cs="Arial" w:eastAsia="Arial" w:hAnsi="Arial"/>
                <w:sz w:val="16"/>
                <w:szCs w:val="16"/>
                <w:color w:val="auto"/>
              </w:rPr>
              <w:t>3,546</w:t>
            </w:r>
          </w:p>
        </w:tc>
        <w:tc>
          <w:tcPr>
            <w:tcW w:w="1320" w:type="dxa"/>
            <w:vAlign w:val="bottom"/>
          </w:tcPr>
          <w:p>
            <w:pPr>
              <w:jc w:val="right"/>
              <w:ind w:right="102"/>
              <w:spacing w:after="0"/>
              <w:rPr>
                <w:sz w:val="20"/>
                <w:szCs w:val="20"/>
                <w:color w:val="auto"/>
              </w:rPr>
            </w:pPr>
            <w:r>
              <w:rPr>
                <w:rFonts w:ascii="Arial" w:cs="Arial" w:eastAsia="Arial" w:hAnsi="Arial"/>
                <w:sz w:val="16"/>
                <w:szCs w:val="16"/>
                <w:color w:val="auto"/>
              </w:rPr>
              <w:t>78.6 %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 w:lineRule="exact"/>
        <w:rPr>
          <w:sz w:val="20"/>
          <w:szCs w:val="20"/>
          <w:color w:val="auto"/>
        </w:rPr>
      </w:pPr>
    </w:p>
    <w:p>
      <w:pPr>
        <w:ind w:right="100" w:firstLine="8"/>
        <w:spacing w:after="0" w:line="225" w:lineRule="auto"/>
        <w:tabs>
          <w:tab w:leader="none" w:pos="150" w:val="left"/>
        </w:tabs>
        <w:numPr>
          <w:ilvl w:val="0"/>
          <w:numId w:val="8"/>
        </w:numPr>
        <w:rPr>
          <w:rFonts w:ascii="Arial" w:cs="Arial" w:eastAsia="Arial" w:hAnsi="Arial"/>
          <w:sz w:val="17"/>
          <w:szCs w:val="17"/>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4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A key metric used to evaluate motorized dealer inventory levels is the retail turn rate (12 month retail volume/current dealer inventory). At the end of the third quarter of Fiscal 2016 the retail turn rate was 2.0 turns for motorized product. Historically turn rates above 2.0 have been an indication of a balanced dealer inventory, thus we believe motorized dealer inventory levels are in alignment with retail demand.</w:t>
      </w:r>
    </w:p>
    <w:p>
      <w:pPr>
        <w:spacing w:after="0" w:line="174" w:lineRule="exact"/>
        <w:rPr>
          <w:sz w:val="20"/>
          <w:szCs w:val="20"/>
          <w:color w:val="auto"/>
        </w:rPr>
      </w:pPr>
    </w:p>
    <w:p>
      <w:pPr>
        <w:jc w:val="both"/>
        <w:ind w:right="440"/>
        <w:spacing w:after="0" w:line="253" w:lineRule="auto"/>
        <w:rPr>
          <w:sz w:val="20"/>
          <w:szCs w:val="20"/>
          <w:color w:val="auto"/>
        </w:rPr>
      </w:pPr>
      <w:r>
        <w:rPr>
          <w:rFonts w:ascii="Arial" w:cs="Arial" w:eastAsia="Arial" w:hAnsi="Arial"/>
          <w:sz w:val="16"/>
          <w:szCs w:val="16"/>
          <w:color w:val="auto"/>
        </w:rPr>
        <w:t>In order to generate sales growth, we are expanding our Towables distribution base and thus our dealer inventory has increased. As shown below, dealer inventory for Towables increased 29.3% in the last year. Based upon the strong sales growth already demonstrated and based upon the age of the dealer inventory, we believe that dealer inventory for towable products is reasonable.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Unit Dealer Inventory</w:t>
            </w:r>
          </w:p>
        </w:tc>
        <w:tc>
          <w:tcPr>
            <w:tcW w:w="120" w:type="dxa"/>
            <w:vAlign w:val="bottom"/>
            <w:vMerge w:val="restart"/>
          </w:tcPr>
          <w:p>
            <w:pPr>
              <w:spacing w:after="0"/>
              <w:rPr>
                <w:sz w:val="15"/>
                <w:szCs w:val="15"/>
                <w:color w:val="auto"/>
              </w:rPr>
            </w:pPr>
          </w:p>
        </w:tc>
        <w:tc>
          <w:tcPr>
            <w:tcW w:w="1480" w:type="dxa"/>
            <w:vAlign w:val="bottom"/>
          </w:tcPr>
          <w:p>
            <w:pPr>
              <w:jc w:val="right"/>
              <w:ind w:right="503"/>
              <w:spacing w:after="0"/>
              <w:rPr>
                <w:sz w:val="20"/>
                <w:szCs w:val="20"/>
                <w:color w:val="auto"/>
              </w:rPr>
            </w:pPr>
            <w:r>
              <w:rPr>
                <w:rFonts w:ascii="Arial" w:cs="Arial" w:eastAsia="Arial" w:hAnsi="Arial"/>
                <w:sz w:val="14"/>
                <w:szCs w:val="14"/>
                <w:b w:val="1"/>
                <w:bCs w:val="1"/>
                <w:color w:val="auto"/>
              </w:rPr>
              <w:t>May 28,</w:t>
            </w:r>
          </w:p>
        </w:tc>
        <w:tc>
          <w:tcPr>
            <w:tcW w:w="1560" w:type="dxa"/>
            <w:vAlign w:val="bottom"/>
            <w:gridSpan w:val="3"/>
          </w:tcPr>
          <w:p>
            <w:pPr>
              <w:ind w:left="240"/>
              <w:spacing w:after="0"/>
              <w:rPr>
                <w:sz w:val="20"/>
                <w:szCs w:val="20"/>
                <w:color w:val="auto"/>
              </w:rPr>
            </w:pPr>
            <w:r>
              <w:rPr>
                <w:rFonts w:ascii="Arial" w:cs="Arial" w:eastAsia="Arial" w:hAnsi="Arial"/>
                <w:sz w:val="14"/>
                <w:szCs w:val="14"/>
                <w:b w:val="1"/>
                <w:bCs w:val="1"/>
                <w:color w:val="auto"/>
              </w:rPr>
              <w:t>May 30,</w:t>
            </w:r>
          </w:p>
        </w:tc>
        <w:tc>
          <w:tcPr>
            <w:tcW w:w="1180" w:type="dxa"/>
            <w:vAlign w:val="bottom"/>
          </w:tcPr>
          <w:p>
            <w:pPr>
              <w:spacing w:after="0"/>
              <w:rPr>
                <w:sz w:val="15"/>
                <w:szCs w:val="15"/>
                <w:color w:val="auto"/>
              </w:rPr>
            </w:pPr>
          </w:p>
        </w:tc>
        <w:tc>
          <w:tcPr>
            <w:tcW w:w="1260" w:type="dxa"/>
            <w:vAlign w:val="bottom"/>
          </w:tcPr>
          <w:p>
            <w:pPr>
              <w:jc w:val="right"/>
              <w:ind w:right="58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2016</w:t>
            </w:r>
          </w:p>
        </w:tc>
        <w:tc>
          <w:tcPr>
            <w:tcW w:w="12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Increase</w:t>
            </w:r>
          </w:p>
        </w:tc>
        <w:tc>
          <w:tcPr>
            <w:tcW w:w="12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5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48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4,585</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4,501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84</w:t>
            </w:r>
          </w:p>
        </w:tc>
        <w:tc>
          <w:tcPr>
            <w:tcW w:w="12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1"/>
        </w:trPr>
        <w:tc>
          <w:tcPr>
            <w:tcW w:w="5940" w:type="dxa"/>
            <w:vAlign w:val="bottom"/>
            <w:gridSpan w:val="2"/>
          </w:tcPr>
          <w:p>
            <w:pPr>
              <w:ind w:left="40"/>
              <w:spacing w:after="0"/>
              <w:rPr>
                <w:sz w:val="20"/>
                <w:szCs w:val="20"/>
                <w:color w:val="auto"/>
              </w:rPr>
            </w:pPr>
            <w:r>
              <w:rPr>
                <w:rFonts w:ascii="Arial" w:cs="Arial" w:eastAsia="Arial" w:hAnsi="Arial"/>
                <w:sz w:val="16"/>
                <w:szCs w:val="16"/>
                <w:color w:val="auto"/>
              </w:rPr>
              <w:t>Towables</w:t>
            </w:r>
          </w:p>
        </w:tc>
        <w:tc>
          <w:tcPr>
            <w:tcW w:w="1480" w:type="dxa"/>
            <w:vAlign w:val="bottom"/>
          </w:tcPr>
          <w:p>
            <w:pPr>
              <w:jc w:val="right"/>
              <w:ind w:right="183"/>
              <w:spacing w:after="0"/>
              <w:rPr>
                <w:sz w:val="20"/>
                <w:szCs w:val="20"/>
                <w:color w:val="auto"/>
              </w:rPr>
            </w:pPr>
            <w:r>
              <w:rPr>
                <w:rFonts w:ascii="Arial" w:cs="Arial" w:eastAsia="Arial" w:hAnsi="Arial"/>
                <w:sz w:val="16"/>
                <w:szCs w:val="16"/>
                <w:color w:val="auto"/>
              </w:rPr>
              <w:t>2,358</w:t>
            </w:r>
          </w:p>
        </w:tc>
        <w:tc>
          <w:tcPr>
            <w:tcW w:w="1200" w:type="dxa"/>
            <w:vAlign w:val="bottom"/>
          </w:tcPr>
          <w:p>
            <w:pPr>
              <w:jc w:val="right"/>
              <w:ind w:right="24"/>
              <w:spacing w:after="0"/>
              <w:rPr>
                <w:sz w:val="20"/>
                <w:szCs w:val="20"/>
                <w:color w:val="auto"/>
              </w:rPr>
            </w:pPr>
            <w:r>
              <w:rPr>
                <w:rFonts w:ascii="Arial" w:cs="Arial" w:eastAsia="Arial" w:hAnsi="Arial"/>
                <w:sz w:val="16"/>
                <w:szCs w:val="16"/>
                <w:color w:val="auto"/>
              </w:rPr>
              <w:t>1,823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222"/>
              <w:spacing w:after="0"/>
              <w:rPr>
                <w:sz w:val="20"/>
                <w:szCs w:val="20"/>
                <w:color w:val="auto"/>
              </w:rPr>
            </w:pPr>
            <w:r>
              <w:rPr>
                <w:rFonts w:ascii="Arial" w:cs="Arial" w:eastAsia="Arial" w:hAnsi="Arial"/>
                <w:sz w:val="16"/>
                <w:szCs w:val="16"/>
                <w:color w:val="auto"/>
              </w:rPr>
              <w:t>535</w:t>
            </w:r>
          </w:p>
        </w:tc>
        <w:tc>
          <w:tcPr>
            <w:tcW w:w="1260" w:type="dxa"/>
            <w:vAlign w:val="bottom"/>
          </w:tcPr>
          <w:p>
            <w:pPr>
              <w:jc w:val="right"/>
              <w:ind w:right="83"/>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ERP</w:t>
      </w:r>
    </w:p>
    <w:p>
      <w:pPr>
        <w:spacing w:after="0" w:line="2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In the second quarter of Fiscal 2015 the Board of Directors approved the strategic initiative of implementing an ERP system to replace our legacy business applications. During the first nine months of Fiscal 2016, the system went “live” for Finance, the Towables operation and the human resources/payroll areas. The next phase of implementation will involve enabling ERP functionality across the manufacturing and operations of the motorhome business. As we gain more experience and expertise with the new ERP toolset and access to data that the new ERP platform affords, we will continue to identify, and in some cases quantify, optimization opportunities in our supply chain, engineering, manufacturing and other business areas. There have been no material changes to the expected cost of implementation or timing from the disclosures made in the first quarter of Fiscal 2016. We still plan that this project will be completed in Fiscal 2017. The following table illustrates the project costs to date and total anticipated spending: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Fiscal</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Fiscal 2016</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6"/>
              <w:spacing w:after="0"/>
              <w:rPr>
                <w:sz w:val="20"/>
                <w:szCs w:val="20"/>
                <w:color w:val="auto"/>
              </w:rPr>
            </w:pPr>
            <w:r>
              <w:rPr>
                <w:rFonts w:ascii="Arial" w:cs="Arial" w:eastAsia="Arial" w:hAnsi="Arial"/>
                <w:sz w:val="16"/>
                <w:szCs w:val="16"/>
                <w:b w:val="1"/>
                <w:bCs w:val="1"/>
                <w:color w:val="auto"/>
              </w:rPr>
              <w:t>Cumulative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 Planned</w:t>
            </w:r>
          </w:p>
        </w:tc>
      </w:tr>
      <w:tr>
        <w:trPr>
          <w:trHeight w:val="250"/>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Q1</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Q2</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Q3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Investment to Date</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Investment</w:t>
            </w:r>
          </w:p>
        </w:tc>
      </w:tr>
      <w:tr>
        <w:trPr>
          <w:trHeight w:val="257"/>
        </w:trPr>
        <w:tc>
          <w:tcPr>
            <w:tcW w:w="2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8,399</w:t>
            </w:r>
          </w:p>
        </w:tc>
        <w:tc>
          <w:tcPr>
            <w:tcW w:w="60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4"/>
        </w:trPr>
        <w:tc>
          <w:tcPr>
            <w:tcW w:w="2060" w:type="dxa"/>
            <w:vAlign w:val="bottom"/>
            <w:gridSpan w:val="2"/>
          </w:tcPr>
          <w:p>
            <w:pPr>
              <w:ind w:left="40"/>
              <w:spacing w:after="0"/>
              <w:rPr>
                <w:sz w:val="20"/>
                <w:szCs w:val="20"/>
                <w:color w:val="auto"/>
              </w:rPr>
            </w:pPr>
            <w:r>
              <w:rPr>
                <w:rFonts w:ascii="Arial" w:cs="Arial" w:eastAsia="Arial" w:hAnsi="Arial"/>
                <w:sz w:val="16"/>
                <w:szCs w:val="16"/>
                <w:color w:val="auto"/>
              </w:rPr>
              <w:t>Expensed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7,065</w:t>
            </w: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10,000</w:t>
            </w:r>
          </w:p>
        </w:tc>
      </w:tr>
      <w:tr>
        <w:trPr>
          <w:trHeight w:val="251"/>
        </w:trPr>
        <w:tc>
          <w:tcPr>
            <w:tcW w:w="206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5,819</w:t>
            </w:r>
          </w:p>
        </w:tc>
        <w:tc>
          <w:tcPr>
            <w:tcW w:w="12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2,775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3,230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3,640</w:t>
            </w:r>
          </w:p>
        </w:tc>
        <w:tc>
          <w:tcPr>
            <w:tcW w:w="12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15,464</w:t>
            </w:r>
          </w:p>
        </w:tc>
        <w:tc>
          <w:tcPr>
            <w:tcW w:w="6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 w:lineRule="exact"/>
        <w:rPr>
          <w:sz w:val="20"/>
          <w:szCs w:val="20"/>
          <w:color w:val="auto"/>
        </w:rPr>
      </w:pPr>
    </w:p>
    <w:p>
      <w:pPr>
        <w:ind w:right="220" w:firstLine="8"/>
        <w:spacing w:after="0" w:line="225" w:lineRule="auto"/>
        <w:tabs>
          <w:tab w:leader="none" w:pos="150" w:val="left"/>
        </w:tabs>
        <w:numPr>
          <w:ilvl w:val="0"/>
          <w:numId w:val="9"/>
        </w:numPr>
        <w:rPr>
          <w:rFonts w:ascii="Arial" w:cs="Arial" w:eastAsia="Arial" w:hAnsi="Arial"/>
          <w:sz w:val="17"/>
          <w:szCs w:val="17"/>
          <w:color w:val="auto"/>
          <w:vertAlign w:val="superscript"/>
        </w:rPr>
      </w:pPr>
      <w:r>
        <w:rPr>
          <w:rFonts w:ascii="Arial" w:cs="Arial" w:eastAsia="Arial" w:hAnsi="Arial"/>
          <w:sz w:val="14"/>
          <w:szCs w:val="14"/>
          <w:color w:val="auto"/>
        </w:rPr>
        <w:t>During the first nine months of Fiscal 2016, we placed in service $5.7 million of our cumulative capitalized investment. These capitalized investments are amortized over a 10-year life.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29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4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28,</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30,</w:t>
            </w:r>
          </w:p>
        </w:tc>
        <w:tc>
          <w:tcPr>
            <w:tcW w:w="146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272,077</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266,510</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5,567</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r>
      <w:tr>
        <w:trPr>
          <w:trHeight w:val="264"/>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241,820</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238,327</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3,493</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1.5 %</w:t>
            </w:r>
          </w:p>
        </w:tc>
      </w:tr>
      <w:tr>
        <w:trPr>
          <w:trHeight w:val="25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30,257</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28,183</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2,074</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7.4 %</w:t>
            </w:r>
          </w:p>
        </w:tc>
      </w:tr>
      <w:tr>
        <w:trPr>
          <w:trHeight w:val="284"/>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4,770</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5,150</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(380)</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w:t>
            </w:r>
          </w:p>
        </w:tc>
      </w:tr>
      <w:tr>
        <w:trPr>
          <w:trHeight w:val="260"/>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4,894</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6,453</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(1,559)</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(24.2)%</w:t>
            </w:r>
          </w:p>
        </w:tc>
      </w:tr>
      <w:tr>
        <w:trPr>
          <w:trHeight w:val="273"/>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Impairment of fixed asset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462</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50"/>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9,664</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12,065</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(2,401)</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(19.9)%</w:t>
            </w:r>
          </w:p>
        </w:tc>
      </w:tr>
      <w:tr>
        <w:trPr>
          <w:trHeight w:val="284"/>
        </w:trPr>
        <w:tc>
          <w:tcPr>
            <w:tcW w:w="2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2"/>
                <w:szCs w:val="22"/>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20,593</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16,118</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4,475</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27.8 %</w:t>
            </w:r>
          </w:p>
        </w:tc>
      </w:tr>
      <w:tr>
        <w:trPr>
          <w:trHeight w:val="273"/>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77</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r>
      <w:tr>
        <w:trPr>
          <w:trHeight w:val="247"/>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20,670</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16,118</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4,552</w:t>
            </w:r>
          </w:p>
        </w:tc>
        <w:tc>
          <w:tcPr>
            <w:tcW w:w="12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28.2 %</w:t>
            </w:r>
          </w:p>
        </w:tc>
      </w:tr>
      <w:tr>
        <w:trPr>
          <w:trHeight w:val="273"/>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6,232</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4,616</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1,616</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35.0 %</w:t>
            </w:r>
          </w:p>
        </w:tc>
      </w:tr>
      <w:tr>
        <w:trPr>
          <w:trHeight w:val="280"/>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14,438</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11,502</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2,936</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25.5 %</w:t>
            </w:r>
          </w:p>
        </w:tc>
      </w:tr>
      <w:tr>
        <w:trPr>
          <w:trHeight w:val="267"/>
        </w:trPr>
        <w:tc>
          <w:tcPr>
            <w:tcW w:w="2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0.53</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0.43</w:t>
            </w: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0.10</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23.3 %</w:t>
            </w:r>
          </w:p>
        </w:tc>
      </w:tr>
      <w:tr>
        <w:trPr>
          <w:trHeight w:val="28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27,004</w:t>
            </w: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27,030</w:t>
            </w: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r>
    </w:tbl>
    <w:p>
      <w:pPr>
        <w:spacing w:after="0" w:line="24"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Motorhome 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28,</w:t>
            </w:r>
          </w:p>
        </w:tc>
        <w:tc>
          <w:tcPr>
            <w:tcW w:w="1580" w:type="dxa"/>
            <w:vAlign w:val="bottom"/>
            <w:gridSpan w:val="2"/>
          </w:tcPr>
          <w:p>
            <w:pPr>
              <w:ind w:left="44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30,</w:t>
            </w: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7"/>
                <w:szCs w:val="17"/>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460" w:type="dxa"/>
            <w:vAlign w:val="bottom"/>
            <w:tcBorders>
              <w:bottom w:val="single" w:sz="8" w:color="auto"/>
            </w:tcBorders>
          </w:tcPr>
          <w:p>
            <w:pPr>
              <w:jc w:val="right"/>
              <w:ind w:right="31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460" w:type="dxa"/>
            <w:vAlign w:val="bottom"/>
            <w:tcBorders>
              <w:bottom w:val="single" w:sz="8" w:color="auto"/>
            </w:tcBorders>
          </w:tcPr>
          <w:p>
            <w:pPr>
              <w:ind w:left="4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654</w:t>
            </w: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886</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(232)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(26.2)%</w:t>
            </w: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334</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270</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64</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23.7 %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1,929</w:t>
            </w:r>
          </w:p>
        </w:tc>
        <w:tc>
          <w:tcPr>
            <w:tcW w:w="14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1,440</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489</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34.0 %</w:t>
            </w:r>
          </w:p>
        </w:tc>
      </w:tr>
      <w:tr>
        <w:trPr>
          <w:trHeight w:val="28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motorhome deliveries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2,917</w:t>
            </w: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2,596</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321</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12.4 %</w:t>
            </w:r>
          </w:p>
        </w:tc>
      </w:tr>
      <w:tr>
        <w:trPr>
          <w:trHeight w:val="267"/>
        </w:trPr>
        <w:tc>
          <w:tcPr>
            <w:tcW w:w="2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ASP:</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63"/>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83,758</w:t>
            </w: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91,007</w:t>
            </w: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(7,249)</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8890</wp:posOffset>
            </wp:positionV>
            <wp:extent cx="1672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8890</wp:posOffset>
            </wp:positionV>
            <wp:extent cx="866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8890</wp:posOffset>
            </wp:positionV>
            <wp:extent cx="866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ind w:left="160" w:hanging="152"/>
        <w:spacing w:after="0" w:line="236"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Towables unit deliveries and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19"/>
              <w:spacing w:after="0"/>
              <w:rPr>
                <w:sz w:val="20"/>
                <w:szCs w:val="20"/>
                <w:color w:val="auto"/>
              </w:rPr>
            </w:pPr>
            <w:r>
              <w:rPr>
                <w:rFonts w:ascii="Arial" w:cs="Arial" w:eastAsia="Arial" w:hAnsi="Arial"/>
                <w:sz w:val="16"/>
                <w:szCs w:val="16"/>
                <w:b w:val="1"/>
                <w:bCs w:val="1"/>
                <w:color w:val="auto"/>
              </w:rPr>
              <w:t>May 28,</w:t>
            </w:r>
          </w:p>
        </w:tc>
        <w:tc>
          <w:tcPr>
            <w:tcW w:w="1580" w:type="dxa"/>
            <w:vAlign w:val="bottom"/>
            <w:gridSpan w:val="2"/>
          </w:tcPr>
          <w:p>
            <w:pPr>
              <w:ind w:left="440"/>
              <w:spacing w:after="0"/>
              <w:rPr>
                <w:sz w:val="20"/>
                <w:szCs w:val="20"/>
                <w:color w:val="auto"/>
              </w:rPr>
            </w:pPr>
            <w:r>
              <w:rPr>
                <w:rFonts w:ascii="Arial" w:cs="Arial" w:eastAsia="Arial" w:hAnsi="Arial"/>
                <w:sz w:val="16"/>
                <w:szCs w:val="16"/>
                <w:b w:val="1"/>
                <w:bCs w:val="1"/>
                <w:color w:val="auto"/>
              </w:rPr>
              <w:t>Product</w:t>
            </w:r>
          </w:p>
        </w:tc>
        <w:tc>
          <w:tcPr>
            <w:tcW w:w="260" w:type="dxa"/>
            <w:vAlign w:val="bottom"/>
          </w:tcPr>
          <w:p>
            <w:pPr>
              <w:spacing w:after="0"/>
              <w:rPr>
                <w:sz w:val="17"/>
                <w:szCs w:val="17"/>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30,</w:t>
            </w:r>
          </w:p>
        </w:tc>
        <w:tc>
          <w:tcPr>
            <w:tcW w:w="1480" w:type="dxa"/>
            <w:vAlign w:val="bottom"/>
            <w:gridSpan w:val="2"/>
          </w:tcPr>
          <w:p>
            <w:pPr>
              <w:ind w:left="38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480" w:type="dxa"/>
            <w:vAlign w:val="bottom"/>
            <w:tcBorders>
              <w:bottom w:val="single" w:sz="8" w:color="auto"/>
            </w:tcBorders>
          </w:tcPr>
          <w:p>
            <w:pPr>
              <w:jc w:val="right"/>
              <w:ind w:right="33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380" w:type="dxa"/>
            <w:vAlign w:val="bottom"/>
            <w:tcBorders>
              <w:bottom w:val="single" w:sz="8" w:color="auto"/>
            </w:tcBorders>
          </w:tcPr>
          <w:p>
            <w:pPr>
              <w:ind w:left="38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1,042</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598</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444</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74.2 %</w:t>
            </w:r>
          </w:p>
        </w:tc>
      </w:tr>
      <w:tr>
        <w:trPr>
          <w:trHeight w:val="264"/>
        </w:trPr>
        <w:tc>
          <w:tcPr>
            <w:tcW w:w="2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13.2 %</w:t>
            </w:r>
          </w:p>
        </w:tc>
      </w:tr>
      <w:tr>
        <w:trPr>
          <w:trHeight w:val="24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towable deliveries</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1,205</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463</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62.4 %</w:t>
            </w: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7"/>
        </w:trPr>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4"/>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21,177</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26,909</w:t>
            </w: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(5,732)</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8890</wp:posOffset>
            </wp:positionV>
            <wp:extent cx="16897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3752850</wp:posOffset>
            </wp:positionH>
            <wp:positionV relativeFrom="paragraph">
              <wp:posOffset>8890</wp:posOffset>
            </wp:positionV>
            <wp:extent cx="875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8890</wp:posOffset>
            </wp:positionV>
            <wp:extent cx="875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ind w:left="160" w:hanging="152"/>
        <w:spacing w:after="0" w:line="236"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30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47"/>
        </w:trPr>
        <w:tc>
          <w:tcPr>
            <w:tcW w:w="3040" w:type="dxa"/>
            <w:vAlign w:val="bottom"/>
            <w:gridSpan w:val="3"/>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May 28,</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May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28"/>
        </w:trPr>
        <w:tc>
          <w:tcPr>
            <w:tcW w:w="2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245,785</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237,548</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8,237</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3.5 %</w:t>
            </w:r>
          </w:p>
        </w:tc>
      </w:tr>
      <w:tr>
        <w:trPr>
          <w:trHeight w:val="270"/>
        </w:trPr>
        <w:tc>
          <w:tcPr>
            <w:tcW w:w="3040" w:type="dxa"/>
            <w:vAlign w:val="bottom"/>
            <w:gridSpan w:val="3"/>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25,394</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color w:val="auto"/>
              </w:rPr>
              <w:t>19,902</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5,492</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27.6 %</w:t>
            </w:r>
          </w:p>
        </w:tc>
      </w:tr>
      <w:tr>
        <w:trPr>
          <w:trHeight w:val="264"/>
        </w:trPr>
        <w:tc>
          <w:tcPr>
            <w:tcW w:w="30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898</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9,060</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(8,162)</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(90.1)%</w:t>
            </w:r>
          </w:p>
        </w:tc>
      </w:tr>
      <w:tr>
        <w:trPr>
          <w:trHeight w:val="237"/>
        </w:trPr>
        <w:tc>
          <w:tcPr>
            <w:tcW w:w="3040" w:type="dxa"/>
            <w:vAlign w:val="bottom"/>
            <w:gridSpan w:val="3"/>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99"/>
              <w:spacing w:after="0"/>
              <w:rPr>
                <w:sz w:val="20"/>
                <w:szCs w:val="20"/>
                <w:color w:val="auto"/>
              </w:rPr>
            </w:pPr>
            <w:r>
              <w:rPr>
                <w:rFonts w:ascii="Arial" w:cs="Arial" w:eastAsia="Arial" w:hAnsi="Arial"/>
                <w:sz w:val="16"/>
                <w:szCs w:val="16"/>
                <w:color w:val="auto"/>
              </w:rPr>
              <w:t>272,077</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79"/>
              <w:spacing w:after="0"/>
              <w:rPr>
                <w:sz w:val="20"/>
                <w:szCs w:val="20"/>
                <w:color w:val="auto"/>
              </w:rPr>
            </w:pPr>
            <w:r>
              <w:rPr>
                <w:rFonts w:ascii="Arial" w:cs="Arial" w:eastAsia="Arial" w:hAnsi="Arial"/>
                <w:sz w:val="16"/>
                <w:szCs w:val="16"/>
                <w:color w:val="auto"/>
              </w:rPr>
              <w:t>266,510</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5,567</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3810</wp:posOffset>
            </wp:positionV>
            <wp:extent cx="532574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25745" cy="26035"/>
                    </a:xfrm>
                    <a:prstGeom prst="rect">
                      <a:avLst/>
                    </a:prstGeom>
                    <a:noFill/>
                  </pic:spPr>
                </pic:pic>
              </a:graphicData>
            </a:graphic>
          </wp:anchor>
        </w:drawing>
      </w:r>
    </w:p>
    <w:p>
      <w:pPr>
        <w:ind w:left="260" w:hanging="238"/>
        <w:spacing w:after="0"/>
        <w:tabs>
          <w:tab w:leader="none" w:pos="2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Motorhome net revenues increased $8.2 million or 3.5% in the third quarter of Fiscal 2016, attributed primarily to a 12.4% increase in unit deliveries, most notably in our Class C rental products. The 8.0% decrease in ASP was a result of both an increase in the lower priced rental units as well as a decrease in our high-end Class A products.</w:t>
      </w:r>
    </w:p>
    <w:p>
      <w:pPr>
        <w:spacing w:after="0" w:line="174"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The increase in Towables revenues of $5.5 million or 27.6% was attributed to a 62.4% increase in unit deliveries partially offset by a decrease in ASP of 21.3% as compared to the third quarter of Fiscal 2015. The decrease in ASP was primarily a result of a shift to lower priced towable products.</w:t>
      </w:r>
    </w:p>
    <w:p>
      <w:pPr>
        <w:spacing w:after="0" w:line="169"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Revenues from other manufactured products decreased by $8.2 million as we have exited sales to outside aluminum customers to maximize our labor resources.</w:t>
      </w:r>
    </w:p>
    <w:p>
      <w:pPr>
        <w:spacing w:after="0" w:line="16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$241.8 million, or 88.9% of net revenues for the third quarter of Fiscal 2016 compared to $238.3 million, or 89.4% of net revenues for the same period a year ago due to the following:</w:t>
      </w:r>
    </w:p>
    <w:p>
      <w:pPr>
        <w:spacing w:after="0" w:line="1" w:lineRule="exact"/>
        <w:rPr>
          <w:sz w:val="20"/>
          <w:szCs w:val="20"/>
          <w:color w:val="auto"/>
        </w:rPr>
      </w:pPr>
    </w:p>
    <w:p>
      <w:pPr>
        <w:jc w:val="both"/>
        <w:ind w:left="340" w:right="30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from 84.1% to 83.5%, primarily due to our strategic sourcing initiative resulting in lower raw material costs and favorable product mix in part due to our decision to exit other manufactured products markets, partially offset by higher warranty expense.</w:t>
      </w:r>
    </w:p>
    <w:p>
      <w:pPr>
        <w:spacing w:after="0" w:line="1"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increased slightly from 5.3% to 5.4% of net revenues.</w:t>
      </w: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10.6% to 11.1% of net revenues.</w:t>
      </w:r>
    </w:p>
    <w:p>
      <w:pPr>
        <w:spacing w:after="0" w:line="16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Selling expenses were $4.8 million and $5.2 million, or 1.8% and 1.9% of net revenues in the third quarter of Fiscal 2016 and Fiscal 2015, respectively. The decrease in the third quarter of Fiscal 2016 was primarily due to reduced advertising and product promotion expenses as compared to the prior year.</w:t>
      </w:r>
    </w:p>
    <w:p>
      <w:pPr>
        <w:spacing w:after="0" w:line="142"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General and administrative expenses were $4.9 million and $6.5 million, or 1.8% and 2.4% of net revenues in the third quarter of Fiscal 2016 and Fiscal 2015, respectively. Decreases in the third quarter of Fiscal 2016 were primarily related to the favorable legal settlement of $2.75 million discussed in Note 9 and increased amortization of postretirement health care prior service benefit due to the plan amendment discussed in Note 7. These expense decreases were partially offset by increased ERP expenses of $1.1 million in Fiscal 2016.</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Fiscal 2015 we recorded an asset impairment of $462,000 when we offered the corporate plane for sale.</w:t>
      </w:r>
    </w:p>
    <w:p>
      <w:pPr>
        <w:spacing w:after="0" w:line="24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overall effective income tax rate for the third quarter of Fiscal 2016 was 30.2% compared to the effective tax rate of 28.6% for the same period in Fiscal 2015. The increase in effective rate is due to the reduction in the amount of the Domestic Production Activities Deduction applicable in Fiscal 2016 as compared Fiscal 2015. This increase was partially offset in the third quarter of 2016 by a favorable retroactive tax credit. Our effective tax rate is expected to be higher in future quarters without the benefit of this retroactive credit.</w:t>
      </w:r>
    </w:p>
    <w:p>
      <w:pPr>
        <w:spacing w:after="0" w:line="14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Net income and diluted income per share were $14.4 million and $0.53 per share, respectively, for the third quarter of Fiscal 2016. In the third quarter of Fiscal 2015, net income was $11.5 million and diluted income was $0.43 per share.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of Fiscal 2016 Compared to the Comparable Nine Months of Fiscal 2015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29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20" w:type="dxa"/>
            <w:vAlign w:val="bottom"/>
          </w:tcPr>
          <w:p>
            <w:pPr>
              <w:spacing w:after="0"/>
              <w:rPr>
                <w:sz w:val="17"/>
                <w:szCs w:val="17"/>
                <w:color w:val="auto"/>
              </w:rPr>
            </w:pPr>
          </w:p>
        </w:tc>
        <w:tc>
          <w:tcPr>
            <w:tcW w:w="114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28,</w:t>
            </w:r>
          </w:p>
        </w:tc>
        <w:tc>
          <w:tcPr>
            <w:tcW w:w="144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30,</w:t>
            </w:r>
          </w:p>
        </w:tc>
        <w:tc>
          <w:tcPr>
            <w:tcW w:w="1460" w:type="dxa"/>
            <w:vAlign w:val="bottom"/>
            <w:gridSpan w:val="2"/>
          </w:tcPr>
          <w:p>
            <w:pPr>
              <w:ind w:left="46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340" w:type="dxa"/>
            <w:vAlign w:val="bottom"/>
            <w:tcBorders>
              <w:bottom w:val="single" w:sz="8" w:color="auto"/>
            </w:tcBorders>
          </w:tcPr>
          <w:p>
            <w:pPr>
              <w:jc w:val="right"/>
              <w:ind w:right="17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711,972</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725,456</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(13,484)</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r>
      <w:tr>
        <w:trPr>
          <w:trHeight w:val="264"/>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631,191</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648,629</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(17,438)</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w:t>
            </w:r>
          </w:p>
        </w:tc>
      </w:tr>
      <w:tr>
        <w:trPr>
          <w:trHeight w:val="25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80,781</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76,827</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3,954</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5.1 %</w:t>
            </w:r>
          </w:p>
        </w:tc>
      </w:tr>
      <w:tr>
        <w:trPr>
          <w:trHeight w:val="284"/>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14,714</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14,703</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r>
      <w:tr>
        <w:trPr>
          <w:trHeight w:val="260"/>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19,212</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19,154</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58</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0.3 %</w:t>
            </w:r>
          </w:p>
        </w:tc>
      </w:tr>
      <w:tr>
        <w:trPr>
          <w:trHeight w:val="273"/>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Impairment of fixed assets</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462</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50"/>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33,926</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34,319</w:t>
            </w:r>
          </w:p>
        </w:tc>
        <w:tc>
          <w:tcPr>
            <w:tcW w:w="1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(393)</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w:t>
            </w:r>
          </w:p>
        </w:tc>
      </w:tr>
      <w:tr>
        <w:trPr>
          <w:trHeight w:val="284"/>
        </w:trPr>
        <w:tc>
          <w:tcPr>
            <w:tcW w:w="2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0"/>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20" w:type="dxa"/>
            <w:vAlign w:val="bottom"/>
          </w:tcPr>
          <w:p>
            <w:pPr>
              <w:spacing w:after="0"/>
              <w:rPr>
                <w:sz w:val="22"/>
                <w:szCs w:val="22"/>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46,855</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42,508</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4,347</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10.2 %</w:t>
            </w:r>
          </w:p>
        </w:tc>
      </w:tr>
      <w:tr>
        <w:trPr>
          <w:trHeight w:val="273"/>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194</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159</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454.3 %</w:t>
            </w:r>
          </w:p>
        </w:tc>
      </w:tr>
      <w:tr>
        <w:trPr>
          <w:trHeight w:val="247"/>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47,049</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42,543</w:t>
            </w:r>
          </w:p>
        </w:tc>
        <w:tc>
          <w:tcPr>
            <w:tcW w:w="1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4,506</w:t>
            </w:r>
          </w:p>
        </w:tc>
        <w:tc>
          <w:tcPr>
            <w:tcW w:w="12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10.6 %</w:t>
            </w:r>
          </w:p>
        </w:tc>
      </w:tr>
      <w:tr>
        <w:trPr>
          <w:trHeight w:val="273"/>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taxes</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14,699</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13,050</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1,649</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12.6 %</w:t>
            </w:r>
          </w:p>
        </w:tc>
      </w:tr>
      <w:tr>
        <w:trPr>
          <w:trHeight w:val="280"/>
        </w:trPr>
        <w:tc>
          <w:tcPr>
            <w:tcW w:w="2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32,350</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29,493</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2,857</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9.7 %</w:t>
            </w:r>
          </w:p>
        </w:tc>
      </w:tr>
      <w:tr>
        <w:trPr>
          <w:trHeight w:val="267"/>
        </w:trPr>
        <w:tc>
          <w:tcPr>
            <w:tcW w:w="2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2980" w:type="dxa"/>
            <w:vAlign w:val="bottom"/>
            <w:gridSpan w:val="2"/>
          </w:tcPr>
          <w:p>
            <w:pPr>
              <w:ind w:left="40"/>
              <w:spacing w:after="0"/>
              <w:rPr>
                <w:sz w:val="20"/>
                <w:szCs w:val="20"/>
                <w:color w:val="auto"/>
              </w:rPr>
            </w:pPr>
            <w:r>
              <w:rPr>
                <w:rFonts w:ascii="Arial" w:cs="Arial" w:eastAsia="Arial" w:hAnsi="Arial"/>
                <w:sz w:val="16"/>
                <w:szCs w:val="16"/>
                <w:color w:val="auto"/>
              </w:rPr>
              <w:t>Diluted income per share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1.20</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1.09</w:t>
            </w: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0.11</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10.1 %</w:t>
            </w:r>
          </w:p>
        </w:tc>
      </w:tr>
      <w:tr>
        <w:trPr>
          <w:trHeight w:val="280"/>
        </w:trPr>
        <w:tc>
          <w:tcPr>
            <w:tcW w:w="2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27,029</w:t>
            </w: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27,042</w:t>
            </w: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bl>
    <w:p>
      <w:pPr>
        <w:spacing w:after="0" w:line="24"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Nine Months Ended</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May 28,</w:t>
            </w:r>
          </w:p>
        </w:tc>
        <w:tc>
          <w:tcPr>
            <w:tcW w:w="1420" w:type="dxa"/>
            <w:vAlign w:val="bottom"/>
            <w:gridSpan w:val="2"/>
          </w:tcPr>
          <w:p>
            <w:pPr>
              <w:ind w:left="28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30,</w:t>
            </w:r>
          </w:p>
        </w:tc>
        <w:tc>
          <w:tcPr>
            <w:tcW w:w="1420" w:type="dxa"/>
            <w:vAlign w:val="bottom"/>
            <w:gridSpan w:val="2"/>
          </w:tcPr>
          <w:p>
            <w:pPr>
              <w:ind w:left="260"/>
              <w:spacing w:after="0"/>
              <w:rPr>
                <w:sz w:val="20"/>
                <w:szCs w:val="20"/>
                <w:color w:val="auto"/>
              </w:rPr>
            </w:pPr>
            <w:r>
              <w:rPr>
                <w:rFonts w:ascii="Arial" w:cs="Arial" w:eastAsia="Arial" w:hAnsi="Arial"/>
                <w:sz w:val="16"/>
                <w:szCs w:val="16"/>
                <w:b w:val="1"/>
                <w:bCs w:val="1"/>
                <w:color w:val="auto"/>
              </w:rPr>
              <w:t>Product</w:t>
            </w:r>
          </w:p>
        </w:tc>
        <w:tc>
          <w:tcPr>
            <w:tcW w:w="20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320" w:type="dxa"/>
            <w:vAlign w:val="bottom"/>
            <w:tcBorders>
              <w:bottom w:val="single" w:sz="8" w:color="auto"/>
            </w:tcBorders>
          </w:tcPr>
          <w:p>
            <w:pPr>
              <w:jc w:val="right"/>
              <w:ind w:right="33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300" w:type="dxa"/>
            <w:vAlign w:val="bottom"/>
            <w:tcBorders>
              <w:bottom w:val="single" w:sz="8" w:color="auto"/>
            </w:tcBorders>
          </w:tcPr>
          <w:p>
            <w:pPr>
              <w:ind w:left="26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2,241</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2,623</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(382)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(14.6)%</w:t>
            </w:r>
          </w:p>
        </w:tc>
      </w:tr>
      <w:tr>
        <w:trPr>
          <w:trHeight w:val="260"/>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20" w:type="dxa"/>
            <w:vAlign w:val="bottom"/>
          </w:tcPr>
          <w:p>
            <w:pPr>
              <w:spacing w:after="0"/>
              <w:rPr>
                <w:sz w:val="22"/>
                <w:szCs w:val="22"/>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831</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735</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96</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13.1 %</w:t>
            </w:r>
          </w:p>
        </w:tc>
      </w:tr>
      <w:tr>
        <w:trPr>
          <w:trHeight w:val="273"/>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3,799</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3,373</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426</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12.6 %</w:t>
            </w:r>
          </w:p>
        </w:tc>
      </w:tr>
      <w:tr>
        <w:trPr>
          <w:trHeight w:val="280"/>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motorhome deliveries</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6,871</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6,731</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140</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2.1 %</w:t>
            </w:r>
          </w:p>
        </w:tc>
      </w:tr>
      <w:tr>
        <w:trPr>
          <w:trHeight w:val="267"/>
        </w:trPr>
        <w:tc>
          <w:tcPr>
            <w:tcW w:w="2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51"/>
        </w:trPr>
        <w:tc>
          <w:tcPr>
            <w:tcW w:w="2920" w:type="dxa"/>
            <w:vAlign w:val="bottom"/>
            <w:gridSpan w:val="2"/>
          </w:tcPr>
          <w:p>
            <w:pPr>
              <w:ind w:left="40"/>
              <w:spacing w:after="0"/>
              <w:rPr>
                <w:sz w:val="20"/>
                <w:szCs w:val="20"/>
                <w:color w:val="auto"/>
              </w:rPr>
            </w:pPr>
            <w:r>
              <w:rPr>
                <w:rFonts w:ascii="Arial" w:cs="Arial" w:eastAsia="Arial" w:hAnsi="Arial"/>
                <w:sz w:val="16"/>
                <w:szCs w:val="16"/>
                <w:color w:val="auto"/>
              </w:rPr>
              <w:t>Motorhome ASP</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92,384</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96,086</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(3,702)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3810</wp:posOffset>
            </wp:positionV>
            <wp:extent cx="1732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20955</wp:posOffset>
            </wp:positionV>
            <wp:extent cx="1732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228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3810</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20955</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3810</wp:posOffset>
            </wp:positionV>
            <wp:extent cx="8058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20955</wp:posOffset>
            </wp:positionV>
            <wp:extent cx="8058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ind w:left="160" w:hanging="152"/>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Towables unit deliveries and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28,</w:t>
            </w: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7"/>
                <w:szCs w:val="17"/>
                <w:color w:val="auto"/>
              </w:rPr>
            </w:pPr>
          </w:p>
        </w:tc>
        <w:tc>
          <w:tcPr>
            <w:tcW w:w="114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30,</w:t>
            </w:r>
          </w:p>
        </w:tc>
        <w:tc>
          <w:tcPr>
            <w:tcW w:w="1560" w:type="dxa"/>
            <w:vAlign w:val="bottom"/>
            <w:gridSpan w:val="2"/>
          </w:tcPr>
          <w:p>
            <w:pPr>
              <w:ind w:left="420"/>
              <w:spacing w:after="0"/>
              <w:rPr>
                <w:sz w:val="20"/>
                <w:szCs w:val="20"/>
                <w:color w:val="auto"/>
              </w:rPr>
            </w:pPr>
            <w:r>
              <w:rPr>
                <w:rFonts w:ascii="Arial" w:cs="Arial" w:eastAsia="Arial" w:hAnsi="Arial"/>
                <w:sz w:val="16"/>
                <w:szCs w:val="16"/>
                <w:b w:val="1"/>
                <w:bCs w:val="1"/>
                <w:color w:val="auto"/>
              </w:rPr>
              <w:t>Product</w:t>
            </w:r>
          </w:p>
        </w:tc>
        <w:tc>
          <w:tcPr>
            <w:tcW w:w="180" w:type="dxa"/>
            <w:vAlign w:val="bottom"/>
          </w:tcPr>
          <w:p>
            <w:pPr>
              <w:spacing w:after="0"/>
              <w:rPr>
                <w:sz w:val="17"/>
                <w:szCs w:val="17"/>
                <w:color w:val="auto"/>
              </w:rPr>
            </w:pPr>
          </w:p>
        </w:tc>
        <w:tc>
          <w:tcPr>
            <w:tcW w:w="1240" w:type="dxa"/>
            <w:vAlign w:val="bottom"/>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4"/>
        </w:trPr>
        <w:tc>
          <w:tcPr>
            <w:tcW w:w="28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460" w:type="dxa"/>
            <w:vAlign w:val="bottom"/>
            <w:tcBorders>
              <w:bottom w:val="single" w:sz="8" w:color="auto"/>
            </w:tcBorders>
          </w:tcPr>
          <w:p>
            <w:pPr>
              <w:jc w:val="right"/>
              <w:ind w:right="33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1460" w:type="dxa"/>
            <w:vAlign w:val="bottom"/>
            <w:tcBorders>
              <w:bottom w:val="single" w:sz="8" w:color="auto"/>
            </w:tcBorders>
          </w:tcPr>
          <w:p>
            <w:pPr>
              <w:ind w:left="420"/>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2,562</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1,567</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995</w:t>
            </w: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63.5 %</w:t>
            </w:r>
          </w:p>
        </w:tc>
      </w:tr>
      <w:tr>
        <w:trPr>
          <w:trHeight w:val="264"/>
        </w:trPr>
        <w:tc>
          <w:tcPr>
            <w:tcW w:w="29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413</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87</w:t>
            </w: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26.7 %</w:t>
            </w:r>
          </w:p>
        </w:tc>
      </w:tr>
      <w:tr>
        <w:trPr>
          <w:trHeight w:val="240"/>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towable deliveries</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2,975</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1,893</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1,082</w:t>
            </w:r>
          </w:p>
        </w:tc>
        <w:tc>
          <w:tcPr>
            <w:tcW w:w="12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57.2 %</w:t>
            </w:r>
          </w:p>
        </w:tc>
      </w:tr>
      <w:tr>
        <w:trPr>
          <w:trHeight w:val="20"/>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7"/>
        </w:trPr>
        <w:tc>
          <w:tcPr>
            <w:tcW w:w="2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4"/>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21,173</w:t>
            </w: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26,007</w:t>
            </w: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(4,834)</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8890</wp:posOffset>
            </wp:positionV>
            <wp:extent cx="1672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7259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8890</wp:posOffset>
            </wp:positionV>
            <wp:extent cx="875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8890</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ind w:left="160" w:hanging="152"/>
        <w:spacing w:after="0" w:line="236"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41"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300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47"/>
        </w:trPr>
        <w:tc>
          <w:tcPr>
            <w:tcW w:w="3000" w:type="dxa"/>
            <w:vAlign w:val="bottom"/>
            <w:gridSpan w:val="3"/>
          </w:tcPr>
          <w:p>
            <w:pPr>
              <w:spacing w:after="0"/>
              <w:rPr>
                <w:sz w:val="20"/>
                <w:szCs w:val="20"/>
                <w:color w:val="auto"/>
              </w:rPr>
            </w:pPr>
            <w:r>
              <w:rPr>
                <w:rFonts w:ascii="Arial" w:cs="Arial" w:eastAsia="Arial" w:hAnsi="Arial"/>
                <w:sz w:val="16"/>
                <w:szCs w:val="16"/>
                <w:color w:val="auto"/>
              </w:rPr>
              <w:t>Net revenues consisted of the following:</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99"/>
              <w:spacing w:after="0"/>
              <w:rPr>
                <w:sz w:val="20"/>
                <w:szCs w:val="20"/>
                <w:color w:val="auto"/>
              </w:rPr>
            </w:pPr>
            <w:r>
              <w:rPr>
                <w:rFonts w:ascii="Arial" w:cs="Arial" w:eastAsia="Arial" w:hAnsi="Arial"/>
                <w:sz w:val="16"/>
                <w:szCs w:val="16"/>
                <w:b w:val="1"/>
                <w:bCs w:val="1"/>
                <w:color w:val="auto"/>
              </w:rPr>
              <w:t>May 28,</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center"/>
              <w:ind w:left="439"/>
              <w:spacing w:after="0"/>
              <w:rPr>
                <w:sz w:val="20"/>
                <w:szCs w:val="20"/>
                <w:color w:val="auto"/>
              </w:rPr>
            </w:pPr>
            <w:r>
              <w:rPr>
                <w:rFonts w:ascii="Arial" w:cs="Arial" w:eastAsia="Arial" w:hAnsi="Arial"/>
                <w:sz w:val="16"/>
                <w:szCs w:val="16"/>
                <w:b w:val="1"/>
                <w:bCs w:val="1"/>
                <w:color w:val="auto"/>
              </w:rPr>
              <w:t>May 30,</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(Decrease)</w:t>
            </w: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28"/>
        </w:trPr>
        <w:tc>
          <w:tcPr>
            <w:tcW w:w="29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b w:val="1"/>
                <w:bCs w:val="1"/>
                <w:color w:val="auto"/>
              </w:rPr>
              <w:t>2015</w:t>
            </w: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639,984</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652,919</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90.0%</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(12,935)</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70"/>
        </w:trPr>
        <w:tc>
          <w:tcPr>
            <w:tcW w:w="3000" w:type="dxa"/>
            <w:vAlign w:val="bottom"/>
            <w:gridSpan w:val="3"/>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420" w:type="dxa"/>
            <w:vAlign w:val="bottom"/>
          </w:tcPr>
          <w:p>
            <w:pPr>
              <w:spacing w:after="0"/>
              <w:rPr>
                <w:sz w:val="23"/>
                <w:szCs w:val="23"/>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62,811</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48,859</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13,952</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28.6 %</w:t>
            </w:r>
          </w:p>
        </w:tc>
      </w:tr>
      <w:tr>
        <w:trPr>
          <w:trHeight w:val="264"/>
        </w:trPr>
        <w:tc>
          <w:tcPr>
            <w:tcW w:w="30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4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9,177</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23,678</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(14,501)</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(61.2)%</w:t>
            </w:r>
          </w:p>
        </w:tc>
      </w:tr>
      <w:tr>
        <w:trPr>
          <w:trHeight w:val="237"/>
        </w:trPr>
        <w:tc>
          <w:tcPr>
            <w:tcW w:w="3000" w:type="dxa"/>
            <w:vAlign w:val="bottom"/>
            <w:gridSpan w:val="3"/>
          </w:tcPr>
          <w:p>
            <w:pPr>
              <w:ind w:left="40"/>
              <w:spacing w:after="0"/>
              <w:rPr>
                <w:sz w:val="20"/>
                <w:szCs w:val="20"/>
                <w:color w:val="auto"/>
              </w:rPr>
            </w:pPr>
            <w:r>
              <w:rPr>
                <w:rFonts w:ascii="Arial" w:cs="Arial" w:eastAsia="Arial" w:hAnsi="Arial"/>
                <w:sz w:val="16"/>
                <w:szCs w:val="16"/>
                <w:color w:val="auto"/>
              </w:rPr>
              <w:t>Total net revenues</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711,972</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79"/>
              <w:spacing w:after="0"/>
              <w:rPr>
                <w:sz w:val="20"/>
                <w:szCs w:val="20"/>
                <w:color w:val="auto"/>
              </w:rPr>
            </w:pPr>
            <w:r>
              <w:rPr>
                <w:rFonts w:ascii="Arial" w:cs="Arial" w:eastAsia="Arial" w:hAnsi="Arial"/>
                <w:sz w:val="16"/>
                <w:szCs w:val="16"/>
                <w:color w:val="auto"/>
              </w:rPr>
              <w:t>725,456</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(13,484)</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3810</wp:posOffset>
            </wp:positionV>
            <wp:extent cx="534289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2890" cy="26035"/>
                    </a:xfrm>
                    <a:prstGeom prst="rect">
                      <a:avLst/>
                    </a:prstGeom>
                    <a:noFill/>
                  </pic:spPr>
                </pic:pic>
              </a:graphicData>
            </a:graphic>
          </wp:anchor>
        </w:drawing>
      </w:r>
    </w:p>
    <w:p>
      <w:pPr>
        <w:ind w:left="260" w:hanging="238"/>
        <w:spacing w:after="0"/>
        <w:tabs>
          <w:tab w:leader="none" w:pos="2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decrease in motorhome net revenues of $12.9 million or 2.0% was attributed primarily to a decrease of 3.9% in ASP partially offset by a 2.1% increase in unit deliveries in the first nine months of Fiscal 2016 as compared to the first nine months of Fiscal 2015.</w:t>
      </w:r>
    </w:p>
    <w:p>
      <w:pPr>
        <w:spacing w:after="0" w:line="16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Towables revenues increased 28.6%, and were $62.8 million in the first nine months of Fiscal 2016, compared to $48.9 million in the first nine months of Fiscal 2015. The increase in revenues was a result of a 57.2% increase in unit deliveries, partially offset by a 18.6% decrease in ASP.</w:t>
      </w:r>
    </w:p>
    <w:p>
      <w:pPr>
        <w:spacing w:after="0" w:line="169" w:lineRule="exact"/>
        <w:rPr>
          <w:sz w:val="20"/>
          <w:szCs w:val="20"/>
          <w:color w:val="auto"/>
        </w:rPr>
      </w:pPr>
    </w:p>
    <w:p>
      <w:pPr>
        <w:ind w:right="760"/>
        <w:spacing w:after="0" w:line="260" w:lineRule="auto"/>
        <w:rPr>
          <w:sz w:val="20"/>
          <w:szCs w:val="20"/>
          <w:color w:val="auto"/>
        </w:rPr>
      </w:pPr>
      <w:r>
        <w:rPr>
          <w:rFonts w:ascii="Arial" w:cs="Arial" w:eastAsia="Arial" w:hAnsi="Arial"/>
          <w:sz w:val="16"/>
          <w:szCs w:val="16"/>
          <w:color w:val="auto"/>
        </w:rPr>
        <w:t>Revenues from other manufactured products decreased by $14.5 million as we have exited sales outside aluminum customers to maximize our labor resources.</w:t>
      </w:r>
    </w:p>
    <w:p>
      <w:pPr>
        <w:spacing w:after="0" w:line="169"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Cost of goods sold was $631.2 million, or 88.7% of net revenues for the first nine months of Fiscal 2016 compared to $648.6 million, or 89.4% of net revenues for the first nine months of Fiscal 2015 due to the following:</w:t>
      </w:r>
    </w:p>
    <w:p>
      <w:pPr>
        <w:spacing w:after="0" w:line="1" w:lineRule="exact"/>
        <w:rPr>
          <w:sz w:val="20"/>
          <w:szCs w:val="20"/>
          <w:color w:val="auto"/>
        </w:rPr>
      </w:pPr>
    </w:p>
    <w:p>
      <w:pPr>
        <w:ind w:left="340" w:right="20" w:hanging="332"/>
        <w:spacing w:after="0" w:line="27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6"/>
          <w:szCs w:val="16"/>
          <w:color w:val="auto"/>
        </w:rPr>
        <w:t xml:space="preserve">Total variable costs (materials, direct labor, variable overhead, delivery expense and warranty), as a percent of net revenues, decreased to 83.3% </w:t>
      </w:r>
      <w:r>
        <w:rPr>
          <w:rFonts w:ascii="Arial" w:cs="Arial" w:eastAsia="Arial" w:hAnsi="Arial"/>
          <w:sz w:val="18"/>
          <w:szCs w:val="18"/>
          <w:color w:val="auto"/>
        </w:rPr>
        <w:t>in</w:t>
      </w:r>
      <w:r>
        <w:rPr>
          <w:rFonts w:ascii="Arial" w:cs="Arial" w:eastAsia="Arial" w:hAnsi="Arial"/>
          <w:sz w:val="16"/>
          <w:szCs w:val="16"/>
          <w:color w:val="auto"/>
        </w:rPr>
        <w:t xml:space="preserve"> Fiscal 2016 compared to 84.1% in Fiscal 2015 primarily due to improved pricing, favorable product mix in part due to our decision to exit other manufactured products markets and cost savings related to our strategic sourcing project, partially offset by higher warranty expense.</w:t>
      </w:r>
    </w:p>
    <w:p>
      <w:pPr>
        <w:spacing w:after="0" w:line="17" w:lineRule="exact"/>
        <w:rPr>
          <w:rFonts w:ascii="Arial" w:cs="Arial" w:eastAsia="Arial" w:hAnsi="Arial"/>
          <w:sz w:val="18"/>
          <w:szCs w:val="18"/>
          <w:color w:val="auto"/>
        </w:rPr>
      </w:pPr>
    </w:p>
    <w:p>
      <w:pPr>
        <w:ind w:left="340" w:right="640" w:hanging="332"/>
        <w:spacing w:after="0" w:line="241"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6"/>
          <w:szCs w:val="16"/>
          <w:color w:val="auto"/>
        </w:rPr>
        <w:t xml:space="preserve">Fixed overhead (manufacturing support labor, depreciation and facility costs) and research and development-related costs were flat at 5.3% of net revenues </w:t>
      </w:r>
      <w:r>
        <w:rPr>
          <w:rFonts w:ascii="Arial" w:cs="Arial" w:eastAsia="Arial" w:hAnsi="Arial"/>
          <w:sz w:val="18"/>
          <w:szCs w:val="18"/>
          <w:color w:val="auto"/>
        </w:rPr>
        <w:t>in</w:t>
      </w:r>
      <w:r>
        <w:rPr>
          <w:rFonts w:ascii="Arial" w:cs="Arial" w:eastAsia="Arial" w:hAnsi="Arial"/>
          <w:sz w:val="16"/>
          <w:szCs w:val="16"/>
          <w:color w:val="auto"/>
        </w:rPr>
        <w:t xml:space="preserve"> both Fiscal 2016 and Fiscal 2015.</w:t>
      </w:r>
    </w:p>
    <w:p>
      <w:pPr>
        <w:spacing w:after="0" w:line="4"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6"/>
          <w:szCs w:val="16"/>
          <w:color w:val="auto"/>
        </w:rPr>
        <w:t>All factors considered, gross profit increased to 11.3% from 10.6% of net revenues.</w:t>
      </w:r>
    </w:p>
    <w:p>
      <w:pPr>
        <w:spacing w:after="0" w:line="16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 xml:space="preserve">Selling expenses were flat at $14.7 million in the first nine months of Fiscal 2016 and Fiscal 2015, and were 2.1% of net revenues </w:t>
      </w:r>
      <w:r>
        <w:rPr>
          <w:rFonts w:ascii="Arial" w:cs="Arial" w:eastAsia="Arial" w:hAnsi="Arial"/>
          <w:sz w:val="18"/>
          <w:szCs w:val="18"/>
          <w:color w:val="auto"/>
        </w:rPr>
        <w:t>in</w:t>
      </w:r>
      <w:r>
        <w:rPr>
          <w:rFonts w:ascii="Arial" w:cs="Arial" w:eastAsia="Arial" w:hAnsi="Arial"/>
          <w:sz w:val="16"/>
          <w:szCs w:val="16"/>
          <w:color w:val="auto"/>
        </w:rPr>
        <w:t xml:space="preserve"> Fiscal 2016 compared to 2.0% in Fiscal 2015.</w:t>
      </w:r>
    </w:p>
    <w:p>
      <w:pPr>
        <w:spacing w:after="0" w:line="129"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General and administrative expenses were 2.7% and 2.6% of net revenues in the first nine months of Fiscal 2016 and Fiscal 2015, respectively. General and administrative expenses increased $58,000, or 0.3% in the first nine months of Fiscal 2016 compared to the same period in Fiscal 2015. The legal settlement previously discussed and increased amortization of postretirement health care prior service benefit due to the plan amendment decreased expenses and were offset by increases in ERP and wage related expenses.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As described above, during the third quarter of Fiscal 2015 we recorded an asset impairment of $462,000 when we offered the corporate plane for sale.</w:t>
      </w:r>
    </w:p>
    <w:p>
      <w:pPr>
        <w:spacing w:after="0" w:line="24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overall effective income tax rate for the first nine months of Fiscal 2016 was 31.2% compared to the effective income tax rate of 30.7% for the first nine months of Fiscal 2015. The increase in effective rate is due to the reduction in the amount of the Domestic Production Activities Deduction applicable in Fiscal 2016 as compared Fiscal 2015. This increase was partially offset in the first nine months of Fiscal 2016 by a favorable retroactive tax credit. Our effective tax rate is expected to be higher in future periods without the benefit of this retroactive tax credit.</w:t>
      </w:r>
    </w:p>
    <w:p>
      <w:pPr>
        <w:spacing w:after="0" w:line="14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Net income and diluted income per share were $32.4 million and $1.20 per share, respectively, for the first nine months of Fiscal 2016. In the first nine months of Fiscal 2015, net income was $29.5 million and diluted net income was $1.09 per share.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Balance Sheet Changes</w:t>
      </w:r>
    </w:p>
    <w:p>
      <w:pPr>
        <w:spacing w:after="0" w:line="214"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In the first quarter of Fiscal 2016 we reduced our postretirement health care liability with a plan amendment. This resulted in a $28.6 million reduction in the postretirement health care liability, a $10.9 million decrease in our deferred tax assets and a $17.7 million increase in AOCI.</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Cash and cash equivalents increased $1.0 million during the first nine months of Fiscal 2016 and totaled $71.3 million as of May 28, 2016. Significant liquidity events that occurred during the first nine months of Fiscal 2016 were:</w:t>
      </w:r>
    </w:p>
    <w:p>
      <w:pPr>
        <w:spacing w:after="0" w:line="14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Generation of net income of $32.4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Purchases of property and equipment of $19.9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 in inventory of $19.3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Dividend payments of $8.2 million</w:t>
      </w:r>
    </w:p>
    <w:p>
      <w:pPr>
        <w:spacing w:after="0" w:line="194" w:lineRule="exact"/>
        <w:rPr>
          <w:sz w:val="20"/>
          <w:szCs w:val="20"/>
          <w:color w:val="auto"/>
        </w:rPr>
      </w:pPr>
    </w:p>
    <w:p>
      <w:pPr>
        <w:jc w:val="both"/>
        <w:ind w:right="160"/>
        <w:spacing w:after="0" w:line="251" w:lineRule="auto"/>
        <w:rPr>
          <w:sz w:val="20"/>
          <w:szCs w:val="20"/>
          <w:color w:val="auto"/>
        </w:rPr>
      </w:pPr>
      <w:r>
        <w:rPr>
          <w:rFonts w:ascii="Arial" w:cs="Arial" w:eastAsia="Arial" w:hAnsi="Arial"/>
          <w:sz w:val="16"/>
          <w:szCs w:val="16"/>
          <w:color w:val="auto"/>
        </w:rPr>
        <w:t>We have the ability to borrow $35.0 million through our Amended Credit Agreement with Wells Fargo Capital Finance, a revolving credit facility based on our eligible inventory and certain receivables. In addition, the Amended Credit Agreement also includes a framework to expand the size of the facility up to $50.0 million, based on mutually agreeable terms at the time of the expansion. We are in compliance with all material terms in the Amended Credit Agreement and have no outstanding borrowings at May 28, 2016.</w:t>
      </w:r>
    </w:p>
    <w:p>
      <w:pPr>
        <w:spacing w:after="0" w:line="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April 25, 2016. Subject to market conditions, we have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to raise capital if we need it, in addition to the alternatives already in place.</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Working capital at May 28, 2016 and August 29, 2015 was $180.7 million and $184.6 million, respectively, a decrease of $3.9 million. We currently expect cash on hand, cash collected on receivables, funds generated from operations and the availability under the Amended Credit Agreement to be sufficient to cover both short-term and long-term operating requirements for the next 12 months. We anticipate capital expenditures in the fourth quarter of Fiscal 2016 to be approximately $4 - $6 million as we continue to invest in our ERP system and West Coast capacity expansion investments.</w:t>
      </w:r>
    </w:p>
    <w:p>
      <w:pPr>
        <w:spacing w:after="0" w:line="230"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We made share repurchases of $3.1 million in the first nine months of Fiscal 2016. If we believe the common stock is trading at attractive levels and reflects a prudent use of our capital, subject to compliance with the Amended Credit Agreement, we may purchase additional shares in the remainder of Fiscal 2016. At May 28, 2016 we have $4.0 million remaining on our board repurchase authorization. See Part II, Item 2 of this Form 10-Q.</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Cash provided by operating activities was $31.7 million for the nine months ended May 28, 2016 compared to $18.6 million for the nine months ended May 30, 2015. In Fiscal 2016 the combination of net income of $32.4 million and changes in non-cash charges (e.g., depreciation, LIFO, stock-based compensation, deferred income taxes) provided $38.7 million of operating cash. Changes in assets and liabilities (primarily an increase in inventories) used $6.9 million of operating cash in the first nine months ended May 28, 2016. In the nine months ended May 30, 2015, the combination of net income of $29.5 million and changes in non-cash charges (e.g., depreciation, LIFO, stock-based compensation, deferred income taxes) provided $37.5 million of operating cash. Changes in assets and liabilities (primarily an increase in inventories and a decrease in accrued expenses) used $19.0 million of operating cash.</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Cash used in investing activities of $19.5 million for the nine months ended May 28, 2016 was due primarily to capital expenditures of $19.9 million. Approximately $9.7 million was invested in property in Oregon that we intend to use to expand motorhome manufacturing and approximately $8.4 million was invested in ERP. In the nine months ended May 30, 2015, cash used in investing activities of $13.7 million was due primarily to capital expenditures of $14.2 million.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jc w:val="both"/>
        <w:ind w:right="220"/>
        <w:spacing w:after="0" w:line="253" w:lineRule="auto"/>
        <w:rPr>
          <w:sz w:val="20"/>
          <w:szCs w:val="20"/>
          <w:color w:val="auto"/>
        </w:rPr>
      </w:pPr>
      <w:r>
        <w:rPr>
          <w:rFonts w:ascii="Arial" w:cs="Arial" w:eastAsia="Arial" w:hAnsi="Arial"/>
          <w:sz w:val="16"/>
          <w:szCs w:val="16"/>
          <w:color w:val="auto"/>
        </w:rPr>
        <w:t>Cash used in financing activities of $11.2 million for the nine months ended May 28, 2016 was primarily due to $8.2 million for the payment of dividends and $3.1 million in repurchases of our stock. Cash used in financing activities of $13.5 million for the nine months ended May 30, 2015 was primarily due to $6.2 million for repurchases of our stock and $7.3 million for payments of dividends.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29, 2015.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29, 2015. We</w:t>
      </w:r>
      <w:r>
        <w:rPr>
          <w:rFonts w:ascii="Arial" w:cs="Arial" w:eastAsia="Arial" w:hAnsi="Arial"/>
          <w:sz w:val="16"/>
          <w:szCs w:val="16"/>
          <w:i w:val="1"/>
          <w:iCs w:val="1"/>
          <w:color w:val="auto"/>
        </w:rPr>
        <w:t xml:space="preserve"> </w:t>
      </w:r>
      <w:r>
        <w:rPr>
          <w:rFonts w:ascii="Arial" w:cs="Arial" w:eastAsia="Arial" w:hAnsi="Arial"/>
          <w:sz w:val="16"/>
          <w:szCs w:val="16"/>
          <w:color w:val="auto"/>
        </w:rPr>
        <w:t>refer to these disclosures for a detailed explanation of our significant accounting policies and critical accounting estimates. There has been no significant change in our significant accounting policies or critical accounting estimates since the end of Fiscal 2015.</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380"/>
          </w:cols>
          <w:pgMar w:left="240" w:top="141" w:right="27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1"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and believes such controls and procedures are effective at the reasonable assurance level.</w:t>
      </w:r>
    </w:p>
    <w:p>
      <w:pPr>
        <w:spacing w:after="0" w:line="16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As reported in the November 28, 2015 Form 10-Q, we had a change in our internal control over financial reporting that occurred as a result of our implementation of a new ERP system that has materially affected, or is reasonably likely to materially affect, our internal control over financial reporting. During the first nine months of Fiscal 2016, our new ERP system replaced our legacy system for our Finance area, the Towables operation and the human resources/payroll areas. Our new ERP system is intended to provide us with enhanced transactional processing and management tools compared to our legacy system. The new system was subject to extensive testing and data reconciliation during implementation.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8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For the past several years we have been involved in litigation in Australia seeking to recover from Knott for damages arising from Knott using our name on RVs without our approval. On December 2, 2015, the Federal Court of Australia, New South Wales District Registry, General Division, entered judgment in our favor and against Knott for damages arising out of its use of the Winnebago name. Damages awarded were 1.0% of the total sales of Winnebago branded recreation vehicles from October 14, 2004, through October 17, 2013, plus interest. We previously disclosed that the amount of that award was likely to exceed $5.0 million, plus attorneys’ fees. Knott appealed that ruling. On May 26, 2016, in exchange for immediate payment to Winnebago of $2.75 million, Winnebago and Knott executed a global settlement pursuant to which Knott will cease all use of the Winnebago name and logos, all appeals and oppositions are terminated, and all proceedings between the parties have been settled. Winnebago’s trademarks in Australia will proceed to registration without further opposition from Knott. The settlement of $2.75 million was recorded within general and administrative expense in the third quarter of Fiscal 2016.</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214" w:lineRule="exact"/>
        <w:rPr>
          <w:sz w:val="20"/>
          <w:szCs w:val="20"/>
          <w:color w:val="auto"/>
        </w:rPr>
      </w:pPr>
    </w:p>
    <w:p>
      <w:pPr>
        <w:ind w:right="100"/>
        <w:spacing w:after="0" w:line="192" w:lineRule="exact"/>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29, 2015.</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8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third quarter of Fiscal 2016, 182 shares were repurchased under the authorization, at an aggregate cost of $3,926. All of these shares were repurchased from employees who vested in Winnebago Industries shares during the third quarter of Fiscal 2016 and</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41"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elected to pay their payroll tax via shares as opposed to cash. As of May 28, 2016, there was approximately $4.0 million remaining under this authorization.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third quarter of Fiscal 2016 were: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440" w:type="dxa"/>
            <w:vAlign w:val="bottom"/>
          </w:tcPr>
          <w:p>
            <w:pPr>
              <w:jc w:val="center"/>
              <w:ind w:left="319"/>
              <w:spacing w:after="0"/>
              <w:rPr>
                <w:sz w:val="20"/>
                <w:szCs w:val="20"/>
                <w:color w:val="auto"/>
              </w:rPr>
            </w:pPr>
            <w:r>
              <w:rPr>
                <w:rFonts w:ascii="Arial" w:cs="Arial" w:eastAsia="Arial" w:hAnsi="Arial"/>
                <w:sz w:val="16"/>
                <w:szCs w:val="16"/>
                <w:b w:val="1"/>
                <w:bCs w:val="1"/>
                <w:color w:val="auto"/>
              </w:rPr>
              <w:t>Total Number</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440" w:type="dxa"/>
            <w:vAlign w:val="bottom"/>
          </w:tcPr>
          <w:p>
            <w:pPr>
              <w:jc w:val="center"/>
              <w:ind w:left="299"/>
              <w:spacing w:after="0"/>
              <w:rPr>
                <w:sz w:val="20"/>
                <w:szCs w:val="20"/>
                <w:color w:val="auto"/>
              </w:rPr>
            </w:pPr>
            <w:r>
              <w:rPr>
                <w:rFonts w:ascii="Arial" w:cs="Arial" w:eastAsia="Arial" w:hAnsi="Arial"/>
                <w:sz w:val="16"/>
                <w:szCs w:val="16"/>
                <w:b w:val="1"/>
                <w:bCs w:val="1"/>
                <w:color w:val="auto"/>
              </w:rPr>
              <w:t>of Shares</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44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rPr>
              <w:t>Purchased</w:t>
            </w: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02/28/15 - 04/02/16</w:t>
            </w:r>
          </w:p>
        </w:tc>
        <w:tc>
          <w:tcPr>
            <w:tcW w:w="144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4,009,000</w:t>
            </w:r>
          </w:p>
        </w:tc>
      </w:tr>
      <w:tr>
        <w:trPr>
          <w:trHeight w:val="260"/>
        </w:trPr>
        <w:tc>
          <w:tcPr>
            <w:tcW w:w="3100" w:type="dxa"/>
            <w:vAlign w:val="bottom"/>
          </w:tcPr>
          <w:p>
            <w:pPr>
              <w:ind w:left="40"/>
              <w:spacing w:after="0"/>
              <w:rPr>
                <w:sz w:val="20"/>
                <w:szCs w:val="20"/>
                <w:color w:val="auto"/>
              </w:rPr>
            </w:pPr>
            <w:r>
              <w:rPr>
                <w:rFonts w:ascii="Arial" w:cs="Arial" w:eastAsia="Arial" w:hAnsi="Arial"/>
                <w:sz w:val="16"/>
                <w:szCs w:val="16"/>
                <w:color w:val="auto"/>
              </w:rPr>
              <w:t>04/03/16 - 04/30/16</w:t>
            </w:r>
          </w:p>
        </w:tc>
        <w:tc>
          <w:tcPr>
            <w:tcW w:w="1440" w:type="dxa"/>
            <w:vAlign w:val="bottom"/>
          </w:tcPr>
          <w:p>
            <w:pPr>
              <w:spacing w:after="0"/>
              <w:rPr>
                <w:sz w:val="22"/>
                <w:szCs w:val="22"/>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w w:val="97"/>
              </w:rPr>
              <w:t>182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21.57</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182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4,005,000</w:t>
            </w:r>
          </w:p>
        </w:tc>
      </w:tr>
      <w:tr>
        <w:trPr>
          <w:trHeight w:val="273"/>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05/01/16 - 05/28/16</w:t>
            </w:r>
          </w:p>
        </w:tc>
        <w:tc>
          <w:tcPr>
            <w:tcW w:w="14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4,005,000</w:t>
            </w:r>
          </w:p>
        </w:tc>
      </w:tr>
      <w:tr>
        <w:trPr>
          <w:trHeight w:val="267"/>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7"/>
              </w:rPr>
              <w:t>182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21.57</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4,005,000</w:t>
            </w:r>
          </w:p>
        </w:tc>
      </w:tr>
      <w:tr>
        <w:trPr>
          <w:trHeight w:val="20"/>
        </w:trPr>
        <w:tc>
          <w:tcPr>
            <w:tcW w:w="3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Our Amended Credit Agreement contains covenants that limit our ability to pay certain cash dividends or repurchase our stock without impacting financial ratio covenants.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420"/>
          </w:cols>
          <w:pgMar w:left="240" w:top="141"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Amended By-Laws of the Registrant previously filed with the Registrant's Current Report on Forms 8-K dated March 29, 2016 and June 16, 2016 (Commission File Number 001-06403) and incorporated by reference herein.</w:t>
      </w:r>
    </w:p>
    <w:p>
      <w:pPr>
        <w:spacing w:after="0" w:line="142" w:lineRule="exact"/>
        <w:rPr>
          <w:sz w:val="20"/>
          <w:szCs w:val="20"/>
          <w:color w:val="auto"/>
        </w:rPr>
      </w:pPr>
    </w:p>
    <w:p>
      <w:pPr>
        <w:sectPr>
          <w:pgSz w:w="11900" w:h="16838" w:orient="portrait"/>
          <w:cols w:equalWidth="0" w:num="2">
            <w:col w:w="260" w:space="720"/>
            <w:col w:w="10440"/>
          </w:cols>
          <w:pgMar w:left="240" w:top="141" w:right="239" w:bottom="1440" w:gutter="0" w:footer="0" w:header="0"/>
          <w:type w:val="continuous"/>
        </w:sectPr>
      </w:pPr>
    </w:p>
    <w:p>
      <w:pPr>
        <w:spacing w:after="0"/>
        <w:tabs>
          <w:tab w:leader="none" w:pos="9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June 22, 2016.</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June 22, 2016.</w:t>
      </w:r>
    </w:p>
    <w:p>
      <w:pPr>
        <w:spacing w:after="0" w:line="167" w:lineRule="exact"/>
        <w:rPr>
          <w:sz w:val="20"/>
          <w:szCs w:val="20"/>
          <w:color w:val="auto"/>
        </w:rPr>
      </w:pPr>
    </w:p>
    <w:p>
      <w:pPr>
        <w:ind w:left="980" w:right="380" w:hanging="971"/>
        <w:spacing w:after="0" w:line="260" w:lineRule="auto"/>
        <w:tabs>
          <w:tab w:leader="none" w:pos="9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 dated June 22, 2016.</w:t>
      </w:r>
    </w:p>
    <w:p>
      <w:pPr>
        <w:spacing w:after="0" w:line="142" w:lineRule="exact"/>
        <w:rPr>
          <w:sz w:val="20"/>
          <w:szCs w:val="20"/>
          <w:color w:val="auto"/>
        </w:rPr>
      </w:pPr>
    </w:p>
    <w:p>
      <w:pPr>
        <w:ind w:left="980" w:right="440" w:hanging="971"/>
        <w:spacing w:after="0" w:line="260" w:lineRule="auto"/>
        <w:tabs>
          <w:tab w:leader="none" w:pos="9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June 22, 2016.</w:t>
      </w:r>
    </w:p>
    <w:p>
      <w:pPr>
        <w:sectPr>
          <w:pgSz w:w="11900" w:h="16838" w:orient="portrait"/>
          <w:cols w:equalWidth="0" w:num="1">
            <w:col w:w="11420"/>
          </w:cols>
          <w:pgMar w:left="240" w:top="141" w:right="2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20" w:space="26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440"/>
          </w:cols>
          <w:pgMar w:left="240" w:top="14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440"/>
          </w:cols>
          <w:pgMar w:left="240" w:top="141" w:right="239" w:bottom="1440" w:gutter="0" w:footer="0" w:header="0"/>
          <w:type w:val="continuous"/>
        </w:sectPr>
      </w:pPr>
    </w:p>
    <w:p>
      <w:pPr>
        <w:ind w:right="60"/>
        <w:spacing w:after="0" w:line="25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May 28, 2016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WINNEBAGO INDUSTRIES, INC.</w:t>
            </w:r>
          </w:p>
        </w:tc>
      </w:tr>
      <w:tr>
        <w:trPr>
          <w:trHeight w:val="55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140"/>
              <w:spacing w:after="0"/>
              <w:rPr>
                <w:sz w:val="20"/>
                <w:szCs w:val="20"/>
                <w:color w:val="auto"/>
              </w:rPr>
            </w:pPr>
            <w:r>
              <w:rPr>
                <w:rFonts w:ascii="Arial" w:cs="Arial" w:eastAsia="Arial" w:hAnsi="Arial"/>
                <w:sz w:val="16"/>
                <w:szCs w:val="16"/>
                <w:color w:val="auto"/>
              </w:rPr>
              <w:t>June 22, 2016</w:t>
            </w: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37"/>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53"/>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00" w:type="dxa"/>
            <w:vAlign w:val="bottom"/>
          </w:tcPr>
          <w:p>
            <w:pPr>
              <w:ind w:left="140"/>
              <w:spacing w:after="0"/>
              <w:rPr>
                <w:sz w:val="20"/>
                <w:szCs w:val="20"/>
                <w:color w:val="auto"/>
              </w:rPr>
            </w:pPr>
            <w:r>
              <w:rPr>
                <w:rFonts w:ascii="Arial" w:cs="Arial" w:eastAsia="Arial" w:hAnsi="Arial"/>
                <w:sz w:val="16"/>
                <w:szCs w:val="16"/>
                <w:color w:val="auto"/>
              </w:rPr>
              <w:t>June 22, 2016</w:t>
            </w:r>
          </w:p>
        </w:tc>
        <w:tc>
          <w:tcPr>
            <w:tcW w:w="7620" w:type="dxa"/>
            <w:vAlign w:val="bottom"/>
            <w:gridSpan w:val="2"/>
          </w:tcPr>
          <w:p>
            <w:pPr>
              <w:ind w:left="1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Sarah N. Nielsen</w:t>
            </w:r>
          </w:p>
        </w:tc>
      </w:tr>
      <w:tr>
        <w:trPr>
          <w:trHeight w:val="237"/>
        </w:trPr>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Sarah N. Nielsen</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r>
        <w:trPr>
          <w:trHeight w:val="270"/>
        </w:trPr>
        <w:tc>
          <w:tcPr>
            <w:tcW w:w="54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r>
        <w:trPr>
          <w:trHeight w:val="675"/>
        </w:trPr>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22</w:t>
            </w:r>
          </w:p>
        </w:tc>
        <w:tc>
          <w:tcPr>
            <w:tcW w:w="5360" w:type="dxa"/>
            <w:vAlign w:val="bottom"/>
          </w:tcPr>
          <w:p>
            <w:pPr>
              <w:spacing w:after="0"/>
              <w:rPr>
                <w:sz w:val="24"/>
                <w:szCs w:val="24"/>
                <w:color w:val="auto"/>
              </w:rPr>
            </w:pPr>
          </w:p>
        </w:tc>
      </w:tr>
    </w:tbl>
    <w:p>
      <w:pPr>
        <w:sectPr>
          <w:pgSz w:w="11900" w:h="16838" w:orient="portrait"/>
          <w:cols w:equalWidth="0" w:num="1">
            <w:col w:w="11340"/>
          </w:cols>
          <w:pgMar w:left="240" w:top="141" w:right="31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certify that:</w:t>
      </w:r>
    </w:p>
    <w:p>
      <w:pPr>
        <w:spacing w:after="0" w:line="8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22,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20"/>
          </w:cols>
          <w:pgMar w:left="240" w:top="630"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certify that:</w:t>
      </w:r>
    </w:p>
    <w:p>
      <w:pPr>
        <w:spacing w:after="0" w:line="8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left="340" w:right="120" w:hanging="332"/>
        <w:spacing w:after="0" w:line="260"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00" w:hanging="328"/>
        <w:spacing w:after="0" w:line="253"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jc w:val="both"/>
        <w:ind w:left="660" w:right="920" w:hanging="328"/>
        <w:spacing w:after="0" w:line="260"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340" w:right="620" w:hanging="332"/>
        <w:spacing w:after="0" w:line="260"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60" w:hanging="328"/>
        <w:spacing w:after="0" w:line="260"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22,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6" w:right="2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May 28, 2016, I, Michael J. Happe, Chief Executive Officer and President of Winnebago Industries, Inc., certify that pursuant to 18 U.S.C. §1350 as adopted pursuant to §906 of the Sarbanes-Oxley Act of 2002, that:</w:t>
      </w:r>
    </w:p>
    <w:p>
      <w:pPr>
        <w:spacing w:after="0" w:line="174" w:lineRule="exact"/>
        <w:rPr>
          <w:sz w:val="20"/>
          <w:szCs w:val="20"/>
          <w:color w:val="auto"/>
        </w:rPr>
      </w:pPr>
    </w:p>
    <w:p>
      <w:pPr>
        <w:jc w:val="both"/>
        <w:ind w:left="660" w:right="80" w:hanging="328"/>
        <w:spacing w:after="0" w:line="25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May 28, 2016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22,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360"/>
          </w:cols>
          <w:pgMar w:left="240" w:top="630" w:right="29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May 28, 2016, I, Sarah N. Nielsen, Vice President, Chief Financial Officer of Winnebago Industries, Inc., certify that pursuant to 18 U.S.C. §1350 as adopted pursuant to §906 of the Sarbanes-Oxley Act of 2002, that:</w:t>
      </w:r>
    </w:p>
    <w:p>
      <w:pPr>
        <w:spacing w:after="0" w:line="174" w:lineRule="exact"/>
        <w:rPr>
          <w:sz w:val="20"/>
          <w:szCs w:val="20"/>
          <w:color w:val="auto"/>
        </w:rPr>
      </w:pPr>
    </w:p>
    <w:p>
      <w:pPr>
        <w:jc w:val="both"/>
        <w:ind w:left="660" w:right="80" w:hanging="328"/>
        <w:spacing w:after="0" w:line="25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May 28, 2016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22,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29210</wp:posOffset>
            </wp:positionV>
            <wp:extent cx="2752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2"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2019-12-29T10:45:34Z</dcterms:created>
  <dcterms:modified xsi:type="dcterms:W3CDTF">2019-12-29T10:45:34Z</dcterms:modified>
</cp:coreProperties>
</file>