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63" w:lineRule="exact"/>
        <w:rPr>
          <w:sz w:val="24"/>
          <w:szCs w:val="24"/>
          <w:color w:val="auto"/>
        </w:rPr>
      </w:pPr>
    </w:p>
    <w:p>
      <w:pPr>
        <w:ind w:left="4920"/>
        <w:spacing w:after="0"/>
        <w:rPr>
          <w:sz w:val="20"/>
          <w:szCs w:val="20"/>
          <w:color w:val="auto"/>
        </w:rPr>
      </w:pPr>
      <w:r>
        <w:rPr>
          <w:rFonts w:ascii="Arial" w:cs="Arial" w:eastAsia="Arial" w:hAnsi="Arial"/>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25400</wp:posOffset>
            </wp:positionV>
            <wp:extent cx="1226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-170815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2"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210820</wp:posOffset>
            </wp:positionV>
            <wp:extent cx="300037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(Exact name of registrant as specified in its charter)</w:t>
      </w:r>
    </w:p>
    <w:p>
      <w:pPr>
        <w:spacing w:after="0" w:line="174"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Minnesota</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001-06403</w:t>
            </w:r>
          </w:p>
        </w:tc>
        <w:tc>
          <w:tcPr>
            <w:tcW w:w="3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42-0802678</w:t>
            </w:r>
          </w:p>
        </w:tc>
        <w:tc>
          <w:tcPr>
            <w:tcW w:w="0" w:type="dxa"/>
            <w:vAlign w:val="bottom"/>
          </w:tcPr>
          <w:p>
            <w:pPr>
              <w:spacing w:after="0"/>
              <w:rPr>
                <w:sz w:val="1"/>
                <w:szCs w:val="1"/>
                <w:color w:val="auto"/>
              </w:rPr>
            </w:pPr>
          </w:p>
        </w:tc>
      </w:tr>
      <w:tr>
        <w:trPr>
          <w:trHeight w:val="201"/>
        </w:trPr>
        <w:tc>
          <w:tcPr>
            <w:tcW w:w="3160" w:type="dxa"/>
            <w:vAlign w:val="bottom"/>
            <w:gridSpan w:val="2"/>
          </w:tcPr>
          <w:p>
            <w:pPr>
              <w:ind w:left="640"/>
              <w:spacing w:after="0"/>
              <w:rPr>
                <w:sz w:val="20"/>
                <w:szCs w:val="20"/>
                <w:color w:val="auto"/>
              </w:rPr>
            </w:pPr>
            <w:r>
              <w:rPr>
                <w:rFonts w:ascii="Arial" w:cs="Arial" w:eastAsia="Arial" w:hAnsi="Arial"/>
                <w:sz w:val="16"/>
                <w:szCs w:val="16"/>
                <w:color w:val="auto"/>
              </w:rPr>
              <w:t>(State or other jurisdiction</w:t>
            </w:r>
          </w:p>
        </w:tc>
        <w:tc>
          <w:tcPr>
            <w:tcW w:w="340" w:type="dxa"/>
            <w:vAlign w:val="bottom"/>
          </w:tcPr>
          <w:p>
            <w:pPr>
              <w:spacing w:after="0"/>
              <w:rPr>
                <w:sz w:val="17"/>
                <w:szCs w:val="17"/>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6"/>
                <w:szCs w:val="16"/>
                <w:color w:val="auto"/>
              </w:rPr>
              <w:t>(Commission</w:t>
            </w: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195"/>
        </w:trPr>
        <w:tc>
          <w:tcPr>
            <w:tcW w:w="3160" w:type="dxa"/>
            <w:vAlign w:val="bottom"/>
            <w:gridSpan w:val="2"/>
          </w:tcPr>
          <w:p>
            <w:pPr>
              <w:jc w:val="center"/>
              <w:spacing w:after="0"/>
              <w:rPr>
                <w:sz w:val="20"/>
                <w:szCs w:val="20"/>
                <w:color w:val="auto"/>
              </w:rPr>
            </w:pPr>
            <w:r>
              <w:rPr>
                <w:rFonts w:ascii="Arial" w:cs="Arial" w:eastAsia="Arial" w:hAnsi="Arial"/>
                <w:sz w:val="16"/>
                <w:szCs w:val="16"/>
                <w:color w:val="auto"/>
              </w:rPr>
              <w:t>of incorporation or organization)</w:t>
            </w:r>
          </w:p>
        </w:tc>
        <w:tc>
          <w:tcPr>
            <w:tcW w:w="340" w:type="dxa"/>
            <w:vAlign w:val="bottom"/>
          </w:tcPr>
          <w:p>
            <w:pPr>
              <w:spacing w:after="0"/>
              <w:rPr>
                <w:sz w:val="16"/>
                <w:szCs w:val="16"/>
                <w:color w:val="auto"/>
              </w:rPr>
            </w:pPr>
          </w:p>
        </w:tc>
        <w:tc>
          <w:tcPr>
            <w:tcW w:w="1900" w:type="dxa"/>
            <w:vAlign w:val="bottom"/>
            <w:gridSpan w:val="2"/>
          </w:tcPr>
          <w:p>
            <w:pPr>
              <w:ind w:left="300"/>
              <w:spacing w:after="0"/>
              <w:rPr>
                <w:sz w:val="20"/>
                <w:szCs w:val="20"/>
                <w:color w:val="auto"/>
              </w:rPr>
            </w:pPr>
            <w:r>
              <w:rPr>
                <w:rFonts w:ascii="Arial" w:cs="Arial" w:eastAsia="Arial" w:hAnsi="Arial"/>
                <w:sz w:val="16"/>
                <w:szCs w:val="16"/>
                <w:color w:val="auto"/>
              </w:rPr>
              <w:t>File Number)</w:t>
            </w: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425"/>
        </w:trPr>
        <w:tc>
          <w:tcPr>
            <w:tcW w:w="3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13200 Pioneer Trail,</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2"/>
            <w:vMerge w:val="restart"/>
          </w:tcPr>
          <w:p>
            <w:pPr>
              <w:jc w:val="right"/>
              <w:ind w:right="1319"/>
              <w:spacing w:after="0"/>
              <w:rPr>
                <w:sz w:val="20"/>
                <w:szCs w:val="20"/>
                <w:color w:val="auto"/>
              </w:rPr>
            </w:pPr>
            <w:r>
              <w:rPr>
                <w:rFonts w:ascii="Arial" w:cs="Arial" w:eastAsia="Arial" w:hAnsi="Arial"/>
                <w:sz w:val="16"/>
                <w:szCs w:val="16"/>
                <w:b w:val="1"/>
                <w:bCs w:val="1"/>
                <w:color w:val="auto"/>
              </w:rPr>
              <w:t>55347</w:t>
            </w:r>
          </w:p>
        </w:tc>
        <w:tc>
          <w:tcPr>
            <w:tcW w:w="0" w:type="dxa"/>
            <w:vAlign w:val="bottom"/>
          </w:tcPr>
          <w:p>
            <w:pPr>
              <w:spacing w:after="0"/>
              <w:rPr>
                <w:sz w:val="1"/>
                <w:szCs w:val="1"/>
                <w:color w:val="auto"/>
              </w:rPr>
            </w:pPr>
          </w:p>
        </w:tc>
      </w:tr>
      <w:tr>
        <w:trPr>
          <w:trHeight w:val="215"/>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Eden Prairie, Minnesota</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60" w:type="dxa"/>
            <w:vAlign w:val="bottom"/>
            <w:gridSpan w:val="2"/>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center"/>
              <w:ind w:right="959"/>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473"/>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Stacy L. Bogart</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6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(952) 829-8600</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(Name and telephone number, including area code, of the</w:t>
      </w:r>
    </w:p>
    <w:p>
      <w:pPr>
        <w:jc w:val="center"/>
        <w:ind w:right="-99"/>
        <w:spacing w:after="0"/>
        <w:rPr>
          <w:sz w:val="20"/>
          <w:szCs w:val="20"/>
          <w:color w:val="auto"/>
        </w:rPr>
      </w:pPr>
      <w:r>
        <w:rPr>
          <w:rFonts w:ascii="Arial" w:cs="Arial" w:eastAsia="Arial" w:hAnsi="Arial"/>
          <w:sz w:val="16"/>
          <w:szCs w:val="16"/>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x Rule 13p-1 under the Securities Exchange Act (17 CFR240.13p-1)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6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copy of Winnebago Industries, Inc. (“Winnebago’s”) Conflict Minerals Report for the reporting period January 1, 2021 to December 31, 2021 is provided as Exhibit 1.01 hereto and is publicly available at www.winnebagoind.com under Investors and Financial/SEC Information. Winnebago’s determination and related due diligence efforts are included in Winnebago's Conflict Minerals Report and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1.02 Exhibit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copy of Winnebago's Conflict Minerals Report is filed as Exhibit 1.01 hereto.</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36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6866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6" w:lineRule="exact"/>
        <w:rPr>
          <w:sz w:val="20"/>
          <w:szCs w:val="20"/>
          <w:color w:val="auto"/>
        </w:rPr>
      </w:pPr>
    </w:p>
    <w:p>
      <w:pPr>
        <w:ind w:left="420"/>
        <w:spacing w:after="0"/>
        <w:tabs>
          <w:tab w:leader="none" w:pos="136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1.01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Conflict Minerals Report for the reporting period January 1, 2021 to December 31, 2021 as required by Items 1.01 and 1.02 of this Form</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891" w:right="379" w:bottom="1440" w:gutter="0" w:footer="0" w:header="0"/>
        </w:sectPr>
      </w:pPr>
    </w:p>
    <w:bookmarkStart w:id="2" w:name="page3"/>
    <w:bookmarkEnd w:id="2"/>
    <w:p>
      <w:pPr>
        <w:ind w:left="5160"/>
        <w:spacing w:after="0"/>
        <w:rPr>
          <w:sz w:val="20"/>
          <w:szCs w:val="20"/>
          <w:color w:val="auto"/>
        </w:rPr>
      </w:pPr>
      <w:r>
        <w:rPr>
          <w:rFonts w:ascii="Arial" w:cs="Arial" w:eastAsia="Arial" w:hAnsi="Arial"/>
          <w:sz w:val="16"/>
          <w:szCs w:val="16"/>
          <w:color w:val="auto"/>
        </w:rPr>
        <w:t>SIGNATURE</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0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60"/>
              <w:spacing w:after="0"/>
              <w:rPr>
                <w:sz w:val="20"/>
                <w:szCs w:val="20"/>
                <w:color w:val="auto"/>
              </w:rPr>
            </w:pPr>
            <w:r>
              <w:rPr>
                <w:rFonts w:ascii="Arial" w:cs="Arial" w:eastAsia="Arial" w:hAnsi="Arial"/>
                <w:sz w:val="16"/>
                <w:szCs w:val="16"/>
                <w:color w:val="auto"/>
              </w:rPr>
              <w:t>May 25, 2022</w:t>
            </w:r>
          </w:p>
        </w:tc>
        <w:tc>
          <w:tcPr>
            <w:tcW w:w="2040" w:type="dxa"/>
            <w:vAlign w:val="bottom"/>
          </w:tcPr>
          <w:p>
            <w:pPr>
              <w:ind w:left="122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06"/>
        </w:trPr>
        <w:tc>
          <w:tcPr>
            <w:tcW w:w="5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Name:</w:t>
            </w:r>
          </w:p>
        </w:tc>
        <w:tc>
          <w:tcPr>
            <w:tcW w:w="504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183"/>
        </w:trPr>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Senior Vice President, General Counsel, Secretary and Corporate</w:t>
            </w:r>
          </w:p>
        </w:tc>
      </w:tr>
      <w:tr>
        <w:trPr>
          <w:trHeight w:val="195"/>
        </w:trPr>
        <w:tc>
          <w:tcPr>
            <w:tcW w:w="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Title:</w:t>
            </w:r>
          </w:p>
        </w:tc>
        <w:tc>
          <w:tcPr>
            <w:tcW w:w="5040" w:type="dxa"/>
            <w:vAlign w:val="bottom"/>
          </w:tcPr>
          <w:p>
            <w:pPr>
              <w:ind w:left="20"/>
              <w:spacing w:after="0"/>
              <w:rPr>
                <w:sz w:val="20"/>
                <w:szCs w:val="20"/>
                <w:color w:val="auto"/>
              </w:rPr>
            </w:pPr>
            <w:r>
              <w:rPr>
                <w:rFonts w:ascii="Arial" w:cs="Arial" w:eastAsia="Arial" w:hAnsi="Arial"/>
                <w:sz w:val="16"/>
                <w:szCs w:val="16"/>
                <w:color w:val="auto"/>
              </w:rPr>
              <w:t>Responsibility</w:t>
            </w:r>
          </w:p>
        </w:tc>
      </w:tr>
      <w:tr>
        <w:trPr>
          <w:trHeight w:val="864"/>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40" w:type="dxa"/>
            <w:vAlign w:val="bottom"/>
          </w:tcPr>
          <w:p>
            <w:pPr>
              <w:ind w:left="60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0620"/>
          </w:cols>
          <w:pgMar w:left="320" w:top="911"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Conflict Minerals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2021</w:t>
      </w:r>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subsidiaries, Winnebago of Indiana, LLC, Grand Design RV, LLC, Chris-Craft USA, Inc., and Newmar Corporation as appropriate in this context.</w:t>
      </w:r>
    </w:p>
    <w:p>
      <w:pPr>
        <w:spacing w:after="0" w:line="22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This Conflict Minerals Report of Winnebago Industries, Inc. for calendar year 2021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a manufacturer with a diversified portfolio of recreation vehicles and marine products,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82" w:lineRule="exact"/>
        <w:rPr>
          <w:sz w:val="20"/>
          <w:szCs w:val="20"/>
          <w:color w:val="auto"/>
        </w:rPr>
      </w:pPr>
    </w:p>
    <w:p>
      <w:pPr>
        <w:ind w:left="660" w:right="20" w:hanging="328"/>
        <w:spacing w:after="0" w:line="24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spacing w:after="0" w:line="9" w:lineRule="exact"/>
        <w:rPr>
          <w:rFonts w:ascii="Arial" w:cs="Arial" w:eastAsia="Arial" w:hAnsi="Arial"/>
          <w:sz w:val="18"/>
          <w:szCs w:val="18"/>
          <w:color w:val="auto"/>
        </w:rPr>
      </w:pPr>
    </w:p>
    <w:p>
      <w:pPr>
        <w:ind w:left="660" w:right="480" w:hanging="328"/>
        <w:spacing w:after="0" w:line="24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9"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w:t>
      </w:r>
    </w:p>
    <w:p>
      <w:pPr>
        <w:spacing w:after="0" w:line="5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6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42" w:lineRule="exact"/>
        <w:rPr>
          <w:sz w:val="20"/>
          <w:szCs w:val="20"/>
          <w:color w:val="auto"/>
        </w:rPr>
      </w:pPr>
    </w:p>
    <w:p>
      <w:pPr>
        <w:ind w:left="660" w:right="4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spacing w:after="0" w:line="9" w:lineRule="exact"/>
        <w:rPr>
          <w:rFonts w:ascii="Arial" w:cs="Arial" w:eastAsia="Arial" w:hAnsi="Arial"/>
          <w:sz w:val="18"/>
          <w:szCs w:val="18"/>
          <w:color w:val="auto"/>
        </w:rPr>
      </w:pPr>
    </w:p>
    <w:p>
      <w:pPr>
        <w:ind w:left="660" w:right="62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assessment protocols (“RMAP”) formerly known as Conflict Free Smelter Program.</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The status of risk mitigation efforts was summarized and provided to Winnebago Industries’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motorhomes, touring coaches, travel trailers, fifth wheel trailers, and marine products, as well as supporting RV products.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this information has been listed in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68"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2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assess the presence of conflict minerals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Clearly communicate expectations with newly contracted and delinquent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improve our risk mitigation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encourage our direct suppliers to assess their supply chain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 to encourage our direct suppliers to provide complete and accurate information.</w:t>
      </w:r>
    </w:p>
    <w:p>
      <w:pPr>
        <w:spacing w:after="0" w:line="25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012" w:right="37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5"/>
        </w:trPr>
        <w:tc>
          <w:tcPr>
            <w:tcW w:w="1180" w:type="dxa"/>
            <w:vAlign w:val="bottom"/>
          </w:tcPr>
          <w:p>
            <w:pPr>
              <w:spacing w:after="0"/>
              <w:rPr>
                <w:sz w:val="18"/>
                <w:szCs w:val="18"/>
                <w:color w:val="auto"/>
              </w:rPr>
            </w:pPr>
          </w:p>
        </w:tc>
        <w:tc>
          <w:tcPr>
            <w:tcW w:w="6720" w:type="dxa"/>
            <w:vAlign w:val="bottom"/>
          </w:tcPr>
          <w:p>
            <w:pPr>
              <w:ind w:left="4160"/>
              <w:spacing w:after="0"/>
              <w:rPr>
                <w:sz w:val="20"/>
                <w:szCs w:val="20"/>
                <w:color w:val="auto"/>
              </w:rPr>
            </w:pPr>
            <w:r>
              <w:rPr>
                <w:rFonts w:ascii="Arial" w:cs="Arial" w:eastAsia="Arial" w:hAnsi="Arial"/>
                <w:sz w:val="16"/>
                <w:szCs w:val="16"/>
                <w:b w:val="1"/>
                <w:bCs w:val="1"/>
                <w:color w:val="auto"/>
              </w:rPr>
              <w:t>Annex I</w:t>
            </w:r>
          </w:p>
        </w:tc>
        <w:tc>
          <w:tcPr>
            <w:tcW w:w="3160" w:type="dxa"/>
            <w:vAlign w:val="bottom"/>
          </w:tcPr>
          <w:p>
            <w:pPr>
              <w:spacing w:after="0"/>
              <w:rPr>
                <w:sz w:val="18"/>
                <w:szCs w:val="18"/>
                <w:color w:val="auto"/>
              </w:rPr>
            </w:pPr>
          </w:p>
        </w:tc>
      </w:tr>
      <w:tr>
        <w:trPr>
          <w:trHeight w:val="33"/>
        </w:trPr>
        <w:tc>
          <w:tcPr>
            <w:tcW w:w="11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09"/>
        </w:trPr>
        <w:tc>
          <w:tcPr>
            <w:tcW w:w="1180" w:type="dxa"/>
            <w:vAlign w:val="bottom"/>
            <w:tcBorders>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8853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Abington Reldan Metals,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Advanced Chemical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African Gold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UGANDA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Aida Chemical Industries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 Etihad Gold Refinery DMCC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Alexy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Allgemeine Gold-und Silberscheideanstalt A.G.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Almalyk Mining and Metallurgical Complex (AMMC)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AngloGold Ashanti Corrego do Sitio Mineracao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Argor-Heraeus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Asahi Pretec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Asahi Refining Canada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Asahi Refining USA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Asaka Riken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Atasay Kuyumculuk Sanayi Ve Ticaret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 Traders and Refiners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Augmont Enterprises Private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Aurubis AG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Bangalore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Bangko Sentral ng Pilipinas (Central Bank of the Philippines)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Boliden AB</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SWEDEN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 Hafner GmbH +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C.I Metales Procesados Industriales SAS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Caridad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CCR Refinery - Glencore Canada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Cendres + Metaux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CGR Metalloys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CHALCO Yunnan Copper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Chimet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Chugai Mining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Daye Non-Ferrous Metals Mining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Degussa Sonne / Mond Goldhandel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Dijllah Gold Refinery FZC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DODUCO Contacts and Refining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Dowa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DS PRETECH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DSC (Do Sung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Eco-System Recycling Co., Ltd. East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Eco-System Recycling Co., Ltd. North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Eco-System Recycling Co., Ltd. West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Emerald Jewel Industry India Limited (Unit 1)</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Emerald Jewel Industry India Limited (Unit 2)</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bl>
    <w:p>
      <w:pPr>
        <w:sectPr>
          <w:pgSz w:w="11900" w:h="16838" w:orient="portrait"/>
          <w:cols w:equalWidth="0" w:num="1">
            <w:col w:w="11060"/>
          </w:cols>
          <w:pgMar w:left="320" w:top="904" w:right="5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Emerald Jewel Industry India Limited (Unit 3)</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Emerald Jewel Industry India Limited (Unit 4)</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Emirates Gold DMCC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Fidelity Printers and Refiners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ZIMBABWE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Fujairah Gold FZC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GCC Gujrat Gold Centre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Geib Refining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Gold Coast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GHANA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Gold Refinery of Zijin Mining Group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Great Wall Precious Metals Co., Ltd. of CBPM</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Jinding Gold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Guoda Safina High-Tech Environmental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Hangzhou Fuchunjiang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Heimerle + Meule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Heraeus Germany GmbH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Heraeus Metals Hong Kong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Chenzhou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Guiyang yinxing Nonferrous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HwaSeong CJ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Industrial Refining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Inner Mongolia Qiankun Gold and Silver Refinery Share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International Precious Metal Refiners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Ishifuku Metal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Istanbul Gold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Italpreziosi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JALAN &amp;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Japan Mint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Copper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Ekaterinburg Non-Ferrous Metal Processing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Novosibirsk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Uralelectromed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JX Nippon Mining &amp;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 Rasmussen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NORWAY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Kaloti Precious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ARAB EMIRATES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Kazakhmys Smelting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Kazzinc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Kennecott Utah Copper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KGHM Polska Miedz Spolka Akcyjna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Kojima Chemicals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Korea Zinc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Kundan Care Products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Kyrgyzaltyn JSC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KYRGYZSTAN</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Kyshtym Copper-Electrolytic Plant ZAO</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bl>
    <w:p>
      <w:pPr>
        <w:sectPr>
          <w:pgSz w:w="11900" w:h="16838" w:orient="portrait"/>
          <w:cols w:equalWidth="0" w:num="1">
            <w:col w:w="11060"/>
          </w:cols>
          <w:pgMar w:left="320" w:top="916" w:right="5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L'azurde Company For Jewelry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SAUDI ARABIA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L'Orfebre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ANDORRA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Lingbao Gold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Lingbao Jinyuan Tonghui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LS-NIKKO Copper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LT Metal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Luoyang Zijin Yinhui Gold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Marsam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Materion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Matsuda Sangyo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MD Overseas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 Concentrators SA (Pty)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Metallix Refining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(Hong Kong)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(Singapore) Pte.,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SINGAPORE</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(Suzhou)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Technologies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Metalor USA Refining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Metalurgica Met-Mex Penoles S.A. De C.V.</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Mitsubishi Materials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Mitsui Mining and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MMTC-PAMP India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Modeltech Sdn Bhd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Morris and Watson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Moscow Special Alloys Processing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Nadir Metal Rafineri San. Ve Tic.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TURKEY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Navoi Mining and Metallurgical Combinat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UZBEKISTAN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NH Recytech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Nihon Material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Ogussa Osterreichische Gold- und Silber-Scheideanstalt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Ohura Precious Metal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PAMP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Pease &amp; Curren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Penglai Penggang Gold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Planta Recuperadora de Metales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CHILE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Prioksky Plant of Non-Ferrous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Aneka Tambang (Persero) Tbk</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PX Precinox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QG Refining,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Rand Refinery (Pty)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SOUTH AFRICA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Refinery of Seemine Gold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REMONDIS PMR B.V.</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NETHERLANDS</w:t>
            </w:r>
          </w:p>
        </w:tc>
      </w:tr>
    </w:tbl>
    <w:p>
      <w:pPr>
        <w:sectPr>
          <w:pgSz w:w="11900" w:h="16838" w:orient="portrait"/>
          <w:cols w:equalWidth="0" w:num="1">
            <w:col w:w="11060"/>
          </w:cols>
          <w:pgMar w:left="320" w:top="916" w:right="5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Royal Canadian Mint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CANADA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SAAMP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Sabin Metal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Safimet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SAFINA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CZECHIA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Sai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Samduck Precious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Samwon Metals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Sancus ZFS (L’Orfebre,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COLOMBIA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SAXONIA Edelmetalle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Sellem Industries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MAURITANIA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SEMPSA Joyeria Plateria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Gold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Humon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Tiancheng Biological Gold Industrial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Shandong Zhaojin Gold &amp; Silver Refinery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Shenzhen Zhonghenglong Real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Shirpur Gold Refinery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Sichuan Tianze Precious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Singway Technology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SOE Shyolkovsky Factory of Secondary Precious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Solar Applied Materials Technology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Sovereign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LITHUANIA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Sudan Gold Refinery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SUDAN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Sumitomo Metal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SungEel HiMetal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Super Dragon Technology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T.C.A S.p.A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ITALY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Tanaka Kikinzoku Kogyo K.K.</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Tokuriki Honten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Tongling Nonferrous Metals Group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TOO Tau-Ken-Altyn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Torecom</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Brasil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Precious Metals Thailand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Umicore S.A. Business Unit Precious Metals Refining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United Precious Metal Refining,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Valcambi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SWITZERLAND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Value Trading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WEEEREFINING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FRANCE</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Western Australian Mint (T/a The Perth Mint)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WIELAND Edelmetalle GmbH</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bl>
    <w:p>
      <w:pPr>
        <w:sectPr>
          <w:pgSz w:w="11900" w:h="16838" w:orient="portrait"/>
          <w:cols w:equalWidth="0" w:num="1">
            <w:col w:w="11060"/>
          </w:cols>
          <w:pgMar w:left="320" w:top="916" w:right="5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Yamakin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Yokohama 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Gold</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Zhongyuan Gold Smelter of Zhongjin Gold Corporation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Asaka Riken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Changsha South Tantalum Niobium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 Block Metals,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Exotech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F&amp;X Electro-Materials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FIR Metals &amp; Resource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Advanced Metals Aizu</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Advanced Metals Boyertown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Rising Rare Metals-EO Materials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Hermsdorf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Smelting GmbH &amp;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Hengyang King Xing Lifeng New Materials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Dinghai Tantalum &amp; Niobium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Tuohong New Raw Material</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JinXin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Tanbre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Jiujiang Zhongao Tantalum &amp; Niobium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KEMET Blue Powder</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KEMET de Mexico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MEXICO</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LSM Brasil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 Materials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NORTH MACEDONIA,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Metallurgical Products India Pvt.,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Mineracao Taboca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Mitsui Mining and Smelting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Ningxia Orient Tantalum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NPM Silmet 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ESTONIA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QuantumClean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Resind Industria e Comercio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Solikamsk Magnesium Works OAO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Taki Chemical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TANIOBIS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TANIOBIS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TANIOBIS Japan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Telex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Ulba Metallurgical Plant JSC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KAZAKHSTAN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XIMEI RESOURCES (GUANGDONG)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XinXing HaoRong Electronic Material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Yancheng Jinye New Material Technology Co., Ltd.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060"/>
          </w:cols>
          <w:pgMar w:left="320" w:top="916" w:right="5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CCCCCC"/>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CCCCCC"/>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7"/>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Yanling Jincheng Tantalum &amp; Niobium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2"/>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Alpha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An Vinh Joint Stock Mineral Processing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Chenzhou Yunxiang Mining and Metallurgy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Chifeng Dajingzi Tin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China Tin Group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CRM Synergies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Ayi Jaya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Gita Pesona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Nurjanah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Tiga Sekawan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United Smelting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CV Venus Inti Perkasa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Dongguan CiEXPO Environmental Engineering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Dowa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ENAF</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Estanho de Rondonia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Fabrica Auricchio Industria e Comercio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Fenix Metals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POLAND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City Fuxiang Industry and Trade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Fengming Metallurgy Chemical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Kai Meng Industry and Trade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Non-Ferrous Metal Processing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Yunxin Nonferrous Electrolysis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Gejiu Zili Mining And Metallurgy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Hanhe Non-Ferrous 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Guanyang Guida Nonferrous Metal Smelting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HuiChang Hill Tin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Huichang Jinshunda Tin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New Nanshan Technology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Luna Smelter,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RWANDA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Ma'anshan Weitai Tin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Magnu's Minerais Metais e Ligas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Malaysia Smelting Corporation (MSC)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Melt Metais e Ligas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Metallic Resources,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Metallo Belgium N.V.</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BELGIUM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Metallo Spain S.L.U.</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SPAIN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Mineracao Taboca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Minsur</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PERU</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Mitsubishi Materials Corporation</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1060"/>
          </w:cols>
          <w:pgMar w:left="320" w:top="916" w:right="5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auto"/>
              <w:right w:val="single" w:sz="8" w:color="0070C0"/>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CCCCCC"/>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CCCCCC"/>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Modeltech Sdn Bhd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MALAYSIA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Nghe Tinh Non-Ferrous Metals Joint Stock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Novosibirsk Processing Plant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O.M. Manufacturing (Thailand)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O.M. Manufacturing Philippines,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Operaciones Metalurgicas 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BOLIVIA (PLURINATIONAL STATE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Pongpipat Company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MYANMAR</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Precious Minerals and Smelting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Artha Cipta Langgeng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ATD Makmur Mandiri Jaya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Babel Surya Alam Lestari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Bangka Prima Tin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Bangka Serumpun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Bangka Tin Industry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DS Jaya Abadi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Inti Stania Prima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Karimun Mining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Kijang Jaya Mandiri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Lautan Harmonis Sejahtera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Menara Cipta Mulia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Mitra Stania Prima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Mitra Sukses Globalindo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Premium Tin Indonesia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Prima Timah Utama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Rajawali Rimba Perkasa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Refined Bangka Tin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Stanindo Inti Perkasa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Sumber Jaya Indah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Nusantara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Tbk Kundur</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Timah Tbk Mentok</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Tinindo Inter Nusa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PT Tommy Utama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Resind Industria e Comercio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Rui Da Hung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bl>
    <w:p>
      <w:pPr>
        <w:sectPr>
          <w:pgSz w:w="11900" w:h="16838" w:orient="portrait"/>
          <w:cols w:equalWidth="0" w:num="1">
            <w:col w:w="11060"/>
          </w:cols>
          <w:pgMar w:left="320" w:top="916" w:right="5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80" w:type="dxa"/>
            <w:vAlign w:val="bottom"/>
            <w:tcBorders>
              <w:top w:val="single" w:sz="8" w:color="auto"/>
              <w:left w:val="single" w:sz="8" w:color="auto"/>
              <w:bottom w:val="single" w:sz="8" w:color="CCCCCC"/>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bottom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Smelter not listed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INDONESIA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Soft Metais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Super Ligas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Thai Nguyen Mining and Metallurgy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Thaisarco</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THAILAND</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Tin Technology &amp; Refining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Tuyen Quang Non-Ferrous Metals Joint Stock Company</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VQB Mineral and Trading Group JSC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White Solder Metalurgia e Mineracao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Chengfeng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Tin Company Limited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Tin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Yunnan Yunfan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A.L.M.T.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ACL Metais Eireli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Albasteel Industria e Comercio de Ligas Para Fundicao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Artek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Asia Tungsten Products Vietnam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Chenzhou Diamond Tungsten Products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China Molybdenum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Chongyi Zhangyuan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CNMC (Guangxi) PGMA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Cronimet Brasil Ltda</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BRAZIL</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Ganmin RareMetal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Jinxin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Fujian Xinlu Tungsten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Haichuang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Huaxing Tungsten Products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Jiangwu Ferrotungsten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Ganzhou Seadragon W &amp; Mo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GEM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Global Tungsten &amp; Powders Corp.</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Guangdong Xianglu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H.C. Starck Tungsten GmbH</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Chenzhou Mining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Chuangda Vanadium Tungsten Co., Ltd. Wuji</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Chunchang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Hunan Litian Tungsten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Hydrometallurg, JSC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Japan New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JAPAN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Jiangwu H.C. Starck Tungsten Products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Gan Bei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Minmetals Gao'an Non-ferrous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Jiangxi Tonggu Non-ferrous Metallurgical &amp; Chemical Co., Ltd.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060"/>
          </w:cols>
          <w:pgMar w:left="320" w:top="916" w:right="5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right w:val="single" w:sz="8" w:color="CCCCCC"/>
            </w:tcBorders>
            <w:shd w:val="clear" w:color="auto" w:fill="0070C0"/>
          </w:tcPr>
          <w:p>
            <w:pPr>
              <w:ind w:left="40"/>
              <w:spacing w:after="0"/>
              <w:rPr>
                <w:sz w:val="20"/>
                <w:szCs w:val="20"/>
                <w:color w:val="auto"/>
              </w:rPr>
            </w:pPr>
            <w:r>
              <w:rPr>
                <w:rFonts w:ascii="Arial" w:cs="Arial" w:eastAsia="Arial" w:hAnsi="Arial"/>
                <w:sz w:val="16"/>
                <w:szCs w:val="16"/>
                <w:b w:val="1"/>
                <w:bCs w:val="1"/>
                <w:color w:val="FFFFFF"/>
              </w:rPr>
              <w:t>Metal</w:t>
            </w:r>
          </w:p>
        </w:tc>
        <w:tc>
          <w:tcPr>
            <w:tcW w:w="6720" w:type="dxa"/>
            <w:vAlign w:val="bottom"/>
            <w:tcBorders>
              <w:top w:val="single" w:sz="8" w:color="auto"/>
              <w:right w:val="single" w:sz="8" w:color="CCCCCC"/>
            </w:tcBorders>
            <w:shd w:val="clear" w:color="auto" w:fill="0070C0"/>
          </w:tcPr>
          <w:p>
            <w:pPr>
              <w:spacing w:after="0"/>
              <w:rPr>
                <w:sz w:val="20"/>
                <w:szCs w:val="20"/>
                <w:color w:val="auto"/>
              </w:rPr>
            </w:pPr>
            <w:r>
              <w:rPr>
                <w:rFonts w:ascii="Arial" w:cs="Arial" w:eastAsia="Arial" w:hAnsi="Arial"/>
                <w:sz w:val="16"/>
                <w:szCs w:val="16"/>
                <w:b w:val="1"/>
                <w:bCs w:val="1"/>
                <w:color w:val="FFFFFF"/>
              </w:rPr>
              <w:t>Smelter Name</w:t>
            </w:r>
          </w:p>
        </w:tc>
        <w:tc>
          <w:tcPr>
            <w:tcW w:w="3160" w:type="dxa"/>
            <w:vAlign w:val="bottom"/>
            <w:tcBorders>
              <w:top w:val="single" w:sz="8" w:color="auto"/>
              <w:bottom w:val="single" w:sz="8" w:color="auto"/>
              <w:right w:val="single" w:sz="8" w:color="auto"/>
            </w:tcBorders>
            <w:shd w:val="clear" w:color="auto" w:fill="0070C0"/>
          </w:tcPr>
          <w:p>
            <w:pPr>
              <w:ind w:left="20"/>
              <w:spacing w:after="0"/>
              <w:rPr>
                <w:sz w:val="20"/>
                <w:szCs w:val="20"/>
                <w:color w:val="auto"/>
              </w:rPr>
            </w:pPr>
            <w:r>
              <w:rPr>
                <w:rFonts w:ascii="Arial" w:cs="Arial" w:eastAsia="Arial" w:hAnsi="Arial"/>
                <w:sz w:val="16"/>
                <w:szCs w:val="16"/>
                <w:b w:val="1"/>
                <w:bCs w:val="1"/>
                <w:color w:val="FFFFFF"/>
              </w:rPr>
              <w:t>Smelter Country</w:t>
            </w:r>
          </w:p>
        </w:tc>
      </w:tr>
      <w:tr>
        <w:trPr>
          <w:trHeight w:val="207"/>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Xinsheng Tungsten Industry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2"/>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Jiangxi Yaosheng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JSC "Kirovgrad Hard Alloys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Kennametal Fallon</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Kennametal Huntsville</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KGETS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Lianyou Metals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TAIWAN, PROVINCE OF 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Malipo Haiyu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Masan High-Tech Materials</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Moliren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Niagara Refining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UNITED STATES OF AMERICA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NPP Tyazhmetprom LLC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OOO “Technolom” 1</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OOO “Technolom” 2</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Philippine Chuangxin Industrial Co., Inc.</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PHILIPPINES</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TANIOBIS Smelting GmbH &amp; Co. KG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GERMANY</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Tejing (Vietnam)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VIETNAM</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Unecha Refractory metals plant</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RUSSIAN FEDERATION</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Wolfram Bergbau und Hutten AG</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AUSTRIA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Woltech Korea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KOREA, REPUBLIC OF</w:t>
            </w:r>
          </w:p>
        </w:tc>
      </w:tr>
      <w:tr>
        <w:trPr>
          <w:trHeight w:val="210"/>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Xiamen Tungsten (H.C.)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Xiamen Tungsten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CCCCCC"/>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CCCCCC"/>
              <w:right w:val="single" w:sz="8" w:color="CCCCCC"/>
            </w:tcBorders>
          </w:tcPr>
          <w:p>
            <w:pPr>
              <w:spacing w:after="0"/>
              <w:rPr>
                <w:sz w:val="20"/>
                <w:szCs w:val="20"/>
                <w:color w:val="auto"/>
              </w:rPr>
            </w:pPr>
            <w:r>
              <w:rPr>
                <w:rFonts w:ascii="Arial" w:cs="Arial" w:eastAsia="Arial" w:hAnsi="Arial"/>
                <w:sz w:val="16"/>
                <w:szCs w:val="16"/>
                <w:color w:val="auto"/>
              </w:rPr>
              <w:t>Xinfeng Huarui Tungsten &amp; Molybdenum New Material Co., Ltd.</w:t>
            </w:r>
          </w:p>
        </w:tc>
        <w:tc>
          <w:tcPr>
            <w:tcW w:w="3160" w:type="dxa"/>
            <w:vAlign w:val="bottom"/>
            <w:tcBorders>
              <w:bottom w:val="single" w:sz="8" w:color="CCCCCC"/>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r>
        <w:trPr>
          <w:trHeight w:val="209"/>
        </w:trPr>
        <w:tc>
          <w:tcPr>
            <w:tcW w:w="1180" w:type="dxa"/>
            <w:vAlign w:val="bottom"/>
            <w:tcBorders>
              <w:left w:val="single" w:sz="8" w:color="auto"/>
              <w:bottom w:val="single" w:sz="8" w:color="auto"/>
              <w:right w:val="single" w:sz="8" w:color="CCCCCC"/>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20" w:type="dxa"/>
            <w:vAlign w:val="bottom"/>
            <w:tcBorders>
              <w:bottom w:val="single" w:sz="8" w:color="auto"/>
              <w:right w:val="single" w:sz="8" w:color="CCCCCC"/>
            </w:tcBorders>
          </w:tcPr>
          <w:p>
            <w:pPr>
              <w:spacing w:after="0"/>
              <w:rPr>
                <w:sz w:val="20"/>
                <w:szCs w:val="20"/>
                <w:color w:val="auto"/>
              </w:rPr>
            </w:pPr>
            <w:r>
              <w:rPr>
                <w:rFonts w:ascii="Arial" w:cs="Arial" w:eastAsia="Arial" w:hAnsi="Arial"/>
                <w:sz w:val="16"/>
                <w:szCs w:val="16"/>
                <w:color w:val="auto"/>
              </w:rPr>
              <w:t>Xinhai Rendan Shaoguan Tungsten Co., Ltd.</w:t>
            </w:r>
          </w:p>
        </w:tc>
        <w:tc>
          <w:tcPr>
            <w:tcW w:w="3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CHINA</w:t>
            </w:r>
          </w:p>
        </w:tc>
      </w:tr>
    </w:tbl>
    <w:p>
      <w:pPr>
        <w:spacing w:after="0" w:line="1" w:lineRule="exact"/>
        <w:rPr>
          <w:sz w:val="20"/>
          <w:szCs w:val="20"/>
          <w:color w:val="auto"/>
        </w:rPr>
      </w:pPr>
    </w:p>
    <w:sectPr>
      <w:pgSz w:w="11900" w:h="16838" w:orient="portrait"/>
      <w:cols w:equalWidth="0" w:num="1">
        <w:col w:w="11060"/>
      </w:cols>
      <w:pgMar w:left="320" w:top="91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2022-05-28T06:24:04Z</dcterms:created>
  <dcterms:modified xsi:type="dcterms:W3CDTF">2022-05-28T06:24:04Z</dcterms:modified>
</cp:coreProperties>
</file>