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Bhattacharya Ashis Nayan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40"/>
              <w:spacing w:after="0"/>
              <w:rPr>
                <w:sz w:val="20"/>
                <w:szCs w:val="20"/>
                <w:color w:val="auto"/>
              </w:rPr>
            </w:pPr>
            <w:r>
              <w:rPr>
                <w:rFonts w:ascii="Arial" w:cs="Arial" w:eastAsia="Arial" w:hAnsi="Arial"/>
                <w:sz w:val="18"/>
                <w:szCs w:val="18"/>
                <w:color w:val="0000FF"/>
              </w:rPr>
              <w:t>VP-Strategic Dev. &amp; Planning</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12/13/2019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12/13/2019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256</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48.14</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19,227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12/16/16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30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12/16/2019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7499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2019-12-16T10:44:40Z</dcterms:created>
  <dcterms:modified xsi:type="dcterms:W3CDTF">2019-12-16T10:44:40Z</dcterms:modified>
</cp:coreProperties>
</file>