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346075</wp:posOffset>
            </wp:positionH>
            <wp:positionV relativeFrom="page">
              <wp:posOffset>637540</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534670</wp:posOffset>
            </wp:positionV>
            <wp:extent cx="68694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26035"/>
                    </a:xfrm>
                    <a:prstGeom prst="rect">
                      <a:avLst/>
                    </a:prstGeom>
                    <a:noFill/>
                  </pic:spPr>
                </pic:pic>
              </a:graphicData>
            </a:graphic>
          </wp:anchor>
        </w:drawing>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92075</wp:posOffset>
            </wp:positionV>
            <wp:extent cx="1174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336"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151765</wp:posOffset>
            </wp:positionV>
            <wp:extent cx="1174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6" w:lineRule="exact"/>
        <w:rPr>
          <w:sz w:val="24"/>
          <w:szCs w:val="24"/>
          <w:color w:val="auto"/>
        </w:rPr>
      </w:pPr>
    </w:p>
    <w:tbl>
      <w:tblPr>
        <w:tblLayout w:type="fixed"/>
        <w:tblInd w:w="4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160" w:type="dxa"/>
            <w:vAlign w:val="bottom"/>
          </w:tcPr>
          <w:p>
            <w:pPr>
              <w:ind w:left="260"/>
              <w:spacing w:after="0"/>
              <w:rPr>
                <w:sz w:val="20"/>
                <w:szCs w:val="20"/>
                <w:color w:val="auto"/>
              </w:rPr>
            </w:pPr>
            <w:r>
              <w:rPr>
                <w:rFonts w:ascii="Arial" w:cs="Arial" w:eastAsia="Arial" w:hAnsi="Arial"/>
                <w:sz w:val="16"/>
                <w:szCs w:val="16"/>
                <w:color w:val="auto"/>
              </w:rPr>
              <w:t>x</w:t>
            </w:r>
          </w:p>
        </w:tc>
        <w:tc>
          <w:tcPr>
            <w:tcW w:w="360" w:type="dxa"/>
            <w:vAlign w:val="bottom"/>
          </w:tcPr>
          <w:p>
            <w:pPr>
              <w:spacing w:after="0"/>
              <w:rPr>
                <w:sz w:val="19"/>
                <w:szCs w:val="19"/>
                <w:color w:val="auto"/>
              </w:rPr>
            </w:pPr>
          </w:p>
        </w:tc>
      </w:tr>
      <w:tr>
        <w:trPr>
          <w:trHeight w:val="257"/>
        </w:trPr>
        <w:tc>
          <w:tcPr>
            <w:tcW w:w="306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bl>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80" w:hanging="445"/>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480" w:hanging="445"/>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72" w:lineRule="exact"/>
        <w:rPr>
          <w:rFonts w:ascii="Arial" w:cs="Arial" w:eastAsia="Arial" w:hAnsi="Arial"/>
          <w:sz w:val="16"/>
          <w:szCs w:val="16"/>
          <w:color w:val="auto"/>
        </w:rPr>
      </w:pPr>
    </w:p>
    <w:p>
      <w:pPr>
        <w:ind w:left="480" w:hanging="445"/>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480" w:hanging="445"/>
        <w:spacing w:after="0"/>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480" w:hanging="445"/>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96520</wp:posOffset>
            </wp:positionV>
            <wp:extent cx="1895475" cy="823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45085</wp:posOffset>
            </wp:positionV>
            <wp:extent cx="6869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121" w:lineRule="exact"/>
        <w:rPr>
          <w:sz w:val="24"/>
          <w:szCs w:val="24"/>
          <w:color w:val="auto"/>
        </w:rPr>
      </w:pPr>
    </w:p>
    <w:p>
      <w:pPr>
        <w:jc w:val="center"/>
        <w:ind w:right="-27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190500</wp:posOffset>
            </wp:positionV>
            <wp:extent cx="6869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350" w:lineRule="exact"/>
        <w:rPr>
          <w:sz w:val="24"/>
          <w:szCs w:val="24"/>
          <w:color w:val="auto"/>
        </w:rPr>
      </w:pPr>
    </w:p>
    <w:p>
      <w:pPr>
        <w:ind w:left="30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780" w:hanging="448"/>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780" w:hanging="448"/>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72" w:lineRule="exact"/>
        <w:rPr>
          <w:rFonts w:ascii="Arial" w:cs="Arial" w:eastAsia="Arial" w:hAnsi="Arial"/>
          <w:sz w:val="16"/>
          <w:szCs w:val="16"/>
          <w:color w:val="auto"/>
        </w:rPr>
      </w:pPr>
    </w:p>
    <w:p>
      <w:pPr>
        <w:ind w:left="1220" w:hanging="442"/>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220" w:hanging="442"/>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2" w:lineRule="exact"/>
        <w:rPr>
          <w:rFonts w:ascii="Arial" w:cs="Arial" w:eastAsia="Arial" w:hAnsi="Arial"/>
          <w:sz w:val="16"/>
          <w:szCs w:val="16"/>
          <w:color w:val="auto"/>
        </w:rPr>
      </w:pPr>
    </w:p>
    <w:p>
      <w:pPr>
        <w:ind w:left="1220" w:right="140" w:hanging="442"/>
        <w:spacing w:after="0" w:line="260" w:lineRule="auto"/>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auto"/>
        </w:rPr>
      </w:pPr>
    </w:p>
    <w:p>
      <w:pPr>
        <w:ind w:left="1220" w:hanging="442"/>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220" w:hanging="442"/>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780" w:hanging="448"/>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Arial" w:cs="Arial" w:eastAsia="Arial" w:hAnsi="Arial"/>
          <w:sz w:val="16"/>
          <w:szCs w:val="16"/>
          <w:color w:val="auto"/>
        </w:rPr>
      </w:pPr>
    </w:p>
    <w:p>
      <w:pPr>
        <w:ind w:left="780" w:hanging="448"/>
        <w:spacing w:after="0" w:line="260"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220" w:hanging="442"/>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220" w:hanging="442"/>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220" w:hanging="442"/>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220" w:hanging="442"/>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173355</wp:posOffset>
            </wp:positionV>
            <wp:extent cx="6311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-142875</wp:posOffset>
            </wp:positionV>
            <wp:extent cx="6311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-460375</wp:posOffset>
            </wp:positionV>
            <wp:extent cx="6311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-777875</wp:posOffset>
            </wp:positionV>
            <wp:extent cx="6311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-1661160</wp:posOffset>
            </wp:positionV>
            <wp:extent cx="6311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-1978660</wp:posOffset>
            </wp:positionV>
            <wp:extent cx="6311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-2295525</wp:posOffset>
            </wp:positionV>
            <wp:extent cx="63119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-3033395</wp:posOffset>
            </wp:positionV>
            <wp:extent cx="6311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353695</wp:posOffset>
            </wp:positionV>
            <wp:extent cx="686943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9430" cy="2603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267970</wp:posOffset>
            </wp:positionV>
            <wp:extent cx="68694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060"/>
          </w:cols>
          <w:pgMar w:left="240" w:top="1211" w:right="599" w:bottom="1440" w:gutter="0" w:footer="0" w:header="0"/>
        </w:sectPr>
      </w:pPr>
    </w:p>
    <w:bookmarkStart w:id="1" w:name="page2"/>
    <w:bookmarkEnd w:id="1"/>
    <w:tbl>
      <w:tblPr>
        <w:tblLayout w:type="fixed"/>
        <w:tblInd w:w="2580" w:type="dxa"/>
        <w:tblCellMar>
          <w:top w:w="0" w:type="dxa"/>
          <w:left w:w="0" w:type="dxa"/>
          <w:bottom w:w="0" w:type="dxa"/>
          <w:right w:w="0" w:type="dxa"/>
        </w:tblCellMar>
      </w:tblPr>
      <w:tr>
        <w:trPr>
          <w:trHeight w:val="218"/>
        </w:trPr>
        <w:tc>
          <w:tcPr>
            <w:tcW w:w="3260" w:type="dxa"/>
            <w:vAlign w:val="bottom"/>
            <w:tcBorders>
              <w:right w:val="single" w:sz="8" w:color="auto"/>
            </w:tcBorders>
          </w:tcPr>
          <w:p>
            <w:pPr>
              <w:spacing w:after="0" w:line="218" w:lineRule="exact"/>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tc>
        <w:tc>
          <w:tcPr>
            <w:tcW w:w="47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COMPANY #</w:t>
            </w:r>
          </w:p>
        </w:tc>
      </w:tr>
      <w:tr>
        <w:trPr>
          <w:trHeight w:val="189"/>
        </w:trPr>
        <w:tc>
          <w:tcPr>
            <w:tcW w:w="3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 Box 64945</w:t>
            </w:r>
          </w:p>
        </w:tc>
        <w:tc>
          <w:tcPr>
            <w:tcW w:w="4780" w:type="dxa"/>
            <w:vAlign w:val="bottom"/>
            <w:tcBorders>
              <w:right w:val="single" w:sz="8" w:color="auto"/>
            </w:tcBorders>
          </w:tcPr>
          <w:p>
            <w:pPr>
              <w:spacing w:after="0"/>
              <w:rPr>
                <w:sz w:val="16"/>
                <w:szCs w:val="16"/>
                <w:color w:val="auto"/>
              </w:rPr>
            </w:pPr>
          </w:p>
        </w:tc>
      </w:tr>
      <w:tr>
        <w:trPr>
          <w:trHeight w:val="195"/>
        </w:trPr>
        <w:tc>
          <w:tcPr>
            <w:tcW w:w="3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 Paul, MN 55164-0945</w:t>
            </w:r>
          </w:p>
        </w:tc>
        <w:tc>
          <w:tcPr>
            <w:tcW w:w="4780" w:type="dxa"/>
            <w:vAlign w:val="bottom"/>
            <w:tcBorders>
              <w:right w:val="single" w:sz="8" w:color="auto"/>
            </w:tcBorders>
          </w:tcPr>
          <w:p>
            <w:pPr>
              <w:spacing w:after="0"/>
              <w:rPr>
                <w:sz w:val="16"/>
                <w:szCs w:val="16"/>
                <w:color w:val="auto"/>
              </w:rPr>
            </w:pPr>
          </w:p>
        </w:tc>
      </w:tr>
      <w:tr>
        <w:trPr>
          <w:trHeight w:val="33"/>
        </w:trPr>
        <w:tc>
          <w:tcPr>
            <w:tcW w:w="3260" w:type="dxa"/>
            <w:vAlign w:val="bottom"/>
            <w:tcBorders>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-393700</wp:posOffset>
            </wp:positionV>
            <wp:extent cx="102933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368935"/>
                    </a:xfrm>
                    <a:prstGeom prst="rect">
                      <a:avLst/>
                    </a:prstGeom>
                    <a:noFill/>
                  </pic:spPr>
                </pic:pic>
              </a:graphicData>
            </a:graphic>
          </wp:anchor>
        </w:drawing>
      </w:r>
    </w:p>
    <w:p>
      <w:pPr>
        <w:spacing w:after="0" w:line="168"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WINNEBAGO INDUSTRIES</w:t>
      </w:r>
    </w:p>
    <w:p>
      <w:pPr>
        <w:spacing w:after="0" w:line="24"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ANNUAL MEETING OF SHAREHOLDERS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Tuesday, December 13, 2011</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4:00 p.m., Central Standard Time</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Winnebago Industries'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South Office Complex Theater</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605 West Crystal Lake Road</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Forest City, Iowa 50436</w:t>
      </w:r>
    </w:p>
    <w:p>
      <w:pPr>
        <w:spacing w:after="0" w:line="218"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To obtain directions to attend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the Annual Meeting and vote in person,</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please call Investor Relations</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at (641) 585-6803.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Meeting to be Held on December 13, 2011.</w:t>
      </w:r>
    </w:p>
    <w:p>
      <w:pPr>
        <w:spacing w:after="0" w:line="5"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view the Proxy Statement or Annual Report to Shareholders, have the 11-digit Control #(s) and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87630</wp:posOffset>
            </wp:positionV>
            <wp:extent cx="274447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4470" cy="15430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http://www.idelivercommunications.com/proxy/WGO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want to receive a paper or e-mail copy of the above listed documents, you must request one. There is no charge to you for requesting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facilitate timely delivery, please make the request as instructed below on or before December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Matters intended to be acted upon at the meeting are listed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Proposals 1, 2 and 3 and for "1 Year" on Item 4:</w:t>
      </w:r>
    </w:p>
    <w:p>
      <w:pPr>
        <w:sectPr>
          <w:pgSz w:w="11900" w:h="16838" w:orient="portrait"/>
          <w:cols w:equalWidth="0" w:num="1">
            <w:col w:w="11420"/>
          </w:cols>
          <w:pgMar w:left="240" w:top="930" w:right="239" w:bottom="1440" w:gutter="0" w:footer="0" w:header="0"/>
        </w:sectPr>
      </w:pPr>
    </w:p>
    <w:p>
      <w:pPr>
        <w:spacing w:after="0" w:line="223" w:lineRule="exact"/>
        <w:rPr>
          <w:sz w:val="20"/>
          <w:szCs w:val="20"/>
          <w:color w:val="auto"/>
        </w:rPr>
      </w:pPr>
    </w:p>
    <w:p>
      <w:pPr>
        <w:ind w:left="1000" w:right="1424" w:hanging="344"/>
        <w:spacing w:after="0" w:line="253"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three class III directors to serve for the ensuing three years and until their successors shall be elected and shall qualify: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356" w:right="880" w:hanging="356"/>
        <w:spacing w:after="0" w:line="277" w:lineRule="auto"/>
        <w:tabs>
          <w:tab w:leader="none" w:pos="356" w:val="left"/>
        </w:tabs>
        <w:numPr>
          <w:ilvl w:val="0"/>
          <w:numId w:val="7"/>
        </w:numPr>
        <w:rPr>
          <w:rFonts w:ascii="Arial" w:cs="Arial" w:eastAsia="Arial" w:hAnsi="Arial"/>
          <w:sz w:val="16"/>
          <w:szCs w:val="16"/>
          <w:color w:val="auto"/>
        </w:rPr>
      </w:pPr>
      <w:r>
        <w:rPr>
          <w:rFonts w:ascii="Arial" w:cs="Arial" w:eastAsia="Arial" w:hAnsi="Arial"/>
          <w:sz w:val="18"/>
          <w:szCs w:val="18"/>
          <w:color w:val="auto"/>
        </w:rPr>
        <w:t>Advisory approval of executive compensation, (the "say on pay" vote).</w:t>
      </w:r>
    </w:p>
    <w:p>
      <w:pPr>
        <w:spacing w:after="0" w:line="159" w:lineRule="exact"/>
        <w:rPr>
          <w:sz w:val="20"/>
          <w:szCs w:val="20"/>
          <w:color w:val="auto"/>
        </w:rPr>
      </w:pPr>
    </w:p>
    <w:p>
      <w:pPr>
        <w:sectPr>
          <w:pgSz w:w="11900" w:h="16838" w:orient="portrait"/>
          <w:cols w:equalWidth="0" w:num="2">
            <w:col w:w="5784" w:space="720"/>
            <w:col w:w="4916"/>
          </w:cols>
          <w:pgMar w:left="240" w:top="930" w:right="239" w:bottom="1440" w:gutter="0" w:footer="0" w:header="0"/>
          <w:type w:val="continuous"/>
        </w:sectPr>
      </w:pPr>
    </w:p>
    <w:p>
      <w:pPr>
        <w:ind w:left="1000"/>
        <w:spacing w:after="0"/>
        <w:tabs>
          <w:tab w:leader="none" w:pos="6480" w:val="left"/>
          <w:tab w:leader="none" w:pos="6840" w:val="left"/>
        </w:tabs>
        <w:rPr>
          <w:sz w:val="20"/>
          <w:szCs w:val="20"/>
          <w:color w:val="auto"/>
        </w:rPr>
      </w:pPr>
      <w:r>
        <w:rPr>
          <w:rFonts w:ascii="Arial" w:cs="Arial" w:eastAsia="Arial" w:hAnsi="Arial"/>
          <w:sz w:val="16"/>
          <w:szCs w:val="16"/>
          <w:color w:val="auto"/>
        </w:rPr>
        <w:t>• Robert J. Olson</w:t>
      </w:r>
      <w:r>
        <w:rPr>
          <w:sz w:val="20"/>
          <w:szCs w:val="20"/>
          <w:color w:val="auto"/>
        </w:rPr>
        <w:tab/>
      </w:r>
      <w:r>
        <w:rPr>
          <w:rFonts w:ascii="Arial" w:cs="Arial" w:eastAsia="Arial" w:hAnsi="Arial"/>
          <w:sz w:val="16"/>
          <w:szCs w:val="16"/>
          <w:color w:val="auto"/>
        </w:rPr>
        <w:t>4.</w:t>
        <w:tab/>
        <w:t>Advisory approval on frequency of "say on pay" votes.</w:t>
      </w:r>
    </w:p>
    <w:p>
      <w:pPr>
        <w:spacing w:after="0" w:line="5" w:lineRule="exact"/>
        <w:rPr>
          <w:sz w:val="20"/>
          <w:szCs w:val="20"/>
          <w:color w:val="auto"/>
        </w:rPr>
      </w:pPr>
    </w:p>
    <w:p>
      <w:pPr>
        <w:ind w:left="1100" w:hanging="93"/>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Randy J. Potts</w:t>
      </w:r>
    </w:p>
    <w:p>
      <w:pPr>
        <w:spacing w:after="0" w:line="5" w:lineRule="exact"/>
        <w:rPr>
          <w:rFonts w:ascii="Arial" w:cs="Arial" w:eastAsia="Arial" w:hAnsi="Arial"/>
          <w:sz w:val="16"/>
          <w:szCs w:val="16"/>
          <w:color w:val="auto"/>
        </w:rPr>
      </w:pPr>
    </w:p>
    <w:p>
      <w:pPr>
        <w:ind w:left="1100" w:hanging="93"/>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 T. Schroepfer</w:t>
      </w:r>
    </w:p>
    <w:p>
      <w:pPr>
        <w:sectPr>
          <w:pgSz w:w="11900" w:h="16838" w:orient="portrait"/>
          <w:cols w:equalWidth="0" w:num="1">
            <w:col w:w="11420"/>
          </w:cols>
          <w:pgMar w:left="240" w:top="930" w:right="239" w:bottom="1440" w:gutter="0" w:footer="0" w:header="0"/>
          <w:type w:val="continuous"/>
        </w:sectPr>
      </w:pPr>
    </w:p>
    <w:p>
      <w:pPr>
        <w:spacing w:after="0" w:line="59" w:lineRule="exact"/>
        <w:rPr>
          <w:sz w:val="20"/>
          <w:szCs w:val="20"/>
          <w:color w:val="auto"/>
        </w:rPr>
      </w:pPr>
    </w:p>
    <w:p>
      <w:pPr>
        <w:jc w:val="both"/>
        <w:ind w:left="1000" w:right="544" w:hanging="344"/>
        <w:spacing w:after="0" w:line="23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6"/>
          <w:szCs w:val="16"/>
          <w:color w:val="auto"/>
        </w:rPr>
        <w:t>Ratification of the appointment of Deloitte &amp; Touche LLP as Winnebago Industries, Inc. Independent Registered Public Accountants for our fiscal year 2012.</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both"/>
        <w:ind w:left="356" w:right="1080" w:hanging="356"/>
        <w:spacing w:after="0" w:line="239" w:lineRule="auto"/>
        <w:tabs>
          <w:tab w:leader="none" w:pos="356" w:val="left"/>
        </w:tabs>
        <w:numPr>
          <w:ilvl w:val="0"/>
          <w:numId w:val="10"/>
        </w:numPr>
        <w:rPr>
          <w:rFonts w:ascii="Arial" w:cs="Arial" w:eastAsia="Arial" w:hAnsi="Arial"/>
          <w:sz w:val="18"/>
          <w:szCs w:val="18"/>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22" w:lineRule="exact"/>
        <w:rPr>
          <w:sz w:val="20"/>
          <w:szCs w:val="20"/>
          <w:color w:val="auto"/>
        </w:rPr>
      </w:pPr>
    </w:p>
    <w:p>
      <w:pPr>
        <w:sectPr>
          <w:pgSz w:w="11900" w:h="16838" w:orient="portrait"/>
          <w:cols w:equalWidth="0" w:num="2">
            <w:col w:w="5784" w:space="720"/>
            <w:col w:w="4916"/>
          </w:cols>
          <w:pgMar w:left="240" w:top="930" w:right="239" w:bottom="1440" w:gutter="0" w:footer="0" w:header="0"/>
          <w:type w:val="continuous"/>
        </w:sectPr>
      </w:pPr>
    </w:p>
    <w:p>
      <w:pPr>
        <w:ind w:right="400"/>
        <w:spacing w:after="0" w:line="260" w:lineRule="auto"/>
        <w:rPr>
          <w:sz w:val="20"/>
          <w:szCs w:val="20"/>
          <w:color w:val="auto"/>
        </w:rPr>
      </w:pPr>
      <w:r>
        <w:rPr>
          <w:rFonts w:ascii="Arial" w:cs="Arial" w:eastAsia="Arial" w:hAnsi="Arial"/>
          <w:sz w:val="16"/>
          <w:szCs w:val="16"/>
          <w:color w:val="auto"/>
        </w:rPr>
        <w:t>These items of business are more fully described in the proxy statement. The record date for the annual meeting is October 4, 2011.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226060</wp:posOffset>
            </wp:positionV>
            <wp:extent cx="152654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6540" cy="154305"/>
                    </a:xfrm>
                    <a:prstGeom prst="rect">
                      <a:avLst/>
                    </a:prstGeom>
                    <a:noFill/>
                  </pic:spPr>
                </pic:pic>
              </a:graphicData>
            </a:graphic>
          </wp:anchor>
        </w:drawing>
      </w:r>
    </w:p>
    <w:p>
      <w:pPr>
        <w:spacing w:after="0" w:line="345" w:lineRule="exact"/>
        <w:rPr>
          <w:sz w:val="20"/>
          <w:szCs w:val="20"/>
          <w:color w:val="auto"/>
        </w:rPr>
      </w:pPr>
    </w:p>
    <w:p>
      <w:pPr>
        <w:ind w:left="460"/>
        <w:spacing w:after="0"/>
        <w:tabs>
          <w:tab w:leader="none" w:pos="8400" w:val="left"/>
        </w:tabs>
        <w:rPr>
          <w:sz w:val="20"/>
          <w:szCs w:val="20"/>
          <w:color w:val="auto"/>
        </w:rPr>
      </w:pPr>
      <w:r>
        <w:rPr>
          <w:rFonts w:ascii="Arial" w:cs="Arial" w:eastAsia="Arial" w:hAnsi="Arial"/>
          <w:sz w:val="16"/>
          <w:szCs w:val="16"/>
          <w:b w:val="1"/>
          <w:bCs w:val="1"/>
          <w:color w:val="auto"/>
        </w:rPr>
        <w:t>You may immediately vote your proxy on the Internet at:</w:t>
      </w:r>
      <w:r>
        <w:rPr>
          <w:sz w:val="20"/>
          <w:szCs w:val="20"/>
          <w:color w:val="auto"/>
        </w:rPr>
        <w:tab/>
      </w:r>
      <w:r>
        <w:rPr>
          <w:rFonts w:ascii="Arial" w:cs="Arial" w:eastAsia="Arial" w:hAnsi="Arial"/>
          <w:sz w:val="15"/>
          <w:szCs w:val="15"/>
          <w:b w:val="1"/>
          <w:bCs w:val="1"/>
          <w:color w:val="auto"/>
        </w:rPr>
        <w:t>www.eproxy.com/wgo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420370"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0370" cy="386080"/>
                    </a:xfrm>
                    <a:prstGeom prst="rect">
                      <a:avLst/>
                    </a:prstGeom>
                    <a:noFill/>
                  </pic:spPr>
                </pic:pic>
              </a:graphicData>
            </a:graphic>
          </wp:anchor>
        </w:drawing>
      </w:r>
    </w:p>
    <w:p>
      <w:pPr>
        <w:spacing w:after="0" w:line="194" w:lineRule="exact"/>
        <w:rPr>
          <w:sz w:val="20"/>
          <w:szCs w:val="20"/>
          <w:color w:val="auto"/>
        </w:rPr>
      </w:pPr>
    </w:p>
    <w:p>
      <w:pPr>
        <w:ind w:left="1180" w:hanging="105"/>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Use the Internet to vote your proxy 24 hours a day, 7 days a week, until 12:00 p.m. (CT) on December 12, 2011.</w:t>
      </w:r>
    </w:p>
    <w:p>
      <w:pPr>
        <w:spacing w:after="0" w:line="59" w:lineRule="exact"/>
        <w:rPr>
          <w:rFonts w:ascii="Arial" w:cs="Arial" w:eastAsia="Arial" w:hAnsi="Arial"/>
          <w:sz w:val="16"/>
          <w:szCs w:val="16"/>
          <w:color w:val="auto"/>
        </w:rPr>
      </w:pPr>
    </w:p>
    <w:p>
      <w:pPr>
        <w:ind w:left="1080" w:right="560" w:hanging="5"/>
        <w:spacing w:after="0" w:line="251" w:lineRule="auto"/>
        <w:tabs>
          <w:tab w:leader="none" w:pos="11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Please have this Notice and the last four digits of your Social Security Number or Tax Identification Number available. Follow the simple instructions to obtain your records and submit your proxy vote electronically.</w:t>
      </w: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rPr>
          <w:sz w:val="20"/>
          <w:szCs w:val="20"/>
          <w:color w:val="auto"/>
        </w:rPr>
      </w:pPr>
      <w:r>
        <w:rPr>
          <w:rFonts w:ascii="Arial" w:cs="Arial" w:eastAsia="Arial" w:hAnsi="Arial"/>
          <w:sz w:val="36"/>
          <w:szCs w:val="36"/>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To request paper or e-mail copies of the annual report and the proxy materials,</w:t>
      </w:r>
    </w:p>
    <w:p>
      <w:pPr>
        <w:spacing w:after="0" w:line="25"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which include the proxy card and the proxy statement, please contact us via:</w:t>
      </w:r>
    </w:p>
    <w:p>
      <w:pPr>
        <w:spacing w:after="0" w:line="142"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6"/>
          <w:szCs w:val="16"/>
          <w:color w:val="auto"/>
        </w:rPr>
        <w:t>- Access the Internet and go to www.idelivercommunications.com/proxy/WGO. Follow the instructions to log in, and order copies. Please</w:t>
      </w:r>
      <w:r>
        <w:rPr>
          <w:rFonts w:ascii="Arial" w:cs="Arial" w:eastAsia="Arial" w:hAnsi="Arial"/>
          <w:sz w:val="18"/>
          <w:szCs w:val="18"/>
          <w:b w:val="1"/>
          <w:bCs w:val="1"/>
          <w:color w:val="auto"/>
        </w:rPr>
        <w:t xml:space="preserve"> </w:t>
      </w:r>
      <w:r>
        <w:rPr>
          <w:rFonts w:ascii="Arial" w:cs="Arial" w:eastAsia="Arial" w:hAnsi="Arial"/>
          <w:sz w:val="16"/>
          <w:szCs w:val="16"/>
          <w:color w:val="auto"/>
        </w:rPr>
        <w:t>make the request on or before December 1, 2011.</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Telephone </w:t>
      </w:r>
      <w:r>
        <w:rPr>
          <w:rFonts w:ascii="Arial" w:cs="Arial" w:eastAsia="Arial" w:hAnsi="Arial"/>
          <w:sz w:val="16"/>
          <w:szCs w:val="16"/>
          <w:color w:val="auto"/>
        </w:rPr>
        <w:t>- Call us free of charge at 877-847-4696 in the U.S. or Canada to order paper copies.</w:t>
      </w:r>
    </w:p>
    <w:p>
      <w:pPr>
        <w:spacing w:after="0" w:line="234" w:lineRule="exact"/>
        <w:rPr>
          <w:sz w:val="20"/>
          <w:szCs w:val="20"/>
          <w:color w:val="auto"/>
        </w:rPr>
      </w:pPr>
    </w:p>
    <w:p>
      <w:pPr>
        <w:sectPr>
          <w:pgSz w:w="11900" w:h="16838" w:orient="portrait"/>
          <w:cols w:equalWidth="0" w:num="2">
            <w:col w:w="360" w:space="260"/>
            <w:col w:w="10800"/>
          </w:cols>
          <w:pgMar w:left="240" w:top="930" w:right="239" w:bottom="1440" w:gutter="0" w:footer="0" w:header="0"/>
          <w:type w:val="continuous"/>
        </w:sectPr>
      </w:pPr>
    </w:p>
    <w:p>
      <w:pPr>
        <w:ind w:left="620" w:right="160" w:hanging="385"/>
        <w:spacing w:after="0" w:line="187" w:lineRule="auto"/>
        <w:tabs>
          <w:tab w:leader="none" w:pos="620" w:val="left"/>
        </w:tabs>
        <w:numPr>
          <w:ilvl w:val="0"/>
          <w:numId w:val="12"/>
        </w:numPr>
        <w:rPr>
          <w:rFonts w:ascii="Arial" w:cs="Arial" w:eastAsia="Arial" w:hAnsi="Arial"/>
          <w:sz w:val="32"/>
          <w:szCs w:val="32"/>
          <w:color w:val="auto"/>
          <w:vertAlign w:val="subscript"/>
        </w:rPr>
      </w:pPr>
      <w:r>
        <w:rPr>
          <w:rFonts w:ascii="Arial" w:cs="Arial" w:eastAsia="Arial" w:hAnsi="Arial"/>
          <w:sz w:val="13"/>
          <w:szCs w:val="13"/>
          <w:b w:val="1"/>
          <w:bCs w:val="1"/>
          <w:color w:val="auto"/>
        </w:rPr>
        <w:t xml:space="preserve">Email </w:t>
      </w:r>
      <w:r>
        <w:rPr>
          <w:rFonts w:ascii="Arial" w:cs="Arial" w:eastAsia="Arial" w:hAnsi="Arial"/>
          <w:sz w:val="13"/>
          <w:szCs w:val="13"/>
          <w:color w:val="auto"/>
        </w:rPr>
        <w:t>- Send us an email at ideliver@afpi.com. Please put “Paper Material” or “E-mail Material” in the subject line, followed by the 11-Digit Control #.</w:t>
      </w:r>
      <w:r>
        <w:rPr>
          <w:rFonts w:ascii="Arial" w:cs="Arial" w:eastAsia="Arial" w:hAnsi="Arial"/>
          <w:sz w:val="13"/>
          <w:szCs w:val="13"/>
          <w:b w:val="1"/>
          <w:bCs w:val="1"/>
          <w:color w:val="auto"/>
        </w:rPr>
        <w:t xml:space="preserve"> </w:t>
      </w:r>
      <w:r>
        <w:rPr>
          <w:rFonts w:ascii="Arial" w:cs="Arial" w:eastAsia="Arial" w:hAnsi="Arial"/>
          <w:sz w:val="13"/>
          <w:szCs w:val="13"/>
          <w:color w:val="auto"/>
        </w:rPr>
        <w:t>Requests, instructions and other inquiries will not be forwarded to your investment advisor.</w:t>
      </w:r>
    </w:p>
    <w:sectPr>
      <w:pgSz w:w="11900" w:h="16838" w:orient="portrait"/>
      <w:cols w:equalWidth="0" w:num="1">
        <w:col w:w="11420"/>
      </w:cols>
      <w:pgMar w:left="240" w:top="93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x"/>
      <w:numFmt w:val="bullet"/>
      <w:start w:val="1"/>
    </w:lvl>
  </w:abstractNum>
  <w:abstractNum w:abstractNumId="2">
    <w:nsid w:val="79E2A9E3"/>
    <w:multiLevelType w:val="hybridMultilevel"/>
    <w:lvl w:ilvl="0">
      <w:lvlJc w:val="left"/>
      <w:lvlText w:val="o"/>
      <w:numFmt w:val="bullet"/>
      <w:start w:val="1"/>
    </w:lvl>
  </w:abstractNum>
  <w:abstractNum w:abstractNumId="3">
    <w:nsid w:val="7545E146"/>
    <w:multiLevelType w:val="hybridMultilevel"/>
    <w:lvl w:ilvl="0">
      <w:lvlJc w:val="left"/>
      <w:lvlText w:val="x"/>
      <w:numFmt w:val="bullet"/>
      <w:start w:val="1"/>
    </w:lvl>
  </w:abstractNum>
  <w:abstractNum w:abstractNumId="4">
    <w:nsid w:val="515F007C"/>
    <w:multiLevelType w:val="hybridMultilevel"/>
    <w:lvl w:ilvl="0">
      <w:lvlJc w:val="left"/>
      <w:lvlText w:val="o"/>
      <w:numFmt w:val="bullet"/>
      <w:start w:val="1"/>
    </w:lvl>
    <w:lvl w:ilvl="1">
      <w:lvlJc w:val="left"/>
      <w:lvlText w:val="(%2)"/>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2019-12-10T04:25:40Z</dcterms:created>
  <dcterms:modified xsi:type="dcterms:W3CDTF">2019-12-10T04:25:40Z</dcterms:modified>
</cp:coreProperties>
</file>