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5</w:t>
      </w:r>
    </w:p>
    <w:p>
      <w:pPr>
        <w:spacing w:after="0" w:line="238" w:lineRule="auto"/>
        <w:rPr>
          <w:sz w:val="20"/>
          <w:szCs w:val="20"/>
          <w:color w:val="auto"/>
        </w:rPr>
      </w:pPr>
      <w:r>
        <w:rPr>
          <w:rFonts w:ascii="Courier New" w:cs="Courier New" w:eastAsia="Courier New" w:hAnsi="Courier New"/>
          <w:sz w:val="18"/>
          <w:szCs w:val="18"/>
          <w:color w:val="auto"/>
        </w:rPr>
        <w:t>Winnebago Industries, Inc.</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#974637100</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#974637100</w:t>
      </w:r>
    </w:p>
    <w:p>
      <w:pPr>
        <w:spacing w:after="0" w:line="238" w:lineRule="auto"/>
        <w:rPr>
          <w:sz w:val="20"/>
          <w:szCs w:val="20"/>
          <w:color w:val="auto"/>
        </w:rPr>
      </w:pPr>
      <w:r>
        <w:rPr>
          <w:rFonts w:ascii="Courier New" w:cs="Courier New" w:eastAsia="Courier New" w:hAnsi="Courier New"/>
          <w:sz w:val="18"/>
          <w:szCs w:val="18"/>
          <w:color w:val="auto"/>
        </w:rPr>
        <w:t>Item 1: Reporting Person - FMR Corp.</w:t>
      </w:r>
    </w:p>
    <w:p>
      <w:pPr>
        <w:spacing w:after="0"/>
        <w:rPr>
          <w:sz w:val="20"/>
          <w:szCs w:val="20"/>
          <w:color w:val="auto"/>
        </w:rPr>
      </w:pPr>
      <w:r>
        <w:rPr>
          <w:rFonts w:ascii="Courier New" w:cs="Courier New" w:eastAsia="Courier New" w:hAnsi="Courier New"/>
          <w:sz w:val="18"/>
          <w:szCs w:val="18"/>
          <w:color w:val="auto"/>
        </w:rPr>
        <w:t>Item 4: Delaware</w:t>
      </w:r>
    </w:p>
    <w:p>
      <w:pPr>
        <w:spacing w:after="0" w:line="237" w:lineRule="auto"/>
        <w:rPr>
          <w:sz w:val="20"/>
          <w:szCs w:val="20"/>
          <w:color w:val="auto"/>
        </w:rPr>
      </w:pPr>
      <w:r>
        <w:rPr>
          <w:rFonts w:ascii="Courier New" w:cs="Courier New" w:eastAsia="Courier New" w:hAnsi="Courier New"/>
          <w:sz w:val="18"/>
          <w:szCs w:val="18"/>
          <w:color w:val="auto"/>
        </w:rPr>
        <w:t>Item 5: 790,120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1,211,820</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1,211,820</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04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3.681%</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HC</w:t>
            </w:r>
          </w:p>
        </w:tc>
      </w:tr>
    </w:tbl>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#974637100</w:t>
      </w:r>
    </w:p>
    <w:p>
      <w:pPr>
        <w:spacing w:after="0" w:line="238" w:lineRule="auto"/>
        <w:rPr>
          <w:sz w:val="20"/>
          <w:szCs w:val="20"/>
          <w:color w:val="auto"/>
        </w:rPr>
      </w:pPr>
      <w:r>
        <w:rPr>
          <w:rFonts w:ascii="Courier New" w:cs="Courier New" w:eastAsia="Courier New" w:hAnsi="Courier New"/>
          <w:sz w:val="18"/>
          <w:szCs w:val="18"/>
          <w:color w:val="auto"/>
        </w:rPr>
        <w:t>Item 1: Reporting Person - Edward C. Johnson 3d</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7"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1,211,820</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1,211,820</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040" w:type="dxa"/>
            <w:vAlign w:val="bottom"/>
          </w:tcPr>
          <w:p>
            <w:pPr>
              <w:ind w:left="420"/>
              <w:spacing w:after="0" w:line="202" w:lineRule="exact"/>
              <w:rPr>
                <w:sz w:val="20"/>
                <w:szCs w:val="20"/>
                <w:color w:val="auto"/>
              </w:rPr>
            </w:pPr>
            <w:r>
              <w:rPr>
                <w:rFonts w:ascii="Courier New" w:cs="Courier New" w:eastAsia="Courier New" w:hAnsi="Courier New"/>
                <w:sz w:val="18"/>
                <w:szCs w:val="18"/>
                <w:color w:val="auto"/>
                <w:w w:val="92"/>
              </w:rPr>
              <w:t>3.681%</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0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Winnebago Industries, Inc.</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Name of Issuer's Principal Executive Offices: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P.O. Box 152</w:t>
      </w:r>
    </w:p>
    <w:p>
      <w:pPr>
        <w:ind w:left="1700"/>
        <w:spacing w:after="0"/>
        <w:tabs>
          <w:tab w:leader="none" w:pos="3680" w:val="left"/>
        </w:tabs>
        <w:rPr>
          <w:sz w:val="20"/>
          <w:szCs w:val="20"/>
          <w:color w:val="auto"/>
        </w:rPr>
      </w:pPr>
      <w:r>
        <w:rPr>
          <w:rFonts w:ascii="Courier New" w:cs="Courier New" w:eastAsia="Courier New" w:hAnsi="Courier New"/>
          <w:sz w:val="18"/>
          <w:szCs w:val="18"/>
          <w:color w:val="auto"/>
        </w:rPr>
        <w:t>Forest City, Iowa</w:t>
      </w:r>
      <w:r>
        <w:rPr>
          <w:sz w:val="20"/>
          <w:szCs w:val="20"/>
          <w:color w:val="auto"/>
        </w:rPr>
        <w:tab/>
      </w:r>
      <w:r>
        <w:rPr>
          <w:rFonts w:ascii="Courier New" w:cs="Courier New" w:eastAsia="Courier New" w:hAnsi="Courier New"/>
          <w:sz w:val="16"/>
          <w:szCs w:val="16"/>
          <w:color w:val="auto"/>
        </w:rPr>
        <w:t>50436</w:t>
      </w:r>
    </w:p>
    <w:p>
      <w:pPr>
        <w:spacing w:after="0" w:line="200" w:lineRule="exact"/>
        <w:rPr>
          <w:sz w:val="24"/>
          <w:szCs w:val="24"/>
          <w:color w:val="auto"/>
        </w:rPr>
      </w:pPr>
    </w:p>
    <w:p>
      <w:pPr>
        <w:spacing w:after="0" w:line="204"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FMR Corp.</w:t>
      </w:r>
    </w:p>
    <w:p>
      <w:pPr>
        <w:spacing w:after="0" w:line="207"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3"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82 Devonshire Street, Boston,</w:t>
      </w:r>
    </w:p>
    <w:p>
      <w:pPr>
        <w:spacing w:after="0" w:line="238" w:lineRule="auto"/>
        <w:tabs>
          <w:tab w:leader="none" w:pos="1560" w:val="left"/>
        </w:tabs>
        <w:rPr>
          <w:sz w:val="20"/>
          <w:szCs w:val="20"/>
          <w:color w:val="auto"/>
        </w:rPr>
      </w:pPr>
      <w:r>
        <w:rPr>
          <w:rFonts w:ascii="Courier New" w:cs="Courier New" w:eastAsia="Courier New" w:hAnsi="Courier New"/>
          <w:sz w:val="18"/>
          <w:szCs w:val="18"/>
          <w:color w:val="auto"/>
        </w:rPr>
        <w:t>Massachusetts</w:t>
        <w:tab/>
        <w:t>02109</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4"/>
          <w:szCs w:val="24"/>
          <w:color w:val="auto"/>
        </w:rPr>
      </w:pPr>
    </w:p>
    <w:p>
      <w:pPr>
        <w:jc w:val="center"/>
        <w:ind w:right="535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974637100</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3. This statement is filed pursuant to Rule 13d-1(b) or 13d-2(b)</w:t>
      </w:r>
    </w:p>
    <w:p>
      <w:pPr>
        <w:spacing w:after="0" w:line="21" w:lineRule="exact"/>
        <w:rPr>
          <w:sz w:val="24"/>
          <w:szCs w:val="24"/>
          <w:color w:val="auto"/>
        </w:rPr>
      </w:pPr>
    </w:p>
    <w:p>
      <w:pPr>
        <w:ind w:right="3779"/>
        <w:spacing w:after="0" w:line="236" w:lineRule="auto"/>
        <w:rPr>
          <w:sz w:val="20"/>
          <w:szCs w:val="20"/>
          <w:color w:val="auto"/>
        </w:rPr>
      </w:pPr>
      <w:r>
        <w:rPr>
          <w:rFonts w:ascii="Courier New" w:cs="Courier New" w:eastAsia="Courier New" w:hAnsi="Courier New"/>
          <w:sz w:val="18"/>
          <w:szCs w:val="18"/>
          <w:color w:val="auto"/>
        </w:rPr>
        <w:t>and the person filing, FMR Corp., is a parent holding company in accordance with Section 240.13d-1(b)(ii)(G). (Note: See Item 7).</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860"/>
        <w:spacing w:after="0"/>
        <w:tabs>
          <w:tab w:leader="none" w:pos="1680" w:val="left"/>
          <w:tab w:leader="none" w:pos="504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8"/>
          <w:szCs w:val="18"/>
          <w:color w:val="auto"/>
        </w:rPr>
        <w:t>Amount Beneficially Owned:</w:t>
      </w:r>
      <w:r>
        <w:rPr>
          <w:sz w:val="20"/>
          <w:szCs w:val="20"/>
          <w:color w:val="auto"/>
        </w:rPr>
        <w:tab/>
      </w:r>
      <w:r>
        <w:rPr>
          <w:rFonts w:ascii="Courier New" w:cs="Courier New" w:eastAsia="Courier New" w:hAnsi="Courier New"/>
          <w:sz w:val="16"/>
          <w:szCs w:val="16"/>
          <w:color w:val="auto"/>
        </w:rPr>
        <w:t>1,211,820</w:t>
      </w:r>
    </w:p>
    <w:p>
      <w:pPr>
        <w:sectPr>
          <w:pgSz w:w="11900" w:h="16855" w:orient="portrait"/>
          <w:cols w:equalWidth="0" w:num="1">
            <w:col w:w="10219"/>
          </w:cols>
          <w:pgMar w:left="240" w:top="244" w:right="1440" w:bottom="0" w:gutter="0" w:footer="0" w:header="0"/>
        </w:sectPr>
      </w:pPr>
    </w:p>
    <w:bookmarkStart w:id="1" w:name="page2"/>
    <w:bookmarkEnd w:id="1"/>
    <w:p>
      <w:pPr>
        <w:ind w:left="860"/>
        <w:spacing w:after="0"/>
        <w:tabs>
          <w:tab w:leader="none" w:pos="1680" w:val="left"/>
          <w:tab w:leader="none" w:pos="420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Percent of Class:</w:t>
      </w:r>
      <w:r>
        <w:rPr>
          <w:sz w:val="20"/>
          <w:szCs w:val="20"/>
          <w:color w:val="auto"/>
        </w:rPr>
        <w:tab/>
      </w:r>
      <w:r>
        <w:rPr>
          <w:rFonts w:ascii="Courier New" w:cs="Courier New" w:eastAsia="Courier New" w:hAnsi="Courier New"/>
          <w:sz w:val="16"/>
          <w:szCs w:val="16"/>
          <w:color w:val="auto"/>
        </w:rPr>
        <w:t>3.681%</w:t>
      </w:r>
    </w:p>
    <w:p>
      <w:pPr>
        <w:spacing w:after="0" w:line="207" w:lineRule="exact"/>
        <w:rPr>
          <w:sz w:val="20"/>
          <w:szCs w:val="20"/>
          <w:color w:val="auto"/>
        </w:rPr>
      </w:pPr>
    </w:p>
    <w:p>
      <w:pPr>
        <w:ind w:left="1700" w:hanging="849"/>
        <w:spacing w:after="0"/>
        <w:tabs>
          <w:tab w:leader="none" w:pos="170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Number of shares as to which such</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person has:</w:t>
      </w:r>
    </w:p>
    <w:p>
      <w:pPr>
        <w:sectPr>
          <w:pgSz w:w="11900" w:h="16838" w:orient="portrait"/>
          <w:cols w:equalWidth="0" w:num="1">
            <w:col w:w="10219"/>
          </w:cols>
          <w:pgMar w:left="240" w:top="339" w:right="1440" w:bottom="334" w:gutter="0" w:footer="0" w:header="0"/>
        </w:sectPr>
      </w:pP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(i)</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vote: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sole power to vote or to direct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790,120</w:t>
      </w:r>
    </w:p>
    <w:p>
      <w:pPr>
        <w:spacing w:after="0" w:line="200" w:lineRule="exact"/>
        <w:rPr>
          <w:sz w:val="20"/>
          <w:szCs w:val="20"/>
          <w:color w:val="auto"/>
        </w:rPr>
      </w:pPr>
    </w:p>
    <w:p>
      <w:pPr>
        <w:sectPr>
          <w:pgSz w:w="11900" w:h="16838" w:orient="portrait"/>
          <w:cols w:equalWidth="0" w:num="2">
            <w:col w:w="1160" w:space="540"/>
            <w:col w:w="8519"/>
          </w:cols>
          <w:pgMar w:left="240" w:top="339" w:right="1440" w:bottom="334" w:gutter="0" w:footer="0" w:header="0"/>
          <w:type w:val="continuous"/>
        </w:sectPr>
      </w:pPr>
    </w:p>
    <w:p>
      <w:pPr>
        <w:spacing w:after="0" w:line="1" w:lineRule="exact"/>
        <w:rPr>
          <w:sz w:val="20"/>
          <w:szCs w:val="20"/>
          <w:color w:val="auto"/>
        </w:rPr>
      </w:pPr>
    </w:p>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w:t>
      </w:r>
    </w:p>
    <w:tbl>
      <w:tblPr>
        <w:tblLayout w:type="fixed"/>
        <w:tblInd w:w="0" w:type="dxa"/>
        <w:tblCellMar>
          <w:top w:w="0" w:type="dxa"/>
          <w:left w:w="0" w:type="dxa"/>
          <w:bottom w:w="0" w:type="dxa"/>
          <w:right w:w="0" w:type="dxa"/>
        </w:tblCellMar>
      </w:tblP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vote:</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1" w:lineRule="exact"/>
        <w:rPr>
          <w:sz w:val="20"/>
          <w:szCs w:val="20"/>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1,211,820</w:t>
            </w:r>
          </w:p>
        </w:tc>
      </w:tr>
    </w:tbl>
    <w:p>
      <w:pPr>
        <w:spacing w:after="0" w:line="201" w:lineRule="exact"/>
        <w:rPr>
          <w:sz w:val="20"/>
          <w:szCs w:val="20"/>
          <w:color w:val="auto"/>
        </w:rPr>
      </w:pPr>
    </w:p>
    <w:p>
      <w:pPr>
        <w:ind w:left="1700" w:hanging="849"/>
        <w:spacing w:after="0"/>
        <w:tabs>
          <w:tab w:leader="none" w:pos="17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7" w:lineRule="exact"/>
        <w:rPr>
          <w:sz w:val="20"/>
          <w:szCs w:val="20"/>
          <w:color w:val="auto"/>
        </w:rPr>
      </w:pPr>
    </w:p>
    <w:p>
      <w:pPr>
        <w:ind w:right="2419" w:firstLine="843"/>
        <w:spacing w:after="0" w:line="235"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w:t>
      </w:r>
    </w:p>
    <w:p>
      <w:pPr>
        <w:spacing w:after="0" w:line="6" w:lineRule="exact"/>
        <w:rPr>
          <w:sz w:val="20"/>
          <w:szCs w:val="20"/>
          <w:color w:val="auto"/>
        </w:rPr>
      </w:pPr>
    </w:p>
    <w:p>
      <w:pPr>
        <w:ind w:right="4099"/>
        <w:spacing w:after="0" w:line="235" w:lineRule="auto"/>
        <w:rPr>
          <w:sz w:val="20"/>
          <w:szCs w:val="20"/>
          <w:color w:val="auto"/>
        </w:rPr>
      </w:pPr>
      <w:r>
        <w:rPr>
          <w:rFonts w:ascii="Courier New" w:cs="Courier New" w:eastAsia="Courier New" w:hAnsi="Courier New"/>
          <w:sz w:val="18"/>
          <w:szCs w:val="18"/>
          <w:color w:val="auto"/>
        </w:rPr>
        <w:t>beneficial owner of more than five percent of the class of securities, check the following (X).</w:t>
      </w:r>
    </w:p>
    <w:p>
      <w:pPr>
        <w:spacing w:after="0" w:line="208"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 A.</w:t>
      </w:r>
    </w:p>
    <w:p>
      <w:pPr>
        <w:spacing w:after="0" w:line="207" w:lineRule="exact"/>
        <w:rPr>
          <w:sz w:val="20"/>
          <w:szCs w:val="20"/>
          <w:color w:val="auto"/>
        </w:rPr>
      </w:pPr>
    </w:p>
    <w:p>
      <w:pPr>
        <w:ind w:right="4419"/>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3" w:lineRule="exact"/>
        <w:rPr>
          <w:sz w:val="20"/>
          <w:szCs w:val="20"/>
          <w:color w:val="auto"/>
        </w:rPr>
      </w:pPr>
    </w:p>
    <w:p>
      <w:pPr>
        <w:ind w:left="860"/>
        <w:spacing w:after="0"/>
        <w:tabs>
          <w:tab w:leader="none" w:pos="2620" w:val="left"/>
        </w:tabs>
        <w:rPr>
          <w:sz w:val="20"/>
          <w:szCs w:val="20"/>
          <w:color w:val="auto"/>
        </w:rPr>
      </w:pPr>
      <w:r>
        <w:rPr>
          <w:rFonts w:ascii="Courier New" w:cs="Courier New" w:eastAsia="Courier New" w:hAnsi="Courier New"/>
          <w:sz w:val="18"/>
          <w:szCs w:val="18"/>
          <w:color w:val="auto"/>
        </w:rPr>
        <w:t>Not applicable.</w:t>
      </w:r>
      <w:r>
        <w:rPr>
          <w:sz w:val="20"/>
          <w:szCs w:val="20"/>
          <w:color w:val="auto"/>
        </w:rPr>
        <w:tab/>
      </w:r>
      <w:r>
        <w:rPr>
          <w:rFonts w:ascii="Courier New" w:cs="Courier New" w:eastAsia="Courier New" w:hAnsi="Courier New"/>
          <w:sz w:val="16"/>
          <w:szCs w:val="16"/>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2839" w:firstLine="843"/>
        <w:spacing w:after="0" w:line="237" w:lineRule="auto"/>
        <w:rPr>
          <w:sz w:val="20"/>
          <w:szCs w:val="20"/>
          <w:color w:val="auto"/>
        </w:rPr>
      </w:pPr>
      <w:r>
        <w:rPr>
          <w:rFonts w:ascii="Courier New" w:cs="Courier New" w:eastAsia="Courier New" w:hAnsi="Courier New"/>
          <w:sz w:val="18"/>
          <w:szCs w:val="18"/>
          <w:color w:val="auto"/>
        </w:rPr>
        <w:t>Inasmuch as the reporting persons are no longer the beneficial owners of more than five percent of the number of shares outstanding, the reporting persons have no further reporting obligation under Section 13(d) of the Securities and Exchange Commission thereunder, and the reporting persons have no</w:t>
      </w:r>
    </w:p>
    <w:p>
      <w:pPr>
        <w:spacing w:after="0" w:line="6" w:lineRule="exact"/>
        <w:rPr>
          <w:sz w:val="20"/>
          <w:szCs w:val="20"/>
          <w:color w:val="auto"/>
        </w:rPr>
      </w:pPr>
    </w:p>
    <w:p>
      <w:pPr>
        <w:ind w:right="4199"/>
        <w:spacing w:after="0" w:line="235" w:lineRule="auto"/>
        <w:rPr>
          <w:sz w:val="20"/>
          <w:szCs w:val="20"/>
          <w:color w:val="auto"/>
        </w:rPr>
      </w:pPr>
      <w:r>
        <w:rPr>
          <w:rFonts w:ascii="Courier New" w:cs="Courier New" w:eastAsia="Courier New" w:hAnsi="Courier New"/>
          <w:sz w:val="18"/>
          <w:szCs w:val="18"/>
          <w:color w:val="auto"/>
        </w:rPr>
        <w:t>obligation to amend this Statement if any material change occurs in the facts set forth herein.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039" w:firstLine="843"/>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October 11, 2005</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/s/Eric D. Roiter</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Eric D, Roiter</w:t>
      </w:r>
    </w:p>
    <w:p>
      <w:pPr>
        <w:spacing w:after="0" w:line="238" w:lineRule="auto"/>
        <w:rPr>
          <w:sz w:val="20"/>
          <w:szCs w:val="20"/>
          <w:color w:val="auto"/>
        </w:rPr>
      </w:pPr>
      <w:r>
        <w:rPr>
          <w:rFonts w:ascii="Courier New" w:cs="Courier New" w:eastAsia="Courier New" w:hAnsi="Courier New"/>
          <w:sz w:val="18"/>
          <w:szCs w:val="18"/>
          <w:color w:val="auto"/>
        </w:rPr>
        <w:t>Duly authorized under Power of Attorney</w:t>
      </w:r>
    </w:p>
    <w:p>
      <w:pPr>
        <w:spacing w:after="0" w:line="5" w:lineRule="exact"/>
        <w:rPr>
          <w:sz w:val="20"/>
          <w:szCs w:val="20"/>
          <w:color w:val="auto"/>
        </w:rPr>
      </w:pPr>
    </w:p>
    <w:p>
      <w:pPr>
        <w:ind w:right="4199"/>
        <w:spacing w:after="0" w:line="235" w:lineRule="auto"/>
        <w:rPr>
          <w:sz w:val="20"/>
          <w:szCs w:val="20"/>
          <w:color w:val="auto"/>
        </w:rPr>
      </w:pPr>
      <w:r>
        <w:rPr>
          <w:rFonts w:ascii="Courier New" w:cs="Courier New" w:eastAsia="Courier New" w:hAnsi="Courier New"/>
          <w:sz w:val="18"/>
          <w:szCs w:val="18"/>
          <w:color w:val="auto"/>
        </w:rPr>
        <w:t>dated December 30, 1997 by and on behalf of FMR Corp. and its direct and indirect subsidiaries</w:t>
      </w:r>
    </w:p>
    <w:p>
      <w:pPr>
        <w:spacing w:after="0" w:line="200" w:lineRule="exact"/>
        <w:rPr>
          <w:sz w:val="20"/>
          <w:szCs w:val="20"/>
          <w:color w:val="auto"/>
        </w:rPr>
      </w:pPr>
    </w:p>
    <w:p>
      <w:pPr>
        <w:spacing w:after="0" w:line="20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ectPr>
          <w:pgSz w:w="11900" w:h="16838" w:orient="portrait"/>
          <w:cols w:equalWidth="0" w:num="1">
            <w:col w:w="10219"/>
          </w:cols>
          <w:pgMar w:left="240" w:top="339" w:right="1440" w:bottom="334" w:gutter="0" w:footer="0" w:header="0"/>
          <w:type w:val="continuous"/>
        </w:sectPr>
      </w:pPr>
    </w:p>
    <w:bookmarkStart w:id="2" w:name="page3"/>
    <w:bookmarkEnd w:id="2"/>
    <w:p>
      <w:pPr>
        <w:ind w:right="3579" w:firstLine="843"/>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Fidelity Management &amp; Research Company ("Fidelity"), 82 Devonshire Street, Boston, Massachusetts 02109, a wholly-owned subsidiary of FMR Corp. and an investment adviser registered under Section 203 of the Investment Advisers Act</w:t>
      </w:r>
    </w:p>
    <w:p>
      <w:pPr>
        <w:spacing w:after="0" w:line="6" w:lineRule="exact"/>
        <w:rPr>
          <w:sz w:val="20"/>
          <w:szCs w:val="20"/>
          <w:color w:val="auto"/>
        </w:rPr>
      </w:pPr>
    </w:p>
    <w:p>
      <w:pPr>
        <w:ind w:right="3899"/>
        <w:spacing w:after="0" w:line="273" w:lineRule="auto"/>
        <w:rPr>
          <w:sz w:val="20"/>
          <w:szCs w:val="20"/>
          <w:color w:val="auto"/>
        </w:rPr>
      </w:pPr>
      <w:r>
        <w:rPr>
          <w:rFonts w:ascii="Courier New" w:cs="Courier New" w:eastAsia="Courier New" w:hAnsi="Courier New"/>
          <w:sz w:val="16"/>
          <w:szCs w:val="16"/>
          <w:color w:val="auto"/>
        </w:rPr>
        <w:t>of 1940, is the beneficial owner of 421,700 shares or 1.281% of the Common Stock outstanding of Winnebago Industries, Inc. ("the Company") as a result of acting as investment adviser to various investment companies registered under Section 8 of the Investment Company Act of 1940.</w:t>
      </w:r>
    </w:p>
    <w:p>
      <w:pPr>
        <w:spacing w:after="0" w:line="185" w:lineRule="exact"/>
        <w:rPr>
          <w:sz w:val="20"/>
          <w:szCs w:val="20"/>
          <w:color w:val="auto"/>
        </w:rPr>
      </w:pPr>
    </w:p>
    <w:p>
      <w:pPr>
        <w:ind w:right="4199" w:firstLine="843"/>
        <w:spacing w:after="0" w:line="236" w:lineRule="auto"/>
        <w:rPr>
          <w:sz w:val="20"/>
          <w:szCs w:val="20"/>
          <w:color w:val="auto"/>
        </w:rPr>
      </w:pPr>
      <w:r>
        <w:rPr>
          <w:rFonts w:ascii="Courier New" w:cs="Courier New" w:eastAsia="Courier New" w:hAnsi="Courier New"/>
          <w:sz w:val="18"/>
          <w:szCs w:val="18"/>
          <w:color w:val="auto"/>
        </w:rPr>
        <w:t>Edward C. Johnson 3d and FMR Corp., through its control of Fidelity, and the funds each has sole power to dispose of the 421,700 shares owned by the Funds.</w:t>
      </w:r>
    </w:p>
    <w:p>
      <w:pPr>
        <w:spacing w:after="0" w:line="209" w:lineRule="exact"/>
        <w:rPr>
          <w:sz w:val="20"/>
          <w:szCs w:val="20"/>
          <w:color w:val="auto"/>
        </w:rPr>
      </w:pPr>
    </w:p>
    <w:p>
      <w:pPr>
        <w:ind w:right="3679" w:firstLine="843"/>
        <w:spacing w:after="0" w:line="238" w:lineRule="auto"/>
        <w:rPr>
          <w:sz w:val="20"/>
          <w:szCs w:val="20"/>
          <w:color w:val="auto"/>
        </w:rPr>
      </w:pPr>
      <w:r>
        <w:rPr>
          <w:rFonts w:ascii="Courier New" w:cs="Courier New" w:eastAsia="Courier New" w:hAnsi="Courier New"/>
          <w:sz w:val="18"/>
          <w:szCs w:val="18"/>
          <w:color w:val="auto"/>
        </w:rPr>
        <w:t>Members of the family of Edward C. Johnson 3d, Chairman of FMR Corp., are the predominant owners, directly or through trusts, of Series B shares of common stock of FMR Corp., representing 49% of the voting power of FMR Corp. The Johnson family group and all other Series B shareholders have entered into a shareholders' voting agreement under which all Series B shares will be voted in accordance with the majority vote of Series B shares. Accordingly, through their ownership of voting common stock and the execution of the shareholders' voting agreement, members of the Johnson family may be deemed, under the Investment Company Act of 1940, to form a controlling group with respect to FMR Corp.</w:t>
      </w:r>
    </w:p>
    <w:p>
      <w:pPr>
        <w:spacing w:after="0" w:line="207" w:lineRule="exact"/>
        <w:rPr>
          <w:sz w:val="20"/>
          <w:szCs w:val="20"/>
          <w:color w:val="auto"/>
        </w:rPr>
      </w:pPr>
    </w:p>
    <w:p>
      <w:pPr>
        <w:ind w:right="3679" w:firstLine="843"/>
        <w:spacing w:after="0" w:line="237" w:lineRule="auto"/>
        <w:rPr>
          <w:sz w:val="20"/>
          <w:szCs w:val="20"/>
          <w:color w:val="auto"/>
        </w:rPr>
      </w:pPr>
      <w:r>
        <w:rPr>
          <w:rFonts w:ascii="Courier New" w:cs="Courier New" w:eastAsia="Courier New" w:hAnsi="Courier New"/>
          <w:sz w:val="18"/>
          <w:szCs w:val="18"/>
          <w:color w:val="auto"/>
        </w:rPr>
        <w:t>Neither FMR Corp. nor Edward C. Johnson 3d, Chairman of FMR Corp., has the sole power to vote or direct the voting of the shares owned directly by the Fidelity Funds, which power resides with the Funds' Boards of Trustees. Fidelity carries out the voting of the shares under written guidelines established by the Funds' Boards of Trustees.</w:t>
      </w:r>
    </w:p>
    <w:p>
      <w:pPr>
        <w:spacing w:after="0" w:line="210" w:lineRule="exact"/>
        <w:rPr>
          <w:sz w:val="20"/>
          <w:szCs w:val="20"/>
          <w:color w:val="auto"/>
        </w:rPr>
      </w:pPr>
    </w:p>
    <w:p>
      <w:pPr>
        <w:ind w:right="3679" w:firstLine="843"/>
        <w:spacing w:after="0" w:line="237" w:lineRule="auto"/>
        <w:rPr>
          <w:sz w:val="20"/>
          <w:szCs w:val="20"/>
          <w:color w:val="auto"/>
        </w:rPr>
      </w:pPr>
      <w:r>
        <w:rPr>
          <w:rFonts w:ascii="Courier New" w:cs="Courier New" w:eastAsia="Courier New" w:hAnsi="Courier New"/>
          <w:sz w:val="18"/>
          <w:szCs w:val="18"/>
          <w:color w:val="auto"/>
        </w:rPr>
        <w:t>Fidelity Management Trust Company, 82 Devonshire Street, Boston, Massachusetts 02109, a wholly-owned subsidiary of FMR Corp. and a bank as defined in Section 3(a)(6) of the Securities Exchange Act of 1934, is the beneficial owner of 478,920 shares or 1.455% of the Common Stock outstanding of the Company as a result of its serving as investment manager of the institutional account(s).</w:t>
      </w:r>
    </w:p>
    <w:p>
      <w:pPr>
        <w:spacing w:after="0" w:line="211" w:lineRule="exact"/>
        <w:rPr>
          <w:sz w:val="20"/>
          <w:szCs w:val="20"/>
          <w:color w:val="auto"/>
        </w:rPr>
      </w:pPr>
    </w:p>
    <w:p>
      <w:pPr>
        <w:ind w:right="3899" w:firstLine="843"/>
        <w:spacing w:after="0" w:line="273" w:lineRule="auto"/>
        <w:rPr>
          <w:sz w:val="20"/>
          <w:szCs w:val="20"/>
          <w:color w:val="auto"/>
        </w:rPr>
      </w:pPr>
      <w:r>
        <w:rPr>
          <w:rFonts w:ascii="Courier New" w:cs="Courier New" w:eastAsia="Courier New" w:hAnsi="Courier New"/>
          <w:sz w:val="16"/>
          <w:szCs w:val="16"/>
          <w:color w:val="auto"/>
        </w:rPr>
        <w:t>Edward C. Johnson 3d and FMR Corp., through its control of Fidelity Management Trust Company, each has sole dispositive power over 478,920 shares and sole power to vote or to direct the voting of 478,920 shares of Common Stock owned by the institutional account(s) as reported above.</w:t>
      </w:r>
    </w:p>
    <w:p>
      <w:pPr>
        <w:spacing w:after="0" w:line="185" w:lineRule="exact"/>
        <w:rPr>
          <w:sz w:val="20"/>
          <w:szCs w:val="20"/>
          <w:color w:val="auto"/>
        </w:rPr>
      </w:pPr>
    </w:p>
    <w:p>
      <w:pPr>
        <w:ind w:right="3679" w:firstLine="843"/>
        <w:spacing w:after="0" w:line="237" w:lineRule="auto"/>
        <w:rPr>
          <w:sz w:val="20"/>
          <w:szCs w:val="20"/>
          <w:color w:val="auto"/>
        </w:rPr>
      </w:pPr>
      <w:r>
        <w:rPr>
          <w:rFonts w:ascii="Courier New" w:cs="Courier New" w:eastAsia="Courier New" w:hAnsi="Courier New"/>
          <w:sz w:val="18"/>
          <w:szCs w:val="18"/>
          <w:color w:val="auto"/>
        </w:rPr>
        <w:t>Fidelity International Limited ("FIL"), Pembroke Hall, 42 Crow Lane, Hamilton, Bermuda, and various foreign-based subsidiaries provide investment advisory and management services to a number of non-U.S. investment companies and certain institutional investors. FIL, which is a qualified institution under section 240.13d-1(b)(1) pursuant to an SEC No-Action letter dated October 5, 2000, is the beneficial owner of 311,200 shares or 0.945% of the Common Stock outstanding of the Company.</w:t>
      </w:r>
    </w:p>
    <w:p>
      <w:pPr>
        <w:spacing w:after="0" w:line="214" w:lineRule="exact"/>
        <w:rPr>
          <w:sz w:val="20"/>
          <w:szCs w:val="20"/>
          <w:color w:val="auto"/>
        </w:rPr>
      </w:pPr>
    </w:p>
    <w:p>
      <w:pPr>
        <w:ind w:right="3899" w:firstLine="843"/>
        <w:spacing w:after="0" w:line="268" w:lineRule="auto"/>
        <w:rPr>
          <w:sz w:val="20"/>
          <w:szCs w:val="20"/>
          <w:color w:val="auto"/>
        </w:rPr>
      </w:pPr>
      <w:r>
        <w:rPr>
          <w:rFonts w:ascii="Courier New" w:cs="Courier New" w:eastAsia="Courier New" w:hAnsi="Courier New"/>
          <w:sz w:val="16"/>
          <w:szCs w:val="16"/>
          <w:color w:val="auto"/>
        </w:rPr>
        <w:t>A partnership controlled predominantly by members of the family of Edward C. Johnson 3d, Chairman of FMR Corp.</w:t>
      </w:r>
    </w:p>
    <w:p>
      <w:pPr>
        <w:ind w:right="3579"/>
        <w:spacing w:after="0" w:line="268" w:lineRule="auto"/>
        <w:rPr>
          <w:sz w:val="20"/>
          <w:szCs w:val="20"/>
          <w:color w:val="auto"/>
        </w:rPr>
      </w:pPr>
      <w:r>
        <w:rPr>
          <w:rFonts w:ascii="Courier New" w:cs="Courier New" w:eastAsia="Courier New" w:hAnsi="Courier New"/>
          <w:sz w:val="16"/>
          <w:szCs w:val="16"/>
          <w:color w:val="auto"/>
        </w:rPr>
        <w:t>and FIL, or trusts for their benefit, owns shares of FIL voting stock with the right to cast approximately 38% of the total votes which may be cast by all holders of FIL voting stock.</w:t>
      </w:r>
    </w:p>
    <w:p>
      <w:pPr>
        <w:spacing w:after="0" w:line="1" w:lineRule="exact"/>
        <w:rPr>
          <w:sz w:val="20"/>
          <w:szCs w:val="20"/>
          <w:color w:val="auto"/>
        </w:rPr>
      </w:pPr>
    </w:p>
    <w:p>
      <w:pPr>
        <w:ind w:right="3679"/>
        <w:spacing w:after="0" w:line="236" w:lineRule="auto"/>
        <w:rPr>
          <w:sz w:val="20"/>
          <w:szCs w:val="20"/>
          <w:color w:val="auto"/>
        </w:rPr>
      </w:pPr>
      <w:r>
        <w:rPr>
          <w:rFonts w:ascii="Courier New" w:cs="Courier New" w:eastAsia="Courier New" w:hAnsi="Courier New"/>
          <w:sz w:val="18"/>
          <w:szCs w:val="18"/>
          <w:color w:val="auto"/>
        </w:rPr>
        <w:t>FMR Corp. and FIL are separate and independent corporate entities, and their Boards of Directors are generally composed of different individuals.</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Corp. and FIL are of the view that they are not</w:t>
      </w:r>
    </w:p>
    <w:p>
      <w:pPr>
        <w:spacing w:after="0" w:line="238" w:lineRule="auto"/>
        <w:rPr>
          <w:sz w:val="20"/>
          <w:szCs w:val="20"/>
          <w:color w:val="auto"/>
        </w:rPr>
      </w:pPr>
      <w:r>
        <w:rPr>
          <w:rFonts w:ascii="Courier New" w:cs="Courier New" w:eastAsia="Courier New" w:hAnsi="Courier New"/>
          <w:sz w:val="18"/>
          <w:szCs w:val="18"/>
          <w:color w:val="auto"/>
        </w:rPr>
        <w:t>acting as a "group" for purposes of Section 13(d) under the</w:t>
      </w:r>
    </w:p>
    <w:p>
      <w:pPr>
        <w:spacing w:after="0"/>
        <w:rPr>
          <w:sz w:val="20"/>
          <w:szCs w:val="20"/>
          <w:color w:val="auto"/>
        </w:rPr>
      </w:pPr>
      <w:r>
        <w:rPr>
          <w:rFonts w:ascii="Courier New" w:cs="Courier New" w:eastAsia="Courier New" w:hAnsi="Courier New"/>
          <w:sz w:val="18"/>
          <w:szCs w:val="18"/>
          <w:color w:val="auto"/>
        </w:rPr>
        <w:t>Securities Exchange Act of 1934 (the "1934" Act) and that</w:t>
      </w:r>
    </w:p>
    <w:p>
      <w:pPr>
        <w:spacing w:after="0" w:line="237" w:lineRule="auto"/>
        <w:rPr>
          <w:sz w:val="20"/>
          <w:szCs w:val="20"/>
          <w:color w:val="auto"/>
        </w:rPr>
      </w:pPr>
      <w:r>
        <w:rPr>
          <w:rFonts w:ascii="Courier New" w:cs="Courier New" w:eastAsia="Courier New" w:hAnsi="Courier New"/>
          <w:sz w:val="18"/>
          <w:szCs w:val="18"/>
          <w:color w:val="auto"/>
        </w:rPr>
        <w:t>they are not otherwise required to attribute to each other the</w:t>
      </w:r>
    </w:p>
    <w:p>
      <w:pPr>
        <w:spacing w:after="0" w:line="238" w:lineRule="auto"/>
        <w:rPr>
          <w:sz w:val="20"/>
          <w:szCs w:val="20"/>
          <w:color w:val="auto"/>
        </w:rPr>
      </w:pPr>
      <w:r>
        <w:rPr>
          <w:rFonts w:ascii="Courier New" w:cs="Courier New" w:eastAsia="Courier New" w:hAnsi="Courier New"/>
          <w:sz w:val="18"/>
          <w:szCs w:val="18"/>
          <w:color w:val="auto"/>
        </w:rPr>
        <w:t>"beneficial ownership" of securities "beneficially owned" by</w:t>
      </w:r>
    </w:p>
    <w:p>
      <w:pPr>
        <w:spacing w:after="0"/>
        <w:rPr>
          <w:sz w:val="20"/>
          <w:szCs w:val="20"/>
          <w:color w:val="auto"/>
        </w:rPr>
      </w:pPr>
      <w:r>
        <w:rPr>
          <w:rFonts w:ascii="Courier New" w:cs="Courier New" w:eastAsia="Courier New" w:hAnsi="Courier New"/>
          <w:sz w:val="18"/>
          <w:szCs w:val="18"/>
          <w:color w:val="auto"/>
        </w:rPr>
        <w:t>the other corporation within the meaning of Rule 13d-3</w:t>
      </w:r>
    </w:p>
    <w:p>
      <w:pPr>
        <w:spacing w:after="0"/>
        <w:tabs>
          <w:tab w:leader="none" w:pos="3460" w:val="left"/>
        </w:tabs>
        <w:rPr>
          <w:sz w:val="20"/>
          <w:szCs w:val="20"/>
          <w:color w:val="auto"/>
        </w:rPr>
      </w:pPr>
      <w:r>
        <w:rPr>
          <w:rFonts w:ascii="Courier New" w:cs="Courier New" w:eastAsia="Courier New" w:hAnsi="Courier New"/>
          <w:sz w:val="18"/>
          <w:szCs w:val="18"/>
          <w:color w:val="auto"/>
        </w:rPr>
        <w:t>promulgated under the 1934 Act.</w:t>
      </w:r>
      <w:r>
        <w:rPr>
          <w:sz w:val="20"/>
          <w:szCs w:val="20"/>
          <w:color w:val="auto"/>
        </w:rPr>
        <w:tab/>
      </w:r>
      <w:r>
        <w:rPr>
          <w:rFonts w:ascii="Courier New" w:cs="Courier New" w:eastAsia="Courier New" w:hAnsi="Courier New"/>
          <w:sz w:val="16"/>
          <w:szCs w:val="16"/>
          <w:color w:val="auto"/>
        </w:rPr>
        <w:t>Therefore, they are of the</w:t>
      </w:r>
    </w:p>
    <w:p>
      <w:pPr>
        <w:spacing w:after="0"/>
        <w:rPr>
          <w:sz w:val="20"/>
          <w:szCs w:val="20"/>
          <w:color w:val="auto"/>
        </w:rPr>
      </w:pPr>
      <w:r>
        <w:rPr>
          <w:rFonts w:ascii="Courier New" w:cs="Courier New" w:eastAsia="Courier New" w:hAnsi="Courier New"/>
          <w:sz w:val="18"/>
          <w:szCs w:val="18"/>
          <w:color w:val="auto"/>
        </w:rPr>
        <w:t>view that the shares held by the other corporation need not be</w:t>
      </w:r>
    </w:p>
    <w:p>
      <w:pPr>
        <w:spacing w:after="0" w:line="237" w:lineRule="auto"/>
        <w:rPr>
          <w:sz w:val="20"/>
          <w:szCs w:val="20"/>
          <w:color w:val="auto"/>
        </w:rPr>
      </w:pPr>
      <w:r>
        <w:rPr>
          <w:rFonts w:ascii="Courier New" w:cs="Courier New" w:eastAsia="Courier New" w:hAnsi="Courier New"/>
          <w:sz w:val="18"/>
          <w:szCs w:val="18"/>
          <w:color w:val="auto"/>
        </w:rPr>
        <w:t>aggregated for purposes of Section 13(d). However, FMR</w:t>
      </w:r>
    </w:p>
    <w:p>
      <w:pPr>
        <w:spacing w:after="0" w:line="5"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Corp. is making this filing on a voluntary basis as if all of the shares are beneficially owned by FMR Corp. and FIL on a joint basis.</w:t>
      </w:r>
    </w:p>
    <w:p>
      <w:pPr>
        <w:sectPr>
          <w:pgSz w:w="11900" w:h="16838" w:orient="portrait"/>
          <w:cols w:equalWidth="0" w:num="1">
            <w:col w:w="10219"/>
          </w:cols>
          <w:pgMar w:left="240" w:top="142" w:right="1440" w:bottom="0" w:gutter="0" w:footer="0" w:header="0"/>
        </w:sectPr>
      </w:pPr>
    </w:p>
    <w:bookmarkStart w:id="3" w:name="page4"/>
    <w:bookmarkEnd w:id="3"/>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ind w:left="860"/>
        <w:spacing w:after="0"/>
        <w:tabs>
          <w:tab w:leader="none" w:pos="2720" w:val="left"/>
        </w:tabs>
        <w:rPr>
          <w:sz w:val="20"/>
          <w:szCs w:val="20"/>
          <w:color w:val="auto"/>
        </w:rPr>
      </w:pPr>
      <w:r>
        <w:rPr>
          <w:rFonts w:ascii="Courier New" w:cs="Courier New" w:eastAsia="Courier New" w:hAnsi="Courier New"/>
          <w:sz w:val="18"/>
          <w:szCs w:val="18"/>
          <w:color w:val="auto"/>
        </w:rPr>
        <w:t>RULE 13d-1(f)(1)</w:t>
      </w:r>
      <w:r>
        <w:rPr>
          <w:sz w:val="20"/>
          <w:szCs w:val="20"/>
          <w:color w:val="auto"/>
        </w:rPr>
        <w:tab/>
      </w:r>
      <w:r>
        <w:rPr>
          <w:rFonts w:ascii="Courier New" w:cs="Courier New" w:eastAsia="Courier New" w:hAnsi="Courier New"/>
          <w:sz w:val="16"/>
          <w:szCs w:val="16"/>
          <w:color w:val="auto"/>
        </w:rPr>
        <w:t>AGREEMENT</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The undersigned persons, on October 11, 2005, agree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consent to the joint filing on their behalf of this Schedule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13G in connection with their beneficial ownership of the</w:t>
      </w:r>
    </w:p>
    <w:p>
      <w:pPr>
        <w:spacing w:after="0" w:line="238" w:lineRule="auto"/>
        <w:rPr>
          <w:sz w:val="20"/>
          <w:szCs w:val="20"/>
          <w:color w:val="auto"/>
        </w:rPr>
      </w:pPr>
      <w:r>
        <w:rPr>
          <w:rFonts w:ascii="Courier New" w:cs="Courier New" w:eastAsia="Courier New" w:hAnsi="Courier New"/>
          <w:sz w:val="18"/>
          <w:szCs w:val="18"/>
          <w:color w:val="auto"/>
        </w:rPr>
        <w:t>Common Stock of Winnebago Industries, Inc. at September</w:t>
      </w:r>
    </w:p>
    <w:p>
      <w:pPr>
        <w:spacing w:after="0"/>
        <w:rPr>
          <w:sz w:val="20"/>
          <w:szCs w:val="20"/>
          <w:color w:val="auto"/>
        </w:rPr>
      </w:pPr>
      <w:r>
        <w:rPr>
          <w:rFonts w:ascii="Courier New" w:cs="Courier New" w:eastAsia="Courier New" w:hAnsi="Courier New"/>
          <w:sz w:val="18"/>
          <w:szCs w:val="18"/>
          <w:color w:val="auto"/>
        </w:rPr>
        <w:t>30, 2005.</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Corp.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Eric D. Roiter</w:t>
      </w:r>
    </w:p>
    <w:p>
      <w:pPr>
        <w:ind w:left="860"/>
        <w:spacing w:after="0" w:line="238" w:lineRule="auto"/>
        <w:rPr>
          <w:sz w:val="20"/>
          <w:szCs w:val="20"/>
          <w:color w:val="auto"/>
        </w:rPr>
      </w:pPr>
      <w:r>
        <w:rPr>
          <w:rFonts w:ascii="Courier New" w:cs="Courier New" w:eastAsia="Courier New" w:hAnsi="Courier New"/>
          <w:sz w:val="18"/>
          <w:szCs w:val="18"/>
          <w:color w:val="auto"/>
        </w:rPr>
        <w:t>Eric D. Roiter</w:t>
      </w:r>
    </w:p>
    <w:p>
      <w:pPr>
        <w:spacing w:after="0" w:line="5" w:lineRule="exact"/>
        <w:rPr>
          <w:sz w:val="20"/>
          <w:szCs w:val="20"/>
          <w:color w:val="auto"/>
        </w:rPr>
      </w:pPr>
    </w:p>
    <w:p>
      <w:pPr>
        <w:ind w:right="4319" w:firstLine="843"/>
        <w:spacing w:after="0" w:line="236" w:lineRule="auto"/>
        <w:rPr>
          <w:sz w:val="20"/>
          <w:szCs w:val="20"/>
          <w:color w:val="auto"/>
        </w:rPr>
      </w:pPr>
      <w:r>
        <w:rPr>
          <w:rFonts w:ascii="Courier New" w:cs="Courier New" w:eastAsia="Courier New" w:hAnsi="Courier New"/>
          <w:sz w:val="18"/>
          <w:szCs w:val="18"/>
          <w:color w:val="auto"/>
        </w:rPr>
        <w:t>Duly authorized under Power of Attorney dated December 30, 1997, by and on behalf of FMR Corp. and its direct and indirect subsidiaries</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Edward C. Johnson 3d</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Eric D. Roiter</w:t>
      </w:r>
    </w:p>
    <w:p>
      <w:pPr>
        <w:ind w:left="860"/>
        <w:spacing w:after="0" w:line="238" w:lineRule="auto"/>
        <w:rPr>
          <w:sz w:val="20"/>
          <w:szCs w:val="20"/>
          <w:color w:val="auto"/>
        </w:rPr>
      </w:pPr>
      <w:r>
        <w:rPr>
          <w:rFonts w:ascii="Courier New" w:cs="Courier New" w:eastAsia="Courier New" w:hAnsi="Courier New"/>
          <w:sz w:val="18"/>
          <w:szCs w:val="18"/>
          <w:color w:val="auto"/>
        </w:rPr>
        <w:t>Eric D. Roiter</w:t>
      </w:r>
    </w:p>
    <w:p>
      <w:pPr>
        <w:spacing w:after="0" w:line="5" w:lineRule="exact"/>
        <w:rPr>
          <w:sz w:val="20"/>
          <w:szCs w:val="20"/>
          <w:color w:val="auto"/>
        </w:rPr>
      </w:pPr>
    </w:p>
    <w:p>
      <w:pPr>
        <w:ind w:right="4319" w:firstLine="843"/>
        <w:spacing w:after="0" w:line="236" w:lineRule="auto"/>
        <w:rPr>
          <w:sz w:val="20"/>
          <w:szCs w:val="20"/>
          <w:color w:val="auto"/>
        </w:rPr>
      </w:pPr>
      <w:r>
        <w:rPr>
          <w:rFonts w:ascii="Courier New" w:cs="Courier New" w:eastAsia="Courier New" w:hAnsi="Courier New"/>
          <w:sz w:val="18"/>
          <w:szCs w:val="18"/>
          <w:color w:val="auto"/>
        </w:rPr>
        <w:t>Duly authorized under Power of Attorney dated December 30, 1997, by and on behalf of Edward C. Johnson 3d</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Fidelity Management &amp; Research Company</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Eric D. Roiter</w:t>
      </w:r>
    </w:p>
    <w:p>
      <w:pPr>
        <w:ind w:left="860"/>
        <w:spacing w:after="0" w:line="238" w:lineRule="auto"/>
        <w:rPr>
          <w:sz w:val="20"/>
          <w:szCs w:val="20"/>
          <w:color w:val="auto"/>
        </w:rPr>
      </w:pPr>
      <w:r>
        <w:rPr>
          <w:rFonts w:ascii="Courier New" w:cs="Courier New" w:eastAsia="Courier New" w:hAnsi="Courier New"/>
          <w:sz w:val="18"/>
          <w:szCs w:val="18"/>
          <w:color w:val="auto"/>
        </w:rPr>
        <w:t>Eric D. Roiter</w:t>
      </w:r>
    </w:p>
    <w:p>
      <w:pPr>
        <w:ind w:left="860"/>
        <w:spacing w:after="0"/>
        <w:rPr>
          <w:sz w:val="20"/>
          <w:szCs w:val="20"/>
          <w:color w:val="auto"/>
        </w:rPr>
      </w:pPr>
      <w:r>
        <w:rPr>
          <w:rFonts w:ascii="Courier New" w:cs="Courier New" w:eastAsia="Courier New" w:hAnsi="Courier New"/>
          <w:sz w:val="18"/>
          <w:szCs w:val="18"/>
          <w:color w:val="auto"/>
        </w:rPr>
        <w:t>Senior V.P. and General Counsel</w:t>
      </w:r>
    </w:p>
    <w:sectPr>
      <w:pgSz w:w="11900" w:h="16838" w:orient="portrait"/>
      <w:cols w:equalWidth="0" w:num="1">
        <w:col w:w="10219"/>
      </w:cols>
      <w:pgMar w:left="24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3"/>
    </w:lvl>
  </w:abstractNum>
  <w:abstractNum w:abstractNumId="1">
    <w:nsid w:val="19495CFF"/>
    <w:multiLevelType w:val="hybridMultilevel"/>
    <w:lvl w:ilvl="0">
      <w:lvlJc w:val="left"/>
      <w:lvlText w:val="(%1)"/>
      <w:numFmt w:val="lowerRoman"/>
      <w:start w:val="2"/>
    </w:lvl>
  </w:abstractNum>
  <w:abstractNum w:abstractNumId="2">
    <w:nsid w:val="2AE8944A"/>
    <w:multiLevelType w:val="hybridMultilevel"/>
    <w:lvl w:ilvl="0">
      <w:lvlJc w:val="left"/>
      <w:lvlText w:val="(%1)"/>
      <w:numFmt w:val="lowerRoman"/>
      <w:start w:val="3"/>
    </w:lvl>
  </w:abstractNum>
  <w:abstractNum w:abstractNumId="3">
    <w:nsid w:val="625558EC"/>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2019-12-13T08:11:41Z</dcterms:created>
  <dcterms:modified xsi:type="dcterms:W3CDTF">2019-12-13T08:11:41Z</dcterms:modified>
</cp:coreProperties>
</file>