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96"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58"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30" w:lineRule="exact"/>
        <w:rPr>
          <w:sz w:val="24"/>
          <w:szCs w:val="24"/>
          <w:color w:val="auto"/>
        </w:rPr>
      </w:pPr>
    </w:p>
    <w:p>
      <w:pPr>
        <w:ind w:left="38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 the quarterly period ended May 30, 2020</w:t>
      </w:r>
    </w:p>
    <w:p>
      <w:pPr>
        <w:spacing w:after="0" w:line="59" w:lineRule="exact"/>
        <w:rPr>
          <w:sz w:val="24"/>
          <w:szCs w:val="24"/>
          <w:color w:val="auto"/>
        </w:rPr>
      </w:pPr>
    </w:p>
    <w:p>
      <w:pPr>
        <w:ind w:left="2860"/>
        <w:spacing w:after="0"/>
        <w:rPr>
          <w:sz w:val="20"/>
          <w:szCs w:val="20"/>
          <w:color w:val="auto"/>
        </w:rPr>
      </w:pPr>
      <w:r>
        <w:rPr>
          <w:rFonts w:ascii="Arial" w:cs="Arial" w:eastAsia="Arial" w:hAnsi="Arial"/>
          <w:sz w:val="16"/>
          <w:szCs w:val="16"/>
          <w:color w:val="auto"/>
        </w:rPr>
        <w:t>or</w:t>
      </w:r>
    </w:p>
    <w:p>
      <w:pPr>
        <w:spacing w:after="0" w:line="93" w:lineRule="exact"/>
        <w:rPr>
          <w:sz w:val="24"/>
          <w:szCs w:val="24"/>
          <w:color w:val="auto"/>
        </w:rPr>
      </w:pPr>
    </w:p>
    <w:p>
      <w:pPr>
        <w:ind w:left="2900" w:right="2680" w:hanging="2874"/>
        <w:spacing w:after="0" w:line="387" w:lineRule="auto"/>
        <w:tabs>
          <w:tab w:leader="none" w:pos="28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ind w:left="372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254635</wp:posOffset>
            </wp:positionV>
            <wp:extent cx="3025775"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2577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15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jc w:val="center"/>
              <w:ind w:right="1499"/>
              <w:spacing w:after="0"/>
              <w:rPr>
                <w:sz w:val="20"/>
                <w:szCs w:val="20"/>
                <w:color w:val="auto"/>
              </w:rPr>
            </w:pPr>
            <w:r>
              <w:rPr>
                <w:rFonts w:ascii="Arial" w:cs="Arial" w:eastAsia="Arial" w:hAnsi="Arial"/>
                <w:sz w:val="16"/>
                <w:szCs w:val="16"/>
                <w:b w:val="1"/>
                <w:bCs w:val="1"/>
                <w:color w:val="auto"/>
              </w:rPr>
              <w:t>Iowa</w:t>
            </w:r>
          </w:p>
        </w:tc>
        <w:tc>
          <w:tcPr>
            <w:tcW w:w="800" w:type="dxa"/>
            <w:vAlign w:val="bottom"/>
          </w:tcPr>
          <w:p>
            <w:pPr>
              <w:spacing w:after="0"/>
              <w:rPr>
                <w:sz w:val="19"/>
                <w:szCs w:val="19"/>
                <w:color w:val="auto"/>
              </w:rPr>
            </w:pPr>
          </w:p>
        </w:tc>
        <w:tc>
          <w:tcPr>
            <w:tcW w:w="5760" w:type="dxa"/>
            <w:vAlign w:val="bottom"/>
            <w:tcBorders>
              <w:bottom w:val="single" w:sz="8" w:color="auto"/>
            </w:tcBorders>
          </w:tcPr>
          <w:p>
            <w:pPr>
              <w:jc w:val="right"/>
              <w:ind w:right="2359"/>
              <w:spacing w:after="0"/>
              <w:rPr>
                <w:sz w:val="20"/>
                <w:szCs w:val="20"/>
                <w:color w:val="auto"/>
              </w:rPr>
            </w:pPr>
            <w:r>
              <w:rPr>
                <w:rFonts w:ascii="Arial" w:cs="Arial" w:eastAsia="Arial" w:hAnsi="Arial"/>
                <w:sz w:val="16"/>
                <w:szCs w:val="16"/>
                <w:b w:val="1"/>
                <w:bCs w:val="1"/>
                <w:color w:val="auto"/>
              </w:rPr>
              <w:t>42-0802678</w:t>
            </w:r>
          </w:p>
        </w:tc>
      </w:tr>
      <w:tr>
        <w:trPr>
          <w:trHeight w:val="223"/>
        </w:trPr>
        <w:tc>
          <w:tcPr>
            <w:tcW w:w="5480" w:type="dxa"/>
            <w:vAlign w:val="bottom"/>
            <w:gridSpan w:val="3"/>
          </w:tcPr>
          <w:p>
            <w:pPr>
              <w:jc w:val="center"/>
              <w:ind w:right="780"/>
              <w:spacing w:after="0"/>
              <w:rPr>
                <w:sz w:val="20"/>
                <w:szCs w:val="20"/>
                <w:color w:val="auto"/>
              </w:rPr>
            </w:pPr>
            <w:r>
              <w:rPr>
                <w:rFonts w:ascii="Arial" w:cs="Arial" w:eastAsia="Arial" w:hAnsi="Arial"/>
                <w:sz w:val="16"/>
                <w:szCs w:val="16"/>
                <w:color w:val="auto"/>
              </w:rPr>
              <w:t>(State or other jurisdiction of incorporation or organization)</w:t>
            </w:r>
          </w:p>
        </w:tc>
        <w:tc>
          <w:tcPr>
            <w:tcW w:w="57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13"/>
        </w:trPr>
        <w:tc>
          <w:tcPr>
            <w:tcW w:w="15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P. O. Box 152</w:t>
            </w:r>
          </w:p>
        </w:tc>
        <w:tc>
          <w:tcPr>
            <w:tcW w:w="31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Forest City   Iowa</w:t>
            </w:r>
          </w:p>
        </w:tc>
        <w:tc>
          <w:tcPr>
            <w:tcW w:w="800" w:type="dxa"/>
            <w:vAlign w:val="bottom"/>
          </w:tcPr>
          <w:p>
            <w:pPr>
              <w:spacing w:after="0"/>
              <w:rPr>
                <w:sz w:val="24"/>
                <w:szCs w:val="24"/>
                <w:color w:val="auto"/>
              </w:rPr>
            </w:pPr>
          </w:p>
        </w:tc>
        <w:tc>
          <w:tcPr>
            <w:tcW w:w="5760" w:type="dxa"/>
            <w:vAlign w:val="bottom"/>
            <w:tcBorders>
              <w:bottom w:val="single" w:sz="8" w:color="auto"/>
            </w:tcBorders>
          </w:tcPr>
          <w:p>
            <w:pPr>
              <w:jc w:val="right"/>
              <w:ind w:right="2579"/>
              <w:spacing w:after="0"/>
              <w:rPr>
                <w:sz w:val="20"/>
                <w:szCs w:val="20"/>
                <w:color w:val="auto"/>
              </w:rPr>
            </w:pPr>
            <w:r>
              <w:rPr>
                <w:rFonts w:ascii="Arial" w:cs="Arial" w:eastAsia="Arial" w:hAnsi="Arial"/>
                <w:sz w:val="16"/>
                <w:szCs w:val="16"/>
                <w:b w:val="1"/>
                <w:bCs w:val="1"/>
                <w:color w:val="auto"/>
              </w:rPr>
              <w:t>50436</w:t>
            </w:r>
          </w:p>
        </w:tc>
      </w:tr>
      <w:tr>
        <w:trPr>
          <w:trHeight w:val="223"/>
        </w:trPr>
        <w:tc>
          <w:tcPr>
            <w:tcW w:w="5480" w:type="dxa"/>
            <w:vAlign w:val="bottom"/>
            <w:gridSpan w:val="3"/>
          </w:tcPr>
          <w:p>
            <w:pPr>
              <w:jc w:val="center"/>
              <w:ind w:right="800"/>
              <w:spacing w:after="0"/>
              <w:rPr>
                <w:sz w:val="20"/>
                <w:szCs w:val="20"/>
                <w:color w:val="auto"/>
              </w:rPr>
            </w:pPr>
            <w:r>
              <w:rPr>
                <w:rFonts w:ascii="Arial" w:cs="Arial" w:eastAsia="Arial" w:hAnsi="Arial"/>
                <w:sz w:val="16"/>
                <w:szCs w:val="16"/>
                <w:color w:val="auto"/>
              </w:rPr>
              <w:t>(Address of principal executive offices)</w:t>
            </w:r>
          </w:p>
        </w:tc>
        <w:tc>
          <w:tcPr>
            <w:tcW w:w="57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44" w:lineRule="exact"/>
        <w:rPr>
          <w:sz w:val="24"/>
          <w:szCs w:val="24"/>
          <w:color w:val="auto"/>
        </w:rPr>
      </w:pPr>
    </w:p>
    <w:p>
      <w:pPr>
        <w:ind w:left="4800"/>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31750</wp:posOffset>
            </wp:positionV>
            <wp:extent cx="3488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9"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(Registrant's telephone number, including area code)</w:t>
      </w:r>
    </w:p>
    <w:p>
      <w:pPr>
        <w:spacing w:after="0" w:line="3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6"/>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53" w:lineRule="exact"/>
        <w:rPr>
          <w:sz w:val="24"/>
          <w:szCs w:val="24"/>
          <w:color w:val="auto"/>
        </w:rPr>
      </w:pPr>
    </w:p>
    <w:p>
      <w:pPr>
        <w:jc w:val="both"/>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20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43"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par value $0.50 per share, outstanding on June 19, 2020 was 33,699,082.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 w:type="dxa"/>
            <w:vAlign w:val="bottom"/>
          </w:tcPr>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PART I.</w:t>
              </w:r>
            </w:hyperlink>
          </w:p>
        </w:tc>
        <w:tc>
          <w:tcPr>
            <w:tcW w:w="8400" w:type="dxa"/>
            <w:vAlign w:val="bottom"/>
          </w:tcPr>
          <w:p>
            <w:pPr>
              <w:ind w:left="160"/>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u w:val="single" w:color="auto"/>
                  <w:color w:val="0000FF"/>
                </w:rPr>
                <w:t>FINANCIAL INFORMATION</w:t>
              </w:r>
              <w:r>
                <w:rPr>
                  <w:rFonts w:ascii="Arial" w:cs="Arial" w:eastAsia="Arial" w:hAnsi="Arial"/>
                  <w:sz w:val="16"/>
                  <w:szCs w:val="16"/>
                  <w:b w:val="1"/>
                  <w:bCs w:val="1"/>
                  <w:color w:val="0000FF"/>
                </w:rPr>
                <w:t>.</w:t>
              </w:r>
            </w:hyperlink>
          </w:p>
        </w:tc>
        <w:tc>
          <w:tcPr>
            <w:tcW w:w="2020" w:type="dxa"/>
            <w:vAlign w:val="bottom"/>
          </w:tcPr>
          <w:p>
            <w:pPr>
              <w:jc w:val="right"/>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3</w:t>
              </w:r>
            </w:hyperlink>
          </w:p>
        </w:tc>
      </w:tr>
      <w:tr>
        <w:trPr>
          <w:trHeight w:val="216"/>
        </w:trPr>
        <w:tc>
          <w:tcPr>
            <w:tcW w:w="780" w:type="dxa"/>
            <w:vAlign w:val="bottom"/>
          </w:tcPr>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Item 1.</w:t>
              </w:r>
            </w:hyperlink>
          </w:p>
        </w:tc>
        <w:tc>
          <w:tcPr>
            <w:tcW w:w="8400" w:type="dxa"/>
            <w:vAlign w:val="bottom"/>
          </w:tcPr>
          <w:p>
            <w:pPr>
              <w:ind w:left="16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Condensed Consolidated Financial Statements.</w:t>
              </w:r>
            </w:hyperlink>
          </w:p>
        </w:tc>
        <w:tc>
          <w:tcPr>
            <w:tcW w:w="2020" w:type="dxa"/>
            <w:vAlign w:val="bottom"/>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3</w:t>
              </w:r>
            </w:hyperlink>
          </w:p>
        </w:tc>
      </w:tr>
      <w:tr>
        <w:trPr>
          <w:trHeight w:val="216"/>
        </w:trPr>
        <w:tc>
          <w:tcPr>
            <w:tcW w:w="780" w:type="dxa"/>
            <w:vAlign w:val="bottom"/>
          </w:tcPr>
          <w:p>
            <w:pPr>
              <w:spacing w:after="0"/>
              <w:rPr>
                <w:sz w:val="18"/>
                <w:szCs w:val="18"/>
                <w:color w:val="auto"/>
              </w:rPr>
            </w:pPr>
          </w:p>
        </w:tc>
        <w:tc>
          <w:tcPr>
            <w:tcW w:w="8400" w:type="dxa"/>
            <w:vAlign w:val="bottom"/>
          </w:tcPr>
          <w:p>
            <w:pPr>
              <w:ind w:left="36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Condensed Consolidated Statements of Income and Comprehensive Income</w:t>
              </w:r>
            </w:hyperlink>
          </w:p>
        </w:tc>
        <w:tc>
          <w:tcPr>
            <w:tcW w:w="2020" w:type="dxa"/>
            <w:vAlign w:val="bottom"/>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3</w:t>
              </w:r>
            </w:hyperlink>
          </w:p>
        </w:tc>
      </w:tr>
      <w:tr>
        <w:trPr>
          <w:trHeight w:val="216"/>
        </w:trPr>
        <w:tc>
          <w:tcPr>
            <w:tcW w:w="780" w:type="dxa"/>
            <w:vAlign w:val="bottom"/>
          </w:tcPr>
          <w:p>
            <w:pPr>
              <w:spacing w:after="0"/>
              <w:rPr>
                <w:sz w:val="18"/>
                <w:szCs w:val="18"/>
                <w:color w:val="auto"/>
              </w:rPr>
            </w:pPr>
          </w:p>
        </w:tc>
        <w:tc>
          <w:tcPr>
            <w:tcW w:w="8400" w:type="dxa"/>
            <w:vAlign w:val="bottom"/>
          </w:tcPr>
          <w:p>
            <w:pPr>
              <w:ind w:left="36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Condensed Consolidated Balance Sheets</w:t>
              </w:r>
            </w:hyperlink>
          </w:p>
        </w:tc>
        <w:tc>
          <w:tcPr>
            <w:tcW w:w="2020" w:type="dxa"/>
            <w:vAlign w:val="bottom"/>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4</w:t>
              </w:r>
            </w:hyperlink>
          </w:p>
        </w:tc>
      </w:tr>
      <w:tr>
        <w:trPr>
          <w:trHeight w:val="216"/>
        </w:trPr>
        <w:tc>
          <w:tcPr>
            <w:tcW w:w="780" w:type="dxa"/>
            <w:vAlign w:val="bottom"/>
          </w:tcPr>
          <w:p>
            <w:pPr>
              <w:spacing w:after="0"/>
              <w:rPr>
                <w:sz w:val="18"/>
                <w:szCs w:val="18"/>
                <w:color w:val="auto"/>
              </w:rPr>
            </w:pPr>
          </w:p>
        </w:tc>
        <w:tc>
          <w:tcPr>
            <w:tcW w:w="8400" w:type="dxa"/>
            <w:vAlign w:val="bottom"/>
          </w:tcPr>
          <w:p>
            <w:pPr>
              <w:ind w:left="36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Condensed Consolidated Statements of Cash Flows</w:t>
              </w:r>
            </w:hyperlink>
          </w:p>
        </w:tc>
        <w:tc>
          <w:tcPr>
            <w:tcW w:w="2020" w:type="dxa"/>
            <w:vAlign w:val="bottom"/>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5</w:t>
              </w:r>
            </w:hyperlink>
          </w:p>
        </w:tc>
      </w:tr>
      <w:tr>
        <w:trPr>
          <w:trHeight w:val="216"/>
        </w:trPr>
        <w:tc>
          <w:tcPr>
            <w:tcW w:w="780" w:type="dxa"/>
            <w:vAlign w:val="bottom"/>
          </w:tcPr>
          <w:p>
            <w:pPr>
              <w:spacing w:after="0"/>
              <w:rPr>
                <w:sz w:val="18"/>
                <w:szCs w:val="18"/>
                <w:color w:val="auto"/>
              </w:rPr>
            </w:pPr>
          </w:p>
        </w:tc>
        <w:tc>
          <w:tcPr>
            <w:tcW w:w="8400" w:type="dxa"/>
            <w:vAlign w:val="bottom"/>
          </w:tcPr>
          <w:p>
            <w:pPr>
              <w:ind w:left="36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Condensed Consolidated Statements of Changes in Stockholders' Equity</w:t>
              </w:r>
            </w:hyperlink>
          </w:p>
        </w:tc>
        <w:tc>
          <w:tcPr>
            <w:tcW w:w="2020" w:type="dxa"/>
            <w:vAlign w:val="bottom"/>
          </w:tcPr>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7</w:t>
              </w:r>
            </w:hyperlink>
          </w:p>
        </w:tc>
      </w:tr>
      <w:tr>
        <w:trPr>
          <w:trHeight w:val="216"/>
        </w:trPr>
        <w:tc>
          <w:tcPr>
            <w:tcW w:w="780" w:type="dxa"/>
            <w:vAlign w:val="bottom"/>
          </w:tcPr>
          <w:p>
            <w:pPr>
              <w:spacing w:after="0"/>
              <w:rPr>
                <w:sz w:val="18"/>
                <w:szCs w:val="18"/>
                <w:color w:val="auto"/>
              </w:rPr>
            </w:pPr>
          </w:p>
        </w:tc>
        <w:tc>
          <w:tcPr>
            <w:tcW w:w="8400" w:type="dxa"/>
            <w:vAlign w:val="bottom"/>
          </w:tcPr>
          <w:p>
            <w:pPr>
              <w:ind w:left="360"/>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Notes to Condensed Consolidated Financial Statements</w:t>
              </w:r>
            </w:hyperlink>
          </w:p>
        </w:tc>
        <w:tc>
          <w:tcPr>
            <w:tcW w:w="2020" w:type="dxa"/>
            <w:vAlign w:val="bottom"/>
          </w:tcPr>
          <w:p>
            <w:pPr>
              <w:jc w:val="right"/>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9</w:t>
              </w:r>
            </w:hyperlink>
          </w:p>
        </w:tc>
      </w:tr>
      <w:tr>
        <w:trPr>
          <w:trHeight w:val="216"/>
        </w:trPr>
        <w:tc>
          <w:tcPr>
            <w:tcW w:w="780" w:type="dxa"/>
            <w:vAlign w:val="bottom"/>
          </w:tcPr>
          <w:p>
            <w:pPr>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Item 2.</w:t>
              </w:r>
            </w:hyperlink>
          </w:p>
        </w:tc>
        <w:tc>
          <w:tcPr>
            <w:tcW w:w="8400" w:type="dxa"/>
            <w:vAlign w:val="bottom"/>
          </w:tcPr>
          <w:p>
            <w:pPr>
              <w:ind w:left="16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Management's Discussion and Analysis of Financial Condition and Results of Operations.</w:t>
              </w:r>
            </w:hyperlink>
          </w:p>
        </w:tc>
        <w:tc>
          <w:tcPr>
            <w:tcW w:w="2020" w:type="dxa"/>
            <w:vAlign w:val="bottom"/>
          </w:tcPr>
          <w:p>
            <w:pPr>
              <w:jc w:val="right"/>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27</w:t>
              </w:r>
            </w:hyperlink>
          </w:p>
        </w:tc>
      </w:tr>
      <w:tr>
        <w:trPr>
          <w:trHeight w:val="216"/>
        </w:trPr>
        <w:tc>
          <w:tcPr>
            <w:tcW w:w="780" w:type="dxa"/>
            <w:vAlign w:val="bottom"/>
          </w:tcPr>
          <w:p>
            <w:pPr>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Item 3.</w:t>
              </w:r>
            </w:hyperlink>
          </w:p>
        </w:tc>
        <w:tc>
          <w:tcPr>
            <w:tcW w:w="8400" w:type="dxa"/>
            <w:vAlign w:val="bottom"/>
          </w:tcPr>
          <w:p>
            <w:pPr>
              <w:ind w:left="160"/>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Quantitative and Qualitative Disclosures About Market Risk.</w:t>
              </w:r>
            </w:hyperlink>
          </w:p>
        </w:tc>
        <w:tc>
          <w:tcPr>
            <w:tcW w:w="2020" w:type="dxa"/>
            <w:vAlign w:val="bottom"/>
          </w:tcPr>
          <w:p>
            <w:pPr>
              <w:jc w:val="right"/>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39</w:t>
              </w:r>
            </w:hyperlink>
          </w:p>
        </w:tc>
      </w:tr>
      <w:tr>
        <w:trPr>
          <w:trHeight w:val="216"/>
        </w:trPr>
        <w:tc>
          <w:tcPr>
            <w:tcW w:w="780" w:type="dxa"/>
            <w:vAlign w:val="bottom"/>
          </w:tcPr>
          <w:p>
            <w:pPr>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Item 4.</w:t>
              </w:r>
            </w:hyperlink>
          </w:p>
        </w:tc>
        <w:tc>
          <w:tcPr>
            <w:tcW w:w="8400" w:type="dxa"/>
            <w:vAlign w:val="bottom"/>
          </w:tcPr>
          <w:p>
            <w:pPr>
              <w:ind w:left="160"/>
              <w:spacing w:after="0"/>
              <w:rPr>
                <w:rFonts w:ascii="Arial" w:cs="Arial" w:eastAsia="Arial" w:hAnsi="Arial"/>
                <w:sz w:val="16"/>
                <w:szCs w:val="16"/>
                <w:color w:val="0000FF"/>
              </w:rPr>
            </w:pPr>
            <w:hyperlink w:anchor="page39">
              <w:r>
                <w:rPr>
                  <w:rFonts w:ascii="Arial" w:cs="Arial" w:eastAsia="Arial" w:hAnsi="Arial"/>
                  <w:sz w:val="16"/>
                  <w:szCs w:val="16"/>
                  <w:u w:val="single" w:color="auto"/>
                  <w:color w:val="0000FF"/>
                </w:rPr>
                <w:t>Controls and Procedures</w:t>
              </w:r>
              <w:r>
                <w:rPr>
                  <w:rFonts w:ascii="Arial" w:cs="Arial" w:eastAsia="Arial" w:hAnsi="Arial"/>
                  <w:sz w:val="16"/>
                  <w:szCs w:val="16"/>
                  <w:color w:val="0000FF"/>
                </w:rPr>
                <w:t>.</w:t>
              </w:r>
            </w:hyperlink>
          </w:p>
        </w:tc>
        <w:tc>
          <w:tcPr>
            <w:tcW w:w="2020" w:type="dxa"/>
            <w:vAlign w:val="bottom"/>
          </w:tcPr>
          <w:p>
            <w:pPr>
              <w:jc w:val="right"/>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39</w:t>
              </w:r>
            </w:hyperlink>
          </w:p>
        </w:tc>
      </w:tr>
      <w:tr>
        <w:trPr>
          <w:trHeight w:val="473"/>
        </w:trPr>
        <w:tc>
          <w:tcPr>
            <w:tcW w:w="780" w:type="dxa"/>
            <w:vAlign w:val="bottom"/>
          </w:tcPr>
          <w:p>
            <w:pPr>
              <w:spacing w:after="0"/>
              <w:rPr>
                <w:rFonts w:ascii="Arial" w:cs="Arial" w:eastAsia="Arial" w:hAnsi="Arial"/>
                <w:sz w:val="16"/>
                <w:szCs w:val="16"/>
                <w:b w:val="1"/>
                <w:bCs w:val="1"/>
                <w:color w:val="0000FF"/>
              </w:rPr>
            </w:pPr>
            <w:hyperlink w:anchor="page40">
              <w:r>
                <w:rPr>
                  <w:rFonts w:ascii="Arial" w:cs="Arial" w:eastAsia="Arial" w:hAnsi="Arial"/>
                  <w:sz w:val="16"/>
                  <w:szCs w:val="16"/>
                  <w:b w:val="1"/>
                  <w:bCs w:val="1"/>
                  <w:u w:val="single" w:color="auto"/>
                  <w:color w:val="0000FF"/>
                </w:rPr>
                <w:t>PART II</w:t>
              </w:r>
              <w:r>
                <w:rPr>
                  <w:rFonts w:ascii="Arial" w:cs="Arial" w:eastAsia="Arial" w:hAnsi="Arial"/>
                  <w:sz w:val="16"/>
                  <w:szCs w:val="16"/>
                  <w:b w:val="1"/>
                  <w:bCs w:val="1"/>
                  <w:color w:val="0000FF"/>
                </w:rPr>
                <w:t>.</w:t>
              </w:r>
            </w:hyperlink>
          </w:p>
        </w:tc>
        <w:tc>
          <w:tcPr>
            <w:tcW w:w="8400" w:type="dxa"/>
            <w:vAlign w:val="bottom"/>
          </w:tcPr>
          <w:p>
            <w:pPr>
              <w:ind w:left="160"/>
              <w:spacing w:after="0"/>
              <w:rPr>
                <w:rFonts w:ascii="Arial" w:cs="Arial" w:eastAsia="Arial" w:hAnsi="Arial"/>
                <w:sz w:val="16"/>
                <w:szCs w:val="16"/>
                <w:b w:val="1"/>
                <w:bCs w:val="1"/>
                <w:u w:val="single" w:color="auto"/>
                <w:color w:val="0000FF"/>
              </w:rPr>
            </w:pPr>
            <w:hyperlink w:anchor="page40">
              <w:r>
                <w:rPr>
                  <w:rFonts w:ascii="Arial" w:cs="Arial" w:eastAsia="Arial" w:hAnsi="Arial"/>
                  <w:sz w:val="16"/>
                  <w:szCs w:val="16"/>
                  <w:b w:val="1"/>
                  <w:bCs w:val="1"/>
                  <w:u w:val="single" w:color="auto"/>
                  <w:color w:val="0000FF"/>
                </w:rPr>
                <w:t>OTHER INFORMATION.</w:t>
              </w:r>
            </w:hyperlink>
          </w:p>
        </w:tc>
        <w:tc>
          <w:tcPr>
            <w:tcW w:w="2020" w:type="dxa"/>
            <w:vAlign w:val="bottom"/>
          </w:tcPr>
          <w:p>
            <w:pPr>
              <w:jc w:val="right"/>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41</w:t>
              </w:r>
            </w:hyperlink>
          </w:p>
        </w:tc>
      </w:tr>
      <w:tr>
        <w:trPr>
          <w:trHeight w:val="216"/>
        </w:trPr>
        <w:tc>
          <w:tcPr>
            <w:tcW w:w="780" w:type="dxa"/>
            <w:vAlign w:val="bottom"/>
          </w:tcPr>
          <w:p>
            <w:pPr>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Item 1.</w:t>
              </w:r>
            </w:hyperlink>
          </w:p>
        </w:tc>
        <w:tc>
          <w:tcPr>
            <w:tcW w:w="8400" w:type="dxa"/>
            <w:vAlign w:val="bottom"/>
          </w:tcPr>
          <w:p>
            <w:pPr>
              <w:ind w:left="160"/>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Legal Proceedings.</w:t>
              </w:r>
            </w:hyperlink>
          </w:p>
        </w:tc>
        <w:tc>
          <w:tcPr>
            <w:tcW w:w="2020" w:type="dxa"/>
            <w:vAlign w:val="bottom"/>
          </w:tcPr>
          <w:p>
            <w:pPr>
              <w:jc w:val="right"/>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41</w:t>
              </w:r>
            </w:hyperlink>
          </w:p>
        </w:tc>
      </w:tr>
      <w:tr>
        <w:trPr>
          <w:trHeight w:val="216"/>
        </w:trPr>
        <w:tc>
          <w:tcPr>
            <w:tcW w:w="780" w:type="dxa"/>
            <w:vAlign w:val="bottom"/>
          </w:tcPr>
          <w:p>
            <w:pPr>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Item 1A.</w:t>
              </w:r>
            </w:hyperlink>
          </w:p>
        </w:tc>
        <w:tc>
          <w:tcPr>
            <w:tcW w:w="8400" w:type="dxa"/>
            <w:vAlign w:val="bottom"/>
          </w:tcPr>
          <w:p>
            <w:pPr>
              <w:ind w:left="160"/>
              <w:spacing w:after="0"/>
              <w:rPr>
                <w:rFonts w:ascii="Arial" w:cs="Arial" w:eastAsia="Arial" w:hAnsi="Arial"/>
                <w:sz w:val="16"/>
                <w:szCs w:val="16"/>
                <w:color w:val="0000FF"/>
              </w:rPr>
            </w:pPr>
            <w:hyperlink w:anchor="page41">
              <w:r>
                <w:rPr>
                  <w:rFonts w:ascii="Arial" w:cs="Arial" w:eastAsia="Arial" w:hAnsi="Arial"/>
                  <w:sz w:val="16"/>
                  <w:szCs w:val="16"/>
                  <w:u w:val="single" w:color="auto"/>
                  <w:color w:val="0000FF"/>
                </w:rPr>
                <w:t>Risk Factors</w:t>
              </w:r>
              <w:r>
                <w:rPr>
                  <w:rFonts w:ascii="Arial" w:cs="Arial" w:eastAsia="Arial" w:hAnsi="Arial"/>
                  <w:sz w:val="16"/>
                  <w:szCs w:val="16"/>
                  <w:color w:val="0000FF"/>
                </w:rPr>
                <w:t>.</w:t>
              </w:r>
            </w:hyperlink>
          </w:p>
        </w:tc>
        <w:tc>
          <w:tcPr>
            <w:tcW w:w="2020" w:type="dxa"/>
            <w:vAlign w:val="bottom"/>
          </w:tcPr>
          <w:p>
            <w:pPr>
              <w:jc w:val="right"/>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41</w:t>
              </w:r>
            </w:hyperlink>
          </w:p>
        </w:tc>
      </w:tr>
      <w:tr>
        <w:trPr>
          <w:trHeight w:val="216"/>
        </w:trPr>
        <w:tc>
          <w:tcPr>
            <w:tcW w:w="780" w:type="dxa"/>
            <w:vAlign w:val="bottom"/>
          </w:tcPr>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Item 2.</w:t>
              </w:r>
            </w:hyperlink>
          </w:p>
        </w:tc>
        <w:tc>
          <w:tcPr>
            <w:tcW w:w="8400" w:type="dxa"/>
            <w:vAlign w:val="bottom"/>
          </w:tcPr>
          <w:p>
            <w:pPr>
              <w:ind w:left="16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Unregistered Sales of Equity Securities and Use of Proceeds.</w:t>
              </w:r>
            </w:hyperlink>
          </w:p>
        </w:tc>
        <w:tc>
          <w:tcPr>
            <w:tcW w:w="2020" w:type="dxa"/>
            <w:vAlign w:val="bottom"/>
          </w:tcPr>
          <w:p>
            <w:pPr>
              <w:jc w:val="right"/>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44</w:t>
              </w:r>
            </w:hyperlink>
          </w:p>
        </w:tc>
      </w:tr>
      <w:tr>
        <w:trPr>
          <w:trHeight w:val="216"/>
        </w:trPr>
        <w:tc>
          <w:tcPr>
            <w:tcW w:w="780" w:type="dxa"/>
            <w:vAlign w:val="bottom"/>
          </w:tcPr>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Item 6.</w:t>
              </w:r>
            </w:hyperlink>
          </w:p>
        </w:tc>
        <w:tc>
          <w:tcPr>
            <w:tcW w:w="8400" w:type="dxa"/>
            <w:vAlign w:val="bottom"/>
          </w:tcPr>
          <w:p>
            <w:pPr>
              <w:ind w:left="16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Exhibits.</w:t>
              </w:r>
            </w:hyperlink>
          </w:p>
        </w:tc>
        <w:tc>
          <w:tcPr>
            <w:tcW w:w="2020" w:type="dxa"/>
            <w:vAlign w:val="bottom"/>
          </w:tcPr>
          <w:p>
            <w:pPr>
              <w:jc w:val="right"/>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45</w:t>
              </w:r>
            </w:hyperlink>
          </w:p>
        </w:tc>
      </w:tr>
      <w:tr>
        <w:trPr>
          <w:trHeight w:val="473"/>
        </w:trPr>
        <w:tc>
          <w:tcPr>
            <w:tcW w:w="9180" w:type="dxa"/>
            <w:vAlign w:val="bottom"/>
            <w:gridSpan w:val="2"/>
          </w:tcPr>
          <w:p>
            <w:pPr>
              <w:spacing w:after="0"/>
              <w:rPr>
                <w:rFonts w:ascii="Arial" w:cs="Arial" w:eastAsia="Arial" w:hAnsi="Arial"/>
                <w:sz w:val="16"/>
                <w:szCs w:val="16"/>
                <w:b w:val="1"/>
                <w:bCs w:val="1"/>
                <w:u w:val="single" w:color="auto"/>
                <w:color w:val="0000FF"/>
              </w:rPr>
            </w:pPr>
            <w:hyperlink w:anchor="page45">
              <w:r>
                <w:rPr>
                  <w:rFonts w:ascii="Arial" w:cs="Arial" w:eastAsia="Arial" w:hAnsi="Arial"/>
                  <w:sz w:val="16"/>
                  <w:szCs w:val="16"/>
                  <w:b w:val="1"/>
                  <w:bCs w:val="1"/>
                  <w:u w:val="single" w:color="auto"/>
                  <w:color w:val="0000FF"/>
                </w:rPr>
                <w:t>SIGNATURES</w:t>
              </w:r>
            </w:hyperlink>
          </w:p>
        </w:tc>
        <w:tc>
          <w:tcPr>
            <w:tcW w:w="2020" w:type="dxa"/>
            <w:vAlign w:val="bottom"/>
          </w:tcPr>
          <w:p>
            <w:pPr>
              <w:jc w:val="right"/>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012"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ind w:right="5320"/>
        <w:spacing w:after="0" w:line="260" w:lineRule="auto"/>
        <w:rPr>
          <w:sz w:val="20"/>
          <w:szCs w:val="20"/>
          <w:color w:val="auto"/>
        </w:rPr>
      </w:pPr>
      <w:r>
        <w:rPr>
          <w:rFonts w:ascii="Arial" w:cs="Arial" w:eastAsia="Arial" w:hAnsi="Arial"/>
          <w:sz w:val="16"/>
          <w:szCs w:val="16"/>
          <w:b w:val="1"/>
          <w:bCs w:val="1"/>
          <w:color w:val="auto"/>
        </w:rPr>
        <w:t>Condensed Consolidated Statements of Income and Comprehensive Income (Unaudited)</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4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30,</w:t>
            </w:r>
          </w:p>
        </w:tc>
        <w:tc>
          <w:tcPr>
            <w:tcW w:w="32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25,</w:t>
            </w:r>
          </w:p>
        </w:tc>
        <w:tc>
          <w:tcPr>
            <w:tcW w:w="32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30,</w:t>
            </w:r>
          </w:p>
        </w:tc>
        <w:tc>
          <w:tcPr>
            <w:tcW w:w="320" w:type="dxa"/>
            <w:vAlign w:val="bottom"/>
          </w:tcPr>
          <w:p>
            <w:pPr>
              <w:spacing w:after="0"/>
              <w:rPr>
                <w:sz w:val="17"/>
                <w:szCs w:val="17"/>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25,</w:t>
            </w:r>
          </w:p>
        </w:tc>
      </w:tr>
      <w:tr>
        <w:trPr>
          <w:trHeight w:val="228"/>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43"/>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402,458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528,940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1,617,726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1,455,278</w:t>
            </w:r>
          </w:p>
        </w:tc>
      </w:tr>
      <w:tr>
        <w:trPr>
          <w:trHeight w:val="237"/>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370,434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442,356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1,427,307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1,231,269</w:t>
            </w:r>
          </w:p>
        </w:tc>
      </w:tr>
      <w:tr>
        <w:trPr>
          <w:trHeight w:val="23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32,024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86,584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190,419</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224,009</w:t>
            </w:r>
          </w:p>
        </w:tc>
      </w:tr>
      <w:tr>
        <w:trPr>
          <w:trHeight w:val="233"/>
        </w:trPr>
        <w:tc>
          <w:tcPr>
            <w:tcW w:w="44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33,271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35,332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126,540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106,303</w:t>
            </w:r>
          </w:p>
        </w:tc>
      </w:tr>
      <w:tr>
        <w:trPr>
          <w:trHeight w:val="24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6,926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2,278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18,514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7,204</w:t>
            </w:r>
          </w:p>
        </w:tc>
      </w:tr>
      <w:tr>
        <w:trPr>
          <w:trHeight w:val="237"/>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40,197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37,610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145,054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113,507</w:t>
            </w:r>
          </w:p>
        </w:tc>
      </w:tr>
      <w:tr>
        <w:trPr>
          <w:trHeight w:val="243"/>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 income</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(8,173)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48,974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45,365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110,502</w:t>
            </w:r>
          </w:p>
        </w:tc>
      </w:tr>
      <w:tr>
        <w:trPr>
          <w:trHeight w:val="233"/>
        </w:trPr>
        <w:tc>
          <w:tcPr>
            <w:tcW w:w="44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8,440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4,446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23,140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13,293</w:t>
            </w:r>
          </w:p>
        </w:tc>
      </w:tr>
      <w:tr>
        <w:trPr>
          <w:trHeight w:val="24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(1,330)</w:t>
            </w:r>
          </w:p>
        </w:tc>
      </w:tr>
      <w:tr>
        <w:trPr>
          <w:trHeight w:val="233"/>
        </w:trPr>
        <w:tc>
          <w:tcPr>
            <w:tcW w:w="4420" w:type="dxa"/>
            <w:vAlign w:val="bottom"/>
          </w:tcPr>
          <w:p>
            <w:pPr>
              <w:ind w:left="20"/>
              <w:spacing w:after="0"/>
              <w:rPr>
                <w:sz w:val="20"/>
                <w:szCs w:val="20"/>
                <w:color w:val="auto"/>
              </w:rPr>
            </w:pPr>
            <w:r>
              <w:rPr>
                <w:rFonts w:ascii="Arial" w:cs="Arial" w:eastAsia="Arial" w:hAnsi="Arial"/>
                <w:sz w:val="16"/>
                <w:szCs w:val="16"/>
                <w:color w:val="auto"/>
              </w:rPr>
              <w:t>(Loss) income before income taxes</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(16,539)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44,888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22,685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98,539</w:t>
            </w:r>
          </w:p>
        </w:tc>
      </w:tr>
      <w:tr>
        <w:trPr>
          <w:trHeight w:val="24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(4,186)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8,717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3,702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18,609</w:t>
            </w:r>
          </w:p>
        </w:tc>
      </w:tr>
      <w:tr>
        <w:trPr>
          <w:trHeight w:val="243"/>
        </w:trPr>
        <w:tc>
          <w:tcPr>
            <w:tcW w:w="44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(12,353)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36,171</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18,983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79,930</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4"/>
        </w:trPr>
        <w:tc>
          <w:tcPr>
            <w:tcW w:w="4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3"/>
        </w:trPr>
        <w:tc>
          <w:tcPr>
            <w:tcW w:w="4420" w:type="dxa"/>
            <w:vAlign w:val="bottom"/>
          </w:tcPr>
          <w:p>
            <w:pPr>
              <w:ind w:left="20"/>
              <w:spacing w:after="0"/>
              <w:rPr>
                <w:sz w:val="20"/>
                <w:szCs w:val="20"/>
                <w:color w:val="auto"/>
              </w:rPr>
            </w:pPr>
            <w:r>
              <w:rPr>
                <w:rFonts w:ascii="Arial" w:cs="Arial" w:eastAsia="Arial" w:hAnsi="Arial"/>
                <w:sz w:val="16"/>
                <w:szCs w:val="16"/>
                <w:color w:val="auto"/>
              </w:rPr>
              <w:t>Income (loss) income per common share:</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2.53</w:t>
            </w:r>
          </w:p>
        </w:tc>
      </w:tr>
      <w:tr>
        <w:trPr>
          <w:trHeight w:val="233"/>
        </w:trPr>
        <w:tc>
          <w:tcPr>
            <w:tcW w:w="4420" w:type="dxa"/>
            <w:vAlign w:val="bottom"/>
          </w:tcPr>
          <w:p>
            <w:pPr>
              <w:ind w:left="20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2.52</w:t>
            </w:r>
          </w:p>
        </w:tc>
      </w:tr>
      <w:tr>
        <w:trPr>
          <w:trHeight w:val="266"/>
        </w:trPr>
        <w:tc>
          <w:tcPr>
            <w:tcW w:w="44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3"/>
        </w:trPr>
        <w:tc>
          <w:tcPr>
            <w:tcW w:w="44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33,625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31,493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33,102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31,546</w:t>
            </w:r>
          </w:p>
        </w:tc>
      </w:tr>
      <w:tr>
        <w:trPr>
          <w:trHeight w:val="233"/>
        </w:trPr>
        <w:tc>
          <w:tcPr>
            <w:tcW w:w="4420" w:type="dxa"/>
            <w:vAlign w:val="bottom"/>
          </w:tcPr>
          <w:p>
            <w:pPr>
              <w:ind w:left="20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33,625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31,644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33,289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31,722</w:t>
            </w:r>
          </w:p>
        </w:tc>
      </w:tr>
      <w:tr>
        <w:trPr>
          <w:trHeight w:val="266"/>
        </w:trPr>
        <w:tc>
          <w:tcPr>
            <w:tcW w:w="44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bl>
    <w:p>
      <w:pPr>
        <w:spacing w:after="0" w:line="29" w:lineRule="exact"/>
        <w:rPr>
          <w:sz w:val="20"/>
          <w:szCs w:val="20"/>
          <w:color w:val="auto"/>
        </w:rPr>
      </w:pPr>
    </w:p>
    <w:p>
      <w:pPr>
        <w:sectPr>
          <w:pgSz w:w="11900" w:h="16838" w:orient="portrait"/>
          <w:cols w:equalWidth="0" w:num="1">
            <w:col w:w="11220"/>
          </w:cols>
          <w:pgMar w:left="320" w:top="141" w:right="359" w:bottom="1440" w:gutter="0" w:footer="0" w:header="0"/>
        </w:sectPr>
      </w:pPr>
    </w:p>
    <w:p>
      <w:pPr>
        <w:ind w:left="40"/>
        <w:spacing w:after="0"/>
        <w:tabs>
          <w:tab w:leader="none" w:pos="4440" w:val="left"/>
        </w:tabs>
        <w:rPr>
          <w:sz w:val="20"/>
          <w:szCs w:val="20"/>
          <w:color w:val="auto"/>
        </w:rPr>
      </w:pPr>
      <w:r>
        <w:rPr>
          <w:rFonts w:ascii="Arial" w:cs="Arial" w:eastAsia="Arial" w:hAnsi="Arial"/>
          <w:sz w:val="16"/>
          <w:szCs w:val="16"/>
          <w:color w:val="auto"/>
        </w:rPr>
        <w:t>Net (loss) income</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(loss):</w:t>
      </w:r>
    </w:p>
    <w:p>
      <w:pPr>
        <w:spacing w:after="0" w:line="46" w:lineRule="exact"/>
        <w:rPr>
          <w:sz w:val="20"/>
          <w:szCs w:val="20"/>
          <w:color w:val="auto"/>
        </w:rPr>
      </w:pPr>
    </w:p>
    <w:p>
      <w:pPr>
        <w:ind w:left="240" w:right="280"/>
        <w:spacing w:after="0" w:line="232" w:lineRule="auto"/>
        <w:rPr>
          <w:sz w:val="20"/>
          <w:szCs w:val="20"/>
          <w:color w:val="auto"/>
        </w:rPr>
      </w:pPr>
      <w:r>
        <w:rPr>
          <w:rFonts w:ascii="Arial" w:cs="Arial" w:eastAsia="Arial" w:hAnsi="Arial"/>
          <w:sz w:val="16"/>
          <w:szCs w:val="16"/>
          <w:color w:val="auto"/>
        </w:rPr>
        <w:t>Amortization of net actuarial loss (net of tax of $3, $3, $9, and $8)</w:t>
      </w:r>
    </w:p>
    <w:p>
      <w:pPr>
        <w:spacing w:after="0" w:line="22" w:lineRule="exact"/>
        <w:rPr>
          <w:sz w:val="20"/>
          <w:szCs w:val="20"/>
          <w:color w:val="auto"/>
        </w:rPr>
      </w:pPr>
    </w:p>
    <w:p>
      <w:pPr>
        <w:ind w:left="240" w:right="260"/>
        <w:spacing w:after="0" w:line="232" w:lineRule="auto"/>
        <w:rPr>
          <w:sz w:val="20"/>
          <w:szCs w:val="20"/>
          <w:color w:val="auto"/>
        </w:rPr>
      </w:pPr>
      <w:r>
        <w:rPr>
          <w:rFonts w:ascii="Arial" w:cs="Arial" w:eastAsia="Arial" w:hAnsi="Arial"/>
          <w:sz w:val="16"/>
          <w:szCs w:val="16"/>
          <w:color w:val="auto"/>
        </w:rPr>
        <w:t>Interest rate swap activity (net of tax of $141, $114, $163, and $327)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720" w:type="dxa"/>
            <w:vAlign w:val="bottom"/>
          </w:tcPr>
          <w:p>
            <w:pPr>
              <w:jc w:val="right"/>
              <w:ind w:right="39"/>
              <w:spacing w:after="0"/>
              <w:rPr>
                <w:sz w:val="20"/>
                <w:szCs w:val="20"/>
                <w:color w:val="auto"/>
              </w:rPr>
            </w:pPr>
            <w:r>
              <w:rPr>
                <w:rFonts w:ascii="Arial" w:cs="Arial" w:eastAsia="Arial" w:hAnsi="Arial"/>
                <w:sz w:val="16"/>
                <w:szCs w:val="16"/>
                <w:color w:val="auto"/>
                <w:w w:val="97"/>
              </w:rPr>
              <w:t>(12,353)</w:t>
            </w:r>
          </w:p>
        </w:tc>
        <w:tc>
          <w:tcPr>
            <w:tcW w:w="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36,171</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18,983</w:t>
            </w:r>
          </w:p>
        </w:tc>
        <w:tc>
          <w:tcPr>
            <w:tcW w:w="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79,930</w:t>
            </w:r>
          </w:p>
        </w:tc>
      </w:tr>
      <w:tr>
        <w:trPr>
          <w:trHeight w:val="621"/>
        </w:trPr>
        <w:tc>
          <w:tcPr>
            <w:tcW w:w="72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64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64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78"/>
        </w:trPr>
        <w:tc>
          <w:tcPr>
            <w:tcW w:w="720" w:type="dxa"/>
            <w:vAlign w:val="bottom"/>
          </w:tcPr>
          <w:p>
            <w:pPr>
              <w:jc w:val="right"/>
              <w:ind w:right="39"/>
              <w:spacing w:after="0"/>
              <w:rPr>
                <w:sz w:val="20"/>
                <w:szCs w:val="20"/>
                <w:color w:val="auto"/>
              </w:rPr>
            </w:pPr>
            <w:r>
              <w:rPr>
                <w:rFonts w:ascii="Arial" w:cs="Arial" w:eastAsia="Arial" w:hAnsi="Arial"/>
                <w:sz w:val="16"/>
                <w:szCs w:val="16"/>
                <w:color w:val="auto"/>
              </w:rPr>
              <w:t>(432)</w:t>
            </w:r>
          </w:p>
        </w:tc>
        <w:tc>
          <w:tcPr>
            <w:tcW w:w="6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64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-621665</wp:posOffset>
            </wp:positionV>
            <wp:extent cx="7115175"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-226695</wp:posOffset>
            </wp:positionV>
            <wp:extent cx="7115175" cy="248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248285"/>
                    </a:xfrm>
                    <a:prstGeom prst="rect">
                      <a:avLst/>
                    </a:prstGeom>
                    <a:noFill/>
                  </pic:spPr>
                </pic:pic>
              </a:graphicData>
            </a:graphic>
          </wp:anchor>
        </w:drawing>
      </w:r>
    </w:p>
    <w:p>
      <w:pPr>
        <w:spacing w:after="0" w:line="61" w:lineRule="exact"/>
        <w:rPr>
          <w:sz w:val="20"/>
          <w:szCs w:val="20"/>
          <w:color w:val="auto"/>
        </w:rPr>
      </w:pPr>
    </w:p>
    <w:p>
      <w:pPr>
        <w:sectPr>
          <w:pgSz w:w="11900" w:h="16838" w:orient="portrait"/>
          <w:cols w:equalWidth="0" w:num="2">
            <w:col w:w="4620" w:space="720"/>
            <w:col w:w="5880"/>
          </w:cols>
          <w:pgMar w:left="320" w:top="141" w:right="359" w:bottom="1440" w:gutter="0" w:footer="0" w:header="0"/>
          <w:type w:val="continuous"/>
        </w:sectPr>
      </w:pPr>
    </w:p>
    <w:tbl>
      <w:tblPr>
        <w:tblLayout w:type="fixed"/>
        <w:tblInd w:w="20" w:type="dxa"/>
        <w:tblCellMar>
          <w:top w:w="0" w:type="dxa"/>
          <w:left w:w="0" w:type="dxa"/>
          <w:bottom w:w="0" w:type="dxa"/>
          <w:right w:w="0" w:type="dxa"/>
        </w:tblCellMar>
      </w:tblPr>
      <w:tr>
        <w:trPr>
          <w:trHeight w:val="208"/>
        </w:trPr>
        <w:tc>
          <w:tcPr>
            <w:tcW w:w="44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other comprehensive loss</w:t>
            </w: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(994)</w:t>
            </w:r>
          </w:p>
        </w:tc>
      </w:tr>
      <w:tr>
        <w:trPr>
          <w:trHeight w:val="26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income</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(12,777)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35,817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18,507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78,936</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30,</w:t>
            </w:r>
          </w:p>
        </w:tc>
        <w:tc>
          <w:tcPr>
            <w:tcW w:w="26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4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152,480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37,431</w:t>
            </w:r>
          </w:p>
        </w:tc>
      </w:tr>
      <w:tr>
        <w:trPr>
          <w:trHeight w:val="240"/>
        </w:trPr>
        <w:tc>
          <w:tcPr>
            <w:tcW w:w="7900" w:type="dxa"/>
            <w:vAlign w:val="bottom"/>
          </w:tcPr>
          <w:p>
            <w:pPr>
              <w:ind w:left="140"/>
              <w:spacing w:after="0"/>
              <w:rPr>
                <w:sz w:val="20"/>
                <w:szCs w:val="20"/>
                <w:color w:val="auto"/>
              </w:rPr>
            </w:pPr>
            <w:r>
              <w:rPr>
                <w:rFonts w:ascii="Arial" w:cs="Arial" w:eastAsia="Arial" w:hAnsi="Arial"/>
                <w:sz w:val="16"/>
                <w:szCs w:val="16"/>
                <w:color w:val="auto"/>
              </w:rPr>
              <w:t>Receivables, less allowance for doubtful accounts ($381 and $160, respectively)</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163,590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158,049</w:t>
            </w:r>
          </w:p>
        </w:tc>
      </w:tr>
      <w:tr>
        <w:trPr>
          <w:trHeight w:val="246"/>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Inventories, net</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190,359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201,126</w:t>
            </w:r>
          </w:p>
        </w:tc>
      </w:tr>
      <w:tr>
        <w:trPr>
          <w:trHeight w:val="237"/>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21,566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14,051</w:t>
            </w:r>
          </w:p>
        </w:tc>
      </w:tr>
      <w:tr>
        <w:trPr>
          <w:trHeight w:val="237"/>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527,995</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410,657</w:t>
            </w: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175,431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127,572</w:t>
            </w:r>
          </w:p>
        </w:tc>
      </w:tr>
      <w:tr>
        <w:trPr>
          <w:trHeight w:val="25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3"/>
        </w:trPr>
        <w:tc>
          <w:tcPr>
            <w:tcW w:w="7900" w:type="dxa"/>
            <w:vAlign w:val="bottom"/>
          </w:tcPr>
          <w:p>
            <w:pPr>
              <w:ind w:left="1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348,058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274,931</w:t>
            </w:r>
          </w:p>
        </w:tc>
      </w:tr>
      <w:tr>
        <w:trPr>
          <w:trHeight w:val="25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intangible assets, net</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408,358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256,082</w:t>
            </w:r>
          </w:p>
        </w:tc>
      </w:tr>
      <w:tr>
        <w:trPr>
          <w:trHeight w:val="233"/>
        </w:trPr>
        <w:tc>
          <w:tcPr>
            <w:tcW w:w="7900" w:type="dxa"/>
            <w:vAlign w:val="bottom"/>
          </w:tcPr>
          <w:p>
            <w:pPr>
              <w:ind w:left="120"/>
              <w:spacing w:after="0"/>
              <w:rPr>
                <w:sz w:val="20"/>
                <w:szCs w:val="20"/>
                <w:color w:val="auto"/>
              </w:rPr>
            </w:pPr>
            <w:r>
              <w:rPr>
                <w:rFonts w:ascii="Arial" w:cs="Arial" w:eastAsia="Arial" w:hAnsi="Arial"/>
                <w:sz w:val="16"/>
                <w:szCs w:val="16"/>
                <w:color w:val="auto"/>
              </w:rPr>
              <w:t>Investment in life insurance</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27,336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26,846</w:t>
            </w:r>
          </w:p>
        </w:tc>
      </w:tr>
      <w:tr>
        <w:trPr>
          <w:trHeight w:val="25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assets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29,790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16,072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8,143</w:t>
            </w:r>
          </w:p>
        </w:tc>
      </w:tr>
      <w:tr>
        <w:trPr>
          <w:trHeight w:val="26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1,533,040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1,104,231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4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81,998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81,635</w:t>
            </w:r>
          </w:p>
        </w:tc>
      </w:tr>
      <w:tr>
        <w:trPr>
          <w:trHeight w:val="233"/>
        </w:trPr>
        <w:tc>
          <w:tcPr>
            <w:tcW w:w="7900" w:type="dxa"/>
            <w:vAlign w:val="bottom"/>
          </w:tcPr>
          <w:p>
            <w:pPr>
              <w:ind w:left="120"/>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24,907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20,328</w:t>
            </w:r>
          </w:p>
        </w:tc>
      </w:tr>
      <w:tr>
        <w:trPr>
          <w:trHeight w:val="233"/>
        </w:trPr>
        <w:tc>
          <w:tcPr>
            <w:tcW w:w="7900" w:type="dxa"/>
            <w:vAlign w:val="bottom"/>
          </w:tcPr>
          <w:p>
            <w:pPr>
              <w:ind w:left="220"/>
              <w:spacing w:after="0"/>
              <w:rPr>
                <w:sz w:val="20"/>
                <w:szCs w:val="20"/>
                <w:color w:val="auto"/>
              </w:rPr>
            </w:pPr>
            <w:r>
              <w:rPr>
                <w:rFonts w:ascii="Arial" w:cs="Arial" w:eastAsia="Arial" w:hAnsi="Arial"/>
                <w:sz w:val="16"/>
                <w:szCs w:val="16"/>
                <w:color w:val="auto"/>
              </w:rPr>
              <w:t>Product warranties</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60,665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44,436</w:t>
            </w:r>
          </w:p>
        </w:tc>
      </w:tr>
      <w:tr>
        <w:trPr>
          <w:trHeight w:val="25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Self-insurance</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16,860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13,820</w:t>
            </w:r>
          </w:p>
        </w:tc>
      </w:tr>
      <w:tr>
        <w:trPr>
          <w:trHeight w:val="233"/>
        </w:trPr>
        <w:tc>
          <w:tcPr>
            <w:tcW w:w="7900" w:type="dxa"/>
            <w:vAlign w:val="bottom"/>
          </w:tcPr>
          <w:p>
            <w:pPr>
              <w:ind w:left="220"/>
              <w:spacing w:after="0"/>
              <w:rPr>
                <w:sz w:val="20"/>
                <w:szCs w:val="20"/>
                <w:color w:val="auto"/>
              </w:rPr>
            </w:pPr>
            <w:r>
              <w:rPr>
                <w:rFonts w:ascii="Arial" w:cs="Arial" w:eastAsia="Arial" w:hAnsi="Arial"/>
                <w:sz w:val="16"/>
                <w:szCs w:val="16"/>
                <w:color w:val="auto"/>
              </w:rPr>
              <w:t>Promotional</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11,677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10,896</w:t>
            </w:r>
          </w:p>
        </w:tc>
      </w:tr>
      <w:tr>
        <w:trPr>
          <w:trHeight w:val="25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4,059</w:t>
            </w:r>
          </w:p>
        </w:tc>
      </w:tr>
      <w:tr>
        <w:trPr>
          <w:trHeight w:val="233"/>
        </w:trPr>
        <w:tc>
          <w:tcPr>
            <w:tcW w:w="7900" w:type="dxa"/>
            <w:vAlign w:val="bottom"/>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16,408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13,678</w:t>
            </w:r>
          </w:p>
        </w:tc>
      </w:tr>
      <w:tr>
        <w:trPr>
          <w:trHeight w:val="246"/>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13,668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8,892</w:t>
            </w:r>
          </w:p>
        </w:tc>
      </w:tr>
      <w:tr>
        <w:trPr>
          <w:trHeight w:val="236"/>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228,175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197,744</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3"/>
        </w:trPr>
        <w:tc>
          <w:tcPr>
            <w:tcW w:w="7900" w:type="dxa"/>
            <w:vAlign w:val="bottom"/>
          </w:tcPr>
          <w:p>
            <w:pPr>
              <w:ind w:left="120"/>
              <w:spacing w:after="0"/>
              <w:rPr>
                <w:sz w:val="20"/>
                <w:szCs w:val="20"/>
                <w:color w:val="auto"/>
              </w:rPr>
            </w:pPr>
            <w:r>
              <w:rPr>
                <w:rFonts w:ascii="Arial" w:cs="Arial" w:eastAsia="Arial" w:hAnsi="Arial"/>
                <w:sz w:val="16"/>
                <w:szCs w:val="16"/>
                <w:color w:val="auto"/>
              </w:rPr>
              <w:t>Long-term debt, less current maturities</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451,306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245,402</w:t>
            </w:r>
          </w:p>
        </w:tc>
      </w:tr>
      <w:tr>
        <w:trPr>
          <w:trHeight w:val="25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16,708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12,032</w:t>
            </w:r>
          </w:p>
        </w:tc>
      </w:tr>
      <w:tr>
        <w:trPr>
          <w:trHeight w:val="233"/>
        </w:trPr>
        <w:tc>
          <w:tcPr>
            <w:tcW w:w="7900" w:type="dxa"/>
            <w:vAlign w:val="bottom"/>
          </w:tcPr>
          <w:p>
            <w:pPr>
              <w:ind w:left="120"/>
              <w:spacing w:after="0"/>
              <w:rPr>
                <w:sz w:val="20"/>
                <w:szCs w:val="20"/>
                <w:color w:val="auto"/>
              </w:rPr>
            </w:pPr>
            <w:r>
              <w:rPr>
                <w:rFonts w:ascii="Arial" w:cs="Arial" w:eastAsia="Arial" w:hAnsi="Arial"/>
                <w:sz w:val="16"/>
                <w:szCs w:val="16"/>
                <w:color w:val="auto"/>
              </w:rPr>
              <w:t>Unrecognized tax benefits</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6,269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3,591</w:t>
            </w:r>
          </w:p>
        </w:tc>
      </w:tr>
      <w:tr>
        <w:trPr>
          <w:trHeight w:val="25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27,366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900" w:type="dxa"/>
            <w:vAlign w:val="bottom"/>
          </w:tcPr>
          <w:p>
            <w:pPr>
              <w:ind w:left="120"/>
              <w:spacing w:after="0"/>
              <w:rPr>
                <w:sz w:val="20"/>
                <w:szCs w:val="20"/>
                <w:color w:val="auto"/>
              </w:rPr>
            </w:pPr>
            <w:r>
              <w:rPr>
                <w:rFonts w:ascii="Arial" w:cs="Arial" w:eastAsia="Arial" w:hAnsi="Arial"/>
                <w:sz w:val="16"/>
                <w:szCs w:val="16"/>
                <w:color w:val="auto"/>
              </w:rPr>
              <w:t>Deferred compensation benefits, net of current portion</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11,454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12,878</w:t>
            </w:r>
          </w:p>
        </w:tc>
      </w:tr>
      <w:tr>
        <w:trPr>
          <w:trHeight w:val="246"/>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6,952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372</w:t>
            </w:r>
          </w:p>
        </w:tc>
      </w:tr>
      <w:tr>
        <w:trPr>
          <w:trHeight w:val="237"/>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non-current liabilities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520,055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274,275</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liabilities and commitments (Note 12)</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par value $0.01: Authorized-10,000 shares; Issued-zero</w:t>
            </w: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40"/>
        </w:trPr>
        <w:tc>
          <w:tcPr>
            <w:tcW w:w="7900" w:type="dxa"/>
            <w:vAlign w:val="bottom"/>
          </w:tcPr>
          <w:p>
            <w:pPr>
              <w:ind w:left="140"/>
              <w:spacing w:after="0"/>
              <w:rPr>
                <w:sz w:val="20"/>
                <w:szCs w:val="20"/>
                <w:color w:val="auto"/>
              </w:rPr>
            </w:pPr>
            <w:r>
              <w:rPr>
                <w:rFonts w:ascii="Arial" w:cs="Arial" w:eastAsia="Arial" w:hAnsi="Arial"/>
                <w:sz w:val="16"/>
                <w:szCs w:val="16"/>
                <w:color w:val="auto"/>
              </w:rPr>
              <w:t>Common stock, par value $0.50: Authorized-60,000 shares; Issued-51,776 shares</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25,888</w:t>
            </w:r>
          </w:p>
        </w:tc>
      </w:tr>
      <w:tr>
        <w:trPr>
          <w:trHeight w:val="246"/>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200,456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91,185</w:t>
            </w:r>
          </w:p>
        </w:tc>
      </w:tr>
      <w:tr>
        <w:trPr>
          <w:trHeight w:val="233"/>
        </w:trPr>
        <w:tc>
          <w:tcPr>
            <w:tcW w:w="790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874,911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866,886</w:t>
            </w:r>
          </w:p>
        </w:tc>
      </w:tr>
      <w:tr>
        <w:trPr>
          <w:trHeight w:val="25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(491)</w:t>
            </w:r>
          </w:p>
        </w:tc>
      </w:tr>
      <w:tr>
        <w:trPr>
          <w:trHeight w:val="240"/>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Treasury stock, at cost: 18,146 and 20,262 shares, respectively</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(315,478)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(351,256)</w:t>
            </w:r>
          </w:p>
        </w:tc>
      </w:tr>
      <w:tr>
        <w:trPr>
          <w:trHeight w:val="23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784,810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632,212</w:t>
            </w:r>
          </w:p>
        </w:tc>
      </w:tr>
      <w:tr>
        <w:trPr>
          <w:trHeight w:val="243"/>
        </w:trPr>
        <w:tc>
          <w:tcPr>
            <w:tcW w:w="79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1,533,040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1,104,231</w:t>
            </w:r>
          </w:p>
        </w:tc>
      </w:tr>
      <w:tr>
        <w:trPr>
          <w:trHeight w:val="21"/>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865"/>
        </w:trPr>
        <w:tc>
          <w:tcPr>
            <w:tcW w:w="7900" w:type="dxa"/>
            <w:vAlign w:val="bottom"/>
          </w:tcPr>
          <w:p>
            <w:pPr>
              <w:spacing w:after="0"/>
              <w:rPr>
                <w:sz w:val="20"/>
                <w:szCs w:val="20"/>
                <w:color w:val="auto"/>
              </w:rPr>
            </w:pPr>
            <w:r>
              <w:rPr>
                <w:rFonts w:ascii="Arial" w:cs="Arial" w:eastAsia="Arial" w:hAnsi="Arial"/>
                <w:sz w:val="16"/>
                <w:szCs w:val="16"/>
                <w:b w:val="1"/>
                <w:bCs w:val="1"/>
                <w:color w:val="auto"/>
              </w:rPr>
              <w:t>Winnebago Industries, Inc.</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9"/>
        </w:trPr>
        <w:tc>
          <w:tcPr>
            <w:tcW w:w="7900" w:type="dxa"/>
            <w:vAlign w:val="bottom"/>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5"/>
        </w:trPr>
        <w:tc>
          <w:tcPr>
            <w:tcW w:w="7900" w:type="dxa"/>
            <w:vAlign w:val="bottom"/>
          </w:tcPr>
          <w:p>
            <w:pPr>
              <w:spacing w:after="0"/>
              <w:rPr>
                <w:sz w:val="20"/>
                <w:szCs w:val="20"/>
                <w:color w:val="auto"/>
              </w:rPr>
            </w:pPr>
            <w:r>
              <w:rPr>
                <w:rFonts w:ascii="Arial" w:cs="Arial" w:eastAsia="Arial" w:hAnsi="Arial"/>
                <w:sz w:val="16"/>
                <w:szCs w:val="16"/>
                <w:b w:val="1"/>
                <w:bCs w:val="1"/>
                <w:color w:val="auto"/>
              </w:rPr>
              <w:t>(Unaudited)</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6"/>
        </w:trPr>
        <w:tc>
          <w:tcPr>
            <w:tcW w:w="79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7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30,</w:t>
            </w:r>
          </w:p>
        </w:tc>
        <w:tc>
          <w:tcPr>
            <w:tcW w:w="320" w:type="dxa"/>
            <w:vAlign w:val="bottom"/>
          </w:tcPr>
          <w:p>
            <w:pPr>
              <w:spacing w:after="0"/>
              <w:rPr>
                <w:sz w:val="17"/>
                <w:szCs w:val="17"/>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25,</w:t>
            </w:r>
          </w:p>
        </w:tc>
      </w:tr>
      <w:tr>
        <w:trPr>
          <w:trHeight w:val="228"/>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4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7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18,983</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79,930</w:t>
            </w:r>
          </w:p>
        </w:tc>
      </w:tr>
      <w:tr>
        <w:trPr>
          <w:trHeight w:val="25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790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11,854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9,788</w:t>
            </w:r>
          </w:p>
        </w:tc>
      </w:tr>
      <w:tr>
        <w:trPr>
          <w:trHeight w:val="25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18,514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7,204</w:t>
            </w:r>
          </w:p>
        </w:tc>
      </w:tr>
      <w:tr>
        <w:trPr>
          <w:trHeight w:val="233"/>
        </w:trPr>
        <w:tc>
          <w:tcPr>
            <w:tcW w:w="7900" w:type="dxa"/>
            <w:vAlign w:val="bottom"/>
          </w:tcPr>
          <w:p>
            <w:pPr>
              <w:ind w:left="220"/>
              <w:spacing w:after="0"/>
              <w:rPr>
                <w:sz w:val="20"/>
                <w:szCs w:val="20"/>
                <w:color w:val="auto"/>
              </w:rPr>
            </w:pPr>
            <w:r>
              <w:rPr>
                <w:rFonts w:ascii="Arial" w:cs="Arial" w:eastAsia="Arial" w:hAnsi="Arial"/>
                <w:sz w:val="16"/>
                <w:szCs w:val="16"/>
                <w:color w:val="auto"/>
              </w:rPr>
              <w:t>Non-cash interest expense, net</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7,440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2,181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1,186</w:t>
            </w:r>
          </w:p>
        </w:tc>
      </w:tr>
      <w:tr>
        <w:trPr>
          <w:trHeight w:val="233"/>
        </w:trPr>
        <w:tc>
          <w:tcPr>
            <w:tcW w:w="7900" w:type="dxa"/>
            <w:vAlign w:val="bottom"/>
          </w:tcPr>
          <w:p>
            <w:pPr>
              <w:ind w:left="220"/>
              <w:spacing w:after="0"/>
              <w:rPr>
                <w:sz w:val="20"/>
                <w:szCs w:val="20"/>
                <w:color w:val="auto"/>
              </w:rPr>
            </w:pPr>
            <w:r>
              <w:rPr>
                <w:rFonts w:ascii="Arial" w:cs="Arial" w:eastAsia="Arial" w:hAnsi="Arial"/>
                <w:sz w:val="16"/>
                <w:szCs w:val="16"/>
                <w:color w:val="auto"/>
              </w:rPr>
              <w:t>Last-in, first-out expense</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1,450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1,544</w:t>
            </w:r>
          </w:p>
        </w:tc>
      </w:tr>
      <w:tr>
        <w:trPr>
          <w:trHeight w:val="25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5,735</w:t>
            </w:r>
          </w:p>
        </w:tc>
      </w:tr>
      <w:tr>
        <w:trPr>
          <w:trHeight w:val="233"/>
        </w:trPr>
        <w:tc>
          <w:tcPr>
            <w:tcW w:w="790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362</w:t>
            </w:r>
          </w:p>
        </w:tc>
      </w:tr>
      <w:tr>
        <w:trPr>
          <w:trHeight w:val="25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1,265</w:t>
            </w:r>
          </w:p>
        </w:tc>
      </w:tr>
      <w:tr>
        <w:trPr>
          <w:trHeight w:val="233"/>
        </w:trPr>
        <w:tc>
          <w:tcPr>
            <w:tcW w:w="7900" w:type="dxa"/>
            <w:vAlign w:val="bottom"/>
          </w:tcPr>
          <w:p>
            <w:pPr>
              <w:ind w:left="120"/>
              <w:spacing w:after="0"/>
              <w:rPr>
                <w:sz w:val="20"/>
                <w:szCs w:val="20"/>
                <w:color w:val="auto"/>
              </w:rPr>
            </w:pPr>
            <w:r>
              <w:rPr>
                <w:rFonts w:ascii="Arial" w:cs="Arial" w:eastAsia="Arial" w:hAnsi="Arial"/>
                <w:sz w:val="16"/>
                <w:szCs w:val="16"/>
                <w:color w:val="auto"/>
              </w:rPr>
              <w:t>Change in assets and liabilities: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31,440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(20,961)</w:t>
            </w:r>
          </w:p>
        </w:tc>
      </w:tr>
      <w:tr>
        <w:trPr>
          <w:trHeight w:val="233"/>
        </w:trPr>
        <w:tc>
          <w:tcPr>
            <w:tcW w:w="790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91,938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2,701</w:t>
            </w:r>
          </w:p>
        </w:tc>
      </w:tr>
      <w:tr>
        <w:trPr>
          <w:trHeight w:val="25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w:t>
            </w:r>
          </w:p>
        </w:tc>
      </w:tr>
      <w:tr>
        <w:trPr>
          <w:trHeight w:val="233"/>
        </w:trPr>
        <w:tc>
          <w:tcPr>
            <w:tcW w:w="790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(13,528)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3,954</w:t>
            </w:r>
          </w:p>
        </w:tc>
      </w:tr>
      <w:tr>
        <w:trPr>
          <w:trHeight w:val="25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and unrecognized tax benefits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(2,622)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(13,898)</w:t>
            </w:r>
          </w:p>
        </w:tc>
      </w:tr>
      <w:tr>
        <w:trPr>
          <w:trHeight w:val="237"/>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(9,585)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4,692</w:t>
            </w:r>
          </w:p>
        </w:tc>
      </w:tr>
      <w:tr>
        <w:trPr>
          <w:trHeight w:val="237"/>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162,437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82,849</w:t>
            </w:r>
          </w:p>
        </w:tc>
      </w:tr>
      <w:tr>
        <w:trPr>
          <w:trHeight w:val="189"/>
        </w:trPr>
        <w:tc>
          <w:tcPr>
            <w:tcW w:w="7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7900" w:type="dxa"/>
            <w:vAlign w:val="bottom"/>
          </w:tcPr>
          <w:p>
            <w:pPr>
              <w:ind w:left="1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(28,582)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(31,681)</w:t>
            </w:r>
          </w:p>
        </w:tc>
      </w:tr>
      <w:tr>
        <w:trPr>
          <w:trHeight w:val="25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 of business, net of cash acquired</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(260,965)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r>
      <w:tr>
        <w:trPr>
          <w:trHeight w:val="233"/>
        </w:trPr>
        <w:tc>
          <w:tcPr>
            <w:tcW w:w="7900" w:type="dxa"/>
            <w:vAlign w:val="bottom"/>
          </w:tcPr>
          <w:p>
            <w:pPr>
              <w:ind w:left="120"/>
              <w:spacing w:after="0"/>
              <w:rPr>
                <w:sz w:val="20"/>
                <w:szCs w:val="20"/>
                <w:color w:val="auto"/>
              </w:rPr>
            </w:pPr>
            <w:r>
              <w:rPr>
                <w:rFonts w:ascii="Arial" w:cs="Arial" w:eastAsia="Arial" w:hAnsi="Arial"/>
                <w:sz w:val="16"/>
                <w:szCs w:val="16"/>
                <w:color w:val="auto"/>
              </w:rPr>
              <w:t>Proceeds from the sale of property</w:t>
            </w:r>
          </w:p>
        </w:tc>
        <w:tc>
          <w:tcPr>
            <w:tcW w:w="3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134</w:t>
            </w:r>
          </w:p>
        </w:tc>
      </w:tr>
      <w:tr>
        <w:trPr>
          <w:trHeight w:val="246"/>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1,752</w:t>
            </w:r>
          </w:p>
        </w:tc>
      </w:tr>
      <w:tr>
        <w:trPr>
          <w:trHeight w:val="23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(289,406)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(30,497)</w:t>
            </w:r>
          </w:p>
        </w:tc>
      </w:tr>
      <w:tr>
        <w:trPr>
          <w:trHeight w:val="189"/>
        </w:trPr>
        <w:tc>
          <w:tcPr>
            <w:tcW w:w="7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Borrowings on credit agreement</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1,495,209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342,549</w:t>
            </w:r>
          </w:p>
        </w:tc>
      </w:tr>
      <w:tr>
        <w:trPr>
          <w:trHeight w:val="233"/>
        </w:trPr>
        <w:tc>
          <w:tcPr>
            <w:tcW w:w="7900" w:type="dxa"/>
            <w:vAlign w:val="bottom"/>
          </w:tcPr>
          <w:p>
            <w:pPr>
              <w:ind w:left="120"/>
              <w:spacing w:after="0"/>
              <w:rPr>
                <w:sz w:val="20"/>
                <w:szCs w:val="20"/>
                <w:color w:val="auto"/>
              </w:rPr>
            </w:pPr>
            <w:r>
              <w:rPr>
                <w:rFonts w:ascii="Arial" w:cs="Arial" w:eastAsia="Arial" w:hAnsi="Arial"/>
                <w:sz w:val="16"/>
                <w:szCs w:val="16"/>
                <w:color w:val="auto"/>
              </w:rPr>
              <w:t>Repayments of credit agreement</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(1,495,209)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(375,438)</w:t>
            </w:r>
          </w:p>
        </w:tc>
      </w:tr>
      <w:tr>
        <w:trPr>
          <w:trHeight w:val="25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convertible senior notes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900" w:type="dxa"/>
            <w:vAlign w:val="bottom"/>
          </w:tcPr>
          <w:p>
            <w:pPr>
              <w:ind w:left="120"/>
              <w:spacing w:after="0"/>
              <w:rPr>
                <w:sz w:val="20"/>
                <w:szCs w:val="20"/>
                <w:color w:val="auto"/>
              </w:rPr>
            </w:pPr>
            <w:r>
              <w:rPr>
                <w:rFonts w:ascii="Arial" w:cs="Arial" w:eastAsia="Arial" w:hAnsi="Arial"/>
                <w:sz w:val="16"/>
                <w:szCs w:val="16"/>
                <w:color w:val="auto"/>
              </w:rPr>
              <w:t>Purchase of convertible note hedge</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(70,800)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warrants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42,210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900" w:type="dxa"/>
            <w:vAlign w:val="bottom"/>
          </w:tcPr>
          <w:p>
            <w:pPr>
              <w:ind w:left="120"/>
              <w:spacing w:after="0"/>
              <w:rPr>
                <w:sz w:val="20"/>
                <w:szCs w:val="20"/>
                <w:color w:val="auto"/>
              </w:rPr>
            </w:pPr>
            <w:r>
              <w:rPr>
                <w:rFonts w:ascii="Arial" w:cs="Arial" w:eastAsia="Arial" w:hAnsi="Arial"/>
                <w:sz w:val="16"/>
                <w:szCs w:val="16"/>
                <w:color w:val="auto"/>
              </w:rPr>
              <w:t>Payments on long-term debt</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(6,500)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offering costs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(10,761)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900" w:type="dxa"/>
            <w:vAlign w:val="bottom"/>
          </w:tcPr>
          <w:p>
            <w:pPr>
              <w:ind w:left="120"/>
              <w:spacing w:after="0"/>
              <w:rPr>
                <w:sz w:val="20"/>
                <w:szCs w:val="20"/>
                <w:color w:val="auto"/>
              </w:rPr>
            </w:pPr>
            <w:r>
              <w:rPr>
                <w:rFonts w:ascii="Arial" w:cs="Arial" w:eastAsia="Arial" w:hAnsi="Arial"/>
                <w:sz w:val="16"/>
                <w:szCs w:val="16"/>
                <w:color w:val="auto"/>
              </w:rPr>
              <w:t>Payments of cash dividends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(10,881)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(10,201)</w:t>
            </w:r>
          </w:p>
        </w:tc>
      </w:tr>
      <w:tr>
        <w:trPr>
          <w:trHeight w:val="25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for repurchase of common stock</w:t>
            </w: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(7,724)</w:t>
            </w:r>
          </w:p>
        </w:tc>
      </w:tr>
      <w:tr>
        <w:trPr>
          <w:trHeight w:val="237"/>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296</w:t>
            </w:r>
          </w:p>
        </w:tc>
      </w:tr>
      <w:tr>
        <w:trPr>
          <w:trHeight w:val="236"/>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242,018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(50,518)</w:t>
            </w:r>
          </w:p>
        </w:tc>
      </w:tr>
      <w:tr>
        <w:trPr>
          <w:trHeight w:val="243"/>
        </w:trPr>
        <w:tc>
          <w:tcPr>
            <w:tcW w:w="7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115,049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1,834</w:t>
            </w:r>
          </w:p>
        </w:tc>
      </w:tr>
      <w:tr>
        <w:trPr>
          <w:trHeight w:val="23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37,431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2,342</w:t>
            </w:r>
          </w:p>
        </w:tc>
      </w:tr>
      <w:tr>
        <w:trPr>
          <w:trHeight w:val="26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152,480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4,176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Supplement cash flow disclosure: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60" w:type="dxa"/>
            <w:vAlign w:val="bottom"/>
          </w:tcPr>
          <w:p>
            <w:pPr>
              <w:ind w:left="120"/>
              <w:spacing w:after="0"/>
              <w:rPr>
                <w:sz w:val="20"/>
                <w:szCs w:val="20"/>
                <w:color w:val="auto"/>
              </w:rPr>
            </w:pPr>
            <w:r>
              <w:rPr>
                <w:rFonts w:ascii="Arial" w:cs="Arial" w:eastAsia="Arial" w:hAnsi="Arial"/>
                <w:sz w:val="16"/>
                <w:szCs w:val="16"/>
                <w:color w:val="auto"/>
              </w:rPr>
              <w:t>Income taxes paid, net</w:t>
            </w:r>
          </w:p>
        </w:tc>
        <w:tc>
          <w:tcPr>
            <w:tcW w:w="20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6,240</w:t>
            </w:r>
          </w:p>
        </w:tc>
        <w:tc>
          <w:tcPr>
            <w:tcW w:w="6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33,852</w:t>
            </w:r>
          </w:p>
        </w:tc>
      </w:tr>
      <w:tr>
        <w:trPr>
          <w:trHeight w:val="253"/>
        </w:trPr>
        <w:tc>
          <w:tcPr>
            <w:tcW w:w="6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paid</w:t>
            </w:r>
          </w:p>
        </w:tc>
        <w:tc>
          <w:tcPr>
            <w:tcW w:w="20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14,961</w:t>
            </w:r>
          </w:p>
        </w:tc>
        <w:tc>
          <w:tcPr>
            <w:tcW w:w="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10,335</w:t>
            </w:r>
          </w:p>
        </w:tc>
      </w:tr>
      <w:tr>
        <w:trPr>
          <w:trHeight w:val="256"/>
        </w:trPr>
        <w:tc>
          <w:tcPr>
            <w:tcW w:w="63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4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transactions:</w:t>
            </w:r>
          </w:p>
        </w:tc>
        <w:tc>
          <w:tcPr>
            <w:tcW w:w="20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3"/>
        </w:trPr>
        <w:tc>
          <w:tcPr>
            <w:tcW w:w="6360" w:type="dxa"/>
            <w:vAlign w:val="bottom"/>
          </w:tcPr>
          <w:p>
            <w:pPr>
              <w:ind w:left="120"/>
              <w:spacing w:after="0"/>
              <w:rPr>
                <w:sz w:val="20"/>
                <w:szCs w:val="20"/>
                <w:color w:val="auto"/>
              </w:rPr>
            </w:pPr>
            <w:r>
              <w:rPr>
                <w:rFonts w:ascii="Arial" w:cs="Arial" w:eastAsia="Arial" w:hAnsi="Arial"/>
                <w:sz w:val="16"/>
                <w:szCs w:val="16"/>
                <w:color w:val="auto"/>
              </w:rPr>
              <w:t>Issuance of Winnebago common stock for acquisition of business</w:t>
            </w:r>
          </w:p>
        </w:tc>
        <w:tc>
          <w:tcPr>
            <w:tcW w:w="20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92,572</w:t>
            </w:r>
          </w:p>
        </w:tc>
        <w:tc>
          <w:tcPr>
            <w:tcW w:w="6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6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 expenditures in accounts payable</w:t>
            </w:r>
          </w:p>
        </w:tc>
        <w:tc>
          <w:tcPr>
            <w:tcW w:w="20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255</w:t>
            </w:r>
          </w:p>
        </w:tc>
        <w:tc>
          <w:tcPr>
            <w:tcW w:w="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ind w:right="5600"/>
        <w:spacing w:after="0" w:line="260" w:lineRule="auto"/>
        <w:rPr>
          <w:sz w:val="20"/>
          <w:szCs w:val="20"/>
          <w:color w:val="auto"/>
        </w:rPr>
      </w:pPr>
      <w:r>
        <w:rPr>
          <w:rFonts w:ascii="Arial" w:cs="Arial" w:eastAsia="Arial" w:hAnsi="Arial"/>
          <w:sz w:val="16"/>
          <w:szCs w:val="16"/>
          <w:b w:val="1"/>
          <w:bCs w:val="1"/>
          <w:color w:val="auto"/>
        </w:rPr>
        <w:t>Condensed Consolidated Statements of Changes in Stockholders' Equity (Unaudited)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center"/>
              <w:ind w:right="408"/>
              <w:spacing w:after="0"/>
              <w:rPr>
                <w:sz w:val="20"/>
                <w:szCs w:val="20"/>
                <w:color w:val="auto"/>
              </w:rPr>
            </w:pPr>
            <w:r>
              <w:rPr>
                <w:rFonts w:ascii="Arial" w:cs="Arial" w:eastAsia="Arial" w:hAnsi="Arial"/>
                <w:sz w:val="14"/>
                <w:szCs w:val="14"/>
                <w:b w:val="1"/>
                <w:bCs w:val="1"/>
                <w:color w:val="auto"/>
              </w:rPr>
              <w:t>Three Months Ended May 30, 2020</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7"/>
                <w:szCs w:val="17"/>
                <w:color w:val="auto"/>
              </w:rPr>
            </w:pPr>
          </w:p>
        </w:tc>
        <w:tc>
          <w:tcPr>
            <w:tcW w:w="820" w:type="dxa"/>
            <w:vAlign w:val="bottom"/>
          </w:tcPr>
          <w:p>
            <w:pPr>
              <w:jc w:val="center"/>
              <w:ind w:right="8"/>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2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760" w:type="dxa"/>
            <w:vAlign w:val="bottom"/>
            <w:vMerge w:val="restart"/>
          </w:tcPr>
          <w:p>
            <w:pPr>
              <w:ind w:left="20"/>
              <w:spacing w:after="0" w:line="135" w:lineRule="exact"/>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4"/>
                <w:szCs w:val="4"/>
                <w:color w:val="auto"/>
              </w:rPr>
            </w:pPr>
          </w:p>
        </w:tc>
        <w:tc>
          <w:tcPr>
            <w:tcW w:w="800" w:type="dxa"/>
            <w:vAlign w:val="bottom"/>
            <w:vMerge w:val="restart"/>
          </w:tcPr>
          <w:p>
            <w:pPr>
              <w:jc w:val="right"/>
              <w:ind w:right="88"/>
              <w:spacing w:after="0" w:line="13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vMerge w:val="restart"/>
          </w:tcPr>
          <w:p>
            <w:pPr>
              <w:jc w:val="center"/>
              <w:ind w:right="68"/>
              <w:spacing w:after="0" w:line="135" w:lineRule="exact"/>
              <w:rPr>
                <w:sz w:val="20"/>
                <w:szCs w:val="20"/>
                <w:color w:val="auto"/>
              </w:rPr>
            </w:pPr>
            <w:r>
              <w:rPr>
                <w:rFonts w:ascii="Arial" w:cs="Arial" w:eastAsia="Arial" w:hAnsi="Arial"/>
                <w:sz w:val="14"/>
                <w:szCs w:val="14"/>
                <w:b w:val="1"/>
                <w:bCs w:val="1"/>
                <w:color w:val="auto"/>
              </w:rPr>
              <w:t>Comprehensive</w:t>
            </w: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61"/>
        </w:trPr>
        <w:tc>
          <w:tcPr>
            <w:tcW w:w="2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except per share data)</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February 29, 2020</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200,751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890,994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(543)</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(18,153)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(315,566)</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801,524</w:t>
            </w:r>
          </w:p>
        </w:tc>
        <w:tc>
          <w:tcPr>
            <w:tcW w:w="0" w:type="dxa"/>
            <w:vAlign w:val="bottom"/>
          </w:tcPr>
          <w:p>
            <w:pPr>
              <w:spacing w:after="0"/>
              <w:rPr>
                <w:sz w:val="1"/>
                <w:szCs w:val="1"/>
                <w:color w:val="auto"/>
              </w:rPr>
            </w:pPr>
          </w:p>
        </w:tc>
      </w:tr>
      <w:tr>
        <w:trPr>
          <w:trHeight w:val="194"/>
        </w:trPr>
        <w:tc>
          <w:tcPr>
            <w:tcW w:w="2760" w:type="dxa"/>
            <w:vAlign w:val="bottom"/>
          </w:tcPr>
          <w:p>
            <w:pPr>
              <w:ind w:left="120"/>
              <w:spacing w:after="0"/>
              <w:rPr>
                <w:sz w:val="20"/>
                <w:szCs w:val="20"/>
                <w:color w:val="auto"/>
              </w:rPr>
            </w:pPr>
            <w:r>
              <w:rPr>
                <w:rFonts w:ascii="Arial" w:cs="Arial" w:eastAsia="Arial" w:hAnsi="Arial"/>
                <w:sz w:val="14"/>
                <w:szCs w:val="14"/>
                <w:color w:val="auto"/>
              </w:rPr>
              <w:t>Stock-based compensation, net of</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60" w:type="dxa"/>
            <w:vAlign w:val="bottom"/>
          </w:tcPr>
          <w:p>
            <w:pPr>
              <w:ind w:left="120"/>
              <w:spacing w:after="0"/>
              <w:rPr>
                <w:sz w:val="20"/>
                <w:szCs w:val="20"/>
                <w:color w:val="auto"/>
              </w:rPr>
            </w:pPr>
            <w:r>
              <w:rPr>
                <w:rFonts w:ascii="Arial" w:cs="Arial" w:eastAsia="Arial" w:hAnsi="Arial"/>
                <w:sz w:val="14"/>
                <w:szCs w:val="14"/>
                <w:color w:val="auto"/>
              </w:rPr>
              <w:t>forfeitures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(315)</w:t>
            </w:r>
          </w:p>
        </w:tc>
        <w:tc>
          <w:tcPr>
            <w:tcW w:w="20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stock, net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10"/>
        </w:trPr>
        <w:tc>
          <w:tcPr>
            <w:tcW w:w="2760" w:type="dxa"/>
            <w:vAlign w:val="bottom"/>
          </w:tcPr>
          <w:p>
            <w:pPr>
              <w:ind w:left="120"/>
              <w:spacing w:after="0"/>
              <w:rPr>
                <w:sz w:val="20"/>
                <w:szCs w:val="20"/>
                <w:color w:val="auto"/>
              </w:rPr>
            </w:pPr>
            <w:r>
              <w:rPr>
                <w:rFonts w:ascii="Arial" w:cs="Arial" w:eastAsia="Arial" w:hAnsi="Arial"/>
                <w:sz w:val="14"/>
                <w:szCs w:val="14"/>
                <w:color w:val="auto"/>
              </w:rPr>
              <w:t>Repurchase of common stock</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30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59"/>
        </w:trPr>
        <w:tc>
          <w:tcPr>
            <w:tcW w:w="27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Common stock dividends; $0.11 per</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(3,730)</w:t>
            </w:r>
          </w:p>
        </w:tc>
        <w:tc>
          <w:tcPr>
            <w:tcW w:w="16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(3,730)</w:t>
            </w:r>
          </w:p>
        </w:tc>
        <w:tc>
          <w:tcPr>
            <w:tcW w:w="0" w:type="dxa"/>
            <w:vAlign w:val="bottom"/>
          </w:tcPr>
          <w:p>
            <w:pPr>
              <w:spacing w:after="0"/>
              <w:rPr>
                <w:sz w:val="1"/>
                <w:szCs w:val="1"/>
                <w:color w:val="auto"/>
              </w:rPr>
            </w:pPr>
          </w:p>
        </w:tc>
      </w:tr>
      <w:tr>
        <w:trPr>
          <w:trHeight w:val="105"/>
        </w:trPr>
        <w:tc>
          <w:tcPr>
            <w:tcW w:w="276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78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760" w:type="dxa"/>
            <w:vAlign w:val="bottom"/>
            <w:vMerge w:val="continue"/>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20"/>
              <w:spacing w:after="0"/>
              <w:rPr>
                <w:sz w:val="20"/>
                <w:szCs w:val="20"/>
                <w:color w:val="auto"/>
              </w:rPr>
            </w:pPr>
            <w:r>
              <w:rPr>
                <w:rFonts w:ascii="Arial" w:cs="Arial" w:eastAsia="Arial" w:hAnsi="Arial"/>
                <w:sz w:val="14"/>
                <w:szCs w:val="14"/>
                <w:color w:val="auto"/>
              </w:rPr>
              <w:t>Actuarial loss, net of tax</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rate swap activity, net of tax</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(12,353)</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(12,353)</w:t>
            </w:r>
          </w:p>
        </w:tc>
        <w:tc>
          <w:tcPr>
            <w:tcW w:w="0" w:type="dxa"/>
            <w:vAlign w:val="bottom"/>
          </w:tcPr>
          <w:p>
            <w:pPr>
              <w:spacing w:after="0"/>
              <w:rPr>
                <w:sz w:val="1"/>
                <w:szCs w:val="1"/>
                <w:color w:val="auto"/>
              </w:rPr>
            </w:pPr>
          </w:p>
        </w:tc>
      </w:tr>
      <w:tr>
        <w:trPr>
          <w:trHeight w:val="241"/>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May 30, 2020</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200,456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874,911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(967)</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(18,146)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(315,478)</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784,810</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gridSpan w:val="4"/>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760" w:type="dxa"/>
            <w:vAlign w:val="bottom"/>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gridSpan w:val="4"/>
          </w:tcPr>
          <w:p>
            <w:pPr>
              <w:jc w:val="center"/>
              <w:ind w:right="408"/>
              <w:spacing w:after="0"/>
              <w:rPr>
                <w:sz w:val="20"/>
                <w:szCs w:val="20"/>
                <w:color w:val="auto"/>
              </w:rPr>
            </w:pPr>
            <w:r>
              <w:rPr>
                <w:rFonts w:ascii="Arial" w:cs="Arial" w:eastAsia="Arial" w:hAnsi="Arial"/>
                <w:sz w:val="14"/>
                <w:szCs w:val="14"/>
                <w:b w:val="1"/>
                <w:bCs w:val="1"/>
                <w:color w:val="auto"/>
              </w:rPr>
              <w:t>Nine Months Ended May 30, 2020</w:t>
            </w: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7"/>
                <w:szCs w:val="17"/>
                <w:color w:val="auto"/>
              </w:rPr>
            </w:pPr>
          </w:p>
        </w:tc>
        <w:tc>
          <w:tcPr>
            <w:tcW w:w="820" w:type="dxa"/>
            <w:vAlign w:val="bottom"/>
          </w:tcPr>
          <w:p>
            <w:pPr>
              <w:jc w:val="center"/>
              <w:ind w:right="8"/>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2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7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4"/>
                <w:szCs w:val="4"/>
                <w:color w:val="auto"/>
              </w:rPr>
            </w:pPr>
          </w:p>
        </w:tc>
        <w:tc>
          <w:tcPr>
            <w:tcW w:w="800" w:type="dxa"/>
            <w:vAlign w:val="bottom"/>
            <w:vMerge w:val="restart"/>
          </w:tcPr>
          <w:p>
            <w:pPr>
              <w:jc w:val="right"/>
              <w:ind w:right="88"/>
              <w:spacing w:after="0" w:line="13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vMerge w:val="restart"/>
          </w:tcPr>
          <w:p>
            <w:pPr>
              <w:jc w:val="center"/>
              <w:ind w:right="68"/>
              <w:spacing w:after="0" w:line="135" w:lineRule="exact"/>
              <w:rPr>
                <w:sz w:val="20"/>
                <w:szCs w:val="20"/>
                <w:color w:val="auto"/>
              </w:rPr>
            </w:pPr>
            <w:r>
              <w:rPr>
                <w:rFonts w:ascii="Arial" w:cs="Arial" w:eastAsia="Arial" w:hAnsi="Arial"/>
                <w:sz w:val="14"/>
                <w:szCs w:val="14"/>
                <w:b w:val="1"/>
                <w:bCs w:val="1"/>
                <w:color w:val="auto"/>
              </w:rPr>
              <w:t>Comprehensive</w:t>
            </w: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61"/>
        </w:trPr>
        <w:tc>
          <w:tcPr>
            <w:tcW w:w="2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31, 2019</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91,185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866,886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(20,262)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(351,256)</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632,212</w:t>
            </w:r>
          </w:p>
        </w:tc>
        <w:tc>
          <w:tcPr>
            <w:tcW w:w="0" w:type="dxa"/>
            <w:vAlign w:val="bottom"/>
          </w:tcPr>
          <w:p>
            <w:pPr>
              <w:spacing w:after="0"/>
              <w:rPr>
                <w:sz w:val="1"/>
                <w:szCs w:val="1"/>
                <w:color w:val="auto"/>
              </w:rPr>
            </w:pPr>
          </w:p>
        </w:tc>
      </w:tr>
      <w:tr>
        <w:trPr>
          <w:trHeight w:val="194"/>
        </w:trPr>
        <w:tc>
          <w:tcPr>
            <w:tcW w:w="2760" w:type="dxa"/>
            <w:vAlign w:val="bottom"/>
          </w:tcPr>
          <w:p>
            <w:pPr>
              <w:ind w:left="120"/>
              <w:spacing w:after="0"/>
              <w:rPr>
                <w:sz w:val="20"/>
                <w:szCs w:val="20"/>
                <w:color w:val="auto"/>
              </w:rPr>
            </w:pPr>
            <w:r>
              <w:rPr>
                <w:rFonts w:ascii="Arial" w:cs="Arial" w:eastAsia="Arial" w:hAnsi="Arial"/>
                <w:sz w:val="14"/>
                <w:szCs w:val="14"/>
                <w:color w:val="auto"/>
              </w:rPr>
              <w:t>Stock-based compensation, net of</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60" w:type="dxa"/>
            <w:vAlign w:val="bottom"/>
          </w:tcPr>
          <w:p>
            <w:pPr>
              <w:ind w:left="120"/>
              <w:spacing w:after="0"/>
              <w:rPr>
                <w:sz w:val="20"/>
                <w:szCs w:val="20"/>
                <w:color w:val="auto"/>
              </w:rPr>
            </w:pPr>
            <w:r>
              <w:rPr>
                <w:rFonts w:ascii="Arial" w:cs="Arial" w:eastAsia="Arial" w:hAnsi="Arial"/>
                <w:sz w:val="14"/>
                <w:szCs w:val="14"/>
                <w:color w:val="auto"/>
              </w:rPr>
              <w:t>forfeitures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3,309</w:t>
            </w:r>
          </w:p>
        </w:tc>
        <w:tc>
          <w:tcPr>
            <w:tcW w:w="20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30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3,332</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stock, net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2,782</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210"/>
        </w:trPr>
        <w:tc>
          <w:tcPr>
            <w:tcW w:w="2760" w:type="dxa"/>
            <w:vAlign w:val="bottom"/>
          </w:tcPr>
          <w:p>
            <w:pPr>
              <w:ind w:left="120"/>
              <w:spacing w:after="0"/>
              <w:rPr>
                <w:sz w:val="20"/>
                <w:szCs w:val="20"/>
                <w:color w:val="auto"/>
              </w:rPr>
            </w:pPr>
            <w:r>
              <w:rPr>
                <w:rFonts w:ascii="Arial" w:cs="Arial" w:eastAsia="Arial" w:hAnsi="Arial"/>
                <w:sz w:val="14"/>
                <w:szCs w:val="14"/>
                <w:color w:val="auto"/>
              </w:rPr>
              <w:t>Issuance of stock for acquisition</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57,811</w:t>
            </w:r>
          </w:p>
        </w:tc>
        <w:tc>
          <w:tcPr>
            <w:tcW w:w="20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34,761</w:t>
            </w:r>
          </w:p>
        </w:tc>
        <w:tc>
          <w:tcPr>
            <w:tcW w:w="30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92,572</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 of common stock</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(1,788)</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153"/>
        </w:trPr>
        <w:tc>
          <w:tcPr>
            <w:tcW w:w="2760" w:type="dxa"/>
            <w:vAlign w:val="bottom"/>
          </w:tcPr>
          <w:p>
            <w:pPr>
              <w:ind w:left="140"/>
              <w:spacing w:after="0" w:line="153" w:lineRule="exact"/>
              <w:rPr>
                <w:sz w:val="20"/>
                <w:szCs w:val="20"/>
                <w:color w:val="auto"/>
              </w:rPr>
            </w:pPr>
            <w:r>
              <w:rPr>
                <w:rFonts w:ascii="Arial" w:cs="Arial" w:eastAsia="Arial" w:hAnsi="Arial"/>
                <w:sz w:val="14"/>
                <w:szCs w:val="14"/>
                <w:color w:val="auto"/>
              </w:rPr>
              <w:t>Common stock dividends; $0.33 per</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(10,958)</w:t>
            </w:r>
          </w:p>
        </w:tc>
        <w:tc>
          <w:tcPr>
            <w:tcW w:w="160" w:type="dxa"/>
            <w:vAlign w:val="bottom"/>
          </w:tcPr>
          <w:p>
            <w:pPr>
              <w:spacing w:after="0"/>
              <w:rPr>
                <w:sz w:val="13"/>
                <w:szCs w:val="13"/>
                <w:color w:val="auto"/>
              </w:rPr>
            </w:pPr>
          </w:p>
        </w:tc>
        <w:tc>
          <w:tcPr>
            <w:tcW w:w="13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(10,958)</w:t>
            </w:r>
          </w:p>
        </w:tc>
        <w:tc>
          <w:tcPr>
            <w:tcW w:w="0" w:type="dxa"/>
            <w:vAlign w:val="bottom"/>
          </w:tcPr>
          <w:p>
            <w:pPr>
              <w:spacing w:after="0"/>
              <w:rPr>
                <w:sz w:val="1"/>
                <w:szCs w:val="1"/>
                <w:color w:val="auto"/>
              </w:rPr>
            </w:pPr>
          </w:p>
        </w:tc>
      </w:tr>
      <w:tr>
        <w:trPr>
          <w:trHeight w:val="171"/>
        </w:trPr>
        <w:tc>
          <w:tcPr>
            <w:tcW w:w="2760" w:type="dxa"/>
            <w:vAlign w:val="bottom"/>
          </w:tcPr>
          <w:p>
            <w:pPr>
              <w:ind w:left="140"/>
              <w:spacing w:after="0"/>
              <w:rPr>
                <w:sz w:val="20"/>
                <w:szCs w:val="20"/>
                <w:color w:val="auto"/>
              </w:rPr>
            </w:pPr>
            <w:r>
              <w:rPr>
                <w:rFonts w:ascii="Arial" w:cs="Arial" w:eastAsia="Arial" w:hAnsi="Arial"/>
                <w:sz w:val="14"/>
                <w:szCs w:val="14"/>
                <w:color w:val="auto"/>
              </w:rPr>
              <w:t>share</w:t>
            </w: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loss, net of tax</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10"/>
        </w:trPr>
        <w:tc>
          <w:tcPr>
            <w:tcW w:w="2760" w:type="dxa"/>
            <w:vAlign w:val="bottom"/>
          </w:tcPr>
          <w:p>
            <w:pPr>
              <w:ind w:left="120"/>
              <w:spacing w:after="0"/>
              <w:rPr>
                <w:sz w:val="20"/>
                <w:szCs w:val="20"/>
                <w:color w:val="auto"/>
              </w:rPr>
            </w:pPr>
            <w:r>
              <w:rPr>
                <w:rFonts w:ascii="Arial" w:cs="Arial" w:eastAsia="Arial" w:hAnsi="Arial"/>
                <w:sz w:val="14"/>
                <w:szCs w:val="14"/>
                <w:color w:val="auto"/>
              </w:rPr>
              <w:t>Interest rate swap activity, net of tax</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59"/>
        </w:trPr>
        <w:tc>
          <w:tcPr>
            <w:tcW w:w="27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Equity component of convertible senior</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61,335</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61,335</w:t>
            </w:r>
          </w:p>
        </w:tc>
        <w:tc>
          <w:tcPr>
            <w:tcW w:w="0" w:type="dxa"/>
            <w:vAlign w:val="bottom"/>
          </w:tcPr>
          <w:p>
            <w:pPr>
              <w:spacing w:after="0"/>
              <w:rPr>
                <w:sz w:val="1"/>
                <w:szCs w:val="1"/>
                <w:color w:val="auto"/>
              </w:rPr>
            </w:pPr>
          </w:p>
        </w:tc>
      </w:tr>
      <w:tr>
        <w:trPr>
          <w:trHeight w:val="135"/>
        </w:trPr>
        <w:tc>
          <w:tcPr>
            <w:tcW w:w="27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notes and offering costs, net of tax of</w:t>
            </w:r>
          </w:p>
        </w:tc>
        <w:tc>
          <w:tcPr>
            <w:tcW w:w="78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$20,840</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60" w:type="dxa"/>
            <w:vAlign w:val="bottom"/>
          </w:tcPr>
          <w:p>
            <w:pPr>
              <w:ind w:left="140"/>
              <w:spacing w:after="0" w:line="153" w:lineRule="exact"/>
              <w:rPr>
                <w:sz w:val="20"/>
                <w:szCs w:val="20"/>
                <w:color w:val="auto"/>
              </w:rPr>
            </w:pPr>
            <w:r>
              <w:rPr>
                <w:rFonts w:ascii="Arial" w:cs="Arial" w:eastAsia="Arial" w:hAnsi="Arial"/>
                <w:sz w:val="14"/>
                <w:szCs w:val="14"/>
                <w:color w:val="auto"/>
              </w:rPr>
              <w:t>Convertible note hedge purchase, net of</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(53,383)</w:t>
            </w:r>
          </w:p>
        </w:tc>
        <w:tc>
          <w:tcPr>
            <w:tcW w:w="200" w:type="dxa"/>
            <w:vAlign w:val="bottom"/>
          </w:tcPr>
          <w:p>
            <w:pPr>
              <w:spacing w:after="0"/>
              <w:rPr>
                <w:sz w:val="13"/>
                <w:szCs w:val="13"/>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3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(53,383)</w:t>
            </w:r>
          </w:p>
        </w:tc>
        <w:tc>
          <w:tcPr>
            <w:tcW w:w="0" w:type="dxa"/>
            <w:vAlign w:val="bottom"/>
          </w:tcPr>
          <w:p>
            <w:pPr>
              <w:spacing w:after="0"/>
              <w:rPr>
                <w:sz w:val="1"/>
                <w:szCs w:val="1"/>
                <w:color w:val="auto"/>
              </w:rPr>
            </w:pPr>
          </w:p>
        </w:tc>
      </w:tr>
      <w:tr>
        <w:trPr>
          <w:trHeight w:val="171"/>
        </w:trPr>
        <w:tc>
          <w:tcPr>
            <w:tcW w:w="2760" w:type="dxa"/>
            <w:vAlign w:val="bottom"/>
          </w:tcPr>
          <w:p>
            <w:pPr>
              <w:ind w:left="140"/>
              <w:spacing w:after="0"/>
              <w:rPr>
                <w:sz w:val="20"/>
                <w:szCs w:val="20"/>
                <w:color w:val="auto"/>
              </w:rPr>
            </w:pPr>
            <w:r>
              <w:rPr>
                <w:rFonts w:ascii="Arial" w:cs="Arial" w:eastAsia="Arial" w:hAnsi="Arial"/>
                <w:sz w:val="14"/>
                <w:szCs w:val="14"/>
                <w:color w:val="auto"/>
              </w:rPr>
              <w:t>tax of $17,417</w:t>
            </w: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Warrant transactions</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42,210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42,210</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18,983</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18,983</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May 30, 2020</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200,456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874,911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(967)</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(18,146)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(315,478)</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784,810</w:t>
            </w:r>
          </w:p>
        </w:tc>
        <w:tc>
          <w:tcPr>
            <w:tcW w:w="0" w:type="dxa"/>
            <w:vAlign w:val="bottom"/>
          </w:tcPr>
          <w:p>
            <w:pPr>
              <w:spacing w:after="0"/>
              <w:rPr>
                <w:sz w:val="1"/>
                <w:szCs w:val="1"/>
                <w:color w:val="auto"/>
              </w:rPr>
            </w:pPr>
          </w:p>
        </w:tc>
      </w:tr>
      <w:tr>
        <w:trPr>
          <w:trHeight w:val="318"/>
        </w:trPr>
        <w:tc>
          <w:tcPr>
            <w:tcW w:w="27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center"/>
              <w:ind w:right="408"/>
              <w:spacing w:after="0"/>
              <w:rPr>
                <w:sz w:val="20"/>
                <w:szCs w:val="20"/>
                <w:color w:val="auto"/>
              </w:rPr>
            </w:pPr>
            <w:r>
              <w:rPr>
                <w:rFonts w:ascii="Arial" w:cs="Arial" w:eastAsia="Arial" w:hAnsi="Arial"/>
                <w:sz w:val="14"/>
                <w:szCs w:val="14"/>
                <w:b w:val="1"/>
                <w:bCs w:val="1"/>
                <w:color w:val="auto"/>
              </w:rPr>
              <w:t>Three Months Ended May 25, 2019</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7"/>
                <w:szCs w:val="17"/>
                <w:color w:val="auto"/>
              </w:rPr>
            </w:pPr>
          </w:p>
        </w:tc>
        <w:tc>
          <w:tcPr>
            <w:tcW w:w="820" w:type="dxa"/>
            <w:vAlign w:val="bottom"/>
          </w:tcPr>
          <w:p>
            <w:pPr>
              <w:jc w:val="center"/>
              <w:ind w:right="8"/>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2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760" w:type="dxa"/>
            <w:vAlign w:val="bottom"/>
            <w:vMerge w:val="restart"/>
          </w:tcPr>
          <w:p>
            <w:pPr>
              <w:ind w:left="20"/>
              <w:spacing w:after="0" w:line="135" w:lineRule="exact"/>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4"/>
                <w:szCs w:val="4"/>
                <w:color w:val="auto"/>
              </w:rPr>
            </w:pPr>
          </w:p>
        </w:tc>
        <w:tc>
          <w:tcPr>
            <w:tcW w:w="800" w:type="dxa"/>
            <w:vAlign w:val="bottom"/>
            <w:vMerge w:val="restart"/>
          </w:tcPr>
          <w:p>
            <w:pPr>
              <w:jc w:val="right"/>
              <w:ind w:right="88"/>
              <w:spacing w:after="0" w:line="13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vMerge w:val="restart"/>
          </w:tcPr>
          <w:p>
            <w:pPr>
              <w:jc w:val="center"/>
              <w:ind w:right="68"/>
              <w:spacing w:after="0" w:line="135" w:lineRule="exact"/>
              <w:rPr>
                <w:sz w:val="20"/>
                <w:szCs w:val="20"/>
                <w:color w:val="auto"/>
              </w:rPr>
            </w:pPr>
            <w:r>
              <w:rPr>
                <w:rFonts w:ascii="Arial" w:cs="Arial" w:eastAsia="Arial" w:hAnsi="Arial"/>
                <w:sz w:val="14"/>
                <w:szCs w:val="14"/>
                <w:b w:val="1"/>
                <w:bCs w:val="1"/>
                <w:color w:val="auto"/>
              </w:rPr>
              <w:t>Comprehensive</w:t>
            </w: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61"/>
        </w:trPr>
        <w:tc>
          <w:tcPr>
            <w:tcW w:w="2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except per share data)</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140" w:type="dxa"/>
            <w:vAlign w:val="bottom"/>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p>
      <w:pPr>
        <w:spacing w:after="0" w:line="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Balances at February 23, 2019</w:t>
      </w:r>
    </w:p>
    <w:p>
      <w:pPr>
        <w:spacing w:after="0" w:line="55" w:lineRule="exact"/>
        <w:rPr>
          <w:sz w:val="20"/>
          <w:szCs w:val="20"/>
          <w:color w:val="auto"/>
        </w:rPr>
      </w:pPr>
    </w:p>
    <w:p>
      <w:pPr>
        <w:ind w:left="120" w:right="140"/>
        <w:spacing w:after="0" w:line="258" w:lineRule="auto"/>
        <w:rPr>
          <w:sz w:val="20"/>
          <w:szCs w:val="20"/>
          <w:color w:val="auto"/>
        </w:rPr>
      </w:pPr>
      <w:r>
        <w:rPr>
          <w:rFonts w:ascii="Arial" w:cs="Arial" w:eastAsia="Arial" w:hAnsi="Arial"/>
          <w:sz w:val="14"/>
          <w:szCs w:val="14"/>
          <w:color w:val="auto"/>
        </w:rPr>
        <w:t>Stock-based compensation, net of forfeitures</w:t>
      </w:r>
    </w:p>
    <w:p>
      <w:pPr>
        <w:spacing w:after="0" w:line="32" w:lineRule="exact"/>
        <w:rPr>
          <w:sz w:val="20"/>
          <w:szCs w:val="20"/>
          <w:color w:val="auto"/>
        </w:rPr>
      </w:pPr>
    </w:p>
    <w:p>
      <w:pPr>
        <w:ind w:left="120" w:right="400"/>
        <w:spacing w:after="0" w:line="311" w:lineRule="auto"/>
        <w:rPr>
          <w:sz w:val="20"/>
          <w:szCs w:val="20"/>
          <w:color w:val="auto"/>
        </w:rPr>
      </w:pPr>
      <w:r>
        <w:rPr>
          <w:rFonts w:ascii="Arial" w:cs="Arial" w:eastAsia="Arial" w:hAnsi="Arial"/>
          <w:sz w:val="14"/>
          <w:szCs w:val="14"/>
          <w:color w:val="auto"/>
        </w:rPr>
        <w:t>Issuance of restricted stock Repurchase of common stock</w:t>
      </w:r>
    </w:p>
    <w:p>
      <w:pPr>
        <w:spacing w:after="0" w:line="1" w:lineRule="exact"/>
        <w:rPr>
          <w:sz w:val="20"/>
          <w:szCs w:val="20"/>
          <w:color w:val="auto"/>
        </w:rPr>
      </w:pPr>
    </w:p>
    <w:p>
      <w:pPr>
        <w:ind w:left="140"/>
        <w:spacing w:after="0" w:line="229" w:lineRule="auto"/>
        <w:rPr>
          <w:sz w:val="20"/>
          <w:szCs w:val="20"/>
          <w:color w:val="auto"/>
        </w:rPr>
      </w:pPr>
      <w:r>
        <w:rPr>
          <w:rFonts w:ascii="Arial" w:cs="Arial" w:eastAsia="Arial" w:hAnsi="Arial"/>
          <w:sz w:val="14"/>
          <w:szCs w:val="14"/>
          <w:color w:val="auto"/>
        </w:rPr>
        <w:t>Common stock dividends; $0.11 per share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Actuarial loss, net of tax</w:t>
      </w:r>
    </w:p>
    <w:p>
      <w:pPr>
        <w:spacing w:after="0" w:line="55" w:lineRule="exact"/>
        <w:rPr>
          <w:sz w:val="20"/>
          <w:szCs w:val="20"/>
          <w:color w:val="auto"/>
        </w:rPr>
      </w:pPr>
    </w:p>
    <w:p>
      <w:pPr>
        <w:ind w:left="120" w:right="20"/>
        <w:spacing w:after="0" w:line="338" w:lineRule="auto"/>
        <w:rPr>
          <w:sz w:val="20"/>
          <w:szCs w:val="20"/>
          <w:color w:val="auto"/>
        </w:rPr>
      </w:pPr>
      <w:r>
        <w:rPr>
          <w:rFonts w:ascii="Arial" w:cs="Arial" w:eastAsia="Arial" w:hAnsi="Arial"/>
          <w:sz w:val="14"/>
          <w:szCs w:val="14"/>
          <w:color w:val="auto"/>
        </w:rPr>
        <w:t>Interest rate swap activity, net of tax Net income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Balances at May 25, 2019</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80" w:type="dxa"/>
            <w:vAlign w:val="bottom"/>
          </w:tcPr>
          <w:p>
            <w:pPr>
              <w:jc w:val="right"/>
              <w:ind w:right="8"/>
              <w:spacing w:after="0"/>
              <w:rPr>
                <w:sz w:val="20"/>
                <w:szCs w:val="20"/>
                <w:color w:val="auto"/>
              </w:rPr>
            </w:pPr>
            <w:r>
              <w:rPr>
                <w:rFonts w:ascii="Arial" w:cs="Arial" w:eastAsia="Arial" w:hAnsi="Arial"/>
                <w:sz w:val="14"/>
                <w:szCs w:val="14"/>
                <w:color w:val="auto"/>
              </w:rPr>
              <w:t>51,776</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25,888</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89,682</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805,851</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252</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(20,292)</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(351,007)</w:t>
            </w:r>
          </w:p>
        </w:tc>
        <w:tc>
          <w:tcPr>
            <w:tcW w:w="4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570,666</w:t>
            </w:r>
          </w:p>
        </w:tc>
      </w:tr>
      <w:tr>
        <w:trPr>
          <w:trHeight w:val="297"/>
        </w:trPr>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1,118</w:t>
            </w:r>
          </w:p>
        </w:tc>
        <w:tc>
          <w:tcPr>
            <w:tcW w:w="26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48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1,130</w:t>
            </w:r>
          </w:p>
        </w:tc>
      </w:tr>
      <w:tr>
        <w:trPr>
          <w:trHeight w:val="297"/>
        </w:trPr>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(904)</w:t>
            </w:r>
          </w:p>
        </w:tc>
        <w:tc>
          <w:tcPr>
            <w:tcW w:w="26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2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904</w:t>
            </w:r>
          </w:p>
        </w:tc>
        <w:tc>
          <w:tcPr>
            <w:tcW w:w="48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(1,104)</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(1,104)</w:t>
            </w:r>
          </w:p>
        </w:tc>
      </w:tr>
      <w:tr>
        <w:trPr>
          <w:trHeight w:val="270"/>
        </w:trPr>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(3,516)</w:t>
            </w:r>
          </w:p>
        </w:tc>
        <w:tc>
          <w:tcPr>
            <w:tcW w:w="580" w:type="dxa"/>
            <w:vAlign w:val="bottom"/>
          </w:tcPr>
          <w:p>
            <w:pPr>
              <w:spacing w:after="0"/>
              <w:rPr>
                <w:sz w:val="23"/>
                <w:szCs w:val="23"/>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(3,516)</w:t>
            </w:r>
          </w:p>
        </w:tc>
      </w:tr>
      <w:tr>
        <w:trPr>
          <w:trHeight w:val="270"/>
        </w:trPr>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w:t>
            </w:r>
          </w:p>
        </w:tc>
      </w:tr>
      <w:tr>
        <w:trPr>
          <w:trHeight w:val="216"/>
        </w:trPr>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(362)</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(362)</w:t>
            </w:r>
          </w:p>
        </w:tc>
      </w:tr>
      <w:tr>
        <w:trPr>
          <w:trHeight w:val="222"/>
        </w:trPr>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36,171</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36,171</w:t>
            </w:r>
          </w:p>
        </w:tc>
      </w:tr>
      <w:tr>
        <w:trPr>
          <w:trHeight w:val="209"/>
        </w:trPr>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51,776</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25,888</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89,896</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838,506</w:t>
            </w:r>
          </w:p>
        </w:tc>
        <w:tc>
          <w:tcPr>
            <w:tcW w:w="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(20,271)</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(351,195)</w:t>
            </w:r>
          </w:p>
        </w:tc>
        <w:tc>
          <w:tcPr>
            <w:tcW w:w="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602,993</w:t>
            </w:r>
          </w:p>
        </w:tc>
      </w:tr>
      <w:tr>
        <w:trPr>
          <w:trHeight w:val="27"/>
        </w:trPr>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-1071245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-796290</wp:posOffset>
            </wp:positionV>
            <wp:extent cx="71323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-453390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-179070</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320"/>
            <w:col w:w="8480"/>
          </w:cols>
          <w:pgMar w:left="320" w:top="1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Changes in Stockholders' Equity (continued)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Nine Months Ended May 25, 2019</w:t>
            </w: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rPr>
                <w:sz w:val="17"/>
                <w:szCs w:val="17"/>
                <w:color w:val="auto"/>
              </w:rPr>
            </w:pPr>
          </w:p>
        </w:tc>
        <w:tc>
          <w:tcPr>
            <w:tcW w:w="180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Accumulated Other</w:t>
            </w:r>
          </w:p>
        </w:tc>
        <w:tc>
          <w:tcPr>
            <w:tcW w:w="168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700" w:type="dxa"/>
            <w:vAlign w:val="bottom"/>
            <w:vMerge w:val="restart"/>
          </w:tcPr>
          <w:p>
            <w:pPr>
              <w:ind w:left="20"/>
              <w:spacing w:after="0" w:line="135" w:lineRule="exact"/>
              <w:rPr>
                <w:sz w:val="20"/>
                <w:szCs w:val="20"/>
                <w:color w:val="auto"/>
              </w:rPr>
            </w:pPr>
            <w:r>
              <w:rPr>
                <w:rFonts w:ascii="Arial" w:cs="Arial" w:eastAsia="Arial" w:hAnsi="Arial"/>
                <w:sz w:val="14"/>
                <w:szCs w:val="14"/>
                <w:b w:val="1"/>
                <w:bCs w:val="1"/>
                <w:color w:val="auto"/>
              </w:rPr>
              <w:t>(in thousands, except per share</w:t>
            </w: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restart"/>
          </w:tcPr>
          <w:p>
            <w:pPr>
              <w:jc w:val="right"/>
              <w:ind w:right="128"/>
              <w:spacing w:after="0" w:line="135"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4"/>
                <w:szCs w:val="4"/>
                <w:color w:val="auto"/>
              </w:rPr>
            </w:pPr>
          </w:p>
        </w:tc>
        <w:tc>
          <w:tcPr>
            <w:tcW w:w="780" w:type="dxa"/>
            <w:vAlign w:val="bottom"/>
            <w:vMerge w:val="restart"/>
          </w:tcPr>
          <w:p>
            <w:pPr>
              <w:jc w:val="right"/>
              <w:ind w:right="68"/>
              <w:spacing w:after="0" w:line="135"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4"/>
                <w:szCs w:val="4"/>
                <w:color w:val="auto"/>
              </w:rPr>
            </w:pPr>
          </w:p>
        </w:tc>
        <w:tc>
          <w:tcPr>
            <w:tcW w:w="1340" w:type="dxa"/>
            <w:vAlign w:val="bottom"/>
            <w:vMerge w:val="restart"/>
          </w:tcPr>
          <w:p>
            <w:pPr>
              <w:jc w:val="center"/>
              <w:ind w:right="68"/>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40" w:type="dxa"/>
            <w:vAlign w:val="bottom"/>
            <w:gridSpan w:val="2"/>
            <w:vMerge w:val="restart"/>
          </w:tcPr>
          <w:p>
            <w:pPr>
              <w:jc w:val="right"/>
              <w:spacing w:after="0" w:line="135"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61"/>
        </w:trPr>
        <w:tc>
          <w:tcPr>
            <w:tcW w:w="2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data)</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Income (Loss)</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25, 2018</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86,223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768,816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(347,374)</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534,445</w:t>
            </w:r>
          </w:p>
        </w:tc>
        <w:tc>
          <w:tcPr>
            <w:tcW w:w="0" w:type="dxa"/>
            <w:vAlign w:val="bottom"/>
          </w:tcPr>
          <w:p>
            <w:pPr>
              <w:spacing w:after="0"/>
              <w:rPr>
                <w:sz w:val="1"/>
                <w:szCs w:val="1"/>
                <w:color w:val="auto"/>
              </w:rPr>
            </w:pPr>
          </w:p>
        </w:tc>
      </w:tr>
      <w:tr>
        <w:trPr>
          <w:trHeight w:val="194"/>
        </w:trPr>
        <w:tc>
          <w:tcPr>
            <w:tcW w:w="2700" w:type="dxa"/>
            <w:vAlign w:val="bottom"/>
          </w:tcPr>
          <w:p>
            <w:pPr>
              <w:ind w:left="120"/>
              <w:spacing w:after="0"/>
              <w:rPr>
                <w:sz w:val="20"/>
                <w:szCs w:val="20"/>
                <w:color w:val="auto"/>
              </w:rPr>
            </w:pPr>
            <w:r>
              <w:rPr>
                <w:rFonts w:ascii="Arial" w:cs="Arial" w:eastAsia="Arial" w:hAnsi="Arial"/>
                <w:sz w:val="14"/>
                <w:szCs w:val="14"/>
                <w:color w:val="auto"/>
              </w:rPr>
              <w:t>Stock-based compensation, net of</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5,683</w:t>
            </w:r>
          </w:p>
        </w:tc>
        <w:tc>
          <w:tcPr>
            <w:tcW w:w="20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6"/>
                <w:szCs w:val="16"/>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69</w:t>
            </w:r>
          </w:p>
        </w:tc>
        <w:tc>
          <w:tcPr>
            <w:tcW w:w="300" w:type="dxa"/>
            <w:vAlign w:val="bottom"/>
          </w:tcPr>
          <w:p>
            <w:pPr>
              <w:spacing w:after="0"/>
              <w:rPr>
                <w:sz w:val="16"/>
                <w:szCs w:val="16"/>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5,752</w:t>
            </w:r>
          </w:p>
        </w:tc>
        <w:tc>
          <w:tcPr>
            <w:tcW w:w="0" w:type="dxa"/>
            <w:vAlign w:val="bottom"/>
          </w:tcPr>
          <w:p>
            <w:pPr>
              <w:spacing w:after="0"/>
              <w:rPr>
                <w:sz w:val="1"/>
                <w:szCs w:val="1"/>
                <w:color w:val="auto"/>
              </w:rPr>
            </w:pPr>
          </w:p>
        </w:tc>
      </w:tr>
      <w:tr>
        <w:trPr>
          <w:trHeight w:val="91"/>
        </w:trPr>
        <w:tc>
          <w:tcPr>
            <w:tcW w:w="2700" w:type="dxa"/>
            <w:vAlign w:val="bottom"/>
            <w:vMerge w:val="restart"/>
          </w:tcPr>
          <w:p>
            <w:pPr>
              <w:ind w:left="120"/>
              <w:spacing w:after="0"/>
              <w:rPr>
                <w:sz w:val="20"/>
                <w:szCs w:val="20"/>
                <w:color w:val="auto"/>
              </w:rPr>
            </w:pPr>
            <w:r>
              <w:rPr>
                <w:rFonts w:ascii="Arial" w:cs="Arial" w:eastAsia="Arial" w:hAnsi="Arial"/>
                <w:sz w:val="14"/>
                <w:szCs w:val="14"/>
                <w:color w:val="auto"/>
              </w:rPr>
              <w:t>forfeitures</w:t>
            </w:r>
          </w:p>
        </w:tc>
        <w:tc>
          <w:tcPr>
            <w:tcW w:w="7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restricted stock</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(2,056)</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3,584</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1,528</w:t>
            </w:r>
          </w:p>
        </w:tc>
        <w:tc>
          <w:tcPr>
            <w:tcW w:w="0" w:type="dxa"/>
            <w:vAlign w:val="bottom"/>
          </w:tcPr>
          <w:p>
            <w:pPr>
              <w:spacing w:after="0"/>
              <w:rPr>
                <w:sz w:val="1"/>
                <w:szCs w:val="1"/>
                <w:color w:val="auto"/>
              </w:rPr>
            </w:pPr>
          </w:p>
        </w:tc>
      </w:tr>
      <w:tr>
        <w:trPr>
          <w:trHeight w:val="210"/>
        </w:trPr>
        <w:tc>
          <w:tcPr>
            <w:tcW w:w="2700" w:type="dxa"/>
            <w:vAlign w:val="bottom"/>
          </w:tcPr>
          <w:p>
            <w:pPr>
              <w:ind w:left="120"/>
              <w:spacing w:after="0"/>
              <w:rPr>
                <w:sz w:val="20"/>
                <w:szCs w:val="20"/>
                <w:color w:val="auto"/>
              </w:rPr>
            </w:pPr>
            <w:r>
              <w:rPr>
                <w:rFonts w:ascii="Arial" w:cs="Arial" w:eastAsia="Arial" w:hAnsi="Arial"/>
                <w:sz w:val="14"/>
                <w:szCs w:val="14"/>
                <w:color w:val="auto"/>
              </w:rPr>
              <w:t>Issuance of stock under ESPP</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20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250</w:t>
            </w:r>
          </w:p>
        </w:tc>
        <w:tc>
          <w:tcPr>
            <w:tcW w:w="30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22"/>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 of common stock</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(7,724)</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(7,724)</w:t>
            </w:r>
          </w:p>
        </w:tc>
        <w:tc>
          <w:tcPr>
            <w:tcW w:w="0" w:type="dxa"/>
            <w:vAlign w:val="bottom"/>
          </w:tcPr>
          <w:p>
            <w:pPr>
              <w:spacing w:after="0"/>
              <w:rPr>
                <w:sz w:val="1"/>
                <w:szCs w:val="1"/>
                <w:color w:val="auto"/>
              </w:rPr>
            </w:pPr>
          </w:p>
        </w:tc>
      </w:tr>
      <w:tr>
        <w:trPr>
          <w:trHeight w:val="153"/>
        </w:trPr>
        <w:tc>
          <w:tcPr>
            <w:tcW w:w="2700" w:type="dxa"/>
            <w:vAlign w:val="bottom"/>
          </w:tcPr>
          <w:p>
            <w:pPr>
              <w:ind w:left="140"/>
              <w:spacing w:after="0" w:line="153" w:lineRule="exact"/>
              <w:rPr>
                <w:sz w:val="20"/>
                <w:szCs w:val="20"/>
                <w:color w:val="auto"/>
              </w:rPr>
            </w:pPr>
            <w:r>
              <w:rPr>
                <w:rFonts w:ascii="Arial" w:cs="Arial" w:eastAsia="Arial" w:hAnsi="Arial"/>
                <w:sz w:val="14"/>
                <w:szCs w:val="14"/>
                <w:color w:val="auto"/>
              </w:rPr>
              <w:t>Common stock dividends; $0.32 per</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(10,240)</w:t>
            </w:r>
          </w:p>
        </w:tc>
        <w:tc>
          <w:tcPr>
            <w:tcW w:w="200" w:type="dxa"/>
            <w:vAlign w:val="bottom"/>
          </w:tcPr>
          <w:p>
            <w:pPr>
              <w:spacing w:after="0"/>
              <w:rPr>
                <w:sz w:val="13"/>
                <w:szCs w:val="13"/>
                <w:color w:val="auto"/>
              </w:rPr>
            </w:pPr>
          </w:p>
        </w:tc>
        <w:tc>
          <w:tcPr>
            <w:tcW w:w="14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(10,240)</w:t>
            </w:r>
          </w:p>
        </w:tc>
        <w:tc>
          <w:tcPr>
            <w:tcW w:w="0" w:type="dxa"/>
            <w:vAlign w:val="bottom"/>
          </w:tcPr>
          <w:p>
            <w:pPr>
              <w:spacing w:after="0"/>
              <w:rPr>
                <w:sz w:val="1"/>
                <w:szCs w:val="1"/>
                <w:color w:val="auto"/>
              </w:rPr>
            </w:pPr>
          </w:p>
        </w:tc>
      </w:tr>
      <w:tr>
        <w:trPr>
          <w:trHeight w:val="105"/>
        </w:trPr>
        <w:tc>
          <w:tcPr>
            <w:tcW w:w="2700" w:type="dxa"/>
            <w:vAlign w:val="bottom"/>
            <w:vMerge w:val="restart"/>
          </w:tcPr>
          <w:p>
            <w:pPr>
              <w:ind w:left="140"/>
              <w:spacing w:after="0"/>
              <w:rPr>
                <w:sz w:val="20"/>
                <w:szCs w:val="20"/>
                <w:color w:val="auto"/>
              </w:rPr>
            </w:pPr>
            <w:r>
              <w:rPr>
                <w:rFonts w:ascii="Arial" w:cs="Arial" w:eastAsia="Arial" w:hAnsi="Arial"/>
                <w:sz w:val="14"/>
                <w:szCs w:val="14"/>
                <w:color w:val="auto"/>
              </w:rPr>
              <w:t>share</w:t>
            </w:r>
          </w:p>
        </w:tc>
        <w:tc>
          <w:tcPr>
            <w:tcW w:w="7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loss, net of tax</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10"/>
        </w:trPr>
        <w:tc>
          <w:tcPr>
            <w:tcW w:w="2700" w:type="dxa"/>
            <w:vAlign w:val="bottom"/>
          </w:tcPr>
          <w:p>
            <w:pPr>
              <w:ind w:left="120"/>
              <w:spacing w:after="0"/>
              <w:rPr>
                <w:sz w:val="20"/>
                <w:szCs w:val="20"/>
                <w:color w:val="auto"/>
              </w:rPr>
            </w:pPr>
            <w:r>
              <w:rPr>
                <w:rFonts w:ascii="Arial" w:cs="Arial" w:eastAsia="Arial" w:hAnsi="Arial"/>
                <w:sz w:val="14"/>
                <w:szCs w:val="14"/>
                <w:color w:val="auto"/>
              </w:rPr>
              <w:t>Interest rate swap activity, net of tax</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(1,018)</w:t>
            </w:r>
          </w:p>
        </w:tc>
        <w:tc>
          <w:tcPr>
            <w:tcW w:w="120" w:type="dxa"/>
            <w:vAlign w:val="bottom"/>
          </w:tcPr>
          <w:p>
            <w:pPr>
              <w:spacing w:after="0"/>
              <w:rPr>
                <w:sz w:val="18"/>
                <w:szCs w:val="18"/>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79,930</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79,930</w:t>
            </w:r>
          </w:p>
        </w:tc>
        <w:tc>
          <w:tcPr>
            <w:tcW w:w="0" w:type="dxa"/>
            <w:vAlign w:val="bottom"/>
          </w:tcPr>
          <w:p>
            <w:pPr>
              <w:spacing w:after="0"/>
              <w:rPr>
                <w:sz w:val="1"/>
                <w:szCs w:val="1"/>
                <w:color w:val="auto"/>
              </w:rPr>
            </w:pPr>
          </w:p>
        </w:tc>
      </w:tr>
      <w:tr>
        <w:trPr>
          <w:trHeight w:val="215"/>
        </w:trPr>
        <w:tc>
          <w:tcPr>
            <w:tcW w:w="2700" w:type="dxa"/>
            <w:vAlign w:val="bottom"/>
          </w:tcPr>
          <w:p>
            <w:pPr>
              <w:ind w:left="20"/>
              <w:spacing w:after="0"/>
              <w:rPr>
                <w:sz w:val="20"/>
                <w:szCs w:val="20"/>
                <w:color w:val="auto"/>
              </w:rPr>
            </w:pPr>
            <w:r>
              <w:rPr>
                <w:rFonts w:ascii="Arial" w:cs="Arial" w:eastAsia="Arial" w:hAnsi="Arial"/>
                <w:sz w:val="14"/>
                <w:szCs w:val="14"/>
                <w:color w:val="auto"/>
              </w:rPr>
              <w:t>Balances at May 25, 2019</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89,896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838,506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(351,195)</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602,993</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268"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Unless the context otherwise requires, the use of the terms "Winnebago," "Company", "WGO," "we," "us," and "our" in these Notes to Condensed Consolidated Financial Statements refers to Winnebago Industries, Inc. and its wholly-owned subsidiaries.</w:t>
      </w:r>
    </w:p>
    <w:p>
      <w:pPr>
        <w:spacing w:after="0" w:line="222"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In the opinion of management, the accompanying Condensed Consolidated Financial Statements contain all adjustments necessary for a fair presentation as prescribed by accounting principles generally accepted in the United States (“GAAP”). All adjustments were comprised of normal recurring adjustments, except as noted in these Notes to Condensed Consolidated Financial Statements.</w:t>
      </w:r>
    </w:p>
    <w:p>
      <w:pPr>
        <w:spacing w:after="0" w:line="22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Interim results are not necessarily indicative of the results to be expected for the full year. The interim Condensed Consolidated Financial Statements included in this Quarterly Report on Form 10-Q should be read in conjunction with the audited Consolidated Financial Statements included in the Company's Annual Report on Form 10-K for the fiscal year ended August 31, 2019.</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Company follows a 52-/53-week fiscal year, ending the last Saturday in August. Fiscal 2020 is a 52-week year, while Fiscal 2019 was a 53-week year.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extra (53rd) week in Fiscal 2019 was recognized in the Company's fourth quarter.</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Cash equivalents include all investments with original maturities of three months or less or which are readily convertible into known amounts of cash and are not legally restricted. Accounts at each banking institution are insured by the Federal Deposit Insurance Corporation up to $250,000, while the remaining balances are uninsured.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268"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In preparing the accompanying unaudited Condensed Consolidated Financial Statements, the Company evaluated subsequent events for potential recognition and disclosure through the date of this filing. There were no material subsequent events.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w:t>
      </w:r>
    </w:p>
    <w:p>
      <w:pPr>
        <w:spacing w:after="0" w:line="2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May 19, 2020, the Company's Board of Directors declared a quarterly cash dividend of $0.11 per share payable on July 1, 2020 to common stockholders of record at the close of business on June 17,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Coronavirus (COVID-19) pandemic</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closely monitoring the impact of the 2019 novel coronavirus, or COVID-19, on all aspects of its business. COVID-19 was declared a global pandemic by the World Health Organization on March 11, 2020 and the President of the United States declared the COVID-19 outbreak a national emergency on March 13, 2020. The Coronavirus Aid, Relief, and Economic Security (CARES) Act was signed into law on March 27, 2020. The Company is taking advantage of the employer payroll tax (FICA) deferral offered by CARES which allows the Company to defer the payment of employer payroll taxes for the period from March 27, 2020 to December 31, 2020. The deferred FICA liability as of May 30, 2020 was $1.2 million and will be payable in equal installments at December 2021 and December 2022. Additionally, the Company is taking advantage of a tax credit granted to companies under the CARES Act who continued to pay their employees when operations were fully or partially suspended. The refundable tax credit through the end of the third quarter of Fiscal 2020, reflected in cost of goods sold and within other current assets, is approximately $4.0 million and will be received in the fourth quarter of Fiscal 2020.</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25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The Company adopted Accounting Standard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as of September 1, 2019, using the modified retrospective basis as of the beginning of the period of adoption. In addition, the Company elected the package of practical expedients permitted under the transition guidance with the new standard, which among other things, allowed the Company to carry forward the historical lease classification, and the Company elected the hindsight practical expedient. Adoption of the new standard resulted in the recording of net lease assets and lease liabilities of $33.8 million and $33.4 million, respectively, as of September 1, 2019. The adoption of the standard did not materially impact our consolidated net earnings and had no impact on the Company's cash flows.</w:t>
      </w:r>
    </w:p>
    <w:p>
      <w:pPr>
        <w:sectPr>
          <w:pgSz w:w="11900" w:h="16838" w:orient="portrait"/>
          <w:cols w:equalWidth="0" w:num="1">
            <w:col w:w="11200"/>
          </w:cols>
          <w:pgMar w:left="320" w:top="14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line items impacted by the adoption of this ASU within the Condensed Consolidated Balance Sheets as of September 1, 2019:</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ASU 2016-02</w:t>
            </w: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9"/>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August 31, 2019</w:t>
            </w:r>
          </w:p>
        </w:tc>
        <w:tc>
          <w:tcPr>
            <w:tcW w:w="180" w:type="dxa"/>
            <w:vAlign w:val="bottom"/>
          </w:tcPr>
          <w:p>
            <w:pPr>
              <w:spacing w:after="0"/>
              <w:rPr>
                <w:sz w:val="16"/>
                <w:szCs w:val="16"/>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Adjustment on</w:t>
            </w:r>
          </w:p>
        </w:tc>
        <w:tc>
          <w:tcPr>
            <w:tcW w:w="160" w:type="dxa"/>
            <w:vAlign w:val="bottom"/>
          </w:tcPr>
          <w:p>
            <w:pPr>
              <w:spacing w:after="0"/>
              <w:rPr>
                <w:sz w:val="16"/>
                <w:szCs w:val="16"/>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b w:val="1"/>
                <w:bCs w:val="1"/>
                <w:color w:val="auto"/>
              </w:rPr>
              <w:t>September 1, 2019</w:t>
            </w:r>
          </w:p>
        </w:tc>
      </w:tr>
      <w:tr>
        <w:trPr>
          <w:trHeight w:val="228"/>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9"/>
                <w:szCs w:val="19"/>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As Reported</w:t>
            </w:r>
          </w:p>
        </w:tc>
        <w:tc>
          <w:tcPr>
            <w:tcW w:w="180" w:type="dxa"/>
            <w:vAlign w:val="bottom"/>
          </w:tcPr>
          <w:p>
            <w:pPr>
              <w:spacing w:after="0"/>
              <w:rPr>
                <w:sz w:val="19"/>
                <w:szCs w:val="19"/>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September 1, 2019</w:t>
            </w:r>
          </w:p>
        </w:tc>
        <w:tc>
          <w:tcPr>
            <w:tcW w:w="160" w:type="dxa"/>
            <w:vAlign w:val="bottom"/>
          </w:tcPr>
          <w:p>
            <w:pPr>
              <w:spacing w:after="0"/>
              <w:rPr>
                <w:sz w:val="19"/>
                <w:szCs w:val="19"/>
                <w:color w:val="auto"/>
              </w:rPr>
            </w:pPr>
          </w:p>
        </w:tc>
        <w:tc>
          <w:tcPr>
            <w:tcW w:w="1700" w:type="dxa"/>
            <w:vAlign w:val="bottom"/>
          </w:tcPr>
          <w:p>
            <w:pPr>
              <w:jc w:val="right"/>
              <w:ind w:right="379"/>
              <w:spacing w:after="0"/>
              <w:rPr>
                <w:sz w:val="20"/>
                <w:szCs w:val="20"/>
                <w:color w:val="auto"/>
              </w:rPr>
            </w:pPr>
            <w:r>
              <w:rPr>
                <w:rFonts w:ascii="Arial" w:cs="Arial" w:eastAsia="Arial" w:hAnsi="Arial"/>
                <w:sz w:val="16"/>
                <w:szCs w:val="16"/>
                <w:b w:val="1"/>
                <w:bCs w:val="1"/>
                <w:color w:val="auto"/>
              </w:rPr>
              <w:t>As Adjusted</w:t>
            </w:r>
          </w:p>
        </w:tc>
      </w:tr>
      <w:tr>
        <w:trPr>
          <w:trHeight w:val="243"/>
        </w:trPr>
        <w:tc>
          <w:tcPr>
            <w:tcW w:w="5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spacing w:after="0"/>
              <w:rPr>
                <w:sz w:val="21"/>
                <w:szCs w:val="21"/>
                <w:color w:val="auto"/>
              </w:rPr>
            </w:pPr>
          </w:p>
        </w:tc>
      </w:tr>
      <w:tr>
        <w:trPr>
          <w:trHeight w:val="233"/>
        </w:trPr>
        <w:tc>
          <w:tcPr>
            <w:tcW w:w="5440" w:type="dxa"/>
            <w:vAlign w:val="bottom"/>
          </w:tcPr>
          <w:p>
            <w:pPr>
              <w:ind w:left="120"/>
              <w:spacing w:after="0"/>
              <w:rPr>
                <w:sz w:val="20"/>
                <w:szCs w:val="20"/>
                <w:color w:val="auto"/>
              </w:rPr>
            </w:pPr>
            <w:r>
              <w:rPr>
                <w:rFonts w:ascii="Arial" w:cs="Arial" w:eastAsia="Arial" w:hAnsi="Arial"/>
                <w:sz w:val="16"/>
                <w:szCs w:val="16"/>
                <w:color w:val="auto"/>
              </w:rPr>
              <w:t>Other intangible assets,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256,082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(1,310)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254,772</w:t>
            </w:r>
          </w:p>
        </w:tc>
      </w:tr>
      <w:tr>
        <w:trPr>
          <w:trHeight w:val="246"/>
        </w:trPr>
        <w:tc>
          <w:tcPr>
            <w:tcW w:w="5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33,811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33,811</w:t>
            </w:r>
          </w:p>
        </w:tc>
      </w:tr>
      <w:tr>
        <w:trPr>
          <w:trHeight w:val="243"/>
        </w:trPr>
        <w:tc>
          <w:tcPr>
            <w:tcW w:w="54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1,104,231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32,501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1,136,732</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7"/>
        </w:trPr>
        <w:tc>
          <w:tcPr>
            <w:tcW w:w="5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46"/>
        </w:trPr>
        <w:tc>
          <w:tcPr>
            <w:tcW w:w="5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expenses: Other</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13,678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1,258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14,936</w:t>
            </w: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197,744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1,258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199,002</w:t>
            </w:r>
          </w:p>
        </w:tc>
      </w:tr>
      <w:tr>
        <w:trPr>
          <w:trHeight w:val="246"/>
        </w:trPr>
        <w:tc>
          <w:tcPr>
            <w:tcW w:w="5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31,243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31,243</w:t>
            </w:r>
          </w:p>
        </w:tc>
      </w:tr>
      <w:tr>
        <w:trPr>
          <w:trHeight w:val="237"/>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non-current liabilities</w:t>
            </w:r>
          </w:p>
        </w:tc>
        <w:tc>
          <w:tcPr>
            <w:tcW w:w="20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274,275</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31,243</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7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305,518</w:t>
            </w:r>
          </w:p>
        </w:tc>
      </w:tr>
      <w:tr>
        <w:trPr>
          <w:trHeight w:val="26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1,104,231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32,501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1,136,732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 xml:space="preserve">Also, in the first quarter of Fiscal 2020, the Company adopted ASU 2017-12,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which improves the financial reporting of hedging relationships to better portray the economic results of an entity's risk management activities in its financial statements. The adoption of this standard did not materially impact the Company's Condensed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In June 2016, the Financial Accounting Standards Board ("FASB") issued ASU 2016-13, </w:t>
      </w:r>
      <w:r>
        <w:rPr>
          <w:rFonts w:ascii="Arial" w:cs="Arial" w:eastAsia="Arial" w:hAnsi="Arial"/>
          <w:sz w:val="16"/>
          <w:szCs w:val="16"/>
          <w:i w:val="1"/>
          <w:iCs w:val="1"/>
          <w:color w:val="auto"/>
        </w:rPr>
        <w:t>Financial Instruments - 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on Financial Instruments</w:t>
      </w:r>
      <w:r>
        <w:rPr>
          <w:rFonts w:ascii="Arial" w:cs="Arial" w:eastAsia="Arial" w:hAnsi="Arial"/>
          <w:sz w:val="16"/>
          <w:szCs w:val="16"/>
          <w:color w:val="auto"/>
        </w:rPr>
        <w:t>, and has since issued additional amendments. ASU 2016-13 will replace today’s “incurred loss” approach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loss” model for instruments measured at amortized cost. The standard is effective for annual reporting periods beginning after December 15, 2019 (our Fiscal 2021), including interim periods within those annual reporting periods. The Company expects to adopt the new guidance in the first quarter of Fiscal 2021, and the Company does not expect a material impact to its consolidated financial statements.</w:t>
      </w:r>
    </w:p>
    <w:p>
      <w:pPr>
        <w:spacing w:after="0" w:line="211"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 xml:space="preserve">In December 2019, the Financial Accounting Standards Board ("FASB") issued ASU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 ASU 2019-12 simplifies the accounting for income taxes by removing certain exceptions to the general principles of Topic 740. The</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is effective for annual reporting periods beginning after December 15, 2020 (the Company's Fiscal 2022), including interim periods within those annual reporting periods. The Company expects to adopt the new guidance in the first quarter of Fiscal 2022, and does not expect a material impact to its consolidated financial statements.</w:t>
      </w:r>
    </w:p>
    <w:p>
      <w:pPr>
        <w:spacing w:after="0" w:line="197" w:lineRule="exact"/>
        <w:rPr>
          <w:sz w:val="20"/>
          <w:szCs w:val="20"/>
          <w:color w:val="auto"/>
        </w:rPr>
      </w:pPr>
    </w:p>
    <w:p>
      <w:pPr>
        <w:ind w:right="80"/>
        <w:spacing w:after="0"/>
        <w:rPr>
          <w:sz w:val="20"/>
          <w:szCs w:val="20"/>
          <w:color w:val="auto"/>
        </w:rPr>
      </w:pPr>
      <w:r>
        <w:rPr>
          <w:rFonts w:ascii="Arial" w:cs="Arial" w:eastAsia="Arial" w:hAnsi="Arial"/>
          <w:sz w:val="16"/>
          <w:szCs w:val="16"/>
          <w:color w:val="auto"/>
        </w:rPr>
        <w:t xml:space="preserve">In March 2020, the Financial Accounting Standards Board ("FASB") issued ASU 2020-04, </w:t>
      </w:r>
      <w:r>
        <w:rPr>
          <w:rFonts w:ascii="Arial" w:cs="Arial" w:eastAsia="Arial" w:hAnsi="Arial"/>
          <w:sz w:val="16"/>
          <w:szCs w:val="16"/>
          <w:i w:val="1"/>
          <w:iCs w:val="1"/>
          <w:color w:val="auto"/>
        </w:rPr>
        <w:t>Reference Rate Reform (Topic 848): Facilitation of Effects of</w:t>
      </w:r>
      <w:r>
        <w:rPr>
          <w:rFonts w:ascii="Arial" w:cs="Arial" w:eastAsia="Arial" w:hAnsi="Arial"/>
          <w:sz w:val="16"/>
          <w:szCs w:val="16"/>
          <w:color w:val="auto"/>
        </w:rPr>
        <w:t xml:space="preserve"> </w:t>
      </w:r>
      <w:r>
        <w:rPr>
          <w:rFonts w:ascii="Arial" w:cs="Arial" w:eastAsia="Arial" w:hAnsi="Arial"/>
          <w:sz w:val="16"/>
          <w:szCs w:val="16"/>
          <w:i w:val="1"/>
          <w:iCs w:val="1"/>
          <w:color w:val="auto"/>
        </w:rPr>
        <w:t>Reference Rate Reform on Financial Reporting</w:t>
      </w:r>
      <w:r>
        <w:rPr>
          <w:rFonts w:ascii="Arial" w:cs="Arial" w:eastAsia="Arial" w:hAnsi="Arial"/>
          <w:sz w:val="16"/>
          <w:szCs w:val="16"/>
          <w:color w:val="auto"/>
        </w:rPr>
        <w:t>. ASU 2020-04 provides practical expedients and exceptions for applying GAAP to contracts, hedging</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and other transactions affected by reference rate reform if certain criteria are met. The expedients and exceptions provided by the amendments in this update apply only to contracts, hedging relationships, and other transactions that reference the London interbank offered rate (“LIBOR”) or another reference rate expected to be discontinued as a result of reference rate reform. These amendments are not applicable to contract modifications made and hedging relationships entered into or evaluated after December 31, 2022. ASU No. 2020-04 is effective as of March 12, 2020 through December 31, 2022 and may be applied to contract modifications and hedging relationships from the beginning of an interim period that includes or is subsequent to March 12, 2020. The Company will adopt this standard when LIBOR is discontinued, and does not expect a material impact to its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Combinations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Newmar Corporation</w:t>
      </w:r>
    </w:p>
    <w:p>
      <w:pPr>
        <w:spacing w:after="0" w:line="26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On November 8, 2019, pursuant to the terms of the Stock Purchase Agreement dated September 15, 2019 (the "Purchase Agreement"), Winnebago completed the acquisition of 100% of Newmar Corporation, Dutch Real Estate Corp., New-Way Transport, and New-Serv (collectively “Newmar”). Newmar is a leading manufacturer of Class A and Super C motorized recreation vehicles that are sold through an established network of independent authorized dealers throughout North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following table summarizes the total consideration paid for Newmar, noting that it is subject to purchase price adjustments as stipulated in the Purchase Agreement: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November 8, 2019</w:t>
            </w:r>
          </w:p>
        </w:tc>
      </w:tr>
      <w:tr>
        <w:trPr>
          <w:trHeight w:val="24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264,433</w:t>
            </w:r>
          </w:p>
        </w:tc>
      </w:tr>
      <w:tr>
        <w:trPr>
          <w:trHeight w:val="240"/>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Winnebago Industries shares: 2,000,000 at $46.29</w:t>
            </w: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92,572</w:t>
            </w:r>
          </w:p>
        </w:tc>
      </w:tr>
      <w:tr>
        <w:trPr>
          <w:trHeight w:val="264"/>
        </w:trPr>
        <w:tc>
          <w:tcPr>
            <w:tcW w:w="9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357,005</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 xml:space="preserve">The cash portion of the purchase price of the acquisition and certain transaction expenses were funded through the private placement of convertible senior notes (as further described in Note 9, </w:t>
      </w:r>
      <w:r>
        <w:rPr>
          <w:rFonts w:ascii="Arial" w:cs="Arial" w:eastAsia="Arial" w:hAnsi="Arial"/>
          <w:sz w:val="16"/>
          <w:szCs w:val="16"/>
          <w:i w:val="1"/>
          <w:iCs w:val="1"/>
          <w:color w:val="auto"/>
        </w:rPr>
        <w:t>Long-Term Debt</w:t>
      </w:r>
      <w:r>
        <w:rPr>
          <w:rFonts w:ascii="Arial" w:cs="Arial" w:eastAsia="Arial" w:hAnsi="Arial"/>
          <w:sz w:val="16"/>
          <w:szCs w:val="16"/>
          <w:color w:val="auto"/>
        </w:rPr>
        <w:t>) and cash on hand. The stock consideration was discounted by 7.0% due to lack of marketability because of the one year lock-up restrictions.</w:t>
      </w:r>
    </w:p>
    <w:p>
      <w:pPr>
        <w:spacing w:after="0" w:line="22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total purchase price was allocated to the net tangible and intangible assets of Newmar acquired, based on their fair values at the date of the acquisition. The Company believes that the information provides a reasonable basis for estimating the fair values. During the third quarter of Fiscal 2020, the Company finalized the valuation and completed the purchase price allocation, which included purchase price adjustments of $3.3 million. The following table summarizes the fair values assigned to the Newmar net assets acquired and the determination of net assets: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November 8, 2019</w:t>
            </w:r>
          </w:p>
        </w:tc>
      </w:tr>
      <w:tr>
        <w:trPr>
          <w:trHeight w:val="24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3,469</w:t>
            </w:r>
          </w:p>
        </w:tc>
      </w:tr>
      <w:tr>
        <w:trPr>
          <w:trHeight w:val="233"/>
        </w:trPr>
        <w:tc>
          <w:tcPr>
            <w:tcW w:w="96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37,147</w:t>
            </w:r>
          </w:p>
        </w:tc>
      </w:tr>
      <w:tr>
        <w:trPr>
          <w:trHeight w:val="25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82,621</w:t>
            </w:r>
          </w:p>
        </w:tc>
      </w:tr>
      <w:tr>
        <w:trPr>
          <w:trHeight w:val="233"/>
        </w:trPr>
        <w:tc>
          <w:tcPr>
            <w:tcW w:w="9620" w:type="dxa"/>
            <w:vAlign w:val="bottom"/>
          </w:tcPr>
          <w:p>
            <w:pPr>
              <w:ind w:left="2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9,830</w:t>
            </w:r>
          </w:p>
        </w:tc>
      </w:tr>
      <w:tr>
        <w:trPr>
          <w:trHeight w:val="25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31,143</w:t>
            </w:r>
          </w:p>
        </w:tc>
      </w:tr>
      <w:tr>
        <w:trPr>
          <w:trHeight w:val="233"/>
        </w:trPr>
        <w:tc>
          <w:tcPr>
            <w:tcW w:w="96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73,127</w:t>
            </w:r>
          </w:p>
        </w:tc>
      </w:tr>
      <w:tr>
        <w:trPr>
          <w:trHeight w:val="246"/>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172,100</w:t>
            </w:r>
          </w:p>
        </w:tc>
      </w:tr>
      <w:tr>
        <w:trPr>
          <w:trHeight w:val="233"/>
        </w:trPr>
        <w:tc>
          <w:tcPr>
            <w:tcW w:w="9620" w:type="dxa"/>
            <w:vAlign w:val="bottom"/>
          </w:tcPr>
          <w:p>
            <w:pPr>
              <w:ind w:left="120"/>
              <w:spacing w:after="0"/>
              <w:rPr>
                <w:sz w:val="20"/>
                <w:szCs w:val="20"/>
                <w:color w:val="auto"/>
              </w:rPr>
            </w:pPr>
            <w:r>
              <w:rPr>
                <w:rFonts w:ascii="Arial" w:cs="Arial" w:eastAsia="Arial" w:hAnsi="Arial"/>
                <w:sz w:val="16"/>
                <w:szCs w:val="16"/>
                <w:color w:val="auto"/>
              </w:rPr>
              <w:t>Total assets acquired</w:t>
            </w:r>
          </w:p>
        </w:tc>
        <w:tc>
          <w:tcPr>
            <w:tcW w:w="12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409,437</w:t>
            </w:r>
          </w:p>
        </w:tc>
      </w:tr>
      <w:tr>
        <w:trPr>
          <w:trHeight w:val="25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14,023</w:t>
            </w:r>
          </w:p>
        </w:tc>
      </w:tr>
      <w:tr>
        <w:trPr>
          <w:trHeight w:val="233"/>
        </w:trPr>
        <w:tc>
          <w:tcPr>
            <w:tcW w:w="9620" w:type="dxa"/>
            <w:vAlign w:val="bottom"/>
          </w:tcPr>
          <w:p>
            <w:pPr>
              <w:ind w:left="20"/>
              <w:spacing w:after="0"/>
              <w:rPr>
                <w:sz w:val="20"/>
                <w:szCs w:val="20"/>
                <w:color w:val="auto"/>
              </w:rPr>
            </w:pPr>
            <w:r>
              <w:rPr>
                <w:rFonts w:ascii="Arial" w:cs="Arial" w:eastAsia="Arial" w:hAnsi="Arial"/>
                <w:sz w:val="16"/>
                <w:szCs w:val="16"/>
                <w:color w:val="auto"/>
              </w:rPr>
              <w:t>Accrued compensation</w:t>
            </w:r>
          </w:p>
        </w:tc>
        <w:tc>
          <w:tcPr>
            <w:tcW w:w="12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4,306</w:t>
            </w:r>
          </w:p>
        </w:tc>
      </w:tr>
      <w:tr>
        <w:trPr>
          <w:trHeight w:val="25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warranties</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15,147</w:t>
            </w:r>
          </w:p>
        </w:tc>
      </w:tr>
      <w:tr>
        <w:trPr>
          <w:trHeight w:val="233"/>
        </w:trPr>
        <w:tc>
          <w:tcPr>
            <w:tcW w:w="9620" w:type="dxa"/>
            <w:vAlign w:val="bottom"/>
          </w:tcPr>
          <w:p>
            <w:pPr>
              <w:ind w:left="20"/>
              <w:spacing w:after="0"/>
              <w:rPr>
                <w:sz w:val="20"/>
                <w:szCs w:val="20"/>
                <w:color w:val="auto"/>
              </w:rPr>
            </w:pPr>
            <w:r>
              <w:rPr>
                <w:rFonts w:ascii="Arial" w:cs="Arial" w:eastAsia="Arial" w:hAnsi="Arial"/>
                <w:sz w:val="16"/>
                <w:szCs w:val="16"/>
                <w:color w:val="auto"/>
              </w:rPr>
              <w:t>Promotional</w:t>
            </w:r>
          </w:p>
        </w:tc>
        <w:tc>
          <w:tcPr>
            <w:tcW w:w="12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6,351</w:t>
            </w:r>
          </w:p>
        </w:tc>
      </w:tr>
      <w:tr>
        <w:trPr>
          <w:trHeight w:val="25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11,637</w:t>
            </w:r>
          </w:p>
        </w:tc>
      </w:tr>
      <w:tr>
        <w:trPr>
          <w:trHeight w:val="237"/>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liabilities</w:t>
            </w: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968</w:t>
            </w:r>
          </w:p>
        </w:tc>
      </w:tr>
      <w:tr>
        <w:trPr>
          <w:trHeight w:val="236"/>
        </w:trPr>
        <w:tc>
          <w:tcPr>
            <w:tcW w:w="9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liabilities assumed</w:t>
            </w:r>
          </w:p>
        </w:tc>
        <w:tc>
          <w:tcPr>
            <w:tcW w:w="1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52,432</w:t>
            </w:r>
          </w:p>
        </w:tc>
      </w:tr>
      <w:tr>
        <w:trPr>
          <w:trHeight w:val="243"/>
        </w:trPr>
        <w:tc>
          <w:tcPr>
            <w:tcW w:w="9620" w:type="dxa"/>
            <w:vAlign w:val="bottom"/>
          </w:tcPr>
          <w:p>
            <w:pPr>
              <w:ind w:left="20"/>
              <w:spacing w:after="0"/>
              <w:rPr>
                <w:sz w:val="20"/>
                <w:szCs w:val="20"/>
                <w:color w:val="auto"/>
              </w:rPr>
            </w:pPr>
            <w:r>
              <w:rPr>
                <w:rFonts w:ascii="Arial" w:cs="Arial" w:eastAsia="Arial" w:hAnsi="Arial"/>
                <w:sz w:val="16"/>
                <w:szCs w:val="16"/>
                <w:color w:val="auto"/>
              </w:rPr>
              <w:t>Total purchase price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357,005</w:t>
            </w:r>
          </w:p>
        </w:tc>
      </w:tr>
      <w:tr>
        <w:trPr>
          <w:trHeight w:val="20"/>
        </w:trPr>
        <w:tc>
          <w:tcPr>
            <w:tcW w:w="9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goodwill, recognized in the Company's Motorhome segment, is primarily attributable to the value of the workforce, reputation of founders, customer and dealer growth opportunities, and expected synergies. Key areas of cost synergies include increased purchasing power for raw materials and supply chain consolidation. Goodwill is expected to be mostly deductible for tax purposes.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20"/>
                <w:szCs w:val="20"/>
                <w:color w:val="auto"/>
              </w:rPr>
            </w:pPr>
            <w:r>
              <w:rPr>
                <w:rFonts w:ascii="Arial" w:cs="Arial" w:eastAsia="Arial" w:hAnsi="Arial"/>
                <w:sz w:val="16"/>
                <w:szCs w:val="16"/>
                <w:color w:val="auto"/>
              </w:rPr>
              <w:t>The following table summarizes the other intangible assets acquired:</w:t>
            </w:r>
          </w:p>
        </w:tc>
        <w:tc>
          <w:tcPr>
            <w:tcW w:w="15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56"/>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560" w:type="dxa"/>
            <w:vAlign w:val="bottom"/>
          </w:tcPr>
          <w:p>
            <w:pPr>
              <w:spacing w:after="0"/>
              <w:rPr>
                <w:sz w:val="22"/>
                <w:szCs w:val="22"/>
                <w:color w:val="auto"/>
              </w:rPr>
            </w:pPr>
          </w:p>
        </w:tc>
        <w:tc>
          <w:tcPr>
            <w:tcW w:w="1620" w:type="dxa"/>
            <w:vAlign w:val="bottom"/>
            <w:gridSpan w:val="2"/>
          </w:tcPr>
          <w:p>
            <w:pPr>
              <w:ind w:left="20"/>
              <w:spacing w:after="0"/>
              <w:rPr>
                <w:sz w:val="20"/>
                <w:szCs w:val="20"/>
                <w:color w:val="auto"/>
              </w:rPr>
            </w:pPr>
            <w:r>
              <w:rPr>
                <w:rFonts w:ascii="Arial" w:cs="Arial" w:eastAsia="Arial" w:hAnsi="Arial"/>
                <w:sz w:val="16"/>
                <w:szCs w:val="16"/>
                <w:b w:val="1"/>
                <w:bCs w:val="1"/>
                <w:color w:val="auto"/>
              </w:rPr>
              <w:t>November 8, 2019</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9"/>
              </w:rPr>
              <w:t>Useful Life-Years</w:t>
            </w:r>
          </w:p>
        </w:tc>
      </w:tr>
      <w:tr>
        <w:trPr>
          <w:trHeight w:val="243"/>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98,000</w:t>
            </w:r>
          </w:p>
        </w:tc>
        <w:tc>
          <w:tcPr>
            <w:tcW w:w="10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Indefinite</w:t>
            </w:r>
          </w:p>
        </w:tc>
      </w:tr>
      <w:tr>
        <w:trPr>
          <w:trHeight w:val="233"/>
        </w:trPr>
        <w:tc>
          <w:tcPr>
            <w:tcW w:w="6400" w:type="dxa"/>
            <w:vAlign w:val="bottom"/>
          </w:tcPr>
          <w:p>
            <w:pPr>
              <w:ind w:left="20"/>
              <w:spacing w:after="0"/>
              <w:rPr>
                <w:sz w:val="20"/>
                <w:szCs w:val="20"/>
                <w:color w:val="auto"/>
              </w:rPr>
            </w:pPr>
            <w:r>
              <w:rPr>
                <w:rFonts w:ascii="Arial" w:cs="Arial" w:eastAsia="Arial" w:hAnsi="Arial"/>
                <w:sz w:val="16"/>
                <w:szCs w:val="16"/>
                <w:color w:val="auto"/>
              </w:rPr>
              <w:t>Dealer network</w:t>
            </w:r>
          </w:p>
        </w:tc>
        <w:tc>
          <w:tcPr>
            <w:tcW w:w="156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64,000</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6"/>
              </w:rPr>
              <w:t>12.0</w:t>
            </w:r>
          </w:p>
        </w:tc>
      </w:tr>
      <w:tr>
        <w:trPr>
          <w:trHeight w:val="25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5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8,800</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0.5</w:t>
            </w:r>
          </w:p>
        </w:tc>
      </w:tr>
      <w:tr>
        <w:trPr>
          <w:trHeight w:val="223"/>
        </w:trPr>
        <w:tc>
          <w:tcPr>
            <w:tcW w:w="640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156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5.0</w:t>
            </w:r>
          </w:p>
        </w:tc>
      </w:tr>
    </w:tbl>
    <w:p>
      <w:pPr>
        <w:spacing w:after="0" w:line="37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fair value of the trade name and dealer network were estimated using an income approach. Under the income approach, an intangible asset's fair value is equal to the present value of the future economic benefits to be derived from ownership of the asset. The fair value of the trade name was estimated using an income approach, specifically the relief from royalty method. The relief from royalty method is based on the hypothetical royalty stream that would be received if we were to license the trade name and was based on expected revenues. The fair value of the trade name was estimated using an income approach, specifically the cost</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to recreate/cost saving method. This method uses the replacement of the asset as an indicator of the fair value of the asset. The useful life of the intangibles was determined considering the expected cash flows used to measure the fair value of the intangible assets adjusted for the entity-specific factors including legal, regulatory, contractual, competitive, economic or other factors that may limit the useful life of intangible assets. On the acquisition date, amortizable intangible assets had a weighted-average useful life of approximately 10.5 years.</w:t>
      </w:r>
    </w:p>
    <w:p>
      <w:pPr>
        <w:spacing w:after="0" w:line="229"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results of Newmar's operations have been included in the Company's Condensed Consolidated Financial Statements from the close of the acquisition within the Motorhome segment. The following table provides net revenues and operating income from the Newmar operating segment included in the Company's consolidated results following the November 8, 2019 closing date: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Three Months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8"/>
        </w:trPr>
        <w:tc>
          <w:tcPr>
            <w:tcW w:w="7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Ended</w:t>
            </w:r>
          </w:p>
        </w:tc>
        <w:tc>
          <w:tcPr>
            <w:tcW w:w="100" w:type="dxa"/>
            <w:vAlign w:val="bottom"/>
          </w:tcPr>
          <w:p>
            <w:pPr>
              <w:spacing w:after="0"/>
              <w:rPr>
                <w:sz w:val="19"/>
                <w:szCs w:val="19"/>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36"/>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May 30, 2020</w:t>
            </w:r>
          </w:p>
        </w:tc>
        <w:tc>
          <w:tcPr>
            <w:tcW w:w="220" w:type="dxa"/>
            <w:vAlign w:val="bottom"/>
          </w:tcPr>
          <w:p>
            <w:pPr>
              <w:spacing w:after="0"/>
              <w:rPr>
                <w:sz w:val="20"/>
                <w:szCs w:val="20"/>
                <w:color w:val="auto"/>
              </w:rPr>
            </w:pPr>
          </w:p>
        </w:tc>
        <w:tc>
          <w:tcPr>
            <w:tcW w:w="1400" w:type="dxa"/>
            <w:vAlign w:val="bottom"/>
          </w:tcPr>
          <w:p>
            <w:pPr>
              <w:jc w:val="center"/>
              <w:ind w:right="139"/>
              <w:spacing w:after="0"/>
              <w:rPr>
                <w:sz w:val="20"/>
                <w:szCs w:val="20"/>
                <w:color w:val="auto"/>
              </w:rPr>
            </w:pPr>
            <w:r>
              <w:rPr>
                <w:rFonts w:ascii="Arial" w:cs="Arial" w:eastAsia="Arial" w:hAnsi="Arial"/>
                <w:sz w:val="16"/>
                <w:szCs w:val="16"/>
                <w:b w:val="1"/>
                <w:bCs w:val="1"/>
                <w:color w:val="auto"/>
              </w:rPr>
              <w:t>May 30, 2020</w:t>
            </w:r>
          </w:p>
        </w:tc>
      </w:tr>
      <w:tr>
        <w:trPr>
          <w:trHeight w:val="243"/>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87,991</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262,070</w:t>
            </w: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20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(3,503)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(7,294)</w:t>
            </w:r>
          </w:p>
        </w:tc>
      </w:tr>
    </w:tbl>
    <w:p>
      <w:pPr>
        <w:spacing w:after="0" w:line="37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following unaudited pro forma information represents the Company's results of operations as if the Fiscal 2020 acquisition of Newmar had occurred at the beginning of Fiscal 2019:</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237"/>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May 30, 2020</w:t>
            </w: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May 25, 2019</w:t>
            </w:r>
          </w:p>
        </w:tc>
        <w:tc>
          <w:tcPr>
            <w:tcW w:w="22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May 30, 2020</w:t>
            </w:r>
          </w:p>
        </w:tc>
        <w:tc>
          <w:tcPr>
            <w:tcW w:w="200" w:type="dxa"/>
            <w:vAlign w:val="bottom"/>
          </w:tcPr>
          <w:p>
            <w:pPr>
              <w:spacing w:after="0"/>
              <w:rPr>
                <w:sz w:val="20"/>
                <w:szCs w:val="20"/>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b w:val="1"/>
                <w:bCs w:val="1"/>
                <w:color w:val="auto"/>
              </w:rPr>
              <w:t>May 25, 2019</w:t>
            </w:r>
          </w:p>
        </w:tc>
      </w:tr>
      <w:tr>
        <w:trPr>
          <w:trHeight w:val="243"/>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402,458</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710,246</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1,770,985</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1,953,195</w:t>
            </w: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(10,004)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40,585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30,557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67,096</w:t>
            </w: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per share - basic</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0.92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2.00</w:t>
            </w:r>
          </w:p>
        </w:tc>
      </w:tr>
      <w:tr>
        <w:trPr>
          <w:trHeight w:val="223"/>
        </w:trPr>
        <w:tc>
          <w:tcPr>
            <w:tcW w:w="4440" w:type="dxa"/>
            <w:vAlign w:val="bottom"/>
          </w:tcPr>
          <w:p>
            <w:pPr>
              <w:ind w:left="20"/>
              <w:spacing w:after="0"/>
              <w:rPr>
                <w:sz w:val="20"/>
                <w:szCs w:val="20"/>
                <w:color w:val="auto"/>
              </w:rPr>
            </w:pPr>
            <w:r>
              <w:rPr>
                <w:rFonts w:ascii="Arial" w:cs="Arial" w:eastAsia="Arial" w:hAnsi="Arial"/>
                <w:sz w:val="16"/>
                <w:szCs w:val="16"/>
                <w:color w:val="auto"/>
              </w:rPr>
              <w:t>Income per share - 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0.91</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2.00</w:t>
            </w:r>
          </w:p>
        </w:tc>
      </w:tr>
    </w:tbl>
    <w:p>
      <w:pPr>
        <w:spacing w:after="0" w:line="372"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The unaudited pro forma data above includes the following significant non-recurring adjustments made to account for certain costs which would have changed if the acquisition of Newmar had occurred at the beginning of Fiscal 2019:</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420" w:type="dxa"/>
            <w:vAlign w:val="bottom"/>
          </w:tcPr>
          <w:p>
            <w:pPr>
              <w:spacing w:after="0"/>
              <w:rPr>
                <w:sz w:val="19"/>
                <w:szCs w:val="19"/>
                <w:color w:val="auto"/>
              </w:rPr>
            </w:pPr>
          </w:p>
        </w:tc>
        <w:tc>
          <w:tcPr>
            <w:tcW w:w="3320" w:type="dxa"/>
            <w:vAlign w:val="bottom"/>
            <w:tcBorders>
              <w:bottom w:val="single" w:sz="8" w:color="auto"/>
            </w:tcBorders>
            <w:gridSpan w:val="2"/>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336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b w:val="1"/>
                <w:bCs w:val="1"/>
                <w:color w:val="auto"/>
              </w:rPr>
              <w:t>Nine Months Ended</w:t>
            </w:r>
          </w:p>
        </w:tc>
      </w:tr>
      <w:tr>
        <w:trPr>
          <w:trHeight w:val="223"/>
        </w:trPr>
        <w:tc>
          <w:tcPr>
            <w:tcW w:w="44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660" w:type="dxa"/>
            <w:vAlign w:val="bottom"/>
          </w:tcPr>
          <w:p>
            <w:pPr>
              <w:ind w:left="300"/>
              <w:spacing w:after="0"/>
              <w:rPr>
                <w:sz w:val="20"/>
                <w:szCs w:val="20"/>
                <w:color w:val="auto"/>
              </w:rPr>
            </w:pPr>
            <w:r>
              <w:rPr>
                <w:rFonts w:ascii="Arial" w:cs="Arial" w:eastAsia="Arial" w:hAnsi="Arial"/>
                <w:sz w:val="16"/>
                <w:szCs w:val="16"/>
                <w:b w:val="1"/>
                <w:bCs w:val="1"/>
                <w:color w:val="auto"/>
              </w:rPr>
              <w:t>May 30, 2020</w:t>
            </w:r>
          </w:p>
        </w:tc>
        <w:tc>
          <w:tcPr>
            <w:tcW w:w="1760" w:type="dxa"/>
            <w:vAlign w:val="bottom"/>
            <w:gridSpan w:val="2"/>
          </w:tcPr>
          <w:p>
            <w:pPr>
              <w:ind w:left="360"/>
              <w:spacing w:after="0"/>
              <w:rPr>
                <w:sz w:val="20"/>
                <w:szCs w:val="20"/>
                <w:color w:val="auto"/>
              </w:rPr>
            </w:pPr>
            <w:r>
              <w:rPr>
                <w:rFonts w:ascii="Arial" w:cs="Arial" w:eastAsia="Arial" w:hAnsi="Arial"/>
                <w:sz w:val="16"/>
                <w:szCs w:val="16"/>
                <w:b w:val="1"/>
                <w:bCs w:val="1"/>
                <w:color w:val="auto"/>
              </w:rPr>
              <w:t>May 25, 2019</w:t>
            </w:r>
          </w:p>
        </w:tc>
        <w:tc>
          <w:tcPr>
            <w:tcW w:w="1680" w:type="dxa"/>
            <w:vAlign w:val="bottom"/>
          </w:tcPr>
          <w:p>
            <w:pPr>
              <w:ind w:left="320"/>
              <w:spacing w:after="0"/>
              <w:rPr>
                <w:sz w:val="20"/>
                <w:szCs w:val="20"/>
                <w:color w:val="auto"/>
              </w:rPr>
            </w:pPr>
            <w:r>
              <w:rPr>
                <w:rFonts w:ascii="Arial" w:cs="Arial" w:eastAsia="Arial" w:hAnsi="Arial"/>
                <w:sz w:val="16"/>
                <w:szCs w:val="16"/>
                <w:b w:val="1"/>
                <w:bCs w:val="1"/>
                <w:color w:val="auto"/>
              </w:rPr>
              <w:t>May 30, 2020</w:t>
            </w:r>
          </w:p>
        </w:tc>
        <w:tc>
          <w:tcPr>
            <w:tcW w:w="1680" w:type="dxa"/>
            <w:vAlign w:val="bottom"/>
          </w:tcPr>
          <w:p>
            <w:pPr>
              <w:ind w:left="360"/>
              <w:spacing w:after="0"/>
              <w:rPr>
                <w:sz w:val="20"/>
                <w:szCs w:val="20"/>
                <w:color w:val="auto"/>
              </w:rPr>
            </w:pPr>
            <w:r>
              <w:rPr>
                <w:rFonts w:ascii="Arial" w:cs="Arial" w:eastAsia="Arial" w:hAnsi="Arial"/>
                <w:sz w:val="16"/>
                <w:szCs w:val="16"/>
                <w:b w:val="1"/>
                <w:bCs w:val="1"/>
                <w:color w:val="auto"/>
              </w:rPr>
              <w:t>May 25,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1517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p>
      <w:pPr>
        <w:spacing w:after="0" w:line="59" w:lineRule="exact"/>
        <w:rPr>
          <w:sz w:val="20"/>
          <w:szCs w:val="20"/>
          <w:color w:val="auto"/>
        </w:rPr>
      </w:pPr>
    </w:p>
    <w:p>
      <w:pPr>
        <w:ind w:left="20"/>
        <w:spacing w:after="0"/>
        <w:tabs>
          <w:tab w:leader="none" w:pos="4440" w:val="left"/>
        </w:tabs>
        <w:rPr>
          <w:sz w:val="20"/>
          <w:szCs w:val="20"/>
          <w:color w:val="auto"/>
        </w:rPr>
      </w:pPr>
      <w:r>
        <w:rPr>
          <w:rFonts w:ascii="Arial" w:cs="Arial" w:eastAsia="Arial" w:hAnsi="Arial"/>
          <w:sz w:val="16"/>
          <w:szCs w:val="16"/>
          <w:color w:val="auto"/>
        </w:rPr>
        <w:t>Amortization of intangibles (1 year or less useful life)</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4"/>
          <w:szCs w:val="14"/>
          <w:color w:val="auto"/>
        </w:rPr>
        <w:t>$</w:t>
      </w:r>
    </w:p>
    <w:p>
      <w:pPr>
        <w:ind w:left="20"/>
        <w:spacing w:after="0" w:line="232" w:lineRule="auto"/>
        <w:rPr>
          <w:sz w:val="20"/>
          <w:szCs w:val="20"/>
          <w:color w:val="auto"/>
        </w:rPr>
      </w:pPr>
      <w:r>
        <w:rPr>
          <w:rFonts w:ascii="Arial" w:cs="Arial" w:eastAsia="Arial" w:hAnsi="Arial"/>
          <w:sz w:val="16"/>
          <w:szCs w:val="16"/>
          <w:color w:val="auto"/>
        </w:rPr>
        <w:t>Amortization of intangibles</w:t>
      </w:r>
      <w:r>
        <w:rPr>
          <w:rFonts w:ascii="Arial" w:cs="Arial" w:eastAsia="Arial" w:hAnsi="Arial"/>
          <w:sz w:val="21"/>
          <w:szCs w:val="21"/>
          <w:color w:val="auto"/>
          <w:vertAlign w:val="superscript"/>
        </w:rPr>
        <w:t>(2)</w:t>
      </w:r>
    </w:p>
    <w:p>
      <w:pPr>
        <w:ind w:left="20" w:right="800"/>
        <w:spacing w:after="0" w:line="226" w:lineRule="auto"/>
        <w:rPr>
          <w:sz w:val="20"/>
          <w:szCs w:val="20"/>
          <w:color w:val="auto"/>
        </w:rPr>
      </w:pPr>
      <w:r>
        <w:rPr>
          <w:rFonts w:ascii="Arial" w:cs="Arial" w:eastAsia="Arial" w:hAnsi="Arial"/>
          <w:sz w:val="16"/>
          <w:szCs w:val="16"/>
          <w:color w:val="auto"/>
        </w:rPr>
        <w:t>Expenses related to business combination (transaction costs)</w:t>
      </w:r>
      <w:r>
        <w:rPr>
          <w:rFonts w:ascii="Arial" w:cs="Arial" w:eastAsia="Arial" w:hAnsi="Arial"/>
          <w:sz w:val="21"/>
          <w:szCs w:val="21"/>
          <w:color w:val="auto"/>
          <w:vertAlign w:val="superscript"/>
        </w:rPr>
        <w:t>(3)</w:t>
      </w:r>
    </w:p>
    <w:p>
      <w:pPr>
        <w:ind w:left="20"/>
        <w:spacing w:after="0" w:line="218" w:lineRule="auto"/>
        <w:rPr>
          <w:sz w:val="20"/>
          <w:szCs w:val="20"/>
          <w:color w:val="auto"/>
        </w:rPr>
      </w:pPr>
      <w:r>
        <w:rPr>
          <w:rFonts w:ascii="Arial" w:cs="Arial" w:eastAsia="Arial" w:hAnsi="Arial"/>
          <w:sz w:val="16"/>
          <w:szCs w:val="16"/>
          <w:color w:val="auto"/>
        </w:rPr>
        <w:t>Interest to reflect new debt structure</w:t>
      </w:r>
      <w:r>
        <w:rPr>
          <w:rFonts w:ascii="Arial" w:cs="Arial" w:eastAsia="Arial" w:hAnsi="Arial"/>
          <w:sz w:val="21"/>
          <w:szCs w:val="21"/>
          <w:color w:val="auto"/>
          <w:vertAlign w:val="superscript"/>
        </w:rPr>
        <w:t>(4)</w:t>
      </w:r>
    </w:p>
    <w:p>
      <w:pPr>
        <w:spacing w:after="0" w:line="1" w:lineRule="exact"/>
        <w:rPr>
          <w:sz w:val="20"/>
          <w:szCs w:val="20"/>
          <w:color w:val="auto"/>
        </w:rPr>
      </w:pPr>
    </w:p>
    <w:p>
      <w:pPr>
        <w:ind w:left="20" w:right="360"/>
        <w:spacing w:after="0" w:line="242" w:lineRule="auto"/>
        <w:rPr>
          <w:sz w:val="20"/>
          <w:szCs w:val="20"/>
          <w:color w:val="auto"/>
        </w:rPr>
      </w:pPr>
      <w:r>
        <w:rPr>
          <w:rFonts w:ascii="Arial" w:cs="Arial" w:eastAsia="Arial" w:hAnsi="Arial"/>
          <w:sz w:val="16"/>
          <w:szCs w:val="16"/>
          <w:color w:val="auto"/>
        </w:rPr>
        <w:t>Taxes related to the adjustments to the pro forma data and to the income of Newmar</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jc w:val="right"/>
              <w:ind w:right="99"/>
              <w:spacing w:after="0"/>
              <w:rPr>
                <w:sz w:val="20"/>
                <w:szCs w:val="20"/>
                <w:color w:val="auto"/>
              </w:rPr>
            </w:pPr>
            <w:r>
              <w:rPr>
                <w:rFonts w:ascii="Arial" w:cs="Arial" w:eastAsia="Arial" w:hAnsi="Arial"/>
                <w:sz w:val="16"/>
                <w:szCs w:val="16"/>
                <w:color w:val="auto"/>
                <w:w w:val="94"/>
              </w:rPr>
              <w:t>3,336</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13,610</w:t>
            </w: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(13,610)</w:t>
            </w:r>
          </w:p>
        </w:tc>
      </w:tr>
      <w:tr>
        <w:trPr>
          <w:trHeight w:val="243"/>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64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(1,395)</w:t>
            </w:r>
          </w:p>
        </w:tc>
        <w:tc>
          <w:tcPr>
            <w:tcW w:w="64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(1,060)</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(4,184)</w:t>
            </w:r>
          </w:p>
        </w:tc>
      </w:tr>
      <w:tr>
        <w:trPr>
          <w:trHeight w:val="310"/>
        </w:trPr>
        <w:tc>
          <w:tcPr>
            <w:tcW w:w="5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4"/>
                <w:szCs w:val="24"/>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652</w:t>
            </w:r>
          </w:p>
        </w:tc>
        <w:tc>
          <w:tcPr>
            <w:tcW w:w="640" w:type="dxa"/>
            <w:vAlign w:val="bottom"/>
          </w:tcPr>
          <w:p>
            <w:pPr>
              <w:spacing w:after="0"/>
              <w:rPr>
                <w:sz w:val="24"/>
                <w:szCs w:val="24"/>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9,950</w:t>
            </w:r>
          </w:p>
        </w:tc>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(10,602)</w:t>
            </w:r>
          </w:p>
        </w:tc>
      </w:tr>
      <w:tr>
        <w:trPr>
          <w:trHeight w:val="310"/>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(361)</w:t>
            </w:r>
          </w:p>
        </w:tc>
        <w:tc>
          <w:tcPr>
            <w:tcW w:w="64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(4,857)</w:t>
            </w:r>
          </w:p>
        </w:tc>
        <w:tc>
          <w:tcPr>
            <w:tcW w:w="64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(4,032)</w:t>
            </w:r>
          </w:p>
        </w:tc>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(14,027)</w:t>
            </w:r>
          </w:p>
        </w:tc>
      </w:tr>
      <w:tr>
        <w:trPr>
          <w:trHeight w:val="378"/>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(625)</w:t>
            </w:r>
          </w:p>
        </w:tc>
        <w:tc>
          <w:tcPr>
            <w:tcW w:w="64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(1,173)</w:t>
            </w:r>
          </w:p>
        </w:tc>
        <w:tc>
          <w:tcPr>
            <w:tcW w:w="64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(3,077)</w:t>
            </w:r>
          </w:p>
        </w:tc>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-621665</wp:posOffset>
            </wp:positionV>
            <wp:extent cx="7115175"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-227330</wp:posOffset>
            </wp:positionV>
            <wp:extent cx="7115175"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4760" w:space="720"/>
            <w:col w:w="5760"/>
          </w:cols>
          <w:pgMar w:left="320" w:top="141" w:right="339" w:bottom="1440" w:gutter="0" w:footer="0" w:header="0"/>
          <w:type w:val="continuous"/>
        </w:sect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amortization adjustments for our backlog intangible asset and our fair-value inventory adjustment.</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amortization adjustments for our dealer network and non-compete intangible assets.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Pro forma transaction costs include $0.6 million incurred prior to the acquisition.</w:t>
      </w:r>
    </w:p>
    <w:p>
      <w:pPr>
        <w:spacing w:after="0" w:line="1" w:lineRule="exact"/>
        <w:rPr>
          <w:rFonts w:ascii="Arial" w:cs="Arial" w:eastAsia="Arial" w:hAnsi="Arial"/>
          <w:sz w:val="14"/>
          <w:szCs w:val="14"/>
          <w:color w:val="auto"/>
        </w:rPr>
      </w:pPr>
    </w:p>
    <w:p>
      <w:pPr>
        <w:ind w:left="260" w:right="600" w:hanging="252"/>
        <w:spacing w:after="0" w:line="241" w:lineRule="auto"/>
        <w:tabs>
          <w:tab w:leader="none" w:pos="233"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Includes adjustments for cash and non-cash interest expense as well as deferred financing costs. Refer to Note 9, </w:t>
      </w:r>
      <w:r>
        <w:rPr>
          <w:rFonts w:ascii="Arial" w:cs="Arial" w:eastAsia="Arial" w:hAnsi="Arial"/>
          <w:sz w:val="14"/>
          <w:szCs w:val="14"/>
          <w:i w:val="1"/>
          <w:iCs w:val="1"/>
          <w:color w:val="auto"/>
        </w:rPr>
        <w:t>Long-Term Debt,</w:t>
      </w:r>
      <w:r>
        <w:rPr>
          <w:rFonts w:ascii="Arial" w:cs="Arial" w:eastAsia="Arial" w:hAnsi="Arial"/>
          <w:sz w:val="14"/>
          <w:szCs w:val="14"/>
          <w:color w:val="auto"/>
        </w:rPr>
        <w:t xml:space="preserve"> for additional information on the Company's new debt structure as a result of the acquisition.</w:t>
      </w: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using our U.S. federal statutory rate of 21.0%.</w:t>
      </w:r>
    </w:p>
    <w:p>
      <w:pPr>
        <w:spacing w:after="0" w:line="24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unaudited pro forma information is not necessarily indicative of the results that the Company would have achieved had the transaction actually taken place at the beginning of Fiscal 2019, and the unaudited pro forma information does not purport to be indicative of future financial operating results. The unaudited pro forma condensed consolidated financial information does not reflect any operating efficiencies and cost savings that may be realized from the integration of the acquisition.</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Transaction costs related to the Newmar acquisition were $10.6 million, of which $10.0 million were expensed during the first quarter of Fiscal 2020 and $0.6 million were expensed during the fourth quarter of Fiscal 2019. Transaction costs are included in Selling, general, and administrative expenses in the accompanying Condensed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Business Segments</w:t>
      </w:r>
    </w:p>
    <w:p>
      <w:pPr>
        <w:spacing w:after="0" w:line="26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Company has six operating segments: 1) Grand Design towables, 2) Winnebago towables, 3) Winnebago motorhomes, 4) Newmar motorhomes, 5) Chris-Craft marine, and 6) Winnebago specialty vehicles. The Company evaluates performance based on each operating segment's Adjusted EBITDA, as defined below, which excludes certain corporate administration expenses and non-operating income and expense.</w:t>
      </w:r>
    </w:p>
    <w:p>
      <w:pPr>
        <w:spacing w:after="0" w:line="22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Company's two reportable segments include: 1) Towable (comprised of products which are not motorized and are generally towed by another vehicle as well as other related manufactured products and services), which is an aggregation of the Grand Design towables and the Winnebago towables operating segments and 2) Motorhome (comprised of products that include a motorized chassis as well as other related manufactured products and services), which is an aggregation of the Winnebago motorhomes and Newmar motorhomes operating segments.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Corporate / All Other category includes the Chris-Craft marine and Winnebago specialty vehicles operating segments as well as expenses related to certain corporate administration expenses for the oversight of the enterprise. These expenses include items such as corporate leadership and administration costs.</w:t>
      </w:r>
    </w:p>
    <w:p>
      <w:pPr>
        <w:spacing w:after="0" w:line="22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22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 xml:space="preserve">The Company's chief operating decision maker ("CODM") is its Chief Executive Officer. The Company's CODM relies on internal management reporting that analyzes consolidated results to the net earnings level and operating segment's Adjusted EBITDA. The Company's CODM has ultimate responsibility for enterprise decisions. The Company's CODM determines, in particular, resource allocation for, and monitors the performance of, the consolidated enterprise, the Towable segment, and the Motorhome segment. The operating segments' management have responsibility for operating decisions, allocating resources, and assessing performance within their respective segments. The accounting policies of both reportable segments are the same and are described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of the Notes to Consolidated Financial Statements included in the Company's Annual Report on Form 10-K for the fiscal year ended August 31, 2019.</w:t>
      </w:r>
    </w:p>
    <w:p>
      <w:pPr>
        <w:spacing w:after="0" w:line="235"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The Company evaluates the performance of its reportable segments based on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Examples of items excluded from Adjusted EBITDA include acquisition-related fair-value inventory step-up, acquisition-related costs, restructuring expenses, and non-operating income.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information by reportable segment: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30,</w:t>
            </w:r>
          </w:p>
        </w:tc>
        <w:tc>
          <w:tcPr>
            <w:tcW w:w="30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25,</w:t>
            </w:r>
          </w:p>
        </w:tc>
        <w:tc>
          <w:tcPr>
            <w:tcW w:w="32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30,</w:t>
            </w:r>
          </w:p>
        </w:tc>
        <w:tc>
          <w:tcPr>
            <w:tcW w:w="300" w:type="dxa"/>
            <w:vAlign w:val="bottom"/>
          </w:tcPr>
          <w:p>
            <w:pPr>
              <w:spacing w:after="0"/>
              <w:rPr>
                <w:sz w:val="17"/>
                <w:szCs w:val="17"/>
                <w:color w:val="auto"/>
              </w:rPr>
            </w:pPr>
          </w:p>
        </w:tc>
        <w:tc>
          <w:tcPr>
            <w:tcW w:w="132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25,</w:t>
            </w:r>
          </w:p>
        </w:tc>
      </w:tr>
      <w:tr>
        <w:trPr>
          <w:trHeight w:val="22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Towable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188,898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346,811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813,611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890,335</w:t>
            </w: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203,590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160,239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755,023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506,229</w:t>
            </w:r>
          </w:p>
        </w:tc>
      </w:tr>
      <w:tr>
        <w:trPr>
          <w:trHeight w:val="23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9,970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21,890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49,092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58,714</w:t>
            </w:r>
          </w:p>
        </w:tc>
      </w:tr>
      <w:tr>
        <w:trPr>
          <w:trHeight w:val="268"/>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Consolidated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402,458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528,940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1,617,726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1,455,278</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Towable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16,451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57,172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86,982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121,638</w:t>
            </w: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(10,789)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13,488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16,716</w:t>
            </w:r>
          </w:p>
        </w:tc>
      </w:tr>
      <w:tr>
        <w:trPr>
          <w:trHeight w:val="23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(1,588)</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(8,919)</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(9,539)</w:t>
            </w:r>
          </w:p>
        </w:tc>
      </w:tr>
      <w:tr>
        <w:trPr>
          <w:trHeight w:val="268"/>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Consolidated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55,874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91,551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128,815</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Towable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2,296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4,810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11,962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21,335</w:t>
            </w: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5,768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13,348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7,933</w:t>
            </w:r>
          </w:p>
        </w:tc>
      </w:tr>
      <w:tr>
        <w:trPr>
          <w:trHeight w:val="23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1,492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3,272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2,413</w:t>
            </w:r>
          </w:p>
        </w:tc>
      </w:tr>
      <w:tr>
        <w:trPr>
          <w:trHeight w:val="268"/>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Consolidated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9,556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8,315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28,582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31,681</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ind w:left="280"/>
              <w:spacing w:after="0"/>
              <w:rPr>
                <w:sz w:val="20"/>
                <w:szCs w:val="20"/>
                <w:color w:val="auto"/>
              </w:rPr>
            </w:pPr>
            <w:r>
              <w:rPr>
                <w:rFonts w:ascii="Arial" w:cs="Arial" w:eastAsia="Arial" w:hAnsi="Arial"/>
                <w:sz w:val="16"/>
                <w:szCs w:val="16"/>
                <w:b w:val="1"/>
                <w:bCs w:val="1"/>
                <w:color w:val="auto"/>
              </w:rPr>
              <w:t>May 30,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Towable</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652,351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628,994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620,425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332,157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20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260,264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143,080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Consolidated</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1,533,040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1,104,231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Reconciliation of net income to consolidated Adjusted EBITDA:</w:t>
            </w: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64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6"/>
          </w:tcPr>
          <w:p>
            <w:pPr>
              <w:jc w:val="right"/>
              <w:ind w:right="799"/>
              <w:spacing w:after="0"/>
              <w:rPr>
                <w:sz w:val="20"/>
                <w:szCs w:val="20"/>
                <w:color w:val="auto"/>
              </w:rPr>
            </w:pPr>
            <w:r>
              <w:rPr>
                <w:rFonts w:ascii="Arial" w:cs="Arial" w:eastAsia="Arial" w:hAnsi="Arial"/>
                <w:sz w:val="16"/>
                <w:szCs w:val="16"/>
                <w:b w:val="1"/>
                <w:bCs w:val="1"/>
                <w:color w:val="auto"/>
              </w:rPr>
              <w:t>Nine Months Ended</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May 30, 2020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25, 2019</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May 30, 2020</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May 25, 2019</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(12,353)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36,171</w:t>
            </w: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18,983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79,930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8,440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4,446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23,140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13,293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(Benefit) provision for income taxes</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(4,186)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8,717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3,702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18,609</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4,134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3,520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11,854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9,788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6,926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2,278</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18,514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7,204</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EBITDA</w:t>
            </w:r>
          </w:p>
        </w:tc>
        <w:tc>
          <w:tcPr>
            <w:tcW w:w="2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2,961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55,132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76,193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128,824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Acquisition-related fair-value inventory step-up</w:t>
            </w:r>
          </w:p>
        </w:tc>
        <w:tc>
          <w:tcPr>
            <w:tcW w:w="2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Acquisition-related costs</w:t>
            </w: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9,761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Restructuring expenses</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1,102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1,321</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Non-operating income</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(360)</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4,074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55,874</w:t>
            </w: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91,551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128,815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Derivatives,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 xml:space="preserve">The Company accounts for fair value measurements in accordance with Accounting Standards Codification ("ASC")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which defines fair value, establishes a framework for measurement, and expands disclosure about fair value measurement.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The Company's assessment of the significance of a particular item to the fair value measurement in its entirety requires judgment, including the consideration of inputs specific to the asset or liability.</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that are available in active markets for the identical assets or liabilities at the measurement date.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Other observable inputs available at the measurement date, other than quoted prices included in Level 1, either directly or indirectly, including:</w:t>
      </w:r>
    </w:p>
    <w:p>
      <w:pPr>
        <w:spacing w:after="0" w:line="21"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Quoted prices for similar assets or liabilities in active markets;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Quoted prices for identical or similar assets in nonactive markets;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other observable market data.</w:t>
      </w:r>
    </w:p>
    <w:p>
      <w:pPr>
        <w:spacing w:after="0" w:line="232"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cannot be corroborated by observable market data and reflect the use of significant management judgment. These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determined using pricing models for which the assumptions utilize management’s estimates of market participant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following tables set forth by level within the fair value hierarchy the Company's financial assets and liabilities that were accounted for at fair value on a recurring basis at May 30, 2020 and August 31, 2019 according to the valuation techniques the Company used to determine their fair values: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Fair Value at</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184"/>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May 30,</w:t>
            </w: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8"/>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9"/>
                <w:szCs w:val="19"/>
                <w:color w:val="auto"/>
              </w:rPr>
            </w:pPr>
          </w:p>
        </w:tc>
        <w:tc>
          <w:tcPr>
            <w:tcW w:w="1400" w:type="dxa"/>
            <w:vAlign w:val="bottom"/>
          </w:tcPr>
          <w:p>
            <w:pPr>
              <w:jc w:val="center"/>
              <w:ind w:right="1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9"/>
                <w:szCs w:val="19"/>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6"/>
                <w:szCs w:val="16"/>
                <w:b w:val="1"/>
                <w:bCs w:val="1"/>
                <w:color w:val="auto"/>
              </w:rPr>
              <w:t>Level 3</w:t>
            </w:r>
          </w:p>
        </w:tc>
      </w:tr>
      <w:tr>
        <w:trPr>
          <w:trHeight w:val="243"/>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22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Domestic equity funds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5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Fixed income funds</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4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 contracts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43"/>
        </w:trPr>
        <w:tc>
          <w:tcPr>
            <w:tcW w:w="4440" w:type="dxa"/>
            <w:vAlign w:val="bottom"/>
          </w:tcPr>
          <w:p>
            <w:pPr>
              <w:ind w:left="20"/>
              <w:spacing w:after="0"/>
              <w:rPr>
                <w:sz w:val="20"/>
                <w:szCs w:val="20"/>
                <w:color w:val="auto"/>
              </w:rPr>
            </w:pPr>
            <w:r>
              <w:rPr>
                <w:rFonts w:ascii="Arial" w:cs="Arial" w:eastAsia="Arial" w:hAnsi="Arial"/>
                <w:sz w:val="16"/>
                <w:szCs w:val="16"/>
                <w:color w:val="auto"/>
              </w:rPr>
              <w:t>Total assets at fair value</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1"/>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 Value at</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184"/>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August 31,</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8"/>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9"/>
                <w:szCs w:val="19"/>
                <w:color w:val="auto"/>
              </w:rPr>
            </w:pPr>
          </w:p>
        </w:tc>
        <w:tc>
          <w:tcPr>
            <w:tcW w:w="1380" w:type="dxa"/>
            <w:vAlign w:val="bottom"/>
          </w:tcPr>
          <w:p>
            <w:pPr>
              <w:jc w:val="center"/>
              <w:ind w:right="1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6"/>
                <w:szCs w:val="16"/>
                <w:b w:val="1"/>
                <w:bCs w:val="1"/>
                <w:color w:val="auto"/>
              </w:rPr>
              <w:t>Level 3</w:t>
            </w:r>
          </w:p>
        </w:tc>
      </w:tr>
      <w:tr>
        <w:trPr>
          <w:trHeight w:val="243"/>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22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Domestic equity funds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5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Fixed income funds</w:t>
            </w:r>
          </w:p>
        </w:tc>
        <w:tc>
          <w:tcPr>
            <w:tcW w:w="220" w:type="dxa"/>
            <w:vAlign w:val="bottom"/>
          </w:tcPr>
          <w:p>
            <w:pPr>
              <w:spacing w:after="0"/>
              <w:rPr>
                <w:sz w:val="20"/>
                <w:szCs w:val="20"/>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4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 contracts</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43"/>
        </w:trPr>
        <w:tc>
          <w:tcPr>
            <w:tcW w:w="4440" w:type="dxa"/>
            <w:vAlign w:val="bottom"/>
          </w:tcPr>
          <w:p>
            <w:pPr>
              <w:ind w:left="20"/>
              <w:spacing w:after="0"/>
              <w:rPr>
                <w:sz w:val="20"/>
                <w:szCs w:val="20"/>
                <w:color w:val="auto"/>
              </w:rPr>
            </w:pPr>
            <w:r>
              <w:rPr>
                <w:rFonts w:ascii="Arial" w:cs="Arial" w:eastAsia="Arial" w:hAnsi="Arial"/>
                <w:sz w:val="16"/>
                <w:szCs w:val="16"/>
                <w:color w:val="auto"/>
              </w:rPr>
              <w:t>Total assets at fair value</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719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6"/>
                <w:szCs w:val="16"/>
                <w:color w:val="auto"/>
              </w:rPr>
              <w:t>—</w:t>
            </w:r>
          </w:p>
        </w:tc>
      </w:tr>
      <w:tr>
        <w:trPr>
          <w:trHeight w:val="20"/>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The Company's assets that fund deferred compensation are marketable equity securities measured at fair value using quoted market prices and primarily consist of equity-based mutual funds. These securities are primarily classified as Level 1 as they are traded in an active market for which closing stock prices are readily available. These securities fund the Executive Share Option Plan and the Executive Deferred Compensation Plan. Refer to Note 10, </w:t>
      </w:r>
      <w:r>
        <w:rPr>
          <w:rFonts w:ascii="Arial" w:cs="Arial" w:eastAsia="Arial" w:hAnsi="Arial"/>
          <w:sz w:val="16"/>
          <w:szCs w:val="16"/>
          <w:i w:val="1"/>
          <w:iCs w:val="1"/>
          <w:color w:val="auto"/>
        </w:rPr>
        <w:t>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and Retiree Benefits</w:t>
      </w:r>
      <w:r>
        <w:rPr>
          <w:rFonts w:ascii="Arial" w:cs="Arial" w:eastAsia="Arial" w:hAnsi="Arial"/>
          <w:sz w:val="16"/>
          <w:szCs w:val="16"/>
          <w:color w:val="auto"/>
        </w:rPr>
        <w:t>, of the Notes to Consolidated Financial Statements included in our Annual Report on Form 10-K for the fiscal year ended August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for additional information regarding these plans.</w:t>
      </w:r>
    </w:p>
    <w:p>
      <w:pPr>
        <w:spacing w:after="0" w:line="230"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The proportion of the assets that will fund options which expire within a year are included in Prepaid expenses and other assets in the accompanying Condensed Consolidated Balance Sheets. The remaining assets are classified as non-current and are included in Other assets.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Contract</w:t>
      </w:r>
    </w:p>
    <w:p>
      <w:pPr>
        <w:spacing w:after="0" w:line="255" w:lineRule="exact"/>
        <w:rPr>
          <w:sz w:val="20"/>
          <w:szCs w:val="20"/>
          <w:color w:val="auto"/>
        </w:rPr>
      </w:pPr>
    </w:p>
    <w:p>
      <w:pPr>
        <w:ind w:right="180"/>
        <w:spacing w:after="0" w:line="221" w:lineRule="auto"/>
        <w:rPr>
          <w:sz w:val="20"/>
          <w:szCs w:val="20"/>
          <w:color w:val="auto"/>
        </w:rPr>
      </w:pPr>
      <w:r>
        <w:rPr>
          <w:rFonts w:ascii="Arial" w:cs="Arial" w:eastAsia="Arial" w:hAnsi="Arial"/>
          <w:sz w:val="16"/>
          <w:szCs w:val="16"/>
          <w:color w:val="auto"/>
        </w:rPr>
        <w:t>On March 6, 2020, the Company entered into an interest rate swap agreement for an incremental notional amount of $25 million to exchange floating for fixed rate interest payments for our LIBOR-based borrowings. The interest rate swap had a fair value of zero at inception, is effective March 10, 2020 and has been designated as a cash flow hedge. The interest rate swap agreement, with a maturity date of March 4, 2025, converts the Company's interest rate payments on $25 million of variable-rate, 1-month LIBOR-based debt to a fixed interest rate of 1.265%.</w:t>
      </w:r>
    </w:p>
    <w:p>
      <w:pPr>
        <w:spacing w:after="0" w:line="213" w:lineRule="exact"/>
        <w:rPr>
          <w:sz w:val="20"/>
          <w:szCs w:val="20"/>
          <w:color w:val="auto"/>
        </w:rPr>
      </w:pPr>
    </w:p>
    <w:p>
      <w:pPr>
        <w:ind w:right="60"/>
        <w:spacing w:after="0" w:line="221" w:lineRule="auto"/>
        <w:rPr>
          <w:sz w:val="20"/>
          <w:szCs w:val="20"/>
          <w:color w:val="auto"/>
        </w:rPr>
      </w:pPr>
      <w:r>
        <w:rPr>
          <w:rFonts w:ascii="Arial" w:cs="Arial" w:eastAsia="Arial" w:hAnsi="Arial"/>
          <w:sz w:val="16"/>
          <w:szCs w:val="16"/>
          <w:color w:val="auto"/>
        </w:rPr>
        <w:t>On March 2, 2020, the Company entered into an interest rate swap agreement for an incremental notional amount of $25 million to exchange floating for fixed rate interest payments for our LIBOR-based borrowings. The interest rate swap had a fair value of zero at inception, is effective March 4, 2020 and has been designated as a cash flow hedge. The interest rate swap agreement, with a maturity date of March 4, 2025, converts the Company's interest rate payments on $25 million of variable-rate, 1-month LIBOR-based debt to a fixed interest rate of 1.364%.</w:t>
      </w:r>
    </w:p>
    <w:p>
      <w:pPr>
        <w:spacing w:after="0" w:line="22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On January 23, 2017, the Company entered into an interest rate swap contract, which effectively fixed the interest rate on the $300.0 million term loan agreement ("Term Loan") for a notional amount that reduced each December during the swap contract. As of August 31, 2019, the Company had $120.0 million of the Term Loan fixed at an interest rate of 5.32%. In the first quarter of Fiscal 2020, the Company exited the swap contract prior to its expiration on December 8, 2020.</w:t>
      </w:r>
    </w:p>
    <w:p>
      <w:pPr>
        <w:spacing w:after="0" w:line="229"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fair value of the interest rate swap is classified as Level 2 as it is determined based on observable market data. The asset is included in Other assets and the liability is included in Other non-current liabilities on the Condensed Consolidated Balance Sheets.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change in value is recorded to Accumulated other comprehensive loss on the Condensed Consolidated Balance Sheets since the interest rate swap is designated for hedge accounting. These circumstances were similar for the swap that was exited during the first quarter of Fiscal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6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Company's non-financial assets, which include goodwill, intangible assets, and property, plant and equipment, are not required to be measured at fair value on a recurring basis. However, if certain triggering events occur, or if an annual impairment test is required, the Company must evaluate the non-financial asset for impairment. If an impairment has occurred, the asset is required to be recorded at the estimated fair value. No impairments were recorded for non-financial assets in the third quarter of Fiscal 2020 or the third quarter of Fiscal 2019.</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Company's financial instruments, other than those presented in the disclosures above, include cash, receivables, accounts payable, other payables, and long-term debt. The fair values of cash, receivables, accounts payable, and other payables approximated carrying values because of the short-term nature of these instruments. If these instruments were measured at fair value in the financial statements, they would be classified as Level 1 in the fair value hierarchy. See Note 9, </w:t>
      </w:r>
      <w:r>
        <w:rPr>
          <w:rFonts w:ascii="Arial" w:cs="Arial" w:eastAsia="Arial" w:hAnsi="Arial"/>
          <w:sz w:val="16"/>
          <w:szCs w:val="16"/>
          <w:i w:val="1"/>
          <w:iCs w:val="1"/>
          <w:color w:val="auto"/>
        </w:rPr>
        <w:t>Long-Term Debt</w:t>
      </w:r>
      <w:r>
        <w:rPr>
          <w:rFonts w:ascii="Arial" w:cs="Arial" w:eastAsia="Arial" w:hAnsi="Arial"/>
          <w:sz w:val="16"/>
          <w:szCs w:val="16"/>
          <w:color w:val="auto"/>
        </w:rPr>
        <w:t>, for information about the fair value of our long-term debt.</w:t>
      </w:r>
    </w:p>
    <w:p>
      <w:pPr>
        <w:sectPr>
          <w:pgSz w:w="11900" w:h="16838" w:orient="portrait"/>
          <w:cols w:equalWidth="0" w:num="1">
            <w:col w:w="11240"/>
          </w:cols>
          <w:pgMar w:left="320" w:top="141" w:right="339" w:bottom="1440" w:gutter="0" w:footer="0" w:header="0"/>
        </w:sect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20"/>
                <w:szCs w:val="20"/>
                <w:color w:val="auto"/>
              </w:rPr>
            </w:pPr>
            <w:r>
              <w:rPr>
                <w:rFonts w:ascii="Arial" w:cs="Arial" w:eastAsia="Arial" w:hAnsi="Arial"/>
                <w:sz w:val="16"/>
                <w:szCs w:val="16"/>
                <w:b w:val="1"/>
                <w:bCs w:val="1"/>
                <w:color w:val="auto"/>
              </w:rPr>
              <w:t>Note 5: Inventories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90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ind w:right="239"/>
              <w:spacing w:after="0"/>
              <w:rPr>
                <w:sz w:val="20"/>
                <w:szCs w:val="20"/>
                <w:color w:val="auto"/>
              </w:rPr>
            </w:pPr>
            <w:r>
              <w:rPr>
                <w:rFonts w:ascii="Arial" w:cs="Arial" w:eastAsia="Arial" w:hAnsi="Arial"/>
                <w:sz w:val="16"/>
                <w:szCs w:val="16"/>
                <w:b w:val="1"/>
                <w:bCs w:val="1"/>
                <w:color w:val="auto"/>
              </w:rPr>
              <w:t>May 30,</w:t>
            </w:r>
          </w:p>
        </w:tc>
        <w:tc>
          <w:tcPr>
            <w:tcW w:w="0" w:type="dxa"/>
            <w:vAlign w:val="bottom"/>
          </w:tcPr>
          <w:p>
            <w:pPr>
              <w:spacing w:after="0"/>
              <w:rPr>
                <w:sz w:val="1"/>
                <w:szCs w:val="1"/>
                <w:color w:val="auto"/>
              </w:rPr>
            </w:pPr>
          </w:p>
        </w:tc>
      </w:tr>
      <w:tr>
        <w:trPr>
          <w:trHeight w:val="228"/>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4"/>
        </w:trPr>
        <w:tc>
          <w:tcPr>
            <w:tcW w:w="790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39,071</w:t>
            </w: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300" w:type="dxa"/>
            <w:vAlign w:val="bottom"/>
          </w:tcPr>
          <w:p>
            <w:pPr>
              <w:spacing w:after="0"/>
              <w:rPr>
                <w:sz w:val="21"/>
                <w:szCs w:val="21"/>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80,828</w:t>
            </w:r>
          </w:p>
        </w:tc>
        <w:tc>
          <w:tcPr>
            <w:tcW w:w="0" w:type="dxa"/>
            <w:vAlign w:val="bottom"/>
          </w:tcPr>
          <w:p>
            <w:pPr>
              <w:spacing w:after="0"/>
              <w:rPr>
                <w:sz w:val="1"/>
                <w:szCs w:val="1"/>
                <w:color w:val="auto"/>
              </w:rPr>
            </w:pPr>
          </w:p>
        </w:tc>
      </w:tr>
      <w:tr>
        <w:trPr>
          <w:trHeight w:val="256"/>
        </w:trPr>
        <w:tc>
          <w:tcPr>
            <w:tcW w:w="790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112,930</w:t>
            </w:r>
          </w:p>
        </w:tc>
        <w:tc>
          <w:tcPr>
            <w:tcW w:w="0" w:type="dxa"/>
            <w:vAlign w:val="bottom"/>
          </w:tcPr>
          <w:p>
            <w:pPr>
              <w:spacing w:after="0"/>
              <w:rPr>
                <w:sz w:val="1"/>
                <w:szCs w:val="1"/>
                <w:color w:val="auto"/>
              </w:rPr>
            </w:pPr>
          </w:p>
        </w:tc>
      </w:tr>
      <w:tr>
        <w:trPr>
          <w:trHeight w:val="224"/>
        </w:trPr>
        <w:tc>
          <w:tcPr>
            <w:tcW w:w="7900" w:type="dxa"/>
            <w:vAlign w:val="bottom"/>
          </w:tcPr>
          <w:p>
            <w:pPr>
              <w:ind w:left="120"/>
              <w:spacing w:after="0"/>
              <w:rPr>
                <w:sz w:val="20"/>
                <w:szCs w:val="20"/>
                <w:color w:val="auto"/>
              </w:rPr>
            </w:pPr>
            <w:r>
              <w:rPr>
                <w:rFonts w:ascii="Arial" w:cs="Arial" w:eastAsia="Arial" w:hAnsi="Arial"/>
                <w:sz w:val="16"/>
                <w:szCs w:val="16"/>
                <w:color w:val="auto"/>
              </w:rPr>
              <w:t>Total</w:t>
            </w:r>
          </w:p>
        </w:tc>
        <w:tc>
          <w:tcPr>
            <w:tcW w:w="30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232,829</w:t>
            </w:r>
          </w:p>
        </w:tc>
        <w:tc>
          <w:tcPr>
            <w:tcW w:w="0" w:type="dxa"/>
            <w:vAlign w:val="bottom"/>
          </w:tcPr>
          <w:p>
            <w:pPr>
              <w:spacing w:after="0"/>
              <w:rPr>
                <w:sz w:val="1"/>
                <w:szCs w:val="1"/>
                <w:color w:val="auto"/>
              </w:rPr>
            </w:pPr>
          </w:p>
        </w:tc>
      </w:tr>
      <w:tr>
        <w:trPr>
          <w:trHeight w:val="256"/>
        </w:trPr>
        <w:tc>
          <w:tcPr>
            <w:tcW w:w="7900" w:type="dxa"/>
            <w:vAlign w:val="bottom"/>
          </w:tcPr>
          <w:p>
            <w:pPr>
              <w:ind w:left="20"/>
              <w:spacing w:after="0"/>
              <w:rPr>
                <w:sz w:val="20"/>
                <w:szCs w:val="20"/>
                <w:color w:val="auto"/>
              </w:rPr>
            </w:pPr>
            <w:r>
              <w:rPr>
                <w:rFonts w:ascii="Arial" w:cs="Arial" w:eastAsia="Arial" w:hAnsi="Arial"/>
                <w:sz w:val="16"/>
                <w:szCs w:val="16"/>
                <w:color w:val="auto"/>
              </w:rPr>
              <w:t>Less last-in, first-out ("LIFO") reserve</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42,470</w:t>
            </w:r>
          </w:p>
        </w:tc>
        <w:tc>
          <w:tcPr>
            <w:tcW w:w="0" w:type="dxa"/>
            <w:vAlign w:val="bottom"/>
          </w:tcPr>
          <w:p>
            <w:pPr>
              <w:spacing w:after="0"/>
              <w:rPr>
                <w:sz w:val="1"/>
                <w:szCs w:val="1"/>
                <w:color w:val="auto"/>
              </w:rPr>
            </w:pPr>
          </w:p>
        </w:tc>
      </w:tr>
      <w:tr>
        <w:trPr>
          <w:trHeight w:val="243"/>
        </w:trPr>
        <w:tc>
          <w:tcPr>
            <w:tcW w:w="7900" w:type="dxa"/>
            <w:vAlign w:val="bottom"/>
          </w:tcPr>
          <w:p>
            <w:pPr>
              <w:ind w:left="120"/>
              <w:spacing w:after="0"/>
              <w:rPr>
                <w:sz w:val="20"/>
                <w:szCs w:val="20"/>
                <w:color w:val="auto"/>
              </w:rPr>
            </w:pPr>
            <w:r>
              <w:rPr>
                <w:rFonts w:ascii="Arial" w:cs="Arial" w:eastAsia="Arial" w:hAnsi="Arial"/>
                <w:sz w:val="16"/>
                <w:szCs w:val="16"/>
                <w:color w:val="auto"/>
              </w:rPr>
              <w:t>Inventories, net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190,359</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7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ind w:right="239"/>
              <w:spacing w:after="0"/>
              <w:rPr>
                <w:sz w:val="20"/>
                <w:szCs w:val="20"/>
                <w:color w:val="auto"/>
              </w:rPr>
            </w:pPr>
            <w:r>
              <w:rPr>
                <w:rFonts w:ascii="Arial" w:cs="Arial" w:eastAsia="Arial" w:hAnsi="Arial"/>
                <w:sz w:val="16"/>
                <w:szCs w:val="16"/>
                <w:b w:val="1"/>
                <w:bCs w:val="1"/>
                <w:color w:val="auto"/>
              </w:rPr>
              <w:t>May 30,</w:t>
            </w:r>
          </w:p>
        </w:tc>
        <w:tc>
          <w:tcPr>
            <w:tcW w:w="0" w:type="dxa"/>
            <w:vAlign w:val="bottom"/>
          </w:tcPr>
          <w:p>
            <w:pPr>
              <w:spacing w:after="0"/>
              <w:rPr>
                <w:sz w:val="1"/>
                <w:szCs w:val="1"/>
                <w:color w:val="auto"/>
              </w:rPr>
            </w:pPr>
          </w:p>
        </w:tc>
      </w:tr>
      <w:tr>
        <w:trPr>
          <w:trHeight w:val="228"/>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color w:val="auto"/>
              </w:rPr>
              <w:t>LIFO basis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136,939</w:t>
            </w:r>
          </w:p>
        </w:tc>
        <w:tc>
          <w:tcPr>
            <w:tcW w:w="0" w:type="dxa"/>
            <w:vAlign w:val="bottom"/>
          </w:tcPr>
          <w:p>
            <w:pPr>
              <w:spacing w:after="0"/>
              <w:rPr>
                <w:sz w:val="1"/>
                <w:szCs w:val="1"/>
                <w:color w:val="auto"/>
              </w:rPr>
            </w:pPr>
          </w:p>
        </w:tc>
      </w:tr>
      <w:tr>
        <w:trPr>
          <w:trHeight w:val="256"/>
        </w:trPr>
        <w:tc>
          <w:tcPr>
            <w:tcW w:w="7900" w:type="dxa"/>
            <w:vAlign w:val="bottom"/>
          </w:tcPr>
          <w:p>
            <w:pPr>
              <w:ind w:left="20"/>
              <w:spacing w:after="0"/>
              <w:rPr>
                <w:sz w:val="20"/>
                <w:szCs w:val="20"/>
                <w:color w:val="auto"/>
              </w:rPr>
            </w:pPr>
            <w:r>
              <w:rPr>
                <w:rFonts w:ascii="Arial" w:cs="Arial" w:eastAsia="Arial" w:hAnsi="Arial"/>
                <w:sz w:val="16"/>
                <w:szCs w:val="16"/>
                <w:color w:val="auto"/>
              </w:rPr>
              <w:t>First-in, first-out basis</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95,890</w:t>
            </w:r>
          </w:p>
        </w:tc>
        <w:tc>
          <w:tcPr>
            <w:tcW w:w="0" w:type="dxa"/>
            <w:vAlign w:val="bottom"/>
          </w:tcPr>
          <w:p>
            <w:pPr>
              <w:spacing w:after="0"/>
              <w:rPr>
                <w:sz w:val="1"/>
                <w:szCs w:val="1"/>
                <w:color w:val="auto"/>
              </w:rPr>
            </w:pPr>
          </w:p>
        </w:tc>
      </w:tr>
      <w:tr>
        <w:trPr>
          <w:trHeight w:val="243"/>
        </w:trPr>
        <w:tc>
          <w:tcPr>
            <w:tcW w:w="7900" w:type="dxa"/>
            <w:vAlign w:val="bottom"/>
          </w:tcPr>
          <w:p>
            <w:pPr>
              <w:ind w:left="1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232,829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-1816735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-1499235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-2133600</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30,</w:t>
            </w:r>
          </w:p>
        </w:tc>
      </w:tr>
      <w:tr>
        <w:trPr>
          <w:trHeight w:val="228"/>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24"/>
        </w:trPr>
        <w:tc>
          <w:tcPr>
            <w:tcW w:w="7900" w:type="dxa"/>
            <w:vAlign w:val="bottom"/>
          </w:tcPr>
          <w:p>
            <w:pPr>
              <w:ind w:left="20"/>
              <w:spacing w:after="0"/>
              <w:rPr>
                <w:sz w:val="20"/>
                <w:szCs w:val="20"/>
                <w:color w:val="auto"/>
              </w:rPr>
            </w:pPr>
            <w:r>
              <w:rPr>
                <w:rFonts w:ascii="Arial" w:cs="Arial" w:eastAsia="Arial" w:hAnsi="Arial"/>
                <w:sz w:val="16"/>
                <w:szCs w:val="16"/>
                <w:color w:val="auto"/>
              </w:rPr>
              <w:t>Land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10,894</w:t>
            </w:r>
          </w:p>
        </w:tc>
      </w:tr>
      <w:tr>
        <w:trPr>
          <w:trHeight w:val="243"/>
        </w:trPr>
        <w:tc>
          <w:tcPr>
            <w:tcW w:w="7900" w:type="dxa"/>
            <w:vAlign w:val="bottom"/>
          </w:tcPr>
          <w:p>
            <w:pPr>
              <w:ind w:left="20"/>
              <w:spacing w:after="0"/>
              <w:rPr>
                <w:sz w:val="20"/>
                <w:szCs w:val="20"/>
                <w:color w:val="auto"/>
              </w:rPr>
            </w:pPr>
            <w:r>
              <w:rPr>
                <w:rFonts w:ascii="Arial" w:cs="Arial" w:eastAsia="Arial" w:hAnsi="Arial"/>
                <w:sz w:val="16"/>
                <w:szCs w:val="16"/>
                <w:color w:val="auto"/>
              </w:rPr>
              <w:t>Buildings and building improvements</w:t>
            </w:r>
          </w:p>
        </w:tc>
        <w:tc>
          <w:tcPr>
            <w:tcW w:w="300" w:type="dxa"/>
            <w:vAlign w:val="bottom"/>
          </w:tcPr>
          <w:p>
            <w:pPr>
              <w:spacing w:after="0"/>
              <w:rPr>
                <w:sz w:val="21"/>
                <w:szCs w:val="21"/>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165,424</w:t>
            </w:r>
          </w:p>
        </w:tc>
      </w:tr>
      <w:tr>
        <w:trPr>
          <w:trHeight w:val="243"/>
        </w:trPr>
        <w:tc>
          <w:tcPr>
            <w:tcW w:w="7900" w:type="dxa"/>
            <w:vAlign w:val="bottom"/>
          </w:tcPr>
          <w:p>
            <w:pPr>
              <w:ind w:left="20"/>
              <w:spacing w:after="0"/>
              <w:rPr>
                <w:sz w:val="20"/>
                <w:szCs w:val="20"/>
                <w:color w:val="auto"/>
              </w:rPr>
            </w:pPr>
            <w:r>
              <w:rPr>
                <w:rFonts w:ascii="Arial" w:cs="Arial" w:eastAsia="Arial" w:hAnsi="Arial"/>
                <w:sz w:val="16"/>
                <w:szCs w:val="16"/>
                <w:color w:val="auto"/>
              </w:rPr>
              <w:t>Machinery and equipment</w:t>
            </w:r>
          </w:p>
        </w:tc>
        <w:tc>
          <w:tcPr>
            <w:tcW w:w="300" w:type="dxa"/>
            <w:vAlign w:val="bottom"/>
          </w:tcPr>
          <w:p>
            <w:pPr>
              <w:spacing w:after="0"/>
              <w:rPr>
                <w:sz w:val="21"/>
                <w:szCs w:val="21"/>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114,127</w:t>
            </w:r>
          </w:p>
        </w:tc>
      </w:tr>
      <w:tr>
        <w:trPr>
          <w:trHeight w:val="243"/>
        </w:trPr>
        <w:tc>
          <w:tcPr>
            <w:tcW w:w="7900" w:type="dxa"/>
            <w:vAlign w:val="bottom"/>
          </w:tcPr>
          <w:p>
            <w:pPr>
              <w:ind w:left="20"/>
              <w:spacing w:after="0"/>
              <w:rPr>
                <w:sz w:val="20"/>
                <w:szCs w:val="20"/>
                <w:color w:val="auto"/>
              </w:rPr>
            </w:pPr>
            <w:r>
              <w:rPr>
                <w:rFonts w:ascii="Arial" w:cs="Arial" w:eastAsia="Arial" w:hAnsi="Arial"/>
                <w:sz w:val="16"/>
                <w:szCs w:val="16"/>
                <w:color w:val="auto"/>
              </w:rPr>
              <w:t>Software</w:t>
            </w:r>
          </w:p>
        </w:tc>
        <w:tc>
          <w:tcPr>
            <w:tcW w:w="300" w:type="dxa"/>
            <w:vAlign w:val="bottom"/>
          </w:tcPr>
          <w:p>
            <w:pPr>
              <w:spacing w:after="0"/>
              <w:rPr>
                <w:sz w:val="21"/>
                <w:szCs w:val="21"/>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29,622</w:t>
            </w:r>
          </w:p>
        </w:tc>
      </w:tr>
      <w:tr>
        <w:trPr>
          <w:trHeight w:val="256"/>
        </w:trPr>
        <w:tc>
          <w:tcPr>
            <w:tcW w:w="7900" w:type="dxa"/>
            <w:vAlign w:val="bottom"/>
          </w:tcPr>
          <w:p>
            <w:pPr>
              <w:ind w:left="20"/>
              <w:spacing w:after="0"/>
              <w:rPr>
                <w:sz w:val="20"/>
                <w:szCs w:val="20"/>
                <w:color w:val="auto"/>
              </w:rPr>
            </w:pPr>
            <w:r>
              <w:rPr>
                <w:rFonts w:ascii="Arial" w:cs="Arial" w:eastAsia="Arial" w:hAnsi="Arial"/>
                <w:sz w:val="16"/>
                <w:szCs w:val="16"/>
                <w:color w:val="auto"/>
              </w:rPr>
              <w:t>Transportation</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4,272</w:t>
            </w:r>
          </w:p>
        </w:tc>
      </w:tr>
      <w:tr>
        <w:trPr>
          <w:trHeight w:val="224"/>
        </w:trPr>
        <w:tc>
          <w:tcPr>
            <w:tcW w:w="7900" w:type="dxa"/>
            <w:vAlign w:val="bottom"/>
          </w:tcPr>
          <w:p>
            <w:pPr>
              <w:ind w:left="120"/>
              <w:spacing w:after="0"/>
              <w:rPr>
                <w:sz w:val="20"/>
                <w:szCs w:val="20"/>
                <w:color w:val="auto"/>
              </w:rPr>
            </w:pPr>
            <w:r>
              <w:rPr>
                <w:rFonts w:ascii="Arial" w:cs="Arial" w:eastAsia="Arial" w:hAnsi="Arial"/>
                <w:sz w:val="16"/>
                <w:szCs w:val="16"/>
                <w:color w:val="auto"/>
              </w:rPr>
              <w:t>Property, plant, and equipment, gross</w:t>
            </w:r>
          </w:p>
        </w:tc>
        <w:tc>
          <w:tcPr>
            <w:tcW w:w="30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324,339</w:t>
            </w:r>
          </w:p>
        </w:tc>
      </w:tr>
      <w:tr>
        <w:trPr>
          <w:trHeight w:val="256"/>
        </w:trPr>
        <w:tc>
          <w:tcPr>
            <w:tcW w:w="790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148,908</w:t>
            </w:r>
          </w:p>
        </w:tc>
      </w:tr>
      <w:tr>
        <w:trPr>
          <w:trHeight w:val="243"/>
        </w:trPr>
        <w:tc>
          <w:tcPr>
            <w:tcW w:w="7900" w:type="dxa"/>
            <w:vAlign w:val="bottom"/>
          </w:tcPr>
          <w:p>
            <w:pPr>
              <w:ind w:left="1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175,431</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August 31,</w:t>
      </w:r>
    </w:p>
    <w:p>
      <w:pPr>
        <w:spacing w:after="0" w:line="25"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2019</w:t>
      </w:r>
    </w:p>
    <w:p>
      <w:pPr>
        <w:spacing w:after="0" w:line="73" w:lineRule="exact"/>
        <w:rPr>
          <w:sz w:val="20"/>
          <w:szCs w:val="20"/>
          <w:color w:val="auto"/>
        </w:rPr>
      </w:pPr>
    </w:p>
    <w:p>
      <w:pPr>
        <w:ind w:left="962" w:hanging="962"/>
        <w:spacing w:after="0"/>
        <w:tabs>
          <w:tab w:leader="none" w:pos="962" w:val="left"/>
        </w:tabs>
        <w:numPr>
          <w:ilvl w:val="0"/>
          <w:numId w:val="4"/>
        </w:numPr>
        <w:rPr>
          <w:rFonts w:ascii="Arial" w:cs="Arial" w:eastAsia="Arial" w:hAnsi="Arial"/>
          <w:sz w:val="15"/>
          <w:szCs w:val="15"/>
          <w:color w:val="auto"/>
        </w:rPr>
      </w:pPr>
      <w:r>
        <w:rPr>
          <w:rFonts w:ascii="Arial" w:cs="Arial" w:eastAsia="Arial" w:hAnsi="Arial"/>
          <w:sz w:val="15"/>
          <w:szCs w:val="15"/>
          <w:color w:val="auto"/>
        </w:rPr>
        <w:t>53,417</w:t>
      </w:r>
    </w:p>
    <w:p>
      <w:pPr>
        <w:spacing w:after="0" w:line="70" w:lineRule="exact"/>
        <w:rPr>
          <w:rFonts w:ascii="Arial" w:cs="Arial" w:eastAsia="Arial" w:hAnsi="Arial"/>
          <w:sz w:val="15"/>
          <w:szCs w:val="15"/>
          <w:color w:val="auto"/>
        </w:rPr>
      </w:pPr>
    </w:p>
    <w:p>
      <w:pPr>
        <w:ind w:left="962"/>
        <w:spacing w:after="0"/>
        <w:rPr>
          <w:rFonts w:ascii="Arial" w:cs="Arial" w:eastAsia="Arial" w:hAnsi="Arial"/>
          <w:sz w:val="15"/>
          <w:szCs w:val="15"/>
          <w:color w:val="auto"/>
        </w:rPr>
      </w:pPr>
      <w:r>
        <w:rPr>
          <w:rFonts w:ascii="Arial" w:cs="Arial" w:eastAsia="Arial" w:hAnsi="Arial"/>
          <w:sz w:val="15"/>
          <w:szCs w:val="15"/>
          <w:color w:val="auto"/>
        </w:rPr>
        <w:t>82,926</w:t>
      </w:r>
    </w:p>
    <w:p>
      <w:pPr>
        <w:spacing w:after="0" w:line="71"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105,804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28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53"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242,147</w:t>
      </w:r>
    </w:p>
    <w:p>
      <w:pPr>
        <w:spacing w:after="0" w:line="59"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41,021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28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53" w:lineRule="exact"/>
        <w:rPr>
          <w:sz w:val="20"/>
          <w:szCs w:val="20"/>
          <w:color w:val="auto"/>
        </w:rPr>
      </w:pPr>
    </w:p>
    <w:p>
      <w:pPr>
        <w:ind w:left="862" w:hanging="862"/>
        <w:spacing w:after="0"/>
        <w:tabs>
          <w:tab w:leader="none" w:pos="862" w:val="left"/>
        </w:tabs>
        <w:numPr>
          <w:ilvl w:val="0"/>
          <w:numId w:val="5"/>
        </w:numPr>
        <w:rPr>
          <w:rFonts w:ascii="Arial" w:cs="Arial" w:eastAsia="Arial" w:hAnsi="Arial"/>
          <w:sz w:val="16"/>
          <w:szCs w:val="16"/>
          <w:color w:val="auto"/>
        </w:rPr>
      </w:pPr>
      <w:r>
        <w:rPr>
          <w:rFonts w:ascii="Arial" w:cs="Arial" w:eastAsia="Arial" w:hAnsi="Arial"/>
          <w:sz w:val="16"/>
          <w:szCs w:val="16"/>
          <w:color w:val="auto"/>
        </w:rPr>
        <w:t>201,126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28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45085</wp:posOffset>
            </wp:positionV>
            <wp:extent cx="1028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August 31,</w:t>
      </w:r>
    </w:p>
    <w:p>
      <w:pPr>
        <w:spacing w:after="0" w:line="25"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2019</w:t>
      </w:r>
    </w:p>
    <w:p>
      <w:pPr>
        <w:spacing w:after="0" w:line="73" w:lineRule="exact"/>
        <w:rPr>
          <w:sz w:val="20"/>
          <w:szCs w:val="20"/>
          <w:color w:val="auto"/>
        </w:rPr>
      </w:pPr>
    </w:p>
    <w:p>
      <w:pPr>
        <w:ind w:left="862" w:hanging="862"/>
        <w:spacing w:after="0"/>
        <w:tabs>
          <w:tab w:leader="none" w:pos="862" w:val="left"/>
        </w:tabs>
        <w:numPr>
          <w:ilvl w:val="0"/>
          <w:numId w:val="6"/>
        </w:numPr>
        <w:rPr>
          <w:rFonts w:ascii="Arial" w:cs="Arial" w:eastAsia="Arial" w:hAnsi="Arial"/>
          <w:sz w:val="16"/>
          <w:szCs w:val="16"/>
          <w:color w:val="auto"/>
        </w:rPr>
      </w:pPr>
      <w:r>
        <w:rPr>
          <w:rFonts w:ascii="Arial" w:cs="Arial" w:eastAsia="Arial" w:hAnsi="Arial"/>
          <w:sz w:val="16"/>
          <w:szCs w:val="16"/>
          <w:color w:val="auto"/>
        </w:rPr>
        <w:t>184,007</w:t>
      </w:r>
    </w:p>
    <w:p>
      <w:pPr>
        <w:spacing w:after="0" w:line="59" w:lineRule="exact"/>
        <w:rPr>
          <w:rFonts w:ascii="Arial" w:cs="Arial" w:eastAsia="Arial" w:hAnsi="Arial"/>
          <w:sz w:val="16"/>
          <w:szCs w:val="16"/>
          <w:color w:val="auto"/>
        </w:rPr>
      </w:pPr>
    </w:p>
    <w:p>
      <w:pPr>
        <w:ind w:left="962"/>
        <w:spacing w:after="0"/>
        <w:rPr>
          <w:rFonts w:ascii="Arial" w:cs="Arial" w:eastAsia="Arial" w:hAnsi="Arial"/>
          <w:sz w:val="16"/>
          <w:szCs w:val="16"/>
          <w:color w:val="auto"/>
        </w:rPr>
      </w:pPr>
      <w:r>
        <w:rPr>
          <w:rFonts w:ascii="Arial" w:cs="Arial" w:eastAsia="Arial" w:hAnsi="Arial"/>
          <w:sz w:val="15"/>
          <w:szCs w:val="15"/>
          <w:color w:val="auto"/>
        </w:rPr>
        <w:t>58,140</w:t>
      </w:r>
    </w:p>
    <w:p>
      <w:pPr>
        <w:spacing w:after="0" w:line="84" w:lineRule="exact"/>
        <w:rPr>
          <w:sz w:val="20"/>
          <w:szCs w:val="20"/>
          <w:color w:val="auto"/>
        </w:rPr>
      </w:pPr>
    </w:p>
    <w:p>
      <w:pPr>
        <w:ind w:left="862" w:hanging="862"/>
        <w:spacing w:after="0"/>
        <w:tabs>
          <w:tab w:leader="none" w:pos="862" w:val="left"/>
        </w:tabs>
        <w:numPr>
          <w:ilvl w:val="0"/>
          <w:numId w:val="7"/>
        </w:numPr>
        <w:rPr>
          <w:rFonts w:ascii="Arial" w:cs="Arial" w:eastAsia="Arial" w:hAnsi="Arial"/>
          <w:sz w:val="16"/>
          <w:szCs w:val="16"/>
          <w:color w:val="auto"/>
        </w:rPr>
      </w:pPr>
      <w:r>
        <w:rPr>
          <w:rFonts w:ascii="Arial" w:cs="Arial" w:eastAsia="Arial" w:hAnsi="Arial"/>
          <w:sz w:val="16"/>
          <w:szCs w:val="16"/>
          <w:color w:val="auto"/>
        </w:rPr>
        <w:t>242,147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45085</wp:posOffset>
            </wp:positionV>
            <wp:extent cx="1028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August 31,</w:t>
      </w:r>
    </w:p>
    <w:p>
      <w:pPr>
        <w:spacing w:after="0" w:line="25"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2019</w:t>
      </w:r>
    </w:p>
    <w:p>
      <w:pPr>
        <w:spacing w:after="0" w:line="73" w:lineRule="exact"/>
        <w:rPr>
          <w:sz w:val="20"/>
          <w:szCs w:val="20"/>
          <w:color w:val="auto"/>
        </w:rPr>
      </w:pPr>
    </w:p>
    <w:p>
      <w:pPr>
        <w:ind w:left="1042" w:hanging="1042"/>
        <w:spacing w:after="0"/>
        <w:tabs>
          <w:tab w:leader="none" w:pos="1042" w:val="left"/>
        </w:tabs>
        <w:numPr>
          <w:ilvl w:val="0"/>
          <w:numId w:val="8"/>
        </w:numPr>
        <w:rPr>
          <w:rFonts w:ascii="Arial" w:cs="Arial" w:eastAsia="Arial" w:hAnsi="Arial"/>
          <w:sz w:val="15"/>
          <w:szCs w:val="15"/>
          <w:color w:val="auto"/>
        </w:rPr>
      </w:pPr>
      <w:r>
        <w:rPr>
          <w:rFonts w:ascii="Arial" w:cs="Arial" w:eastAsia="Arial" w:hAnsi="Arial"/>
          <w:sz w:val="15"/>
          <w:szCs w:val="15"/>
          <w:color w:val="auto"/>
        </w:rPr>
        <w:t>6,799</w:t>
      </w:r>
    </w:p>
    <w:p>
      <w:pPr>
        <w:spacing w:after="0" w:line="70" w:lineRule="exact"/>
        <w:rPr>
          <w:rFonts w:ascii="Arial" w:cs="Arial" w:eastAsia="Arial" w:hAnsi="Arial"/>
          <w:sz w:val="15"/>
          <w:szCs w:val="15"/>
          <w:color w:val="auto"/>
        </w:rPr>
      </w:pPr>
    </w:p>
    <w:p>
      <w:pPr>
        <w:ind w:left="862"/>
        <w:spacing w:after="0"/>
        <w:rPr>
          <w:rFonts w:ascii="Arial" w:cs="Arial" w:eastAsia="Arial" w:hAnsi="Arial"/>
          <w:sz w:val="15"/>
          <w:szCs w:val="15"/>
          <w:color w:val="auto"/>
        </w:rPr>
      </w:pPr>
      <w:r>
        <w:rPr>
          <w:rFonts w:ascii="Arial" w:cs="Arial" w:eastAsia="Arial" w:hAnsi="Arial"/>
          <w:sz w:val="16"/>
          <w:szCs w:val="16"/>
          <w:color w:val="auto"/>
        </w:rPr>
        <w:t>119,638</w:t>
      </w:r>
    </w:p>
    <w:p>
      <w:pPr>
        <w:spacing w:after="0" w:line="59" w:lineRule="exact"/>
        <w:rPr>
          <w:rFonts w:ascii="Arial" w:cs="Arial" w:eastAsia="Arial" w:hAnsi="Arial"/>
          <w:sz w:val="15"/>
          <w:szCs w:val="15"/>
          <w:color w:val="auto"/>
        </w:rPr>
      </w:pPr>
    </w:p>
    <w:p>
      <w:pPr>
        <w:ind w:left="862"/>
        <w:spacing w:after="0"/>
        <w:rPr>
          <w:rFonts w:ascii="Arial" w:cs="Arial" w:eastAsia="Arial" w:hAnsi="Arial"/>
          <w:sz w:val="15"/>
          <w:szCs w:val="15"/>
          <w:color w:val="auto"/>
        </w:rPr>
      </w:pPr>
      <w:r>
        <w:rPr>
          <w:rFonts w:ascii="Arial" w:cs="Arial" w:eastAsia="Arial" w:hAnsi="Arial"/>
          <w:sz w:val="16"/>
          <w:szCs w:val="16"/>
          <w:color w:val="auto"/>
        </w:rPr>
        <w:t>107,701</w:t>
      </w:r>
    </w:p>
    <w:p>
      <w:pPr>
        <w:spacing w:after="0" w:line="59" w:lineRule="exact"/>
        <w:rPr>
          <w:rFonts w:ascii="Arial" w:cs="Arial" w:eastAsia="Arial" w:hAnsi="Arial"/>
          <w:sz w:val="15"/>
          <w:szCs w:val="15"/>
          <w:color w:val="auto"/>
        </w:rPr>
      </w:pPr>
    </w:p>
    <w:p>
      <w:pPr>
        <w:ind w:left="962"/>
        <w:spacing w:after="0"/>
        <w:rPr>
          <w:rFonts w:ascii="Arial" w:cs="Arial" w:eastAsia="Arial" w:hAnsi="Arial"/>
          <w:sz w:val="15"/>
          <w:szCs w:val="15"/>
          <w:color w:val="auto"/>
        </w:rPr>
      </w:pPr>
      <w:r>
        <w:rPr>
          <w:rFonts w:ascii="Arial" w:cs="Arial" w:eastAsia="Arial" w:hAnsi="Arial"/>
          <w:sz w:val="15"/>
          <w:szCs w:val="15"/>
          <w:color w:val="auto"/>
        </w:rPr>
        <w:t>29,169</w:t>
      </w:r>
    </w:p>
    <w:p>
      <w:pPr>
        <w:spacing w:after="0" w:line="70" w:lineRule="exact"/>
        <w:rPr>
          <w:rFonts w:ascii="Arial" w:cs="Arial" w:eastAsia="Arial" w:hAnsi="Arial"/>
          <w:sz w:val="15"/>
          <w:szCs w:val="15"/>
          <w:color w:val="auto"/>
        </w:rPr>
      </w:pPr>
    </w:p>
    <w:p>
      <w:pPr>
        <w:ind w:left="1042"/>
        <w:spacing w:after="0"/>
        <w:rPr>
          <w:rFonts w:ascii="Arial" w:cs="Arial" w:eastAsia="Arial" w:hAnsi="Arial"/>
          <w:sz w:val="15"/>
          <w:szCs w:val="15"/>
          <w:color w:val="auto"/>
        </w:rPr>
      </w:pPr>
      <w:r>
        <w:rPr>
          <w:rFonts w:ascii="Arial" w:cs="Arial" w:eastAsia="Arial" w:hAnsi="Arial"/>
          <w:sz w:val="15"/>
          <w:szCs w:val="15"/>
          <w:color w:val="auto"/>
        </w:rPr>
        <w:t>3,865</w:t>
      </w:r>
    </w:p>
    <w:p>
      <w:pPr>
        <w:spacing w:after="0" w:line="84" w:lineRule="exact"/>
        <w:rPr>
          <w:rFonts w:ascii="Arial" w:cs="Arial" w:eastAsia="Arial" w:hAnsi="Arial"/>
          <w:sz w:val="15"/>
          <w:szCs w:val="15"/>
          <w:color w:val="auto"/>
        </w:rPr>
      </w:pPr>
    </w:p>
    <w:p>
      <w:pPr>
        <w:ind w:left="862"/>
        <w:spacing w:after="0"/>
        <w:rPr>
          <w:rFonts w:ascii="Arial" w:cs="Arial" w:eastAsia="Arial" w:hAnsi="Arial"/>
          <w:sz w:val="15"/>
          <w:szCs w:val="15"/>
          <w:color w:val="auto"/>
        </w:rPr>
      </w:pPr>
      <w:r>
        <w:rPr>
          <w:rFonts w:ascii="Arial" w:cs="Arial" w:eastAsia="Arial" w:hAnsi="Arial"/>
          <w:sz w:val="16"/>
          <w:szCs w:val="16"/>
          <w:color w:val="auto"/>
        </w:rPr>
        <w:t>267,172</w:t>
      </w:r>
    </w:p>
    <w:p>
      <w:pPr>
        <w:spacing w:after="0" w:line="59" w:lineRule="exact"/>
        <w:rPr>
          <w:rFonts w:ascii="Arial" w:cs="Arial" w:eastAsia="Arial" w:hAnsi="Arial"/>
          <w:sz w:val="15"/>
          <w:szCs w:val="15"/>
          <w:color w:val="auto"/>
        </w:rPr>
      </w:pPr>
    </w:p>
    <w:p>
      <w:pPr>
        <w:ind w:left="862"/>
        <w:spacing w:after="0"/>
        <w:rPr>
          <w:rFonts w:ascii="Arial" w:cs="Arial" w:eastAsia="Arial" w:hAnsi="Arial"/>
          <w:sz w:val="15"/>
          <w:szCs w:val="15"/>
          <w:color w:val="auto"/>
        </w:rPr>
      </w:pPr>
      <w:r>
        <w:rPr>
          <w:rFonts w:ascii="Arial" w:cs="Arial" w:eastAsia="Arial" w:hAnsi="Arial"/>
          <w:sz w:val="16"/>
          <w:szCs w:val="16"/>
          <w:color w:val="auto"/>
        </w:rPr>
        <w:t>139,600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28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-297180</wp:posOffset>
            </wp:positionV>
            <wp:extent cx="1028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53" w:lineRule="exact"/>
        <w:rPr>
          <w:sz w:val="20"/>
          <w:szCs w:val="20"/>
          <w:color w:val="auto"/>
        </w:rPr>
      </w:pPr>
    </w:p>
    <w:p>
      <w:pPr>
        <w:ind w:left="862" w:hanging="862"/>
        <w:spacing w:after="0"/>
        <w:tabs>
          <w:tab w:leader="none" w:pos="862" w:val="left"/>
        </w:tabs>
        <w:numPr>
          <w:ilvl w:val="0"/>
          <w:numId w:val="9"/>
        </w:numPr>
        <w:rPr>
          <w:rFonts w:ascii="Arial" w:cs="Arial" w:eastAsia="Arial" w:hAnsi="Arial"/>
          <w:sz w:val="16"/>
          <w:szCs w:val="16"/>
          <w:color w:val="auto"/>
        </w:rPr>
      </w:pPr>
      <w:r>
        <w:rPr>
          <w:rFonts w:ascii="Arial" w:cs="Arial" w:eastAsia="Arial" w:hAnsi="Arial"/>
          <w:sz w:val="16"/>
          <w:szCs w:val="16"/>
          <w:color w:val="auto"/>
        </w:rPr>
        <w:t>127,572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28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45085</wp:posOffset>
            </wp:positionV>
            <wp:extent cx="1028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9520" w:space="118"/>
            <w:col w:w="1602"/>
          </w:cols>
          <w:pgMar w:left="320" w:top="1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Depreciation expense was $4.1 million and $3.5 million during the third quarters of Fiscal 2020 and 2019, respectively; and $11.9 million and $9.8 million during the first nine months of Fiscal 2020 and 2019,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Goodwill and Intangible Assets</w:t>
      </w:r>
    </w:p>
    <w:p>
      <w:pPr>
        <w:spacing w:after="0" w:line="268"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The changes in the carrying amount of goodwill by segment were as follows for the first nine months of Fiscal 2020 and 2019, of which there were no accumulated impairment losses: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Corporate / All</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8"/>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Towable</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Motorhome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43"/>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August 25, 2018</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244,684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29,686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274,370</w:t>
            </w:r>
          </w:p>
        </w:tc>
      </w:tr>
      <w:tr>
        <w:trPr>
          <w:trHeight w:val="243"/>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Chris-Craft purchase price adjustment</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1,287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1,287</w:t>
            </w:r>
          </w:p>
        </w:tc>
      </w:tr>
      <w:tr>
        <w:trPr>
          <w:trHeight w:val="25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May 25, 2019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244,684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30,973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275,657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August 31, 2019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244,684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30,247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274,931</w:t>
            </w:r>
          </w:p>
        </w:tc>
      </w:tr>
      <w:tr>
        <w:trPr>
          <w:trHeight w:val="243"/>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Acquisition of Newmar</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73,127</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73,127</w:t>
            </w:r>
          </w:p>
        </w:tc>
      </w:tr>
      <w:tr>
        <w:trPr>
          <w:trHeight w:val="26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May 30, 2020</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244,684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73,127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30,247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348,058</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right="20" w:hanging="252"/>
        <w:spacing w:after="0" w:line="251" w:lineRule="auto"/>
        <w:tabs>
          <w:tab w:leader="none" w:pos="233"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Business Combinations</w:t>
      </w:r>
      <w:r>
        <w:rPr>
          <w:rFonts w:ascii="Arial" w:cs="Arial" w:eastAsia="Arial" w:hAnsi="Arial"/>
          <w:sz w:val="14"/>
          <w:szCs w:val="14"/>
          <w:color w:val="auto"/>
        </w:rPr>
        <w:t>, of the Notes to Consolidated Financial Statements included in our Annual Report on Form 10-K for the fiscal year ended August 31, 2019 for additional information.</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Business Combinations</w:t>
      </w:r>
      <w:r>
        <w:rPr>
          <w:rFonts w:ascii="Arial" w:cs="Arial" w:eastAsia="Arial" w:hAnsi="Arial"/>
          <w:sz w:val="14"/>
          <w:szCs w:val="14"/>
          <w:color w:val="auto"/>
        </w:rPr>
        <w:t>, for additional information.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0" w:type="dxa"/>
            <w:vAlign w:val="bottom"/>
            <w:gridSpan w:val="8"/>
          </w:tcPr>
          <w:p>
            <w:pPr>
              <w:spacing w:after="0"/>
              <w:rPr>
                <w:sz w:val="20"/>
                <w:szCs w:val="20"/>
                <w:color w:val="auto"/>
              </w:rPr>
            </w:pPr>
            <w:r>
              <w:rPr>
                <w:rFonts w:ascii="Arial" w:cs="Arial" w:eastAsia="Arial" w:hAnsi="Arial"/>
                <w:sz w:val="16"/>
                <w:szCs w:val="16"/>
                <w:color w:val="auto"/>
              </w:rPr>
              <w:t>Other intangible assets, net of accumulated amortization, consist of the following:</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6"/>
        </w:trPr>
        <w:tc>
          <w:tcPr>
            <w:tcW w:w="2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jc w:val="right"/>
              <w:ind w:right="859"/>
              <w:spacing w:after="0"/>
              <w:rPr>
                <w:sz w:val="20"/>
                <w:szCs w:val="20"/>
                <w:color w:val="auto"/>
              </w:rPr>
            </w:pPr>
            <w:r>
              <w:rPr>
                <w:rFonts w:ascii="Arial" w:cs="Arial" w:eastAsia="Arial" w:hAnsi="Arial"/>
                <w:sz w:val="16"/>
                <w:szCs w:val="16"/>
                <w:b w:val="1"/>
                <w:bCs w:val="1"/>
                <w:color w:val="auto"/>
              </w:rPr>
              <w:t>August 31, 2019</w:t>
            </w:r>
          </w:p>
        </w:tc>
        <w:tc>
          <w:tcPr>
            <w:tcW w:w="40" w:type="dxa"/>
            <w:vAlign w:val="bottom"/>
          </w:tcPr>
          <w:p>
            <w:pPr>
              <w:spacing w:after="0"/>
              <w:rPr>
                <w:sz w:val="22"/>
                <w:szCs w:val="22"/>
                <w:color w:val="auto"/>
              </w:rPr>
            </w:pPr>
          </w:p>
        </w:tc>
      </w:tr>
      <w:tr>
        <w:trPr>
          <w:trHeight w:val="184"/>
        </w:trPr>
        <w:tc>
          <w:tcPr>
            <w:tcW w:w="2420" w:type="dxa"/>
            <w:vAlign w:val="bottom"/>
          </w:tcPr>
          <w:p>
            <w:pPr>
              <w:spacing w:after="0"/>
              <w:rPr>
                <w:sz w:val="16"/>
                <w:szCs w:val="16"/>
                <w:color w:val="auto"/>
              </w:rPr>
            </w:pPr>
          </w:p>
        </w:tc>
        <w:tc>
          <w:tcPr>
            <w:tcW w:w="1180" w:type="dxa"/>
            <w:vAlign w:val="bottom"/>
          </w:tcPr>
          <w:p>
            <w:pPr>
              <w:jc w:val="center"/>
              <w:ind w:left="19"/>
              <w:spacing w:after="0"/>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242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Average Life-</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 Life-</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Accumulated</w:t>
            </w:r>
          </w:p>
        </w:tc>
        <w:tc>
          <w:tcPr>
            <w:tcW w:w="40" w:type="dxa"/>
            <w:vAlign w:val="bottom"/>
          </w:tcPr>
          <w:p>
            <w:pPr>
              <w:spacing w:after="0"/>
              <w:rPr>
                <w:sz w:val="16"/>
                <w:szCs w:val="16"/>
                <w:color w:val="auto"/>
              </w:rPr>
            </w:pPr>
          </w:p>
        </w:tc>
      </w:tr>
      <w:tr>
        <w:trPr>
          <w:trHeight w:val="228"/>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 in thousands)</w:t>
            </w:r>
          </w:p>
        </w:tc>
        <w:tc>
          <w:tcPr>
            <w:tcW w:w="118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Cost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Amortization</w:t>
            </w:r>
          </w:p>
        </w:tc>
        <w:tc>
          <w:tcPr>
            <w:tcW w:w="40" w:type="dxa"/>
            <w:vAlign w:val="bottom"/>
          </w:tcPr>
          <w:p>
            <w:pPr>
              <w:spacing w:after="0"/>
              <w:rPr>
                <w:sz w:val="19"/>
                <w:szCs w:val="19"/>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Indefinite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275,250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177,250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33"/>
        </w:trPr>
        <w:tc>
          <w:tcPr>
            <w:tcW w:w="2420" w:type="dxa"/>
            <w:vAlign w:val="bottom"/>
          </w:tcPr>
          <w:p>
            <w:pPr>
              <w:ind w:left="20"/>
              <w:spacing w:after="0"/>
              <w:rPr>
                <w:sz w:val="20"/>
                <w:szCs w:val="20"/>
                <w:color w:val="auto"/>
              </w:rPr>
            </w:pPr>
            <w:r>
              <w:rPr>
                <w:rFonts w:ascii="Arial" w:cs="Arial" w:eastAsia="Arial" w:hAnsi="Arial"/>
                <w:sz w:val="16"/>
                <w:szCs w:val="16"/>
                <w:color w:val="auto"/>
              </w:rPr>
              <w:t>Dealer networks</w:t>
            </w:r>
          </w:p>
        </w:tc>
        <w:tc>
          <w:tcPr>
            <w:tcW w:w="1180" w:type="dxa"/>
            <w:vAlign w:val="bottom"/>
          </w:tcPr>
          <w:p>
            <w:pPr>
              <w:jc w:val="center"/>
              <w:ind w:left="1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159,581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29,195</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95,581</w:t>
            </w:r>
          </w:p>
        </w:tc>
        <w:tc>
          <w:tcPr>
            <w:tcW w:w="2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20,329</w:t>
            </w:r>
          </w:p>
        </w:tc>
        <w:tc>
          <w:tcPr>
            <w:tcW w:w="40" w:type="dxa"/>
            <w:vAlign w:val="bottom"/>
          </w:tcPr>
          <w:p>
            <w:pPr>
              <w:spacing w:after="0"/>
              <w:rPr>
                <w:sz w:val="20"/>
                <w:szCs w:val="20"/>
                <w:color w:val="auto"/>
              </w:rPr>
            </w:pPr>
          </w:p>
        </w:tc>
      </w:tr>
      <w:tr>
        <w:trPr>
          <w:trHeight w:val="253"/>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1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8"/>
              </w:rPr>
              <w:t>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28,327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28,327</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19,527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19,527</w:t>
            </w:r>
          </w:p>
        </w:tc>
        <w:tc>
          <w:tcPr>
            <w:tcW w:w="40" w:type="dxa"/>
            <w:vAlign w:val="bottom"/>
          </w:tcPr>
          <w:p>
            <w:pPr>
              <w:spacing w:after="0"/>
              <w:rPr>
                <w:sz w:val="21"/>
                <w:szCs w:val="21"/>
                <w:color w:val="auto"/>
              </w:rPr>
            </w:pPr>
          </w:p>
        </w:tc>
      </w:tr>
      <w:tr>
        <w:trPr>
          <w:trHeight w:val="233"/>
        </w:trPr>
        <w:tc>
          <w:tcPr>
            <w:tcW w:w="242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1180" w:type="dxa"/>
            <w:vAlign w:val="bottom"/>
          </w:tcPr>
          <w:p>
            <w:pPr>
              <w:jc w:val="center"/>
              <w:ind w:left="39"/>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6,647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3,924</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5,347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3,077</w:t>
            </w:r>
          </w:p>
        </w:tc>
        <w:tc>
          <w:tcPr>
            <w:tcW w:w="40" w:type="dxa"/>
            <w:vAlign w:val="bottom"/>
          </w:tcPr>
          <w:p>
            <w:pPr>
              <w:spacing w:after="0"/>
              <w:rPr>
                <w:sz w:val="20"/>
                <w:szCs w:val="20"/>
                <w:color w:val="auto"/>
              </w:rPr>
            </w:pPr>
          </w:p>
        </w:tc>
      </w:tr>
      <w:tr>
        <w:trPr>
          <w:trHeight w:val="246"/>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interest-favorable</w:t>
            </w: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2,000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690</w:t>
            </w:r>
          </w:p>
        </w:tc>
        <w:tc>
          <w:tcPr>
            <w:tcW w:w="40" w:type="dxa"/>
            <w:vAlign w:val="bottom"/>
          </w:tcPr>
          <w:p>
            <w:pPr>
              <w:spacing w:after="0"/>
              <w:rPr>
                <w:sz w:val="21"/>
                <w:szCs w:val="21"/>
                <w:color w:val="auto"/>
              </w:rPr>
            </w:pPr>
          </w:p>
        </w:tc>
      </w:tr>
      <w:tr>
        <w:trPr>
          <w:trHeight w:val="233"/>
        </w:trPr>
        <w:tc>
          <w:tcPr>
            <w:tcW w:w="2420" w:type="dxa"/>
            <w:vAlign w:val="bottom"/>
          </w:tcPr>
          <w:p>
            <w:pPr>
              <w:ind w:left="120"/>
              <w:spacing w:after="0"/>
              <w:rPr>
                <w:sz w:val="20"/>
                <w:szCs w:val="20"/>
                <w:color w:val="auto"/>
              </w:rPr>
            </w:pPr>
            <w:r>
              <w:rPr>
                <w:rFonts w:ascii="Arial" w:cs="Arial" w:eastAsia="Arial" w:hAnsi="Arial"/>
                <w:sz w:val="16"/>
                <w:szCs w:val="16"/>
                <w:color w:val="auto"/>
              </w:rPr>
              <w:t>Other intangible assets, gross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469,805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61,446</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299,705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43,623</w:t>
            </w:r>
          </w:p>
        </w:tc>
        <w:tc>
          <w:tcPr>
            <w:tcW w:w="40" w:type="dxa"/>
            <w:vAlign w:val="bottom"/>
          </w:tcPr>
          <w:p>
            <w:pPr>
              <w:spacing w:after="0"/>
              <w:rPr>
                <w:sz w:val="20"/>
                <w:szCs w:val="20"/>
                <w:color w:val="auto"/>
              </w:rPr>
            </w:pPr>
          </w:p>
        </w:tc>
      </w:tr>
      <w:tr>
        <w:trPr>
          <w:trHeight w:val="246"/>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amortization</w:t>
            </w: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61,446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43,623</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2420" w:type="dxa"/>
            <w:vAlign w:val="bottom"/>
          </w:tcPr>
          <w:p>
            <w:pPr>
              <w:ind w:left="120"/>
              <w:spacing w:after="0"/>
              <w:rPr>
                <w:sz w:val="20"/>
                <w:szCs w:val="20"/>
                <w:color w:val="auto"/>
              </w:rPr>
            </w:pPr>
            <w:r>
              <w:rPr>
                <w:rFonts w:ascii="Arial" w:cs="Arial" w:eastAsia="Arial" w:hAnsi="Arial"/>
                <w:sz w:val="16"/>
                <w:szCs w:val="16"/>
                <w:color w:val="auto"/>
              </w:rPr>
              <w:t>Other intangible assets, net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408,358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256,082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1"/>
        </w:trPr>
        <w:tc>
          <w:tcPr>
            <w:tcW w:w="9580" w:type="dxa"/>
            <w:vAlign w:val="bottom"/>
            <w:gridSpan w:val="13"/>
          </w:tcPr>
          <w:p>
            <w:pPr>
              <w:spacing w:after="0"/>
              <w:rPr>
                <w:sz w:val="20"/>
                <w:szCs w:val="20"/>
                <w:color w:val="auto"/>
              </w:rPr>
            </w:pPr>
            <w:r>
              <w:rPr>
                <w:rFonts w:ascii="Arial" w:cs="Arial" w:eastAsia="Arial" w:hAnsi="Arial"/>
                <w:sz w:val="16"/>
                <w:szCs w:val="16"/>
                <w:color w:val="auto"/>
              </w:rPr>
              <w:t>The weighted average remaining amortization period for intangible assets as of May 30, 2020 was approximately 10 years.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800" w:type="dxa"/>
            <w:vAlign w:val="bottom"/>
            <w:gridSpan w:val="8"/>
          </w:tcPr>
          <w:p>
            <w:pPr>
              <w:spacing w:after="0"/>
              <w:rPr>
                <w:sz w:val="20"/>
                <w:szCs w:val="20"/>
                <w:color w:val="auto"/>
              </w:rPr>
            </w:pPr>
            <w:r>
              <w:rPr>
                <w:rFonts w:ascii="Arial" w:cs="Arial" w:eastAsia="Arial" w:hAnsi="Arial"/>
                <w:sz w:val="16"/>
                <w:szCs w:val="16"/>
                <w:color w:val="auto"/>
              </w:rPr>
              <w:t>Remaining estimated aggregate annual amortization expense by fiscal year is as follows: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6"/>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Amount</w:t>
            </w:r>
          </w:p>
        </w:tc>
        <w:tc>
          <w:tcPr>
            <w:tcW w:w="40" w:type="dxa"/>
            <w:vAlign w:val="bottom"/>
            <w:tcBorders>
              <w:bottom w:val="single" w:sz="8" w:color="auto"/>
            </w:tcBorders>
          </w:tcPr>
          <w:p>
            <w:pPr>
              <w:spacing w:after="0"/>
              <w:rPr>
                <w:sz w:val="22"/>
                <w:szCs w:val="22"/>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2020</w:t>
            </w: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3,590</w:t>
            </w:r>
          </w:p>
        </w:tc>
        <w:tc>
          <w:tcPr>
            <w:tcW w:w="40" w:type="dxa"/>
            <w:vAlign w:val="bottom"/>
            <w:shd w:val="clear" w:color="auto" w:fill="CCEEFF"/>
          </w:tcPr>
          <w:p>
            <w:pPr>
              <w:spacing w:after="0"/>
              <w:rPr>
                <w:sz w:val="21"/>
                <w:szCs w:val="21"/>
                <w:color w:val="auto"/>
              </w:rPr>
            </w:pPr>
          </w:p>
        </w:tc>
      </w:tr>
      <w:tr>
        <w:trPr>
          <w:trHeight w:val="233"/>
        </w:trPr>
        <w:tc>
          <w:tcPr>
            <w:tcW w:w="2420" w:type="dxa"/>
            <w:vAlign w:val="bottom"/>
          </w:tcPr>
          <w:p>
            <w:pPr>
              <w:ind w:left="20"/>
              <w:spacing w:after="0"/>
              <w:rPr>
                <w:sz w:val="20"/>
                <w:szCs w:val="20"/>
                <w:color w:val="auto"/>
              </w:rPr>
            </w:pPr>
            <w:r>
              <w:rPr>
                <w:rFonts w:ascii="Arial" w:cs="Arial" w:eastAsia="Arial" w:hAnsi="Arial"/>
                <w:sz w:val="16"/>
                <w:szCs w:val="16"/>
                <w:color w:val="auto"/>
              </w:rPr>
              <w:t>Fiscal 2021</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14,361</w:t>
            </w:r>
          </w:p>
        </w:tc>
        <w:tc>
          <w:tcPr>
            <w:tcW w:w="40" w:type="dxa"/>
            <w:vAlign w:val="bottom"/>
          </w:tcPr>
          <w:p>
            <w:pPr>
              <w:spacing w:after="0"/>
              <w:rPr>
                <w:sz w:val="20"/>
                <w:szCs w:val="20"/>
                <w:color w:val="auto"/>
              </w:rPr>
            </w:pPr>
          </w:p>
        </w:tc>
      </w:tr>
      <w:tr>
        <w:trPr>
          <w:trHeight w:val="253"/>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2022</w:t>
            </w: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13,719</w:t>
            </w:r>
          </w:p>
        </w:tc>
        <w:tc>
          <w:tcPr>
            <w:tcW w:w="40" w:type="dxa"/>
            <w:vAlign w:val="bottom"/>
            <w:shd w:val="clear" w:color="auto" w:fill="CCEEFF"/>
          </w:tcPr>
          <w:p>
            <w:pPr>
              <w:spacing w:after="0"/>
              <w:rPr>
                <w:sz w:val="21"/>
                <w:szCs w:val="21"/>
                <w:color w:val="auto"/>
              </w:rPr>
            </w:pPr>
          </w:p>
        </w:tc>
      </w:tr>
      <w:tr>
        <w:trPr>
          <w:trHeight w:val="233"/>
        </w:trPr>
        <w:tc>
          <w:tcPr>
            <w:tcW w:w="242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13,526</w:t>
            </w:r>
          </w:p>
        </w:tc>
        <w:tc>
          <w:tcPr>
            <w:tcW w:w="40" w:type="dxa"/>
            <w:vAlign w:val="bottom"/>
          </w:tcPr>
          <w:p>
            <w:pPr>
              <w:spacing w:after="0"/>
              <w:rPr>
                <w:sz w:val="20"/>
                <w:szCs w:val="20"/>
                <w:color w:val="auto"/>
              </w:rPr>
            </w:pPr>
          </w:p>
        </w:tc>
      </w:tr>
      <w:tr>
        <w:trPr>
          <w:trHeight w:val="253"/>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13,424</w:t>
            </w:r>
          </w:p>
        </w:tc>
        <w:tc>
          <w:tcPr>
            <w:tcW w:w="40" w:type="dxa"/>
            <w:vAlign w:val="bottom"/>
            <w:shd w:val="clear" w:color="auto" w:fill="CCEEFF"/>
          </w:tcPr>
          <w:p>
            <w:pPr>
              <w:spacing w:after="0"/>
              <w:rPr>
                <w:sz w:val="21"/>
                <w:szCs w:val="21"/>
                <w:color w:val="auto"/>
              </w:rPr>
            </w:pPr>
          </w:p>
        </w:tc>
      </w:tr>
      <w:tr>
        <w:trPr>
          <w:trHeight w:val="237"/>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74,488</w:t>
            </w:r>
          </w:p>
        </w:tc>
        <w:tc>
          <w:tcPr>
            <w:tcW w:w="40" w:type="dxa"/>
            <w:vAlign w:val="bottom"/>
            <w:tcBorders>
              <w:bottom w:val="single" w:sz="8" w:color="auto"/>
            </w:tcBorders>
          </w:tcPr>
          <w:p>
            <w:pPr>
              <w:spacing w:after="0"/>
              <w:rPr>
                <w:sz w:val="20"/>
                <w:szCs w:val="20"/>
                <w:color w:val="auto"/>
              </w:rPr>
            </w:pPr>
          </w:p>
        </w:tc>
      </w:tr>
      <w:tr>
        <w:trPr>
          <w:trHeight w:val="263"/>
        </w:trPr>
        <w:tc>
          <w:tcPr>
            <w:tcW w:w="37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Total amortization expense remaining</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133,108</w:t>
            </w:r>
          </w:p>
        </w:tc>
        <w:tc>
          <w:tcPr>
            <w:tcW w:w="40" w:type="dxa"/>
            <w:vAlign w:val="bottom"/>
            <w:shd w:val="clear" w:color="auto" w:fill="CCEEFF"/>
          </w:tcPr>
          <w:p>
            <w:pPr>
              <w:spacing w:after="0"/>
              <w:rPr>
                <w:sz w:val="22"/>
                <w:szCs w:val="22"/>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Product Warranties</w:t>
      </w:r>
    </w:p>
    <w:p>
      <w:pPr>
        <w:spacing w:after="0" w:line="268"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The Company provides certain service and warranty on our products. From time to time, the Company also voluntarily incurs costs for certain warranty-type expenses occurring after the normal warranty period to help protect the reputation of the Company's products and the goodwill of the Company's customers. Estimated costs related to product warranty are accrued at the time of sale</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and are based upon historical warranty and service claims experience. Adjustments are made to accruals as claim data and cost experience becomes available.</w:t>
      </w:r>
    </w:p>
    <w:p>
      <w:pPr>
        <w:spacing w:after="0" w:line="22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addition to the costs associated with the contractual warranty coverage provided on products, the Company also occasionally incurs costs as a result of additional service actions not covered by warranties, including product recalls and customer satisfaction actions. Although the Company estimates and reserves for the cost of these service actions, there can be no assurance that expense levels will remain at current levels or such reserves will continue to be adequate.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gridSpan w:val="2"/>
          </w:tcPr>
          <w:p>
            <w:pPr>
              <w:spacing w:after="0"/>
              <w:rPr>
                <w:sz w:val="20"/>
                <w:szCs w:val="20"/>
                <w:color w:val="auto"/>
              </w:rPr>
            </w:pPr>
            <w:r>
              <w:rPr>
                <w:rFonts w:ascii="Arial" w:cs="Arial" w:eastAsia="Arial" w:hAnsi="Arial"/>
                <w:sz w:val="16"/>
                <w:szCs w:val="16"/>
                <w:color w:val="auto"/>
              </w:rPr>
              <w:t>Changes in the Company's product warranty liability are as follows: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6"/>
        </w:trPr>
        <w:tc>
          <w:tcPr>
            <w:tcW w:w="44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6"/>
          </w:tcPr>
          <w:p>
            <w:pPr>
              <w:jc w:val="right"/>
              <w:ind w:right="839"/>
              <w:spacing w:after="0"/>
              <w:rPr>
                <w:sz w:val="20"/>
                <w:szCs w:val="20"/>
                <w:color w:val="auto"/>
              </w:rPr>
            </w:pPr>
            <w:r>
              <w:rPr>
                <w:rFonts w:ascii="Arial" w:cs="Arial" w:eastAsia="Arial" w:hAnsi="Arial"/>
                <w:sz w:val="16"/>
                <w:szCs w:val="16"/>
                <w:b w:val="1"/>
                <w:bCs w:val="1"/>
                <w:color w:val="auto"/>
              </w:rPr>
              <w:t>Nine Months Ended</w:t>
            </w:r>
          </w:p>
        </w:tc>
        <w:tc>
          <w:tcPr>
            <w:tcW w:w="20" w:type="dxa"/>
            <w:vAlign w:val="bottom"/>
          </w:tcPr>
          <w:p>
            <w:pPr>
              <w:spacing w:after="0"/>
              <w:rPr>
                <w:sz w:val="22"/>
                <w:szCs w:val="22"/>
                <w:color w:val="auto"/>
              </w:rPr>
            </w:pPr>
          </w:p>
        </w:tc>
      </w:tr>
      <w:tr>
        <w:trPr>
          <w:trHeight w:val="198"/>
        </w:trPr>
        <w:tc>
          <w:tcPr>
            <w:tcW w:w="4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30,</w:t>
            </w:r>
          </w:p>
        </w:tc>
        <w:tc>
          <w:tcPr>
            <w:tcW w:w="30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25,</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ind w:left="180"/>
              <w:spacing w:after="0"/>
              <w:rPr>
                <w:sz w:val="20"/>
                <w:szCs w:val="20"/>
                <w:color w:val="auto"/>
              </w:rPr>
            </w:pPr>
            <w:r>
              <w:rPr>
                <w:rFonts w:ascii="Arial" w:cs="Arial" w:eastAsia="Arial" w:hAnsi="Arial"/>
                <w:sz w:val="16"/>
                <w:szCs w:val="16"/>
                <w:b w:val="1"/>
                <w:bCs w:val="1"/>
                <w:color w:val="auto"/>
              </w:rPr>
              <w:t>May 30,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25,</w:t>
            </w:r>
          </w:p>
        </w:tc>
        <w:tc>
          <w:tcPr>
            <w:tcW w:w="20" w:type="dxa"/>
            <w:vAlign w:val="bottom"/>
          </w:tcPr>
          <w:p>
            <w:pPr>
              <w:spacing w:after="0"/>
              <w:rPr>
                <w:sz w:val="17"/>
                <w:szCs w:val="17"/>
                <w:color w:val="auto"/>
              </w:rPr>
            </w:pPr>
          </w:p>
        </w:tc>
      </w:tr>
      <w:tr>
        <w:trPr>
          <w:trHeight w:val="22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60,211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40,305</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center"/>
              <w:ind w:left="419"/>
              <w:spacing w:after="0"/>
              <w:rPr>
                <w:sz w:val="20"/>
                <w:szCs w:val="20"/>
                <w:color w:val="auto"/>
              </w:rPr>
            </w:pPr>
            <w:r>
              <w:rPr>
                <w:rFonts w:ascii="Arial" w:cs="Arial" w:eastAsia="Arial" w:hAnsi="Arial"/>
                <w:sz w:val="16"/>
                <w:szCs w:val="16"/>
                <w:color w:val="auto"/>
              </w:rPr>
              <w:t>44,436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40,498</w:t>
            </w:r>
          </w:p>
        </w:tc>
        <w:tc>
          <w:tcPr>
            <w:tcW w:w="20" w:type="dxa"/>
            <w:vAlign w:val="bottom"/>
          </w:tcPr>
          <w:p>
            <w:pPr>
              <w:spacing w:after="0"/>
              <w:rPr>
                <w:sz w:val="21"/>
                <w:szCs w:val="21"/>
                <w:color w:val="auto"/>
              </w:rPr>
            </w:pPr>
          </w:p>
        </w:tc>
      </w:tr>
      <w:tr>
        <w:trPr>
          <w:trHeight w:val="243"/>
        </w:trPr>
        <w:tc>
          <w:tcPr>
            <w:tcW w:w="4440" w:type="dxa"/>
            <w:vAlign w:val="bottom"/>
          </w:tcPr>
          <w:p>
            <w:pPr>
              <w:ind w:left="140"/>
              <w:spacing w:after="0"/>
              <w:rPr>
                <w:sz w:val="20"/>
                <w:szCs w:val="20"/>
                <w:color w:val="auto"/>
              </w:rPr>
            </w:pPr>
            <w:r>
              <w:rPr>
                <w:rFonts w:ascii="Arial" w:cs="Arial" w:eastAsia="Arial" w:hAnsi="Arial"/>
                <w:sz w:val="16"/>
                <w:szCs w:val="16"/>
                <w:color w:val="auto"/>
              </w:rPr>
              <w:t>Business acquisition</w:t>
            </w:r>
            <w:r>
              <w:rPr>
                <w:rFonts w:ascii="Arial" w:cs="Arial" w:eastAsia="Arial" w:hAnsi="Arial"/>
                <w:sz w:val="21"/>
                <w:szCs w:val="21"/>
                <w:color w:val="auto"/>
                <w:vertAlign w:val="superscript"/>
              </w:rPr>
              <w:t>(1)</w:t>
            </w:r>
          </w:p>
        </w:tc>
        <w:tc>
          <w:tcPr>
            <w:tcW w:w="44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center"/>
              <w:ind w:left="419"/>
              <w:spacing w:after="0"/>
              <w:rPr>
                <w:sz w:val="20"/>
                <w:szCs w:val="20"/>
                <w:color w:val="auto"/>
              </w:rPr>
            </w:pPr>
            <w:r>
              <w:rPr>
                <w:rFonts w:ascii="Arial" w:cs="Arial" w:eastAsia="Arial" w:hAnsi="Arial"/>
                <w:sz w:val="16"/>
                <w:szCs w:val="16"/>
                <w:color w:val="auto"/>
              </w:rPr>
              <w:t>15,147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4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Provision</w:t>
            </w: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13,227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14,139</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ind w:left="419"/>
              <w:spacing w:after="0"/>
              <w:rPr>
                <w:sz w:val="20"/>
                <w:szCs w:val="20"/>
                <w:color w:val="auto"/>
              </w:rPr>
            </w:pPr>
            <w:r>
              <w:rPr>
                <w:rFonts w:ascii="Arial" w:cs="Arial" w:eastAsia="Arial" w:hAnsi="Arial"/>
                <w:sz w:val="16"/>
                <w:szCs w:val="16"/>
                <w:color w:val="auto"/>
              </w:rPr>
              <w:t>44,274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34,090</w:t>
            </w:r>
          </w:p>
        </w:tc>
        <w:tc>
          <w:tcPr>
            <w:tcW w:w="20" w:type="dxa"/>
            <w:vAlign w:val="bottom"/>
          </w:tcPr>
          <w:p>
            <w:pPr>
              <w:spacing w:after="0"/>
              <w:rPr>
                <w:sz w:val="21"/>
                <w:szCs w:val="21"/>
                <w:color w:val="auto"/>
              </w:rPr>
            </w:pPr>
          </w:p>
        </w:tc>
      </w:tr>
      <w:tr>
        <w:trPr>
          <w:trHeight w:val="237"/>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Claims paid</w:t>
            </w: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(12,773)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(10,820)</w:t>
            </w: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color w:val="auto"/>
              </w:rPr>
              <w:t>(43,192)</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(30,964)</w:t>
            </w:r>
          </w:p>
        </w:tc>
        <w:tc>
          <w:tcPr>
            <w:tcW w:w="20" w:type="dxa"/>
            <w:vAlign w:val="bottom"/>
          </w:tcPr>
          <w:p>
            <w:pPr>
              <w:spacing w:after="0"/>
              <w:rPr>
                <w:sz w:val="20"/>
                <w:szCs w:val="20"/>
                <w:color w:val="auto"/>
              </w:rPr>
            </w:pPr>
          </w:p>
        </w:tc>
      </w:tr>
      <w:tr>
        <w:trPr>
          <w:trHeight w:val="26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60,665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43,624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6"/>
                <w:szCs w:val="16"/>
                <w:color w:val="auto"/>
              </w:rPr>
              <w:t>60,665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43,624</w:t>
            </w:r>
          </w:p>
        </w:tc>
        <w:tc>
          <w:tcPr>
            <w:tcW w:w="20" w:type="dxa"/>
            <w:vAlign w:val="bottom"/>
          </w:tcPr>
          <w:p>
            <w:pPr>
              <w:spacing w:after="0"/>
              <w:rPr>
                <w:sz w:val="22"/>
                <w:szCs w:val="22"/>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4880" w:type="dxa"/>
            <w:vAlign w:val="bottom"/>
            <w:gridSpan w:val="2"/>
          </w:tcPr>
          <w:p>
            <w:pPr>
              <w:spacing w:after="0"/>
              <w:rPr>
                <w:sz w:val="20"/>
                <w:szCs w:val="20"/>
                <w:color w:val="auto"/>
              </w:rPr>
            </w:pPr>
            <w:r>
              <w:rPr>
                <w:rFonts w:ascii="Arial" w:cs="Arial" w:eastAsia="Arial" w:hAnsi="Arial"/>
                <w:sz w:val="14"/>
                <w:szCs w:val="14"/>
                <w:color w:val="auto"/>
              </w:rPr>
              <w:t xml:space="preserve">(1) Refer to Note 2, </w:t>
            </w:r>
            <w:r>
              <w:rPr>
                <w:rFonts w:ascii="Arial" w:cs="Arial" w:eastAsia="Arial" w:hAnsi="Arial"/>
                <w:sz w:val="14"/>
                <w:szCs w:val="14"/>
                <w:i w:val="1"/>
                <w:iCs w:val="1"/>
                <w:color w:val="auto"/>
              </w:rPr>
              <w:t>Business Combinations</w:t>
            </w:r>
            <w:r>
              <w:rPr>
                <w:rFonts w:ascii="Arial" w:cs="Arial" w:eastAsia="Arial" w:hAnsi="Arial"/>
                <w:sz w:val="14"/>
                <w:szCs w:val="14"/>
                <w:color w:val="auto"/>
              </w:rPr>
              <w:t>, for additional information.</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25"/>
        </w:trPr>
        <w:tc>
          <w:tcPr>
            <w:tcW w:w="4440" w:type="dxa"/>
            <w:vAlign w:val="bottom"/>
          </w:tcPr>
          <w:p>
            <w:pPr>
              <w:spacing w:after="0"/>
              <w:rPr>
                <w:sz w:val="20"/>
                <w:szCs w:val="20"/>
                <w:color w:val="auto"/>
              </w:rPr>
            </w:pPr>
            <w:r>
              <w:rPr>
                <w:rFonts w:ascii="Arial" w:cs="Arial" w:eastAsia="Arial" w:hAnsi="Arial"/>
                <w:sz w:val="16"/>
                <w:szCs w:val="16"/>
                <w:b w:val="1"/>
                <w:bCs w:val="1"/>
                <w:color w:val="auto"/>
              </w:rPr>
              <w:t>Note 9: Long-Term Debt</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440" w:type="dxa"/>
            <w:vAlign w:val="bottom"/>
          </w:tcPr>
          <w:p>
            <w:pPr>
              <w:spacing w:after="0"/>
              <w:rPr>
                <w:sz w:val="20"/>
                <w:szCs w:val="20"/>
                <w:color w:val="auto"/>
              </w:rPr>
            </w:pPr>
            <w:r>
              <w:rPr>
                <w:rFonts w:ascii="Arial" w:cs="Arial" w:eastAsia="Arial" w:hAnsi="Arial"/>
                <w:sz w:val="16"/>
                <w:szCs w:val="16"/>
                <w:color w:val="auto"/>
              </w:rPr>
              <w:t>The components of long-term debt are as follows: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4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ind w:left="200"/>
              <w:spacing w:after="0"/>
              <w:rPr>
                <w:sz w:val="20"/>
                <w:szCs w:val="20"/>
                <w:color w:val="auto"/>
              </w:rPr>
            </w:pPr>
            <w:r>
              <w:rPr>
                <w:rFonts w:ascii="Arial" w:cs="Arial" w:eastAsia="Arial" w:hAnsi="Arial"/>
                <w:sz w:val="16"/>
                <w:szCs w:val="16"/>
                <w:b w:val="1"/>
                <w:bCs w:val="1"/>
                <w:color w:val="auto"/>
              </w:rPr>
              <w:t>May 30,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w:t>
            </w:r>
          </w:p>
        </w:tc>
        <w:tc>
          <w:tcPr>
            <w:tcW w:w="20" w:type="dxa"/>
            <w:vAlign w:val="bottom"/>
          </w:tcPr>
          <w:p>
            <w:pPr>
              <w:spacing w:after="0"/>
              <w:rPr>
                <w:sz w:val="18"/>
                <w:szCs w:val="18"/>
                <w:color w:val="auto"/>
              </w:rPr>
            </w:pPr>
          </w:p>
        </w:tc>
      </w:tr>
      <w:tr>
        <w:trPr>
          <w:trHeight w:val="22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9"/>
                <w:szCs w:val="19"/>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Term Loan</w:t>
            </w: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253,500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260,000</w:t>
            </w:r>
          </w:p>
        </w:tc>
        <w:tc>
          <w:tcPr>
            <w:tcW w:w="20" w:type="dxa"/>
            <w:vAlign w:val="bottom"/>
          </w:tcPr>
          <w:p>
            <w:pPr>
              <w:spacing w:after="0"/>
              <w:rPr>
                <w:sz w:val="20"/>
                <w:szCs w:val="20"/>
                <w:color w:val="auto"/>
              </w:rPr>
            </w:pPr>
          </w:p>
        </w:tc>
      </w:tr>
      <w:tr>
        <w:trPr>
          <w:trHeight w:val="24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21"/>
                <w:szCs w:val="21"/>
                <w:color w:val="auto"/>
              </w:rPr>
            </w:pP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Long-term debt, gross</w:t>
            </w: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553,500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260,000</w:t>
            </w:r>
          </w:p>
        </w:tc>
        <w:tc>
          <w:tcPr>
            <w:tcW w:w="20" w:type="dxa"/>
            <w:vAlign w:val="bottom"/>
          </w:tcPr>
          <w:p>
            <w:pPr>
              <w:spacing w:after="0"/>
              <w:rPr>
                <w:sz w:val="20"/>
                <w:szCs w:val="20"/>
                <w:color w:val="auto"/>
              </w:rPr>
            </w:pP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 unamortized interest discount</w:t>
            </w: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rPr>
              <w:t>(77,581)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r>
      <w:tr>
        <w:trPr>
          <w:trHeight w:val="237"/>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costs, net</w:t>
            </w:r>
          </w:p>
        </w:tc>
        <w:tc>
          <w:tcPr>
            <w:tcW w:w="4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rPr>
              <w:t>(10,945)</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(5,706)</w:t>
            </w:r>
          </w:p>
        </w:tc>
        <w:tc>
          <w:tcPr>
            <w:tcW w:w="20" w:type="dxa"/>
            <w:vAlign w:val="bottom"/>
            <w:tcBorders>
              <w:bottom w:val="single" w:sz="8" w:color="auto"/>
            </w:tcBorders>
          </w:tcPr>
          <w:p>
            <w:pPr>
              <w:spacing w:after="0"/>
              <w:rPr>
                <w:sz w:val="20"/>
                <w:szCs w:val="20"/>
                <w:color w:val="auto"/>
              </w:rPr>
            </w:pPr>
          </w:p>
        </w:tc>
      </w:tr>
      <w:tr>
        <w:trPr>
          <w:trHeight w:val="24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 debt</w:t>
            </w: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464,974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254,294</w:t>
            </w:r>
          </w:p>
        </w:tc>
        <w:tc>
          <w:tcPr>
            <w:tcW w:w="20" w:type="dxa"/>
            <w:vAlign w:val="bottom"/>
            <w:shd w:val="clear" w:color="auto" w:fill="CCEEFF"/>
          </w:tcPr>
          <w:p>
            <w:pPr>
              <w:spacing w:after="0"/>
              <w:rPr>
                <w:sz w:val="21"/>
                <w:szCs w:val="21"/>
                <w:color w:val="auto"/>
              </w:rPr>
            </w:pPr>
          </w:p>
        </w:tc>
      </w:tr>
      <w:tr>
        <w:trPr>
          <w:trHeight w:val="237"/>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maturities</w:t>
            </w:r>
          </w:p>
        </w:tc>
        <w:tc>
          <w:tcPr>
            <w:tcW w:w="4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13,668</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8,892</w:t>
            </w:r>
          </w:p>
        </w:tc>
        <w:tc>
          <w:tcPr>
            <w:tcW w:w="20" w:type="dxa"/>
            <w:vAlign w:val="bottom"/>
            <w:tcBorders>
              <w:bottom w:val="single" w:sz="8" w:color="auto"/>
            </w:tcBorders>
          </w:tcPr>
          <w:p>
            <w:pPr>
              <w:spacing w:after="0"/>
              <w:rPr>
                <w:sz w:val="20"/>
                <w:szCs w:val="20"/>
                <w:color w:val="auto"/>
              </w:rPr>
            </w:pPr>
          </w:p>
        </w:tc>
      </w:tr>
      <w:tr>
        <w:trPr>
          <w:trHeight w:val="26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 debt, less current maturities</w:t>
            </w:r>
          </w:p>
        </w:tc>
        <w:tc>
          <w:tcPr>
            <w:tcW w:w="4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451,306</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245,402</w:t>
            </w:r>
          </w:p>
        </w:tc>
        <w:tc>
          <w:tcPr>
            <w:tcW w:w="20" w:type="dxa"/>
            <w:vAlign w:val="bottom"/>
            <w:shd w:val="clear" w:color="auto" w:fill="CCEEFF"/>
          </w:tcPr>
          <w:p>
            <w:pPr>
              <w:spacing w:after="0"/>
              <w:rPr>
                <w:sz w:val="22"/>
                <w:szCs w:val="22"/>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Agreements</w:t>
      </w:r>
    </w:p>
    <w:p>
      <w:pPr>
        <w:spacing w:after="0" w:line="268"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On November 8, 2016, the Company entered into a $125.0 million credit facility ("ABL Credit Facility") and a $300.0 million loan agreement ("Term Loan") with JPMorgan Chase Bank, N.A. (the agreements governing the ABL Credit Facility and the Term Loan, collectively the "Credit Agreements"). On October 22, 2019, the ABL Credit Facility was amended and restated to, among other things, increase the commitments thereunder to $192.5 million. The Credit Agreements contain certain financial covenants. As of May 30, 2020, the Company is in compliance with all financial covenants of the Credit Agreements.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Notes</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November 1, 2019, the Company issued $300.0 million in aggregate principal amount of 1.5% unsecured convertible senior notes due 2025 (“Convertible Notes”). The net proceeds from the issuance of the Convertible Notes, after deducting the initial purchasers' transaction fees and offering expense payable by the Company, were approximately $290.4 million. The Convertible Notes bear interest at the annual rate of 1.5%, payable on April 1 and October 1 of each year, beginning on April 1, 2020, and will mature on April 1, 2025, unless earlier converted or repurchased by the Company.</w:t>
      </w:r>
    </w:p>
    <w:p>
      <w:pPr>
        <w:spacing w:after="0" w:line="22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Convertible Notes will be convertible into cash, shares of the Company's common stock or a combination thereof, at the election of the Company, at an initial conversion rate of 15.6906 shares of common stock per $1,000 principal amount of Convertible Notes, which is equivalent to an initial conversion price of approximately $63.73 per share, as adjusted pursuant to the terms of the indenture governing the Convertible Notes (the "Indenture"). The Convertible Notes may be converted at any time on or after October 1, 2024, until the close of business on the second scheduled trading day immediately preceding the maturity date.</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conversion rate of the Convertible Notes may be adjusted in certain circumstances, including in connection with a conversion of the Convertible Notes made following certain fundamental changes and under other circumstances set forth in the Indenture. It is the Company's current intent to settle all conversions of the Convertible Notes through settlement of cash.</w:t>
      </w:r>
    </w:p>
    <w:p>
      <w:pPr>
        <w:spacing w:after="0" w:line="22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Prior to the close of business on the business day immediately preceding October 1, 2024, the Convertible Notes will be convertible only under the following circumstances:</w:t>
      </w:r>
    </w:p>
    <w:p>
      <w:pPr>
        <w:spacing w:after="0" w:line="222" w:lineRule="exact"/>
        <w:rPr>
          <w:sz w:val="20"/>
          <w:szCs w:val="20"/>
          <w:color w:val="auto"/>
        </w:rPr>
      </w:pPr>
    </w:p>
    <w:p>
      <w:pPr>
        <w:ind w:left="660" w:right="680" w:hanging="4"/>
        <w:spacing w:after="0" w:line="246" w:lineRule="auto"/>
        <w:tabs>
          <w:tab w:leader="none" w:pos="903"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any fiscal quarter commencing after December 31, 2019 if the closing sale price of the common stock is more than 130% of the applicable conversion price on each applicable trading day for at least 20 trading days (whether or not consecutive) during a period of 30 consecutive trading days ending on, and including, the last trading day of the immediately preceding calendar quarter;</w:t>
      </w:r>
    </w:p>
    <w:p>
      <w:pPr>
        <w:spacing w:after="0" w:line="1" w:lineRule="exact"/>
        <w:rPr>
          <w:rFonts w:ascii="Arial" w:cs="Arial" w:eastAsia="Arial" w:hAnsi="Arial"/>
          <w:sz w:val="16"/>
          <w:szCs w:val="16"/>
          <w:color w:val="auto"/>
        </w:rPr>
      </w:pPr>
    </w:p>
    <w:p>
      <w:pPr>
        <w:ind w:left="660" w:right="120" w:hanging="4"/>
        <w:spacing w:after="0" w:line="246" w:lineRule="auto"/>
        <w:tabs>
          <w:tab w:leader="none" w:pos="903"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the 5 consecutive business day period after any 5 consecutive trading day period (the "measurement period") in which the trading price per $1,000 principal amount of Convertible Notes for each trading day of the measurement period was less than 98% of the product of the last reported sale price of our common stock and the conversion rate for the Convertible Notes on each such trading day; or</w:t>
      </w:r>
    </w:p>
    <w:p>
      <w:pPr>
        <w:spacing w:after="0" w:line="1" w:lineRule="exact"/>
        <w:rPr>
          <w:rFonts w:ascii="Arial" w:cs="Arial" w:eastAsia="Arial" w:hAnsi="Arial"/>
          <w:sz w:val="16"/>
          <w:szCs w:val="16"/>
          <w:color w:val="auto"/>
        </w:rPr>
      </w:pPr>
    </w:p>
    <w:p>
      <w:pPr>
        <w:ind w:left="900" w:hanging="244"/>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the occurrence of certain specified corporate events set forth in the indenture.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 may not redeem the Convertible Notes at our option prior to the maturity date, and no sinking fund is provided for the Convertible Notes.</w:t>
      </w:r>
    </w:p>
    <w:p>
      <w:pPr>
        <w:spacing w:after="0" w:line="24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On October 29, 2019 and October 30, 2019, in connection with the offering of the Convertible Notes, the Company entered into privately negotiated convertible note hedge transactions (collectively, the “Hedge Transactions”) that cover, subject to customary anti-dilution adjustments, the number of shares of the Company's common stock that initially underlie the Convertible Notes, and are expected generally to reduce the potential dilution and/or offset any cash payments the Company is required to make in excess of the principal amount due, as the case may be, upon conversion of the Convertible Notes in the event that the market price of the Company's common stock is greater than the strike price of the Hedge Transactions, which was initially $63.73 per share (subject to adjustment under the terms of the Hedge Transactions), corresponding to the initial conversion price of the Convertible Notes.</w:t>
      </w:r>
    </w:p>
    <w:p>
      <w:pPr>
        <w:spacing w:after="0" w:line="232"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On October 29, 2019 and October 30, 2019, the Company also entered into privately negotiated warrant transactions (collectively, the “Warrant Transactions” and, together with the Hedge Transactions, the “Call Spread Transactions”), whereby the Company sold warrants at a higher strike price relating to the same number of shares of the Company's common stock that initially underlie the Convertible Notes, subject to customary anti-dilution adjustments. The initial strike price of the warrants is $96.20 per share (subject to adjustment under the terms of the Warrant Transactions), which is 100% above the last reported sale price of our common stock on October 29, 2019. The Warrant Transactions could have a dilutive effect to the Company's stockholders to the extent that the market price per share of the Company's common stock, as measured under the terms of the Warrant Transactions, exceeds the applicable strike price of the warrants.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$28.6 million of the net proceeds from the issuance of the Convertible Notes to pay the cost of the Call Spread Transactions.</w:t>
      </w:r>
    </w:p>
    <w:p>
      <w:pPr>
        <w:spacing w:after="0" w:line="19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Hedge Transactions and the Warrant Transactions are separate transactions, in each case, and are not part of the terms of the Convertible Notes and will not affect any holder’s rights under the Convertible Notes. Holders of the Convertible Notes will not have any rights with respect to the Call Spread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Convertible Notes and Related Hedge Transactions and Warrant Transactions</w:t>
      </w:r>
    </w:p>
    <w:p>
      <w:pPr>
        <w:spacing w:after="0" w:line="26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Call Spread Transactions were classified as equity. The Company bifurcated the proceeds from the offering of the Convertible Notes between liability and equity components. On the date of issuance, the liability and equity components were calculated to be approximately $215.0 million and $85.0 million, respectively. The initial $215.0 million liability component was determined based on the fair value of similar debt instruments excluding the conversion feature assuming a hypothetical interest rate of 8%. The initial $85.0 million ($64.1 million net of tax) equity component represents the difference between the fair value of the initial $215.0 million in debt and the $300.0 million of gross proceeds. The related initial debt discount of $85.0 million is being amortized over the life of the Convertible Notes as non-cash interest expense using the effective interest method.</w:t>
      </w:r>
    </w:p>
    <w:p>
      <w:pPr>
        <w:spacing w:after="0" w:line="23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connection with the above-noted transactions, the Company incurred approximately $9.6 million of offering-related costs. These offering fees were allocated to the liability and equity components in proportion to the allocation of proceeds and accounted for as debt and equity issuance costs, respectively. The Company allocated $7.0 million of debt issuance costs to the liability component, which were capitalized as deferred financing costs within Long-term debt. These costs are being amortized as interest expense over the term of the debt using the effective interest method. The remaining $2.6 million of transaction costs allocated to the equity component were recorded as a reduction of the equity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and Future Maturities</w:t>
      </w:r>
    </w:p>
    <w:p>
      <w:pPr>
        <w:spacing w:after="0" w:line="26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As of May 30, 2020, the fair value of long-term debt, gross, was $566.1 million. As of August 31, 2019, the fair value of long-term debt, gross, approximated the carrying value.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20" w:type="dxa"/>
            <w:vAlign w:val="bottom"/>
          </w:tcPr>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56"/>
        </w:trPr>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Amount</w:t>
            </w:r>
          </w:p>
        </w:tc>
      </w:tr>
      <w:tr>
        <w:trPr>
          <w:trHeight w:val="24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3,750</w:t>
            </w:r>
          </w:p>
        </w:tc>
      </w:tr>
      <w:tr>
        <w:trPr>
          <w:trHeight w:val="233"/>
        </w:trPr>
        <w:tc>
          <w:tcPr>
            <w:tcW w:w="9620" w:type="dxa"/>
            <w:vAlign w:val="bottom"/>
          </w:tcPr>
          <w:p>
            <w:pPr>
              <w:ind w:left="20"/>
              <w:spacing w:after="0"/>
              <w:rPr>
                <w:sz w:val="20"/>
                <w:szCs w:val="20"/>
                <w:color w:val="auto"/>
              </w:rPr>
            </w:pPr>
            <w:r>
              <w:rPr>
                <w:rFonts w:ascii="Arial" w:cs="Arial" w:eastAsia="Arial" w:hAnsi="Arial"/>
                <w:sz w:val="16"/>
                <w:szCs w:val="16"/>
                <w:color w:val="auto"/>
              </w:rPr>
              <w:t>Fiscal 2021</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15,000</w:t>
            </w:r>
          </w:p>
        </w:tc>
      </w:tr>
      <w:tr>
        <w:trPr>
          <w:trHeight w:val="25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2022</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15,000</w:t>
            </w:r>
          </w:p>
        </w:tc>
      </w:tr>
      <w:tr>
        <w:trPr>
          <w:trHeight w:val="233"/>
        </w:trPr>
        <w:tc>
          <w:tcPr>
            <w:tcW w:w="962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15,000</w:t>
            </w:r>
          </w:p>
        </w:tc>
      </w:tr>
      <w:tr>
        <w:trPr>
          <w:trHeight w:val="25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204,750</w:t>
            </w:r>
          </w:p>
        </w:tc>
      </w:tr>
      <w:tr>
        <w:trPr>
          <w:trHeight w:val="237"/>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300,000</w:t>
            </w:r>
          </w:p>
        </w:tc>
      </w:tr>
      <w:tr>
        <w:trPr>
          <w:trHeight w:val="268"/>
        </w:trPr>
        <w:tc>
          <w:tcPr>
            <w:tcW w:w="9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Term Loan and Convertible Notes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553,500</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Leases</w:t>
      </w:r>
    </w:p>
    <w:p>
      <w:pPr>
        <w:spacing w:after="0" w:line="26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Company's leases primarily include operating leases for office and manufacturing space and equipment. The Company's finance leases are primarily for real estate. For any lease with an initial term in excess of 12 months, the related lease assets and liabilities are recognized on the Condensed Consolidated Balance Sheets as either operating or finance leases at the inception of an agreement where it is determined that a lease exists. The Company has lease agreements that contain both lease and non-lease components, and has elected to combine lease and non-lease components for all classes of assets. Leases with an initial term of 12 months or less are not recorded on the Condensed Consolidated Balance Sheets; the Company recognizes lease expense for these leases on a straight-line basis over the lease term. When the terms of multiple lease agreements are materially consistent, the Company has elected the portfolio approach for our asset and liability calculations.</w:t>
      </w:r>
    </w:p>
    <w:p>
      <w:pPr>
        <w:spacing w:after="0" w:line="227"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Lease assets represent the right to use an underlying asset for the lease term, and lease liabilities represent the obligation to make lease payments arising from the lease. These assets and liabilities are recognized based on the present value of future payments over the lease term at commencement date. The Company generally uses a collateralized incremental borrowing rate based on the information available at commencement date, including lease term, in determining the present value of future payments. The assumed lease terms of the Company generally do not include options to extend or terminate the lease unless it is reasonably certain that the option will be exercised.</w:t>
      </w:r>
    </w:p>
    <w:p>
      <w:pPr>
        <w:spacing w:after="0" w:line="23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Some of the Company's real estate operating leases require payment of real estate taxes, common area maintenance, and insurance. In addition, certain of the leases are subject to annual changes in the consumer price index. These components comprise the majority of the Company's variable lease cost and are excluded from the present value of the lease obligations. Fixed payments may contain predetermined fixed rent escalations. For operating leases, the Company recognizes the related rent expense on a straight-line basis from the commencement date to the end of the lease term.</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supplemental balance sheet information related to the Company's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510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Classification</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May 30, 2020</w:t>
            </w:r>
          </w:p>
        </w:tc>
      </w:tr>
      <w:tr>
        <w:trPr>
          <w:trHeight w:val="243"/>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5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3"/>
        </w:trPr>
        <w:tc>
          <w:tcPr>
            <w:tcW w:w="334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5100" w:type="dxa"/>
            <w:vAlign w:val="bottom"/>
          </w:tcPr>
          <w:p>
            <w:pPr>
              <w:ind w:left="1120"/>
              <w:spacing w:after="0"/>
              <w:rPr>
                <w:sz w:val="20"/>
                <w:szCs w:val="20"/>
                <w:color w:val="auto"/>
              </w:rPr>
            </w:pPr>
            <w:r>
              <w:rPr>
                <w:rFonts w:ascii="Arial" w:cs="Arial" w:eastAsia="Arial" w:hAnsi="Arial"/>
                <w:sz w:val="16"/>
                <w:szCs w:val="16"/>
                <w:color w:val="auto"/>
              </w:rPr>
              <w:t>Operating lease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29,790</w:t>
            </w:r>
          </w:p>
        </w:tc>
      </w:tr>
      <w:tr>
        <w:trPr>
          <w:trHeight w:val="24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leases</w:t>
            </w:r>
          </w:p>
        </w:tc>
        <w:tc>
          <w:tcPr>
            <w:tcW w:w="51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4,542</w:t>
            </w:r>
          </w:p>
        </w:tc>
      </w:tr>
      <w:tr>
        <w:trPr>
          <w:trHeight w:val="243"/>
        </w:trPr>
        <w:tc>
          <w:tcPr>
            <w:tcW w:w="3340" w:type="dxa"/>
            <w:vAlign w:val="bottom"/>
          </w:tcPr>
          <w:p>
            <w:pPr>
              <w:ind w:left="120"/>
              <w:spacing w:after="0"/>
              <w:rPr>
                <w:sz w:val="20"/>
                <w:szCs w:val="20"/>
                <w:color w:val="auto"/>
              </w:rPr>
            </w:pPr>
            <w:r>
              <w:rPr>
                <w:rFonts w:ascii="Arial" w:cs="Arial" w:eastAsia="Arial" w:hAnsi="Arial"/>
                <w:sz w:val="16"/>
                <w:szCs w:val="16"/>
                <w:color w:val="auto"/>
              </w:rPr>
              <w:t>Total lease assets</w:t>
            </w:r>
          </w:p>
        </w:tc>
        <w:tc>
          <w:tcPr>
            <w:tcW w:w="5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34,332</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9"/>
        </w:trPr>
        <w:tc>
          <w:tcPr>
            <w:tcW w:w="3340" w:type="dxa"/>
            <w:vAlign w:val="bottom"/>
            <w:shd w:val="clear" w:color="auto" w:fill="CCEEFF"/>
          </w:tcPr>
          <w:p>
            <w:pPr>
              <w:spacing w:after="0"/>
              <w:rPr>
                <w:sz w:val="11"/>
                <w:szCs w:val="11"/>
                <w:color w:val="auto"/>
              </w:rPr>
            </w:pPr>
          </w:p>
        </w:tc>
        <w:tc>
          <w:tcPr>
            <w:tcW w:w="5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33"/>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5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Operating leases</w:t>
            </w:r>
          </w:p>
        </w:tc>
        <w:tc>
          <w:tcPr>
            <w:tcW w:w="51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Accrued expenses: Other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2,507</w:t>
            </w:r>
          </w:p>
        </w:tc>
      </w:tr>
      <w:tr>
        <w:trPr>
          <w:trHeight w:val="233"/>
        </w:trPr>
        <w:tc>
          <w:tcPr>
            <w:tcW w:w="3340" w:type="dxa"/>
            <w:vAlign w:val="bottom"/>
          </w:tcPr>
          <w:p>
            <w:pPr>
              <w:ind w:left="20"/>
              <w:spacing w:after="0"/>
              <w:rPr>
                <w:sz w:val="20"/>
                <w:szCs w:val="20"/>
                <w:color w:val="auto"/>
              </w:rPr>
            </w:pPr>
            <w:r>
              <w:rPr>
                <w:rFonts w:ascii="Arial" w:cs="Arial" w:eastAsia="Arial" w:hAnsi="Arial"/>
                <w:sz w:val="16"/>
                <w:szCs w:val="16"/>
                <w:color w:val="auto"/>
              </w:rPr>
              <w:t>Current: Finance leases</w:t>
            </w:r>
          </w:p>
        </w:tc>
        <w:tc>
          <w:tcPr>
            <w:tcW w:w="5100" w:type="dxa"/>
            <w:vAlign w:val="bottom"/>
          </w:tcPr>
          <w:p>
            <w:pPr>
              <w:ind w:left="1120"/>
              <w:spacing w:after="0"/>
              <w:rPr>
                <w:sz w:val="20"/>
                <w:szCs w:val="20"/>
                <w:color w:val="auto"/>
              </w:rPr>
            </w:pPr>
            <w:r>
              <w:rPr>
                <w:rFonts w:ascii="Arial" w:cs="Arial" w:eastAsia="Arial" w:hAnsi="Arial"/>
                <w:sz w:val="16"/>
                <w:szCs w:val="16"/>
                <w:color w:val="auto"/>
              </w:rPr>
              <w:t>Accrued expenses: Other</w:t>
            </w:r>
          </w:p>
        </w:tc>
        <w:tc>
          <w:tcPr>
            <w:tcW w:w="16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532</w:t>
            </w:r>
          </w:p>
        </w:tc>
      </w:tr>
      <w:tr>
        <w:trPr>
          <w:trHeight w:val="253"/>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leases</w:t>
            </w:r>
          </w:p>
        </w:tc>
        <w:tc>
          <w:tcPr>
            <w:tcW w:w="51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Operating lease liabilities</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27,366</w:t>
            </w:r>
          </w:p>
        </w:tc>
      </w:tr>
      <w:tr>
        <w:trPr>
          <w:trHeight w:val="237"/>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Financing leases</w:t>
            </w:r>
          </w:p>
        </w:tc>
        <w:tc>
          <w:tcPr>
            <w:tcW w:w="510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Non-current liabilities: Other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5,005</w:t>
            </w:r>
          </w:p>
        </w:tc>
      </w:tr>
      <w:tr>
        <w:trPr>
          <w:trHeight w:val="268"/>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lease liabilities</w:t>
            </w:r>
          </w:p>
        </w:tc>
        <w:tc>
          <w:tcPr>
            <w:tcW w:w="5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35,410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operating lease cost incurred: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Three Months</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28"/>
        </w:trPr>
        <w:tc>
          <w:tcPr>
            <w:tcW w:w="30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Ended</w:t>
            </w:r>
          </w:p>
        </w:tc>
        <w:tc>
          <w:tcPr>
            <w:tcW w:w="120" w:type="dxa"/>
            <w:vAlign w:val="bottom"/>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r>
      <w:tr>
        <w:trPr>
          <w:trHeight w:val="236"/>
        </w:trPr>
        <w:tc>
          <w:tcPr>
            <w:tcW w:w="30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800" w:type="dxa"/>
            <w:vAlign w:val="bottom"/>
          </w:tcPr>
          <w:p>
            <w:pPr>
              <w:ind w:left="900"/>
              <w:spacing w:after="0"/>
              <w:rPr>
                <w:sz w:val="20"/>
                <w:szCs w:val="20"/>
                <w:color w:val="auto"/>
              </w:rPr>
            </w:pPr>
            <w:r>
              <w:rPr>
                <w:rFonts w:ascii="Arial" w:cs="Arial" w:eastAsia="Arial" w:hAnsi="Arial"/>
                <w:sz w:val="16"/>
                <w:szCs w:val="16"/>
                <w:b w:val="1"/>
                <w:bCs w:val="1"/>
                <w:color w:val="auto"/>
              </w:rPr>
              <w:t>Classification</w:t>
            </w:r>
          </w:p>
        </w:tc>
        <w:tc>
          <w:tcPr>
            <w:tcW w:w="20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May 30, 2020</w:t>
            </w:r>
          </w:p>
        </w:tc>
        <w:tc>
          <w:tcPr>
            <w:tcW w:w="200" w:type="dxa"/>
            <w:vAlign w:val="bottom"/>
          </w:tcPr>
          <w:p>
            <w:pPr>
              <w:spacing w:after="0"/>
              <w:rPr>
                <w:sz w:val="20"/>
                <w:szCs w:val="20"/>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b w:val="1"/>
                <w:bCs w:val="1"/>
                <w:color w:val="auto"/>
              </w:rPr>
              <w:t>May 30, 2020</w:t>
            </w:r>
          </w:p>
        </w:tc>
      </w:tr>
      <w:tr>
        <w:trPr>
          <w:trHeight w:val="243"/>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lease expense</w:t>
            </w:r>
            <w:r>
              <w:rPr>
                <w:rFonts w:ascii="Arial" w:cs="Arial" w:eastAsia="Arial" w:hAnsi="Arial"/>
                <w:sz w:val="21"/>
                <w:szCs w:val="21"/>
                <w:color w:val="auto"/>
                <w:vertAlign w:val="superscript"/>
              </w:rPr>
              <w:t>(1)</w:t>
            </w:r>
          </w:p>
        </w:tc>
        <w:tc>
          <w:tcPr>
            <w:tcW w:w="480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Costs of goods sold and SG&amp;A</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1,647</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5,183</w:t>
            </w:r>
          </w:p>
        </w:tc>
      </w:tr>
      <w:tr>
        <w:trPr>
          <w:trHeight w:val="233"/>
        </w:trPr>
        <w:tc>
          <w:tcPr>
            <w:tcW w:w="3060" w:type="dxa"/>
            <w:vAlign w:val="bottom"/>
          </w:tcPr>
          <w:p>
            <w:pPr>
              <w:ind w:left="20"/>
              <w:spacing w:after="0"/>
              <w:rPr>
                <w:sz w:val="20"/>
                <w:szCs w:val="20"/>
                <w:color w:val="auto"/>
              </w:rPr>
            </w:pPr>
            <w:r>
              <w:rPr>
                <w:rFonts w:ascii="Arial" w:cs="Arial" w:eastAsia="Arial" w:hAnsi="Arial"/>
                <w:sz w:val="16"/>
                <w:szCs w:val="16"/>
                <w:color w:val="auto"/>
              </w:rPr>
              <w:t>Finance lease cost:</w:t>
            </w:r>
          </w:p>
        </w:tc>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3"/>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of lease assets</w:t>
            </w:r>
          </w:p>
        </w:tc>
        <w:tc>
          <w:tcPr>
            <w:tcW w:w="48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Costs of goods sold and SG&amp;A</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331</w:t>
            </w:r>
          </w:p>
        </w:tc>
      </w:tr>
      <w:tr>
        <w:trPr>
          <w:trHeight w:val="237"/>
        </w:trPr>
        <w:tc>
          <w:tcPr>
            <w:tcW w:w="30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Interest on lease liabilities</w:t>
            </w:r>
          </w:p>
        </w:tc>
        <w:tc>
          <w:tcPr>
            <w:tcW w:w="480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205</w:t>
            </w:r>
          </w:p>
        </w:tc>
      </w:tr>
      <w:tr>
        <w:trPr>
          <w:trHeight w:val="268"/>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cost</w:t>
            </w:r>
          </w:p>
        </w:tc>
        <w:tc>
          <w:tcPr>
            <w:tcW w:w="48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5,719</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Operating lease expense includes short-term leases and variable lease payments, which are immaterial.</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Company's future lease commitments for future fiscal years as of May 30, 2020 included the following related party and non-related party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Operating Leases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Finance Leases</w:t>
            </w:r>
          </w:p>
        </w:tc>
      </w:tr>
      <w:tr>
        <w:trPr>
          <w:trHeight w:val="198"/>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Related Party</w:t>
            </w: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Non-Related Party</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ind w:right="39"/>
              <w:spacing w:after="0"/>
              <w:rPr>
                <w:sz w:val="20"/>
                <w:szCs w:val="20"/>
                <w:color w:val="auto"/>
              </w:rPr>
            </w:pPr>
            <w:r>
              <w:rPr>
                <w:rFonts w:ascii="Arial" w:cs="Arial" w:eastAsia="Arial" w:hAnsi="Arial"/>
                <w:sz w:val="16"/>
                <w:szCs w:val="16"/>
                <w:b w:val="1"/>
                <w:bCs w:val="1"/>
                <w:color w:val="auto"/>
              </w:rPr>
              <w:t>Non-Related Party</w:t>
            </w:r>
          </w:p>
        </w:tc>
      </w:tr>
      <w:tr>
        <w:trPr>
          <w:trHeight w:val="228"/>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9"/>
                <w:szCs w:val="19"/>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9"/>
                <w:szCs w:val="19"/>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Amount</w:t>
            </w:r>
          </w:p>
        </w:tc>
        <w:tc>
          <w:tcPr>
            <w:tcW w:w="380" w:type="dxa"/>
            <w:vAlign w:val="bottom"/>
          </w:tcPr>
          <w:p>
            <w:pPr>
              <w:spacing w:after="0"/>
              <w:rPr>
                <w:sz w:val="19"/>
                <w:szCs w:val="19"/>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c>
          <w:tcPr>
            <w:tcW w:w="152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Amount</w:t>
            </w:r>
          </w:p>
        </w:tc>
      </w:tr>
      <w:tr>
        <w:trPr>
          <w:trHeight w:val="243"/>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Fiscal 2020</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225</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854</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1,079</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214</w:t>
            </w: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Fiscal 2021</w:t>
            </w:r>
          </w:p>
        </w:tc>
        <w:tc>
          <w:tcPr>
            <w:tcW w:w="2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3,330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4,230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855</w:t>
            </w: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2022</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3,014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3,914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851</w:t>
            </w: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2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2,757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4,257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842</w:t>
            </w: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2,587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4,387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845</w:t>
            </w:r>
          </w:p>
        </w:tc>
      </w:tr>
      <w:tr>
        <w:trPr>
          <w:trHeight w:val="237"/>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9,600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11,912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21,512</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3,443</w:t>
            </w:r>
          </w:p>
        </w:tc>
      </w:tr>
      <w:tr>
        <w:trPr>
          <w:trHeight w:val="24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future undiscounted lease payments</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14,925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24,454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39,379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7,050</w:t>
            </w:r>
          </w:p>
        </w:tc>
      </w:tr>
      <w:tr>
        <w:trPr>
          <w:trHeight w:val="23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4,042</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5,464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9,506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1,513</w:t>
            </w:r>
          </w:p>
        </w:tc>
      </w:tr>
      <w:tr>
        <w:trPr>
          <w:trHeight w:val="268"/>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reported lease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10,883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18,990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29,873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5,537</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Company's future minimum lease payments for future fiscal years as determined prior to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and as disclosed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Annual Report on Form 10-K for the fiscal year ended August 31, 2019, included the following related party and non-related party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Operating Leases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8"/>
        </w:trPr>
        <w:tc>
          <w:tcPr>
            <w:tcW w:w="6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Related Party</w:t>
            </w:r>
          </w:p>
        </w:tc>
        <w:tc>
          <w:tcPr>
            <w:tcW w:w="12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Non-Related Party</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8"/>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9"/>
                <w:szCs w:val="19"/>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360" w:type="dxa"/>
            <w:vAlign w:val="bottom"/>
          </w:tcPr>
          <w:p>
            <w:pPr>
              <w:spacing w:after="0"/>
              <w:rPr>
                <w:sz w:val="19"/>
                <w:szCs w:val="19"/>
                <w:color w:val="auto"/>
              </w:rPr>
            </w:pPr>
          </w:p>
        </w:tc>
        <w:tc>
          <w:tcPr>
            <w:tcW w:w="126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43"/>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Fiscal 2020</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2,864</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1,236</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4,100</w:t>
            </w: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color w:val="auto"/>
              </w:rPr>
              <w:t>Fiscal 2021</w:t>
            </w:r>
          </w:p>
        </w:tc>
        <w:tc>
          <w:tcPr>
            <w:tcW w:w="20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2,863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1,068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3,931</w:t>
            </w:r>
          </w:p>
        </w:tc>
      </w:tr>
      <w:tr>
        <w:trPr>
          <w:trHeight w:val="25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2022</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2,863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3,622</w:t>
            </w: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20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3,597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4,127</w:t>
            </w:r>
          </w:p>
        </w:tc>
      </w:tr>
      <w:tr>
        <w:trPr>
          <w:trHeight w:val="25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3,963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4,324</w:t>
            </w:r>
          </w:p>
        </w:tc>
      </w:tr>
      <w:tr>
        <w:trPr>
          <w:trHeight w:val="237"/>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25,064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1,359</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26,423</w:t>
            </w:r>
          </w:p>
        </w:tc>
      </w:tr>
      <w:tr>
        <w:trPr>
          <w:trHeight w:val="268"/>
        </w:trPr>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future lease commitments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41,214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5,313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46,527</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5"/>
        </w:trPr>
        <w:tc>
          <w:tcPr>
            <w:tcW w:w="9560" w:type="dxa"/>
            <w:vAlign w:val="bottom"/>
          </w:tcPr>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891"/>
        </w:trPr>
        <w:tc>
          <w:tcPr>
            <w:tcW w:w="9560" w:type="dxa"/>
            <w:vAlign w:val="bottom"/>
          </w:tcPr>
          <w:p>
            <w:pPr>
              <w:spacing w:after="0"/>
              <w:rPr>
                <w:sz w:val="20"/>
                <w:szCs w:val="20"/>
                <w:color w:val="auto"/>
              </w:rPr>
            </w:pPr>
            <w:r>
              <w:rPr>
                <w:rFonts w:ascii="Arial" w:cs="Arial" w:eastAsia="Arial" w:hAnsi="Arial"/>
                <w:sz w:val="16"/>
                <w:szCs w:val="16"/>
                <w:color w:val="auto"/>
              </w:rPr>
              <w:t>The following table details additional information related to the Company's leases: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6"/>
        </w:trPr>
        <w:tc>
          <w:tcPr>
            <w:tcW w:w="9560" w:type="dxa"/>
            <w:vAlign w:val="bottom"/>
          </w:tcPr>
          <w:p>
            <w:pPr>
              <w:spacing w:after="0"/>
              <w:rPr>
                <w:sz w:val="22"/>
                <w:szCs w:val="22"/>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r>
      <w:tr>
        <w:trPr>
          <w:trHeight w:val="237"/>
        </w:trPr>
        <w:tc>
          <w:tcPr>
            <w:tcW w:w="9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May 30, 2020</w:t>
            </w:r>
          </w:p>
        </w:tc>
      </w:tr>
      <w:tr>
        <w:trPr>
          <w:trHeight w:val="243"/>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3"/>
        </w:trPr>
        <w:tc>
          <w:tcPr>
            <w:tcW w:w="9560" w:type="dxa"/>
            <w:vAlign w:val="bottom"/>
          </w:tcPr>
          <w:p>
            <w:pPr>
              <w:ind w:left="120"/>
              <w:spacing w:after="0"/>
              <w:rPr>
                <w:sz w:val="20"/>
                <w:szCs w:val="20"/>
                <w:color w:val="auto"/>
              </w:rPr>
            </w:pPr>
            <w:r>
              <w:rPr>
                <w:rFonts w:ascii="Arial" w:cs="Arial" w:eastAsia="Arial" w:hAnsi="Arial"/>
                <w:sz w:val="16"/>
                <w:szCs w:val="16"/>
                <w:color w:val="auto"/>
              </w:rPr>
              <w:t>Operating cash flows from operating leases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1,807</w:t>
            </w:r>
          </w:p>
        </w:tc>
      </w:tr>
      <w:tr>
        <w:trPr>
          <w:trHeight w:val="253"/>
        </w:trPr>
        <w:tc>
          <w:tcPr>
            <w:tcW w:w="9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cash flows from finance leases</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205</w:t>
            </w:r>
          </w:p>
        </w:tc>
      </w:tr>
      <w:tr>
        <w:trPr>
          <w:trHeight w:val="233"/>
        </w:trPr>
        <w:tc>
          <w:tcPr>
            <w:tcW w:w="9560" w:type="dxa"/>
            <w:vAlign w:val="bottom"/>
          </w:tcPr>
          <w:p>
            <w:pPr>
              <w:ind w:left="120"/>
              <w:spacing w:after="0"/>
              <w:rPr>
                <w:sz w:val="20"/>
                <w:szCs w:val="20"/>
                <w:color w:val="auto"/>
              </w:rPr>
            </w:pPr>
            <w:r>
              <w:rPr>
                <w:rFonts w:ascii="Arial" w:cs="Arial" w:eastAsia="Arial" w:hAnsi="Arial"/>
                <w:sz w:val="16"/>
                <w:szCs w:val="16"/>
                <w:color w:val="auto"/>
              </w:rPr>
              <w:t>Financing cash flows from finance leases</w:t>
            </w:r>
          </w:p>
        </w:tc>
        <w:tc>
          <w:tcPr>
            <w:tcW w:w="220" w:type="dxa"/>
            <w:vAlign w:val="bottom"/>
          </w:tcPr>
          <w:p>
            <w:pPr>
              <w:spacing w:after="0"/>
              <w:rPr>
                <w:sz w:val="20"/>
                <w:szCs w:val="20"/>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232</w:t>
            </w:r>
          </w:p>
        </w:tc>
      </w:tr>
      <w:tr>
        <w:trPr>
          <w:trHeight w:val="253"/>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assets obtained in exchange for lease liabilities:</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3"/>
        </w:trPr>
        <w:tc>
          <w:tcPr>
            <w:tcW w:w="9560" w:type="dxa"/>
            <w:vAlign w:val="bottom"/>
          </w:tcPr>
          <w:p>
            <w:pPr>
              <w:ind w:left="120"/>
              <w:spacing w:after="0"/>
              <w:rPr>
                <w:sz w:val="20"/>
                <w:szCs w:val="20"/>
                <w:color w:val="auto"/>
              </w:rPr>
            </w:pPr>
            <w:r>
              <w:rPr>
                <w:rFonts w:ascii="Arial" w:cs="Arial" w:eastAsia="Arial" w:hAnsi="Arial"/>
                <w:sz w:val="16"/>
                <w:szCs w:val="16"/>
                <w:color w:val="auto"/>
              </w:rPr>
              <w:t>Operating leases</w:t>
            </w:r>
          </w:p>
        </w:tc>
        <w:tc>
          <w:tcPr>
            <w:tcW w:w="220" w:type="dxa"/>
            <w:vAlign w:val="bottom"/>
          </w:tcPr>
          <w:p>
            <w:pPr>
              <w:spacing w:after="0"/>
              <w:rPr>
                <w:sz w:val="20"/>
                <w:szCs w:val="20"/>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1,663</w:t>
            </w:r>
          </w:p>
        </w:tc>
      </w:tr>
      <w:tr>
        <w:trPr>
          <w:trHeight w:val="253"/>
        </w:trPr>
        <w:tc>
          <w:tcPr>
            <w:tcW w:w="9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5,664</w:t>
            </w:r>
          </w:p>
        </w:tc>
      </w:tr>
      <w:tr>
        <w:trPr>
          <w:trHeight w:val="344"/>
        </w:trPr>
        <w:tc>
          <w:tcPr>
            <w:tcW w:w="9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May 30, 2020</w:t>
            </w:r>
          </w:p>
        </w:tc>
      </w:tr>
      <w:tr>
        <w:trPr>
          <w:trHeight w:val="243"/>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3"/>
        </w:trPr>
        <w:tc>
          <w:tcPr>
            <w:tcW w:w="9560" w:type="dxa"/>
            <w:vAlign w:val="bottom"/>
          </w:tcPr>
          <w:p>
            <w:pPr>
              <w:ind w:left="120"/>
              <w:spacing w:after="0"/>
              <w:rPr>
                <w:sz w:val="20"/>
                <w:szCs w:val="20"/>
                <w:color w:val="auto"/>
              </w:rPr>
            </w:pPr>
            <w:r>
              <w:rPr>
                <w:rFonts w:ascii="Arial" w:cs="Arial" w:eastAsia="Arial" w:hAnsi="Arial"/>
                <w:sz w:val="16"/>
                <w:szCs w:val="16"/>
                <w:color w:val="auto"/>
              </w:rPr>
              <w:t>Operating leases</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53"/>
        </w:trPr>
        <w:tc>
          <w:tcPr>
            <w:tcW w:w="9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leases</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33"/>
        </w:trPr>
        <w:tc>
          <w:tcPr>
            <w:tcW w:w="956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3"/>
        </w:trPr>
        <w:tc>
          <w:tcPr>
            <w:tcW w:w="9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23"/>
        </w:trPr>
        <w:tc>
          <w:tcPr>
            <w:tcW w:w="956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6.2 %</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(1) Represents the lease liability added. Lease assets are offset by a $1.0 million unfavorable lease liability created by the acquisition of Newmar.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20"/>
                <w:szCs w:val="20"/>
                <w:color w:val="auto"/>
              </w:rPr>
            </w:pPr>
            <w:r>
              <w:rPr>
                <w:rFonts w:ascii="Arial" w:cs="Arial" w:eastAsia="Arial" w:hAnsi="Arial"/>
                <w:sz w:val="16"/>
                <w:szCs w:val="16"/>
                <w:b w:val="1"/>
                <w:bCs w:val="1"/>
                <w:color w:val="auto"/>
              </w:rPr>
              <w:t>Note 11: Employee and Retiree Benefits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32"/>
        </w:trPr>
        <w:tc>
          <w:tcPr>
            <w:tcW w:w="7900" w:type="dxa"/>
            <w:vAlign w:val="bottom"/>
          </w:tcPr>
          <w:p>
            <w:pPr>
              <w:spacing w:after="0"/>
              <w:rPr>
                <w:sz w:val="20"/>
                <w:szCs w:val="20"/>
                <w:color w:val="auto"/>
              </w:rPr>
            </w:pPr>
            <w:r>
              <w:rPr>
                <w:rFonts w:ascii="Arial" w:cs="Arial" w:eastAsia="Arial" w:hAnsi="Arial"/>
                <w:sz w:val="16"/>
                <w:szCs w:val="16"/>
                <w:color w:val="auto"/>
              </w:rPr>
              <w:t>Deferred compensation liabilities are as follows: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7"/>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30,</w:t>
            </w:r>
          </w:p>
        </w:tc>
        <w:tc>
          <w:tcPr>
            <w:tcW w:w="260" w:type="dxa"/>
            <w:vAlign w:val="bottom"/>
          </w:tcPr>
          <w:p>
            <w:pPr>
              <w:spacing w:after="0"/>
              <w:rPr>
                <w:sz w:val="18"/>
                <w:szCs w:val="18"/>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4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Non-qualified deferred compensation</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11,859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13,093</w:t>
            </w: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color w:val="auto"/>
              </w:rPr>
              <w:t>Supplemental executive retirement plan</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1,825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2,072</w:t>
            </w:r>
          </w:p>
        </w:tc>
      </w:tr>
      <w:tr>
        <w:trPr>
          <w:trHeight w:val="25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share option plan</w:t>
            </w: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r>
      <w:tr>
        <w:trPr>
          <w:trHeight w:val="23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Executive deferred compensation plan</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621</w:t>
            </w:r>
          </w:p>
        </w:tc>
      </w:tr>
      <w:tr>
        <w:trPr>
          <w:trHeight w:val="24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 benefits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14,318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15,798</w:t>
            </w:r>
          </w:p>
        </w:tc>
      </w:tr>
      <w:tr>
        <w:trPr>
          <w:trHeight w:val="24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2,864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2,920</w:t>
            </w:r>
          </w:p>
        </w:tc>
      </w:tr>
      <w:tr>
        <w:trPr>
          <w:trHeight w:val="261"/>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compensation benefits, net of current portion</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11,454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12,878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Included in Accrued compensation on the Condensed Consolidated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68"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Generally, manufacturers in the same industries as the Company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22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repurchase agreements of the Company generally provide that, in the event of default by the dealer on the agreement to pay the lending institution, the Company will repurchase the financed merchandise. The terms of these agreements, which generally can last up to 24 months, provide that the liability will be the lesser of remaining principal owed by the dealer to the lending institution, or dealer invoice less periodic reductions based on the time since the date of the original invoice. The Company's liability cannot exceed 100% of the dealer invoice. In certain instances, the Company also repurchases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repurchase agreements of the Company was approximately $1.2 billion and $874.9 million at May 30, 2020 and August 31,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Repurchased sales are not recorded as a revenue transaction, but the net difference between the original repurchase price and the resale price are recorded against the loss reserve, which is a deduction from gross revenue. The Company's loss reserve for repurchase commitments contains uncertainties because the calculation requires management to make assumptions and apply judgment regarding a number of factors. The Company's risk of loss related to these repurchase commitments is significantly reduced by the potential resale value of any products that are subject to repurchase and is spread over numerous dealers and lenders. The aggregate contingent liability related to the Company's repurchase agreements represents all financed dealer inventory at the period reporting date subject to a repurchase agreement, net of the greater of periodic reductions per the agreement or dealer principal payments. Based on these repurchase agreements and the Company's historical loss experience, an associated loss reserve is established which is included in Accrued expenses: Other on the Condensed Consolidated Balance Sheets. The Company's estimated repurchase accrual was $1.2 million and $0.9 million at</w:t>
      </w:r>
    </w:p>
    <w:p>
      <w:pPr>
        <w:spacing w:after="0" w:line="3"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May 30, 2020 and August 31, 2019, respectively. Repurchase risk is affected by the credit worthiness of the Company's dealer network, and management does not believe there is a reasonable likelihood that there will be a material change in the estimates or assumptions used to establish the loss reserve for repurchase commitments.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activity related to repurchase agreements during the first nine months ended May 30, 2020 and May 25, 2019.</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6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Company is involved in various legal proceedings which are ordinary and routine litigation incidental to the business, some of which are covered in whole or in part by insurance. While the Company believes the ultimate disposition of litigation will not have a material adverse effect on the Company's financial position, results of operations or liquidity, there exists the possibility that such litigation may have an impact on the Company's results for a particular reporting period in which litigation effects become probable and reasonably estimable. Though the Company does not believe there is a reasonable likelihood that there will be a material change related to these matters, litigation is subject to inherent uncertainties and management’s view of these matters may change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w:t>
      </w:r>
      <w:r>
        <w:rPr>
          <w:rFonts w:ascii="Arial" w:cs="Arial" w:eastAsia="Arial" w:hAnsi="Arial"/>
          <w:sz w:val="17"/>
          <w:szCs w:val="17"/>
          <w:b w:val="1"/>
          <w:bCs w:val="1"/>
          <w:color w:val="auto"/>
        </w:rPr>
        <w:t>:</w:t>
      </w:r>
      <w:r>
        <w:rPr>
          <w:rFonts w:ascii="Arial" w:cs="Arial" w:eastAsia="Arial" w:hAnsi="Arial"/>
          <w:sz w:val="16"/>
          <w:szCs w:val="16"/>
          <w:b w:val="1"/>
          <w:bCs w:val="1"/>
          <w:color w:val="auto"/>
        </w:rPr>
        <w:t xml:space="preserve"> Revenue</w:t>
      </w:r>
    </w:p>
    <w:p>
      <w:pPr>
        <w:spacing w:after="0" w:line="284"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The Company generates all operating revenue from contracts with customers. The Company's primary source of revenue is generated through the sale of manufactured motorized units, non-motorized towable units, and marine units to the Company's independent dealer network (the Company's customers). The following table disaggregates revenue by reportable segment and product category:</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30,</w:t>
            </w:r>
          </w:p>
        </w:tc>
        <w:tc>
          <w:tcPr>
            <w:tcW w:w="30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25,</w:t>
            </w:r>
          </w:p>
        </w:tc>
        <w:tc>
          <w:tcPr>
            <w:tcW w:w="32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30,</w:t>
            </w:r>
          </w:p>
        </w:tc>
        <w:tc>
          <w:tcPr>
            <w:tcW w:w="300" w:type="dxa"/>
            <w:vAlign w:val="bottom"/>
          </w:tcPr>
          <w:p>
            <w:pPr>
              <w:spacing w:after="0"/>
              <w:rPr>
                <w:sz w:val="17"/>
                <w:szCs w:val="17"/>
                <w:color w:val="auto"/>
              </w:rPr>
            </w:pPr>
          </w:p>
        </w:tc>
        <w:tc>
          <w:tcPr>
            <w:tcW w:w="132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25,</w:t>
            </w:r>
          </w:p>
        </w:tc>
      </w:tr>
      <w:tr>
        <w:trPr>
          <w:trHeight w:val="22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Towable:</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Fifth Wheel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107,364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201,561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459,301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519,093</w:t>
            </w: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Travel Trailer</w:t>
            </w:r>
          </w:p>
        </w:tc>
        <w:tc>
          <w:tcPr>
            <w:tcW w:w="3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77,974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140,709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342,331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358,497</w:t>
            </w:r>
          </w:p>
        </w:tc>
      </w:tr>
      <w:tr>
        <w:trPr>
          <w:trHeight w:val="253"/>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3,560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4,541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11,979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12,745</w:t>
            </w:r>
          </w:p>
        </w:tc>
      </w:tr>
      <w:tr>
        <w:trPr>
          <w:trHeight w:val="227"/>
        </w:trPr>
        <w:tc>
          <w:tcPr>
            <w:tcW w:w="4440" w:type="dxa"/>
            <w:vAlign w:val="bottom"/>
          </w:tcPr>
          <w:p>
            <w:pPr>
              <w:ind w:left="220"/>
              <w:spacing w:after="0"/>
              <w:rPr>
                <w:sz w:val="20"/>
                <w:szCs w:val="20"/>
                <w:color w:val="auto"/>
              </w:rPr>
            </w:pPr>
            <w:r>
              <w:rPr>
                <w:rFonts w:ascii="Arial" w:cs="Arial" w:eastAsia="Arial" w:hAnsi="Arial"/>
                <w:sz w:val="16"/>
                <w:szCs w:val="16"/>
                <w:color w:val="auto"/>
              </w:rPr>
              <w:t>Total Towable</w:t>
            </w:r>
          </w:p>
        </w:tc>
        <w:tc>
          <w:tcPr>
            <w:tcW w:w="3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188,898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346,811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813,611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890,335</w:t>
            </w: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Class A</w:t>
            </w:r>
          </w:p>
        </w:tc>
        <w:tc>
          <w:tcPr>
            <w:tcW w:w="3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92,280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45,138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337,629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148,816</w:t>
            </w:r>
          </w:p>
        </w:tc>
      </w:tr>
      <w:tr>
        <w:trPr>
          <w:trHeight w:val="25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Class B</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65,000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41,363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232,349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162,343</w:t>
            </w: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Class C</w:t>
            </w:r>
          </w:p>
        </w:tc>
        <w:tc>
          <w:tcPr>
            <w:tcW w:w="3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39,268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67,674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161,801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176,059</w:t>
            </w:r>
          </w:p>
        </w:tc>
      </w:tr>
      <w:tr>
        <w:trPr>
          <w:trHeight w:val="253"/>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7,042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6,064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23,244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19,011</w:t>
            </w:r>
          </w:p>
        </w:tc>
      </w:tr>
      <w:tr>
        <w:trPr>
          <w:trHeight w:val="227"/>
        </w:trPr>
        <w:tc>
          <w:tcPr>
            <w:tcW w:w="4440" w:type="dxa"/>
            <w:vAlign w:val="bottom"/>
          </w:tcPr>
          <w:p>
            <w:pPr>
              <w:ind w:left="220"/>
              <w:spacing w:after="0"/>
              <w:rPr>
                <w:sz w:val="20"/>
                <w:szCs w:val="20"/>
                <w:color w:val="auto"/>
              </w:rPr>
            </w:pPr>
            <w:r>
              <w:rPr>
                <w:rFonts w:ascii="Arial" w:cs="Arial" w:eastAsia="Arial" w:hAnsi="Arial"/>
                <w:sz w:val="16"/>
                <w:szCs w:val="16"/>
                <w:color w:val="auto"/>
              </w:rPr>
              <w:t>Total Motorhome</w:t>
            </w:r>
          </w:p>
        </w:tc>
        <w:tc>
          <w:tcPr>
            <w:tcW w:w="3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203,590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160,239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755,023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506,229</w:t>
            </w: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43"/>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9,970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21,890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49,092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58,714</w:t>
            </w:r>
          </w:p>
        </w:tc>
      </w:tr>
      <w:tr>
        <w:trPr>
          <w:trHeight w:val="230"/>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Corporate / All Other</w:t>
            </w:r>
          </w:p>
        </w:tc>
        <w:tc>
          <w:tcPr>
            <w:tcW w:w="3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9,970</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21,890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49,092</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58,714</w:t>
            </w:r>
          </w:p>
        </w:tc>
      </w:tr>
      <w:tr>
        <w:trPr>
          <w:trHeight w:val="243"/>
        </w:trPr>
        <w:tc>
          <w:tcPr>
            <w:tcW w:w="4440" w:type="dxa"/>
            <w:vAlign w:val="bottom"/>
          </w:tcPr>
          <w:p>
            <w:pPr>
              <w:ind w:left="340"/>
              <w:spacing w:after="0"/>
              <w:rPr>
                <w:sz w:val="20"/>
                <w:szCs w:val="20"/>
                <w:color w:val="auto"/>
              </w:rPr>
            </w:pPr>
            <w:r>
              <w:rPr>
                <w:rFonts w:ascii="Arial" w:cs="Arial" w:eastAsia="Arial" w:hAnsi="Arial"/>
                <w:sz w:val="16"/>
                <w:szCs w:val="16"/>
                <w:color w:val="auto"/>
              </w:rPr>
              <w:t>Consolidated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402,458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528,940</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1,617,726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1,455,278</w:t>
            </w:r>
          </w:p>
        </w:tc>
      </w:tr>
      <w:tr>
        <w:trPr>
          <w:trHeight w:val="20"/>
        </w:trPr>
        <w:tc>
          <w:tcPr>
            <w:tcW w:w="4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Relates to parts, accessories, and services.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Relates to marine and specialty vehicle units, parts, accessories, and services.</w:t>
      </w:r>
    </w:p>
    <w:p>
      <w:pPr>
        <w:spacing w:after="0" w:line="241"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Company does not have material contract assets or liabilities. The Company establishes allowances for uncollectible receivables based on historical collection trends and write-off history.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26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None of the Company's dealer organizations accounted for more than 10% of net revenue for each of the third quarter periods of Fiscal 2020 and Fiscal 2019. In addition, none of the Company's dealer organizations accounted for more than 10% of net revenue for the first nine months of Fiscal 2020 or 2019.</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Stock-Based Compensation</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December 11, 2018, the Company's shareholders approved the Winnebago Industries, Inc. 2019 Omnibus Incentive Plan ("2019 Plan") as detailed in the Company's Proxy Statement for the 2018 Annual Meeting of Shareholders. The 2019 Plan allows the Company to grant or issue non-qualified stock options, incentive stock options, share awards, and other equity compensation to key employees and to non-employee directors. The 2019 Plan replaces our 2014 Omnibus Equity, Performance Award, and Incentive Compensation Plan (as amended, the "2014 Plan"). The number of shares of the Company's Common Stock that may be the subject of awards and issued under the 2019 Plan is 4.1 million, plus the shares subject to any awards outstanding under the 2014 Plan and the Company's predecessor plan, the 2004 Incentive Compensation Plan (the “2004 Plan”), on December 11, 2018 that subsequently expire, are forfeited or canceled, or are settled for cash. Until such time, however, awards under the 2014 Plan and the 2004 Plan, respectively, that are outstanding on December 11, 2018 will continue to be subject to the terms of the 2014 Plan or 2004 Plan, as applicable. Shares remaining available for future awards under the 2014 Plan were not carried over into the 2019 Plan.</w:t>
      </w:r>
    </w:p>
    <w:p>
      <w:pPr>
        <w:spacing w:after="0" w:line="233"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Stock-based compensation expense was $(0.3) million and $1.1 million during the third quarters of Fiscal 2020 and 2019, respectively, and $3.3 million and $5.7 million during the first nine months of Fiscal 2020 and 2019, respectively. Compensation expense is recognized over the requisite service period of the award.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Restructuring</w:t>
      </w:r>
    </w:p>
    <w:p>
      <w:pPr>
        <w:spacing w:after="0" w:line="268"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During the third quarter of Fiscal 2020, the Company completed a reduction in force intended to improve operational efficiencies and to align with the Company's long-term strategic plan, which have resulted in headcount reductions in the Motorhome segment. As a result, we recognized $1.4 million of restructuring charges during the three months ended May 30, 2020. These charges include termination benefits.</w:t>
      </w:r>
    </w:p>
    <w:p>
      <w:pPr>
        <w:spacing w:after="0" w:line="22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On February 4, 2019, the Company announced its intent to move the Company's diesel production from Junction City, OR to Forest City, IA to enable more effective product development and improve cost structure. These charges include termination benefits, asset-related expenses and other related costs.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aggregate restructuring charges incurred: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5"/>
          </w:tcPr>
          <w:p>
            <w:pPr>
              <w:ind w:left="1020"/>
              <w:spacing w:after="0"/>
              <w:rPr>
                <w:sz w:val="20"/>
                <w:szCs w:val="20"/>
                <w:color w:val="auto"/>
              </w:rPr>
            </w:pPr>
            <w:r>
              <w:rPr>
                <w:rFonts w:ascii="Arial" w:cs="Arial" w:eastAsia="Arial" w:hAnsi="Arial"/>
                <w:sz w:val="16"/>
                <w:szCs w:val="16"/>
                <w:b w:val="1"/>
                <w:bCs w:val="1"/>
                <w:color w:val="auto"/>
              </w:rPr>
              <w:t>Motorhome</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36"/>
        </w:trPr>
        <w:tc>
          <w:tcPr>
            <w:tcW w:w="4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237"/>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May 30, 2020</w:t>
            </w:r>
          </w:p>
        </w:tc>
        <w:tc>
          <w:tcPr>
            <w:tcW w:w="22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May 25, 2019</w:t>
            </w:r>
          </w:p>
        </w:tc>
        <w:tc>
          <w:tcPr>
            <w:tcW w:w="20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May 30, 2020</w:t>
            </w:r>
          </w:p>
        </w:tc>
        <w:tc>
          <w:tcPr>
            <w:tcW w:w="220" w:type="dxa"/>
            <w:vAlign w:val="bottom"/>
          </w:tcPr>
          <w:p>
            <w:pPr>
              <w:spacing w:after="0"/>
              <w:rPr>
                <w:sz w:val="20"/>
                <w:szCs w:val="20"/>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b w:val="1"/>
                <w:bCs w:val="1"/>
                <w:color w:val="auto"/>
              </w:rPr>
              <w:t>May 25, 2019</w:t>
            </w:r>
          </w:p>
        </w:tc>
      </w:tr>
      <w:tr>
        <w:trPr>
          <w:trHeight w:val="243"/>
        </w:trPr>
        <w:tc>
          <w:tcPr>
            <w:tcW w:w="4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1,376</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1,102</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1,200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1,102</w:t>
            </w:r>
          </w:p>
        </w:tc>
      </w:tr>
      <w:tr>
        <w:trPr>
          <w:trHeight w:val="237"/>
        </w:trPr>
        <w:tc>
          <w:tcPr>
            <w:tcW w:w="42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219</w:t>
            </w:r>
          </w:p>
        </w:tc>
      </w:tr>
      <w:tr>
        <w:trPr>
          <w:trHeight w:val="268"/>
        </w:trPr>
        <w:tc>
          <w:tcPr>
            <w:tcW w:w="42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Restructuring expense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1,102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1,321</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Expenses in the current Fiscal year mainly include headcount reductions and adjustments for facility closure costs. The Company does not expect additional reorganization charges during the remainder of Fiscal 2020. These costs could be higher or lower in the event the Company makes additional decisions in future periods that impact reorganization efforts.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Income Taxes</w:t>
      </w:r>
    </w:p>
    <w:p>
      <w:pPr>
        <w:spacing w:after="0" w:line="255"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The Company's effective tax rate decreased to 16.3% for the first nine months ended May 30, 2020 from 18.9% for the first nine months ended May 25, 2019 due primarily to fixed credits against lower taxable income due to the COVID-19 impact in the third quarter of Fiscal 2020 partially offset by a favorable credit in the prior year related to research and development credits.</w:t>
      </w:r>
    </w:p>
    <w:p>
      <w:pPr>
        <w:spacing w:after="0" w:line="238"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The Company files a U.S. Federal tax return, as well as returns in various international and state jurisdictions. As of May 30, 2020, the Company's federal returns from Fiscal 2016 to present are subject to review by the Internal Revenue Service. With limited exception, state returns from Fiscal 2015 to present continue to be subject to review by state taxing jurisdictions. The Company is currently under review by certain U.S. state tax authorities for Fiscal 2015 through 2018. The Company believes it has adequately reserved for its exposure to additional payments for uncertain tax positions in its liability for unrecognized tax benefits.</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20"/>
                <w:szCs w:val="20"/>
                <w:color w:val="auto"/>
              </w:rPr>
            </w:pPr>
            <w:r>
              <w:rPr>
                <w:rFonts w:ascii="Arial" w:cs="Arial" w:eastAsia="Arial" w:hAnsi="Arial"/>
                <w:sz w:val="16"/>
                <w:szCs w:val="16"/>
                <w:b w:val="1"/>
                <w:bCs w:val="1"/>
                <w:color w:val="auto"/>
              </w:rPr>
              <w:t>Note 17: Income Per Share</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6160" w:type="dxa"/>
            <w:vAlign w:val="bottom"/>
            <w:gridSpan w:val="4"/>
          </w:tcPr>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30,</w:t>
            </w:r>
          </w:p>
        </w:tc>
        <w:tc>
          <w:tcPr>
            <w:tcW w:w="30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25,</w:t>
            </w:r>
          </w:p>
        </w:tc>
        <w:tc>
          <w:tcPr>
            <w:tcW w:w="32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30,</w:t>
            </w:r>
          </w:p>
        </w:tc>
        <w:tc>
          <w:tcPr>
            <w:tcW w:w="300" w:type="dxa"/>
            <w:vAlign w:val="bottom"/>
          </w:tcPr>
          <w:p>
            <w:pPr>
              <w:spacing w:after="0"/>
              <w:rPr>
                <w:sz w:val="17"/>
                <w:szCs w:val="17"/>
                <w:color w:val="auto"/>
              </w:rPr>
            </w:pPr>
          </w:p>
        </w:tc>
        <w:tc>
          <w:tcPr>
            <w:tcW w:w="132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25,</w:t>
            </w:r>
          </w:p>
        </w:tc>
        <w:tc>
          <w:tcPr>
            <w:tcW w:w="0" w:type="dxa"/>
            <w:vAlign w:val="bottom"/>
          </w:tcPr>
          <w:p>
            <w:pPr>
              <w:spacing w:after="0"/>
              <w:rPr>
                <w:sz w:val="1"/>
                <w:szCs w:val="1"/>
                <w:color w:val="auto"/>
              </w:rPr>
            </w:pPr>
          </w:p>
        </w:tc>
      </w:tr>
      <w:tr>
        <w:trPr>
          <w:trHeight w:val="22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(12,353)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36,171</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18,983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79,930</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33,625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31,493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33,102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31,546</w:t>
            </w: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6"/>
                <w:szCs w:val="16"/>
                <w:color w:val="auto"/>
              </w:rPr>
              <w:t>Dilutive impact of stock compensation awards</w:t>
            </w:r>
          </w:p>
        </w:tc>
        <w:tc>
          <w:tcPr>
            <w:tcW w:w="3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4"/>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assuming</w:t>
            </w:r>
          </w:p>
        </w:tc>
        <w:tc>
          <w:tcPr>
            <w:tcW w:w="3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33,625</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31,644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33,289</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31,722</w:t>
            </w: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dilution</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Anti-dilutive securities excluded from Weighted average</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shares outstanding, assuming dilution</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income (loss) per common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0.57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24"/>
        </w:trPr>
        <w:tc>
          <w:tcPr>
            <w:tcW w:w="4440" w:type="dxa"/>
            <w:vAlign w:val="bottom"/>
          </w:tcPr>
          <w:p>
            <w:pPr>
              <w:ind w:left="20"/>
              <w:spacing w:after="0"/>
              <w:rPr>
                <w:sz w:val="20"/>
                <w:szCs w:val="20"/>
                <w:color w:val="auto"/>
              </w:rPr>
            </w:pPr>
            <w:r>
              <w:rPr>
                <w:rFonts w:ascii="Arial" w:cs="Arial" w:eastAsia="Arial" w:hAnsi="Arial"/>
                <w:sz w:val="16"/>
                <w:szCs w:val="16"/>
                <w:color w:val="auto"/>
              </w:rPr>
              <w:t>Diluted income (loss) per common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bl>
    <w:p>
      <w:pPr>
        <w:spacing w:after="0" w:line="372"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Anti-dilutive securities were not included in the computation of diluted income per common share because they are considered anti-dilutive under the treasury stock method.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Accumulated Other Comprehensive Income (Loss)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("AOCI") by component, net of tax, were: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May 30, 2020</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May 25, 2019</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Swap</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Pension Items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Swap</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8"/>
        </w:trPr>
        <w:tc>
          <w:tcPr>
            <w:tcW w:w="2960" w:type="dxa"/>
            <w:vAlign w:val="bottom"/>
          </w:tcPr>
          <w:p>
            <w:pPr>
              <w:ind w:left="120"/>
              <w:spacing w:after="0"/>
              <w:rPr>
                <w:sz w:val="20"/>
                <w:szCs w:val="20"/>
                <w:color w:val="auto"/>
              </w:rPr>
            </w:pPr>
            <w:r>
              <w:rPr>
                <w:rFonts w:ascii="Arial" w:cs="Arial" w:eastAsia="Arial" w:hAnsi="Arial"/>
                <w:sz w:val="16"/>
                <w:szCs w:val="16"/>
                <w:color w:val="auto"/>
              </w:rPr>
              <w:t>Other comprehensive income ("OCI")</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60" w:type="dxa"/>
            <w:vAlign w:val="bottom"/>
          </w:tcPr>
          <w:p>
            <w:pPr>
              <w:ind w:left="120"/>
              <w:spacing w:after="0"/>
              <w:rPr>
                <w:sz w:val="20"/>
                <w:szCs w:val="20"/>
                <w:color w:val="auto"/>
              </w:rPr>
            </w:pPr>
            <w:r>
              <w:rPr>
                <w:rFonts w:ascii="Arial" w:cs="Arial" w:eastAsia="Arial" w:hAnsi="Arial"/>
                <w:sz w:val="16"/>
                <w:szCs w:val="16"/>
                <w:color w:val="auto"/>
              </w:rPr>
              <w:t>before reclassifications</w:t>
            </w: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46"/>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Amounts reclassified from AOCI</w:t>
            </w: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current-period OCI</w:t>
            </w:r>
          </w:p>
        </w:tc>
        <w:tc>
          <w:tcPr>
            <w:tcW w:w="4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6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May 30, 2020</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May 25, 2019</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Pension Items</w:t>
            </w:r>
          </w:p>
        </w:tc>
        <w:tc>
          <w:tcPr>
            <w:tcW w:w="1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Swap</w:t>
            </w:r>
          </w:p>
        </w:tc>
        <w:tc>
          <w:tcPr>
            <w:tcW w:w="28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Total</w:t>
            </w: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Pension Items</w:t>
            </w:r>
          </w:p>
        </w:tc>
        <w:tc>
          <w:tcPr>
            <w:tcW w:w="12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Swap</w:t>
            </w:r>
          </w:p>
        </w:tc>
        <w:tc>
          <w:tcPr>
            <w:tcW w:w="280" w:type="dxa"/>
            <w:vAlign w:val="bottom"/>
          </w:tcPr>
          <w:p>
            <w:pPr>
              <w:spacing w:after="0"/>
              <w:rPr>
                <w:sz w:val="19"/>
                <w:szCs w:val="19"/>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68</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(491)</w:t>
            </w:r>
          </w:p>
        </w:tc>
        <w:tc>
          <w:tcPr>
            <w:tcW w:w="10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(591)</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1,483</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33"/>
        </w:trPr>
        <w:tc>
          <w:tcPr>
            <w:tcW w:w="2960" w:type="dxa"/>
            <w:vAlign w:val="bottom"/>
          </w:tcPr>
          <w:p>
            <w:pPr>
              <w:ind w:left="120"/>
              <w:spacing w:after="0"/>
              <w:rPr>
                <w:sz w:val="20"/>
                <w:szCs w:val="20"/>
                <w:color w:val="auto"/>
              </w:rPr>
            </w:pPr>
            <w:r>
              <w:rPr>
                <w:rFonts w:ascii="Arial" w:cs="Arial" w:eastAsia="Arial" w:hAnsi="Arial"/>
                <w:sz w:val="16"/>
                <w:szCs w:val="16"/>
                <w:color w:val="auto"/>
              </w:rPr>
              <w:t>OCI before reclassifications</w:t>
            </w:r>
          </w:p>
        </w:tc>
        <w:tc>
          <w:tcPr>
            <w:tcW w:w="4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46"/>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Amounts reclassified from AOCI</w:t>
            </w: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6"/>
        </w:trPr>
        <w:tc>
          <w:tcPr>
            <w:tcW w:w="2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current-period OCI</w:t>
            </w:r>
          </w:p>
        </w:tc>
        <w:tc>
          <w:tcPr>
            <w:tcW w:w="4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(1,018)</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6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AOCI in net periodic benefit costs, net of tax, were: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4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9"/>
                <w:szCs w:val="19"/>
                <w:color w:val="auto"/>
              </w:rPr>
            </w:pPr>
          </w:p>
        </w:tc>
        <w:tc>
          <w:tcPr>
            <w:tcW w:w="282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rPr>
              <w:t>Location on Consolidated</w:t>
            </w: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rPr>
              <w:t>Statements</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rPr>
              <w:t>of Income and Comprehensive</w:t>
            </w: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May 30,</w:t>
            </w: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May 25,</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May 30,</w:t>
            </w:r>
          </w:p>
        </w:tc>
        <w:tc>
          <w:tcPr>
            <w:tcW w:w="280" w:type="dxa"/>
            <w:vAlign w:val="bottom"/>
          </w:tcPr>
          <w:p>
            <w:pPr>
              <w:spacing w:after="0"/>
              <w:rPr>
                <w:sz w:val="16"/>
                <w:szCs w:val="16"/>
                <w:color w:val="auto"/>
              </w:rPr>
            </w:pPr>
          </w:p>
        </w:tc>
        <w:tc>
          <w:tcPr>
            <w:tcW w:w="1220" w:type="dxa"/>
            <w:vAlign w:val="bottom"/>
          </w:tcPr>
          <w:p>
            <w:pPr>
              <w:jc w:val="center"/>
              <w:ind w:right="199"/>
              <w:spacing w:after="0"/>
              <w:rPr>
                <w:sz w:val="20"/>
                <w:szCs w:val="20"/>
                <w:color w:val="auto"/>
              </w:rPr>
            </w:pPr>
            <w:r>
              <w:rPr>
                <w:rFonts w:ascii="Arial" w:cs="Arial" w:eastAsia="Arial" w:hAnsi="Arial"/>
                <w:sz w:val="16"/>
                <w:szCs w:val="16"/>
                <w:b w:val="1"/>
                <w:bCs w:val="1"/>
                <w:color w:val="auto"/>
              </w:rPr>
              <w:t>May 25,</w:t>
            </w:r>
          </w:p>
        </w:tc>
        <w:tc>
          <w:tcPr>
            <w:tcW w:w="0" w:type="dxa"/>
            <w:vAlign w:val="bottom"/>
          </w:tcPr>
          <w:p>
            <w:pPr>
              <w:spacing w:after="0"/>
              <w:rPr>
                <w:sz w:val="1"/>
                <w:szCs w:val="1"/>
                <w:color w:val="auto"/>
              </w:rPr>
            </w:pPr>
          </w:p>
        </w:tc>
      </w:tr>
      <w:tr>
        <w:trPr>
          <w:trHeight w:val="228"/>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Income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8"/>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net actuarial</w:t>
            </w:r>
          </w:p>
        </w:tc>
        <w:tc>
          <w:tcPr>
            <w:tcW w:w="26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8"/>
              </w:rPr>
              <w:t>SG&amp;A</w:t>
            </w: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00"/>
        </w:trPr>
        <w:tc>
          <w:tcPr>
            <w:tcW w:w="22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loss</w:t>
            </w:r>
          </w:p>
        </w:tc>
        <w:tc>
          <w:tcPr>
            <w:tcW w:w="2660" w:type="dxa"/>
            <w:vAlign w:val="bottom"/>
            <w:vMerge w:val="continue"/>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200" w:type="dxa"/>
            <w:vAlign w:val="bottom"/>
            <w:vMerge w:val="continue"/>
            <w:shd w:val="clear" w:color="auto" w:fill="CCEEFF"/>
          </w:tcPr>
          <w:p>
            <w:pPr>
              <w:spacing w:after="0"/>
              <w:rPr>
                <w:sz w:val="9"/>
                <w:szCs w:val="9"/>
                <w:color w:val="auto"/>
              </w:rPr>
            </w:pPr>
          </w:p>
        </w:tc>
        <w:tc>
          <w:tcPr>
            <w:tcW w:w="26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6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Unless the context otherwise requires, the use of the terms "Winnebago," "we," "us," and "our" refers to Winnebago Industries, Inc. and its wholly-owned subsidiaries.</w:t>
      </w:r>
    </w:p>
    <w:p>
      <w:pPr>
        <w:spacing w:after="0" w:line="22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229" w:lineRule="exact"/>
        <w:rPr>
          <w:sz w:val="20"/>
          <w:szCs w:val="20"/>
          <w:color w:val="auto"/>
        </w:rPr>
      </w:pPr>
    </w:p>
    <w:p>
      <w:pPr>
        <w:ind w:right="580"/>
        <w:spacing w:after="0" w:line="253" w:lineRule="auto"/>
        <w:rPr>
          <w:sz w:val="20"/>
          <w:szCs w:val="20"/>
          <w:color w:val="auto"/>
        </w:rPr>
      </w:pPr>
      <w:r>
        <w:rPr>
          <w:rFonts w:ascii="Arial" w:cs="Arial" w:eastAsia="Arial" w:hAnsi="Arial"/>
          <w:sz w:val="16"/>
          <w:szCs w:val="16"/>
          <w:color w:val="auto"/>
        </w:rPr>
        <w:t>Our MD&amp;A should be read in conjunction with our Annual Report on Form 10-K for the fiscal year ended August 31, 2019 (including the information presented therein under Risk Factors), as well as our reports on Forms 10-Q and 8-K and other publicly available information. All amounts herein are unaudited.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Winnebago Industries, Inc. is one of the leading North American manufacturers with a diversified portfolio of recreation vehicles ("RV"s) and marine products used primarily in leisure travel and outdoor recreation activities. We produce our motorhome units in Iowa and Indiana; our towable units in Indiana; and our marine units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255" w:lineRule="exact"/>
        <w:rPr>
          <w:sz w:val="20"/>
          <w:szCs w:val="20"/>
          <w:color w:val="auto"/>
        </w:rPr>
      </w:pPr>
    </w:p>
    <w:p>
      <w:pPr>
        <w:ind w:right="120"/>
        <w:spacing w:after="0" w:line="235" w:lineRule="auto"/>
        <w:rPr>
          <w:sz w:val="20"/>
          <w:szCs w:val="20"/>
          <w:color w:val="auto"/>
        </w:rPr>
      </w:pPr>
      <w:r>
        <w:rPr>
          <w:rFonts w:ascii="Arial" w:cs="Arial" w:eastAsia="Arial" w:hAnsi="Arial"/>
          <w:sz w:val="16"/>
          <w:szCs w:val="16"/>
          <w:color w:val="212529"/>
        </w:rPr>
        <w:t>In March 2020, the World Health Organization declared the COVID-19 outbreak a pandemic. The COVID-19 pandemic has resulted in governments around the world implementing increasingly stringent measures to help control the spread of the virus, including quarantines and “shelter-in-place” orders, travel restrictions, business curtailments, limits on gatherings, and other measures. In addition, governments and central banks in several parts of the world have enacted fiscal and monetary stimulus measures designed to counteract the economic impacts of the COVID-19 pandemic.</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212529"/>
        </w:rPr>
        <w:t>Health and safety</w:t>
      </w:r>
    </w:p>
    <w:p>
      <w:pPr>
        <w:spacing w:after="0" w:line="8" w:lineRule="exact"/>
        <w:rPr>
          <w:sz w:val="20"/>
          <w:szCs w:val="20"/>
          <w:color w:val="auto"/>
        </w:rPr>
      </w:pPr>
    </w:p>
    <w:p>
      <w:pPr>
        <w:ind w:right="20"/>
        <w:spacing w:after="0"/>
        <w:rPr>
          <w:sz w:val="20"/>
          <w:szCs w:val="20"/>
          <w:color w:val="auto"/>
        </w:rPr>
      </w:pPr>
      <w:r>
        <w:rPr>
          <w:rFonts w:ascii="Arial" w:cs="Arial" w:eastAsia="Arial" w:hAnsi="Arial"/>
          <w:sz w:val="16"/>
          <w:szCs w:val="16"/>
          <w:color w:val="212529"/>
        </w:rPr>
        <w:t>From the earliest signs of the outbreak, we have taken proactive action to protect the health and safety of our employees, customers, and suppliers. We have enacted rigorous safety measures in our sites, including employee training and self-monitoring for symptoms of the COVID-19 virus, the taking of all employee temperatures upon reporting to work, implementing social distancing protocols, implementing working from home arrangements for those employees that do not need to be physically present, suspending travel, extensively and frequently disinfecting our workspaces, and providing or accommodating the wearing of masks to those employees who must be physically present in their workplace. In the event an employee contracts the virus and is tested positive, we have mandated quarantining and have instructed employees not to return to work until such time that they have been cleared to do so. We expect to continue to practice these measures until we determine that the COVID-19 pandemic is adequately contained for purposes of our business, and we may take further actions as government authorities require or recommend or as we determine to be in the best interests of our employees, customers, and suppliers.</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i w:val="1"/>
          <w:iCs w:val="1"/>
          <w:color w:val="212529"/>
        </w:rPr>
        <w:t>Operations</w:t>
      </w:r>
    </w:p>
    <w:p>
      <w:pPr>
        <w:spacing w:after="0" w:line="8"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color w:val="212529"/>
        </w:rPr>
        <w:t>During the third quarter of Fiscal 2020, our manufacturing operations have been affected by the COVID-19 pandemic. Generally, any government mandated measures providing for business shutdowns exclude certain essential businesses and services, including businesses that manufacture and sell products that were considered essential to daily lives or otherwise operate in essential or critical sectors. While some of our facilities were considered essential by local governments, particularly in Indiana where all of our facilities are located for the towable segment, during the third quarter we experienced temporary, partial or full factory closures at our facilities in a concerted effort to lower the probability of coronavirus exposure to key stakeholders, to sanitize the facilities and address employee well-being. During the latter half of the third quarter, the facilities we temporarily, partially or fully closed began to reopen on a staggered schedule to effectively monitor the impact and make changes as necessary. While governmental measures may be modified or extended, we expect that our manufacturing facilities will remain operational.</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212529"/>
        </w:rPr>
        <w:t>Supply</w:t>
      </w:r>
    </w:p>
    <w:p>
      <w:pPr>
        <w:spacing w:after="0" w:line="8" w:lineRule="exact"/>
        <w:rPr>
          <w:sz w:val="20"/>
          <w:szCs w:val="20"/>
          <w:color w:val="auto"/>
        </w:rPr>
      </w:pPr>
    </w:p>
    <w:p>
      <w:pPr>
        <w:ind w:right="160"/>
        <w:spacing w:after="0" w:line="242" w:lineRule="auto"/>
        <w:rPr>
          <w:sz w:val="20"/>
          <w:szCs w:val="20"/>
          <w:color w:val="auto"/>
        </w:rPr>
      </w:pPr>
      <w:r>
        <w:rPr>
          <w:rFonts w:ascii="Arial" w:cs="Arial" w:eastAsia="Arial" w:hAnsi="Arial"/>
          <w:sz w:val="16"/>
          <w:szCs w:val="16"/>
          <w:color w:val="212529"/>
        </w:rPr>
        <w:t>We have not yet experienced material impacts or interruptions to our supply chain as a result of the COVID-19 pandemic. However, certain of our suppliers have faced difficulties maintaining operations in light of shelter-in-place mandates, which may impact our supply chain in future periods. Additionally,</w:t>
      </w:r>
    </w:p>
    <w:p>
      <w:pPr>
        <w:spacing w:after="0" w:line="3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212529"/>
        </w:rPr>
        <w:t>restrictions or disruptions of transportation did not result in higher costs or delays for the three months ended May 30, 2020. We are actively monitoring the costs and timing of raw materials and other inputs to our supply chain.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212529"/>
        </w:rPr>
        <w:t>Demand</w:t>
      </w:r>
    </w:p>
    <w:p>
      <w:pPr>
        <w:spacing w:after="0" w:line="8" w:lineRule="exact"/>
        <w:rPr>
          <w:sz w:val="20"/>
          <w:szCs w:val="20"/>
          <w:color w:val="auto"/>
        </w:rPr>
      </w:pPr>
    </w:p>
    <w:p>
      <w:pPr>
        <w:spacing w:after="0" w:line="237" w:lineRule="auto"/>
        <w:rPr>
          <w:sz w:val="20"/>
          <w:szCs w:val="20"/>
          <w:color w:val="auto"/>
        </w:rPr>
      </w:pPr>
      <w:r>
        <w:rPr>
          <w:rFonts w:ascii="Arial" w:cs="Arial" w:eastAsia="Arial" w:hAnsi="Arial"/>
          <w:sz w:val="16"/>
          <w:szCs w:val="16"/>
          <w:color w:val="212529"/>
        </w:rPr>
        <w:t>The COVID-19 pandemic has significantly increased economic and demand volatility and uncertainty. Our dealer networks were significantly impacted during the COVID-19 pandemic and a majority of our dealers temporarily closed during the third quarter of Fiscal 2020. However, beginning in May our dealers which were closed, have begun to reopen, with dealer reopenings accelerating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212529"/>
        </w:rPr>
        <w:t>in June. The majority of our dealings have reopened as of the end of the third quarter of Fiscal 2020. During the third quarter of Fiscal 2020, we experienced reductions in customer demand due to a decrease in consumer spending attributable to the COVID-19 pandemic, however as of May 30, 2020, our backlog has recovered to levels higher than the same period of Fiscal 2019. Consumer buying activity may decline further if there are additional shut downs within our dealer networks. The current COVID-19 pandemic has caused a global economic slowdown, and the possibility of a global recession. In the event of a recession, demand for our products would decline and our business and results of operations would be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212529"/>
        </w:rPr>
        <w:t>Cost mitigation actions</w:t>
      </w:r>
    </w:p>
    <w:p>
      <w:pPr>
        <w:spacing w:after="0" w:line="8" w:lineRule="exact"/>
        <w:rPr>
          <w:sz w:val="20"/>
          <w:szCs w:val="20"/>
          <w:color w:val="auto"/>
        </w:rPr>
      </w:pPr>
    </w:p>
    <w:p>
      <w:pPr>
        <w:ind w:right="100"/>
        <w:spacing w:after="0" w:line="233" w:lineRule="auto"/>
        <w:rPr>
          <w:sz w:val="20"/>
          <w:szCs w:val="20"/>
          <w:color w:val="auto"/>
        </w:rPr>
      </w:pPr>
      <w:r>
        <w:rPr>
          <w:rFonts w:ascii="Arial" w:cs="Arial" w:eastAsia="Arial" w:hAnsi="Arial"/>
          <w:sz w:val="16"/>
          <w:szCs w:val="16"/>
          <w:color w:val="212529"/>
        </w:rPr>
        <w:t>We began to see lower demand in most of our businesses in late March 2020, and we took steps across our organization to align costs with lower sales volumes. These steps include employee furloughs and layoffs, salary reductions ranging from 10% to 25%, and delaying, reducing or eliminating purchased services and restricting travel. Additionally, we are proactively managing our working capital and have reduced our discretionary capital spending for 2020 but have not deferred strategic ongoing initiatives. We also continue to monitor government economic stabilization efforts and will participate in certain legislative provisions, such as deferring estimated tax payments and utilizing job retention subsidies.</w:t>
      </w:r>
    </w:p>
    <w:p>
      <w:pPr>
        <w:spacing w:after="0" w:line="227"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212529"/>
        </w:rPr>
        <w:t>We continue to monitor the rapidly evolving situation and guidance from international and domestic authorities, including federal, state and local public health authorities, and may take additional actions based on their requirements and recommendations. In these circumstances, there may be developments outside our control requiring us to adjust our operating plan. As such, given the dynamic nature of this situation, we cannot reasonably estimate the impacts of the COVID-19 pandemic on our financial condition, results of operations or cash flows in the future. In addition, see Part II—Item 1A, “Risk Factors,” included herein for updates to our risk factors regarding risks associated with the COVID-19 pandemic.</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Our financial position, results of operations and cash flows were impacted during the three months ended May 30, 2020, by the ongoing COVID-19</w:t>
      </w:r>
    </w:p>
    <w:p>
      <w:pPr>
        <w:spacing w:after="0" w:line="46"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pandemic. The trends and results for the three months ended May 30, 2020 may not be indicative of results that may be expected for the year ending August 29, 2020 due to uncertainty regarding the extent and duration of the COVID-19 pandemic.</w:t>
      </w:r>
    </w:p>
    <w:p>
      <w:pPr>
        <w:spacing w:after="0" w:line="193"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color w:val="auto"/>
        </w:rPr>
        <w:t xml:space="preserve">Additional disclosures in this Form 10-Q regarding the impacts of the ongoing COVID-19 pandemic are located in Note 1 – </w:t>
      </w:r>
      <w:r>
        <w:rPr>
          <w:rFonts w:ascii="Arial" w:cs="Arial" w:eastAsia="Arial" w:hAnsi="Arial"/>
          <w:sz w:val="16"/>
          <w:szCs w:val="16"/>
          <w:i w:val="1"/>
          <w:iCs w:val="1"/>
          <w:color w:val="auto"/>
        </w:rPr>
        <w:t>Basis of Presentation</w:t>
      </w:r>
      <w:r>
        <w:rPr>
          <w:rFonts w:ascii="Arial" w:cs="Arial" w:eastAsia="Arial" w:hAnsi="Arial"/>
          <w:sz w:val="16"/>
          <w:szCs w:val="16"/>
          <w:color w:val="auto"/>
        </w:rPr>
        <w:t>, Liquidity and Capital Resources and Part II, Item 1A. Risk Factors.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68"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This MD&amp;A includes financial information prepared in accordance with accounting principles generally accepted in the U.S.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22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Refer to the Results of Operations - First Nine Months of Fiscal 2020 Compared to the First Nine Months of Fiscal 2019 for a detailed reconciliation of items that impacted EBITDA and Adjusted EBITDA. We have included these non-GAAP performance measures as a comparable measure to illustrate the effect of non-recurring transactions occurring during the reported periods and to improve comparability of our results from period to period. We believe Adjusted EBITDA provides meaningful supplemental information about our operating performance because these measures exclude amounts that we do not consider part of our core operating results when assessing our performance. Examples of items excluded from Adjusted EBITDA include acquisition-related fair-value inventory step-up, acquisition-related costs, restructuring expenses, and non-operating income.</w:t>
      </w:r>
    </w:p>
    <w:p>
      <w:pPr>
        <w:spacing w:after="0" w:line="23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(d) to evaluate potential acquisitions; and (e) to ensure compliance with covenants and restricted activities under the terms of our debt agreements.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Newmar Corporation</w:t>
      </w:r>
    </w:p>
    <w:p>
      <w:pPr>
        <w:spacing w:after="0" w:line="26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 xml:space="preserve">On November 8, 2019, we completed the acquisition of Newmar Corporation, Dutch Real Estate Corp, New-Way Transport, and New-Serv (collectively "Newmar") for total consideration of $357.0 million, which consisted of $264.4 million in cash, subject to purchase price adjustments as stipulated in the Purchase Agreement, and 2.0 million shares of Winnebago common stock that were valued at $92.6 million ($46.29 per share discounted at 7.0% due to lack of marketability because of one year lock-up restrictions). The cash portion of the purchase price of the acquisition and certain transaction expenses were funded through the private placement of $300.0 million in aggregate principal amount of 1.5% convertible senior notes due 2025 ("Convertible Notes") (as further described in Note 9, </w:t>
      </w:r>
      <w:r>
        <w:rPr>
          <w:rFonts w:ascii="Arial" w:cs="Arial" w:eastAsia="Arial" w:hAnsi="Arial"/>
          <w:sz w:val="16"/>
          <w:szCs w:val="16"/>
          <w:i w:val="1"/>
          <w:iCs w:val="1"/>
          <w:color w:val="auto"/>
        </w:rPr>
        <w:t>Long-Term Debt</w:t>
      </w:r>
      <w:r>
        <w:rPr>
          <w:rFonts w:ascii="Arial" w:cs="Arial" w:eastAsia="Arial" w:hAnsi="Arial"/>
          <w:sz w:val="16"/>
          <w:szCs w:val="16"/>
          <w:color w:val="auto"/>
        </w:rPr>
        <w:t>) and cash on hand. Newmar is a leading manufacturer of Class A and Super C motorized recreation vehicles that are sold through an established network of independent authorized dealers throughout North America.</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26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have six operating segments: 1) Grand Design towables, 2) Winnebago towables, 3) Winnebago motorhomes, 4) Newmar motorhomes, 5) Chris-Craft marine, and 6) Winnebago specialty vehicles. We evaluate performance based on each operating segment's Adjusted EBITDA, as defined below, which excludes certain corporate administration expenses and non-operating income and expense.</w:t>
      </w:r>
    </w:p>
    <w:p>
      <w:pPr>
        <w:spacing w:after="0" w:line="22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two reportable segments include: 1) Towable (comprised of products which are not motorized and are generally towed by another vehicle as well as other related manufactured products and services), which is an aggregation of the Grand Design towables and the Winnebago towables operating segments and 2) Motorhome (comprised of products that include a motorized chassis as well as other related manufactured products and services), which is an aggregation of the Winnebago motorhomes and Newmar motorhomes operating segments.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Corporate / All Other category includes the Chris-Craft marine and Winnebago specialty vehicles operating segments as well as expenses related to certain corporate administration expenses for the oversight of the enterprise. These expenses include items such as corporate leadership and administration costs.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5" w:lineRule="exact"/>
        <w:rPr>
          <w:sz w:val="20"/>
          <w:szCs w:val="20"/>
          <w:color w:val="auto"/>
        </w:rPr>
      </w:pPr>
    </w:p>
    <w:p>
      <w:pPr>
        <w:ind w:left="560" w:hanging="228"/>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Wholesale unit shipments: RV product delivered to the dealers, which is reported monthly by the Recreation Vehicle Industry Association ("RVIA")</w:t>
      </w:r>
    </w:p>
    <w:p>
      <w:pPr>
        <w:spacing w:after="0" w:line="5" w:lineRule="exact"/>
        <w:rPr>
          <w:rFonts w:ascii="Arial" w:cs="Arial" w:eastAsia="Arial" w:hAnsi="Arial"/>
          <w:sz w:val="16"/>
          <w:szCs w:val="16"/>
          <w:color w:val="auto"/>
        </w:rPr>
      </w:pPr>
    </w:p>
    <w:p>
      <w:pPr>
        <w:ind w:left="560" w:hanging="228"/>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Retail unit registrations: consumer purchases of RVs from dealers, which is reported monthly by Stat Surveys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these key statistics for the rolling 12 months through April as of 2020 and 2019:</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US and Canada Industry</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3"/>
        </w:trPr>
        <w:tc>
          <w:tcPr>
            <w:tcW w:w="1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0" w:type="dxa"/>
            <w:vAlign w:val="bottom"/>
            <w:gridSpan w:val="7"/>
          </w:tcPr>
          <w:p>
            <w:pPr>
              <w:jc w:val="center"/>
              <w:ind w:right="40"/>
              <w:spacing w:after="0"/>
              <w:rPr>
                <w:sz w:val="20"/>
                <w:szCs w:val="20"/>
                <w:color w:val="auto"/>
              </w:rPr>
            </w:pPr>
            <w:r>
              <w:rPr>
                <w:rFonts w:ascii="Arial" w:cs="Arial" w:eastAsia="Arial" w:hAnsi="Arial"/>
                <w:sz w:val="16"/>
                <w:szCs w:val="16"/>
                <w:b w:val="1"/>
                <w:bCs w:val="1"/>
                <w:color w:val="auto"/>
              </w:rPr>
              <w:t>Wholesale Unit Shipments per RVIA</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7"/>
          </w:tcPr>
          <w:p>
            <w:pPr>
              <w:jc w:val="center"/>
              <w:spacing w:after="0"/>
              <w:rPr>
                <w:sz w:val="20"/>
                <w:szCs w:val="20"/>
                <w:color w:val="auto"/>
              </w:rPr>
            </w:pPr>
            <w:r>
              <w:rPr>
                <w:rFonts w:ascii="Arial" w:cs="Arial" w:eastAsia="Arial" w:hAnsi="Arial"/>
                <w:sz w:val="16"/>
                <w:szCs w:val="16"/>
                <w:b w:val="1"/>
                <w:bCs w:val="1"/>
                <w:color w:val="auto"/>
              </w:rPr>
              <w:t>Retail Unit Registrations per Stat Surveys</w:t>
            </w:r>
          </w:p>
        </w:tc>
      </w:tr>
      <w:tr>
        <w:trPr>
          <w:trHeight w:val="256"/>
        </w:trPr>
        <w:tc>
          <w:tcPr>
            <w:tcW w:w="15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6"/>
                <w:szCs w:val="16"/>
                <w:b w:val="1"/>
                <w:bCs w:val="1"/>
                <w:color w:val="auto"/>
              </w:rPr>
              <w:t>Rolling 12 Months through April</w:t>
            </w: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6"/>
                <w:szCs w:val="16"/>
                <w:b w:val="1"/>
                <w:bCs w:val="1"/>
                <w:color w:val="auto"/>
              </w:rPr>
              <w:t>Rolling 12 Months through April</w:t>
            </w:r>
          </w:p>
        </w:tc>
        <w:tc>
          <w:tcPr>
            <w:tcW w:w="1120" w:type="dxa"/>
            <w:vAlign w:val="bottom"/>
            <w:tcBorders>
              <w:bottom w:val="single" w:sz="8" w:color="auto"/>
            </w:tcBorders>
          </w:tcPr>
          <w:p>
            <w:pPr>
              <w:spacing w:after="0"/>
              <w:rPr>
                <w:sz w:val="22"/>
                <w:szCs w:val="22"/>
                <w:color w:val="auto"/>
              </w:rPr>
            </w:pPr>
          </w:p>
        </w:tc>
      </w:tr>
      <w:tr>
        <w:trPr>
          <w:trHeight w:val="237"/>
        </w:trPr>
        <w:tc>
          <w:tcPr>
            <w:tcW w:w="1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Towable</w:t>
            </w:r>
            <w:r>
              <w:rPr>
                <w:rFonts w:ascii="Arial" w:cs="Arial" w:eastAsia="Arial" w:hAnsi="Arial"/>
                <w:sz w:val="21"/>
                <w:szCs w:val="21"/>
                <w:color w:val="auto"/>
                <w:vertAlign w:val="superscript"/>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324,262</w:t>
            </w:r>
          </w:p>
        </w:tc>
        <w:tc>
          <w:tcPr>
            <w:tcW w:w="138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377,390</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(53,128)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365,459</w:t>
            </w:r>
          </w:p>
        </w:tc>
        <w:tc>
          <w:tcPr>
            <w:tcW w:w="12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414,249</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(48,790)</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43"/>
        </w:trPr>
        <w:tc>
          <w:tcPr>
            <w:tcW w:w="1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Motorhome</w:t>
            </w:r>
            <w:r>
              <w:rPr>
                <w:rFonts w:ascii="Arial" w:cs="Arial" w:eastAsia="Arial" w:hAnsi="Arial"/>
                <w:sz w:val="21"/>
                <w:szCs w:val="21"/>
                <w:color w:val="auto"/>
                <w:vertAlign w:val="superscript"/>
              </w:rPr>
              <w:t>(2)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40,149</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51,309</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(11,160)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46,535</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55,948</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(9,413)</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r>
      <w:tr>
        <w:trPr>
          <w:trHeight w:val="257"/>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Combined</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364,411</w:t>
            </w:r>
          </w:p>
        </w:tc>
        <w:tc>
          <w:tcPr>
            <w:tcW w:w="138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428,699</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(64,288)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411,994</w:t>
            </w:r>
          </w:p>
        </w:tc>
        <w:tc>
          <w:tcPr>
            <w:tcW w:w="12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470,197</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(58,203)</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Towable: Fifth wheel and travel trailer products.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Motorhome: Class A, B, and C products.</w:t>
      </w:r>
    </w:p>
    <w:p>
      <w:pPr>
        <w:spacing w:after="0" w:line="241" w:lineRule="exact"/>
        <w:rPr>
          <w:sz w:val="20"/>
          <w:szCs w:val="20"/>
          <w:color w:val="auto"/>
        </w:rPr>
      </w:pPr>
    </w:p>
    <w:p>
      <w:pPr>
        <w:jc w:val="both"/>
        <w:ind w:right="460"/>
        <w:spacing w:after="0" w:line="253" w:lineRule="auto"/>
        <w:rPr>
          <w:sz w:val="20"/>
          <w:szCs w:val="20"/>
          <w:color w:val="auto"/>
        </w:rPr>
      </w:pPr>
      <w:r>
        <w:rPr>
          <w:rFonts w:ascii="Arial" w:cs="Arial" w:eastAsia="Arial" w:hAnsi="Arial"/>
          <w:sz w:val="16"/>
          <w:szCs w:val="16"/>
          <w:color w:val="auto"/>
        </w:rPr>
        <w:t>The rolling twelve months shipments for 2020 and 2019 reflect a contraction in shipments as dealers have rationalized inventory during the last twelve months. The rolling twelve months retail information for 2020 and 2019 illustrates that retail sales, while down year-over-year, remain at healthy levels relative to the industry's historical retail levels. We believe retail demand is the key driver to continued growth in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most recent RVIA wholesale shipment forecasts for calendar year 2020, as noted in the table below, indicate that industry shipments are expected to decline in 2020 relative to 2019.</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ind w:left="600"/>
              <w:spacing w:after="0"/>
              <w:rPr>
                <w:sz w:val="20"/>
                <w:szCs w:val="20"/>
                <w:color w:val="auto"/>
              </w:rPr>
            </w:pPr>
            <w:r>
              <w:rPr>
                <w:rFonts w:ascii="Arial" w:cs="Arial" w:eastAsia="Arial" w:hAnsi="Arial"/>
                <w:sz w:val="16"/>
                <w:szCs w:val="16"/>
                <w:b w:val="1"/>
                <w:bCs w:val="1"/>
                <w:color w:val="auto"/>
              </w:rPr>
              <w:t>Calendar Year</w:t>
            </w:r>
          </w:p>
        </w:tc>
        <w:tc>
          <w:tcPr>
            <w:tcW w:w="114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148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480" w:type="dxa"/>
            <w:vAlign w:val="bottom"/>
          </w:tcPr>
          <w:p>
            <w:pPr>
              <w:ind w:left="60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5720" w:type="dxa"/>
            <w:vAlign w:val="bottom"/>
          </w:tcPr>
          <w:p>
            <w:pPr>
              <w:ind w:left="20"/>
              <w:spacing w:after="0" w:line="234" w:lineRule="exact"/>
              <w:rPr>
                <w:sz w:val="20"/>
                <w:szCs w:val="20"/>
                <w:color w:val="auto"/>
              </w:rPr>
            </w:pPr>
            <w:r>
              <w:rPr>
                <w:rFonts w:ascii="Arial" w:cs="Arial" w:eastAsia="Arial" w:hAnsi="Arial"/>
                <w:sz w:val="16"/>
                <w:szCs w:val="16"/>
                <w:b w:val="1"/>
                <w:bCs w:val="1"/>
                <w:color w:val="auto"/>
              </w:rPr>
              <w:t>Wholesale Unit Shipment Forecast per RVIA</w:t>
            </w:r>
            <w:r>
              <w:rPr>
                <w:rFonts w:ascii="Arial" w:cs="Arial" w:eastAsia="Arial" w:hAnsi="Arial"/>
                <w:sz w:val="21"/>
                <w:szCs w:val="21"/>
                <w:b w:val="1"/>
                <w:bCs w:val="1"/>
                <w:color w:val="auto"/>
                <w:vertAlign w:val="superscript"/>
              </w:rPr>
              <w:t>(1)</w:t>
            </w:r>
          </w:p>
        </w:tc>
        <w:tc>
          <w:tcPr>
            <w:tcW w:w="1600" w:type="dxa"/>
            <w:vAlign w:val="bottom"/>
            <w:gridSpan w:val="2"/>
          </w:tcPr>
          <w:p>
            <w:pPr>
              <w:ind w:left="460"/>
              <w:spacing w:after="0"/>
              <w:rPr>
                <w:sz w:val="20"/>
                <w:szCs w:val="20"/>
                <w:color w:val="auto"/>
              </w:rPr>
            </w:pPr>
            <w:r>
              <w:rPr>
                <w:rFonts w:ascii="Arial" w:cs="Arial" w:eastAsia="Arial" w:hAnsi="Arial"/>
                <w:sz w:val="16"/>
                <w:szCs w:val="16"/>
                <w:b w:val="1"/>
                <w:bCs w:val="1"/>
                <w:color w:val="auto"/>
              </w:rPr>
              <w:t>Forecast</w:t>
            </w:r>
          </w:p>
        </w:tc>
        <w:tc>
          <w:tcPr>
            <w:tcW w:w="1580" w:type="dxa"/>
            <w:vAlign w:val="bottom"/>
            <w:gridSpan w:val="2"/>
          </w:tcPr>
          <w:p>
            <w:pPr>
              <w:ind w:left="540"/>
              <w:spacing w:after="0"/>
              <w:rPr>
                <w:sz w:val="20"/>
                <w:szCs w:val="20"/>
                <w:color w:val="auto"/>
              </w:rPr>
            </w:pPr>
            <w:r>
              <w:rPr>
                <w:rFonts w:ascii="Arial" w:cs="Arial" w:eastAsia="Arial" w:hAnsi="Arial"/>
                <w:sz w:val="16"/>
                <w:szCs w:val="16"/>
                <w:b w:val="1"/>
                <w:bCs w:val="1"/>
                <w:color w:val="auto"/>
              </w:rPr>
              <w:t>Actual</w:t>
            </w: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Unit Change</w:t>
            </w: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5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Aggressive</w:t>
            </w:r>
          </w:p>
        </w:tc>
        <w:tc>
          <w:tcPr>
            <w:tcW w:w="14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340,900</w:t>
            </w:r>
          </w:p>
        </w:tc>
        <w:tc>
          <w:tcPr>
            <w:tcW w:w="12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406,100</w:t>
            </w: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(65,200)</w:t>
            </w: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33"/>
        </w:trPr>
        <w:tc>
          <w:tcPr>
            <w:tcW w:w="5720" w:type="dxa"/>
            <w:vAlign w:val="bottom"/>
          </w:tcPr>
          <w:p>
            <w:pPr>
              <w:ind w:left="20"/>
              <w:spacing w:after="0"/>
              <w:rPr>
                <w:sz w:val="20"/>
                <w:szCs w:val="20"/>
                <w:color w:val="auto"/>
              </w:rPr>
            </w:pPr>
            <w:r>
              <w:rPr>
                <w:rFonts w:ascii="Arial" w:cs="Arial" w:eastAsia="Arial" w:hAnsi="Arial"/>
                <w:sz w:val="16"/>
                <w:szCs w:val="16"/>
                <w:color w:val="auto"/>
              </w:rPr>
              <w:t>Most likely</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321,600</w:t>
            </w:r>
          </w:p>
        </w:tc>
        <w:tc>
          <w:tcPr>
            <w:tcW w:w="12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406,100</w:t>
            </w:r>
          </w:p>
        </w:tc>
        <w:tc>
          <w:tcPr>
            <w:tcW w:w="1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(84,500)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53"/>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Conservative</w:t>
            </w: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302,300</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406,100</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(103,800)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r>
    </w:tbl>
    <w:p>
      <w:pPr>
        <w:spacing w:after="0" w:line="113" w:lineRule="exact"/>
        <w:rPr>
          <w:sz w:val="20"/>
          <w:szCs w:val="20"/>
          <w:color w:val="auto"/>
        </w:rPr>
      </w:pPr>
    </w:p>
    <w:p>
      <w:pPr>
        <w:ind w:left="260" w:hanging="252"/>
        <w:spacing w:after="0" w:line="258" w:lineRule="auto"/>
        <w:tabs>
          <w:tab w:leader="none" w:pos="233"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Prepared by Dr. Richard Curtin of the University of Michigan Consumer Survey Research Center for RVIA and reported in the Roadsigns RV Summer 2020 Industry Forecast Issue.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Share</w:t>
      </w:r>
    </w:p>
    <w:p>
      <w:pPr>
        <w:spacing w:after="0" w:line="322"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40" w:type="dxa"/>
            <w:vAlign w:val="bottom"/>
          </w:tcPr>
          <w:p>
            <w:pPr>
              <w:spacing w:after="0"/>
              <w:rPr>
                <w:sz w:val="19"/>
                <w:szCs w:val="19"/>
                <w:color w:val="auto"/>
              </w:rPr>
            </w:pPr>
          </w:p>
        </w:tc>
        <w:tc>
          <w:tcPr>
            <w:tcW w:w="2620" w:type="dxa"/>
            <w:vAlign w:val="bottom"/>
            <w:gridSpan w:val="4"/>
          </w:tcPr>
          <w:p>
            <w:pPr>
              <w:ind w:left="20"/>
              <w:spacing w:after="0"/>
              <w:rPr>
                <w:sz w:val="20"/>
                <w:szCs w:val="20"/>
                <w:color w:val="auto"/>
              </w:rPr>
            </w:pPr>
            <w:r>
              <w:rPr>
                <w:rFonts w:ascii="Arial" w:cs="Arial" w:eastAsia="Arial" w:hAnsi="Arial"/>
                <w:sz w:val="16"/>
                <w:szCs w:val="16"/>
                <w:b w:val="1"/>
                <w:bCs w:val="1"/>
                <w:color w:val="auto"/>
              </w:rPr>
              <w:t>Rolling 12 Months through April</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Calendar Year</w:t>
            </w:r>
          </w:p>
        </w:tc>
        <w:tc>
          <w:tcPr>
            <w:tcW w:w="1200" w:type="dxa"/>
            <w:vAlign w:val="bottom"/>
          </w:tcPr>
          <w:p>
            <w:pPr>
              <w:spacing w:after="0"/>
              <w:rPr>
                <w:sz w:val="19"/>
                <w:szCs w:val="19"/>
                <w:color w:val="auto"/>
              </w:rPr>
            </w:pPr>
          </w:p>
        </w:tc>
      </w:tr>
      <w:tr>
        <w:trPr>
          <w:trHeight w:val="24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US and Canada</w:t>
            </w:r>
          </w:p>
        </w:tc>
        <w:tc>
          <w:tcPr>
            <w:tcW w:w="12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r>
              <w:rPr>
                <w:rFonts w:ascii="Arial" w:cs="Arial" w:eastAsia="Arial" w:hAnsi="Arial"/>
                <w:sz w:val="21"/>
                <w:szCs w:val="21"/>
                <w:b w:val="1"/>
                <w:bCs w:val="1"/>
                <w:color w:val="auto"/>
                <w:vertAlign w:val="superscript"/>
              </w:rPr>
              <w:t>(1)</w:t>
            </w:r>
          </w:p>
        </w:tc>
        <w:tc>
          <w:tcPr>
            <w:tcW w:w="120" w:type="dxa"/>
            <w:vAlign w:val="bottom"/>
            <w:tcBorders>
              <w:top w:val="single" w:sz="8" w:color="auto"/>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 and fifth wheels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Motorhome A, B, C</w:t>
            </w:r>
          </w:p>
        </w:tc>
        <w:tc>
          <w:tcPr>
            <w:tcW w:w="1200" w:type="dxa"/>
            <w:vAlign w:val="bottom"/>
          </w:tcPr>
          <w:p>
            <w:pPr>
              <w:jc w:val="right"/>
              <w:spacing w:after="0"/>
              <w:rPr>
                <w:sz w:val="20"/>
                <w:szCs w:val="20"/>
                <w:color w:val="auto"/>
              </w:rPr>
            </w:pPr>
            <w:r>
              <w:rPr>
                <w:rFonts w:ascii="Arial" w:cs="Arial" w:eastAsia="Arial" w:hAnsi="Arial"/>
                <w:sz w:val="16"/>
                <w:szCs w:val="16"/>
                <w:color w:val="auto"/>
              </w:rPr>
              <w:t>17.7 %</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15.9 %</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15.5 %</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15.6 %</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16.3 %</w:t>
            </w:r>
          </w:p>
        </w:tc>
      </w:tr>
      <w:tr>
        <w:trPr>
          <w:trHeight w:val="253"/>
        </w:trPr>
        <w:tc>
          <w:tcPr>
            <w:tcW w:w="4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market share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Includes retail unit market share for Newmar since its acquisition on November 8, 2019.</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Facility Expansion</w:t>
      </w:r>
    </w:p>
    <w:p>
      <w:pPr>
        <w:spacing w:after="0" w:line="26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Due to the rapid growth in our Towable segment, we have implemented facility expansion projects in our Grand Design towables and Winnebago towables operating segments. The Grand Design towables expansion project consisted of three new production facilities--two were completed in Fiscal 2018 and one was completed during the second quarter of Fiscal 2020. The facility expansion in the Winnebago towables division was completed in the third quarter of Fiscal 2019.</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Resource Planning System</w:t>
      </w:r>
    </w:p>
    <w:p>
      <w:pPr>
        <w:spacing w:after="0" w:line="26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the second quarter of Fiscal 2015, our Board of Directors approved the strategic initiative of implementing an enterprise resource planning ("ERP") system to replace our legacy business applications. The new ERP platform will provide better support for our changing business needs and plans for future growth. Our initial cost estimates have grown for additional needs of the business, such as the opportunity to integrate the ERP system with additional manufacturing systems. The project includes software, external implementation assistance, and increased internal staffing directly related to this initiative. We anticipate that approximately 40% of the cost will be expensed in the period incurred and 60% will be capitalized and depreciated over its useful life.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cumulative project costs: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40" w:type="dxa"/>
            <w:vAlign w:val="bottom"/>
          </w:tcPr>
          <w:p>
            <w:pPr>
              <w:spacing w:after="0"/>
              <w:rPr>
                <w:sz w:val="19"/>
                <w:szCs w:val="19"/>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Fiscal Year</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98"/>
        </w:trPr>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May 30,</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Cumulative</w:t>
            </w:r>
          </w:p>
        </w:tc>
      </w:tr>
      <w:tr>
        <w:trPr>
          <w:trHeight w:val="228"/>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Investment</w:t>
            </w:r>
          </w:p>
        </w:tc>
      </w:tr>
      <w:tr>
        <w:trPr>
          <w:trHeight w:val="243"/>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3,875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1,881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7,798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3,291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25,562</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58.3 %</w:t>
            </w:r>
          </w:p>
        </w:tc>
      </w:tr>
      <w:tr>
        <w:trPr>
          <w:trHeight w:val="236"/>
        </w:trPr>
        <w:tc>
          <w:tcPr>
            <w:tcW w:w="1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Expensed</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1,384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3,709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2,107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2,601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5,930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2,528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18,259</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41.7 %</w:t>
            </w:r>
          </w:p>
        </w:tc>
      </w:tr>
      <w:tr>
        <w:trPr>
          <w:trHeight w:val="268"/>
        </w:trPr>
        <w:tc>
          <w:tcPr>
            <w:tcW w:w="1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4,160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7,584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13,728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5,819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43,821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Current Quarter Compared to the Comparable Prior Year Quarter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268"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and comprehensive income for the three months ended May 30, 2020 compared to the three months ended May 25, 2019:</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percent and</w:t>
            </w:r>
          </w:p>
        </w:tc>
        <w:tc>
          <w:tcPr>
            <w:tcW w:w="160" w:type="dxa"/>
            <w:vAlign w:val="bottom"/>
          </w:tcPr>
          <w:p>
            <w:pPr>
              <w:spacing w:after="0"/>
              <w:rPr>
                <w:sz w:val="17"/>
                <w:szCs w:val="17"/>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May 30, 2020</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May 25, 2019</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Change</w:t>
            </w:r>
          </w:p>
        </w:tc>
        <w:tc>
          <w:tcPr>
            <w:tcW w:w="13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per share data)</w:t>
            </w: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360" w:type="dxa"/>
            <w:vAlign w:val="bottom"/>
            <w:gridSpan w:val="2"/>
          </w:tcPr>
          <w:p>
            <w:pPr>
              <w:jc w:val="center"/>
              <w:ind w:right="120"/>
              <w:spacing w:after="0" w:line="216" w:lineRule="exact"/>
              <w:rPr>
                <w:sz w:val="20"/>
                <w:szCs w:val="20"/>
                <w:color w:val="auto"/>
              </w:rPr>
            </w:pPr>
            <w:r>
              <w:rPr>
                <w:rFonts w:ascii="Arial" w:cs="Arial" w:eastAsia="Arial" w:hAnsi="Arial"/>
                <w:sz w:val="16"/>
                <w:szCs w:val="16"/>
                <w:b w:val="1"/>
                <w:bCs w:val="1"/>
                <w:color w:val="auto"/>
                <w:w w:val="94"/>
              </w:rPr>
              <w:t>Revenues</w:t>
            </w:r>
            <w:r>
              <w:rPr>
                <w:rFonts w:ascii="Arial" w:cs="Arial" w:eastAsia="Arial" w:hAnsi="Arial"/>
                <w:sz w:val="21"/>
                <w:szCs w:val="21"/>
                <w:b w:val="1"/>
                <w:bCs w:val="1"/>
                <w:color w:val="auto"/>
                <w:w w:val="94"/>
                <w:vertAlign w:val="superscript"/>
              </w:rPr>
              <w:t>(1)</w:t>
            </w: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360" w:type="dxa"/>
            <w:vAlign w:val="bottom"/>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97"/>
              </w:rPr>
              <w:t>Revenues</w:t>
            </w:r>
            <w:r>
              <w:rPr>
                <w:rFonts w:ascii="Arial" w:cs="Arial" w:eastAsia="Arial" w:hAnsi="Arial"/>
                <w:sz w:val="21"/>
                <w:szCs w:val="21"/>
                <w:b w:val="1"/>
                <w:bCs w:val="1"/>
                <w:color w:val="auto"/>
                <w:w w:val="97"/>
                <w:vertAlign w:val="superscript"/>
              </w:rPr>
              <w:t>(1)</w:t>
            </w:r>
          </w:p>
        </w:tc>
        <w:tc>
          <w:tcPr>
            <w:tcW w:w="28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402,458</w:t>
            </w:r>
          </w:p>
        </w:tc>
        <w:tc>
          <w:tcPr>
            <w:tcW w:w="12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528,940</w:t>
            </w:r>
          </w:p>
        </w:tc>
        <w:tc>
          <w:tcPr>
            <w:tcW w:w="10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(126,482)</w:t>
            </w:r>
          </w:p>
        </w:tc>
        <w:tc>
          <w:tcPr>
            <w:tcW w:w="10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36"/>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370,434</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92.0 %</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442,356</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83.6 %</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(71,922)</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32,024</w:t>
            </w:r>
          </w:p>
        </w:tc>
        <w:tc>
          <w:tcPr>
            <w:tcW w:w="12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86,584</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(54,560)</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20" w:type="dxa"/>
            <w:vAlign w:val="bottom"/>
          </w:tcPr>
          <w:p>
            <w:pPr>
              <w:ind w:left="20"/>
              <w:spacing w:after="0"/>
              <w:rPr>
                <w:sz w:val="20"/>
                <w:szCs w:val="20"/>
                <w:color w:val="auto"/>
              </w:rPr>
            </w:pPr>
            <w:r>
              <w:rPr>
                <w:rFonts w:ascii="Arial" w:cs="Arial" w:eastAsia="Arial" w:hAnsi="Arial"/>
                <w:sz w:val="16"/>
                <w:szCs w:val="16"/>
                <w:color w:val="auto"/>
              </w:rPr>
              <w:t>expenses</w:t>
            </w:r>
          </w:p>
        </w:tc>
        <w:tc>
          <w:tcPr>
            <w:tcW w:w="16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33,271</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35,332</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(2,061)</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4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6,926</w:t>
            </w:r>
          </w:p>
        </w:tc>
        <w:tc>
          <w:tcPr>
            <w:tcW w:w="12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2,278</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4,648</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204.0 %</w:t>
            </w:r>
          </w:p>
        </w:tc>
        <w:tc>
          <w:tcPr>
            <w:tcW w:w="0" w:type="dxa"/>
            <w:vAlign w:val="bottom"/>
          </w:tcPr>
          <w:p>
            <w:pPr>
              <w:spacing w:after="0"/>
              <w:rPr>
                <w:sz w:val="1"/>
                <w:szCs w:val="1"/>
                <w:color w:val="auto"/>
              </w:rPr>
            </w:pPr>
          </w:p>
        </w:tc>
      </w:tr>
      <w:tr>
        <w:trPr>
          <w:trHeight w:val="233"/>
        </w:trPr>
        <w:tc>
          <w:tcPr>
            <w:tcW w:w="282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40,197</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37,610</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2,587</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53"/>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 income</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(8,173)</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48,974</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(57,147)</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w:t>
            </w:r>
          </w:p>
        </w:tc>
        <w:tc>
          <w:tcPr>
            <w:tcW w:w="0" w:type="dxa"/>
            <w:vAlign w:val="bottom"/>
          </w:tcPr>
          <w:p>
            <w:pPr>
              <w:spacing w:after="0"/>
              <w:rPr>
                <w:sz w:val="1"/>
                <w:szCs w:val="1"/>
                <w:color w:val="auto"/>
              </w:rPr>
            </w:pPr>
          </w:p>
        </w:tc>
      </w:tr>
      <w:tr>
        <w:trPr>
          <w:trHeight w:val="233"/>
        </w:trPr>
        <w:tc>
          <w:tcPr>
            <w:tcW w:w="28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8,440</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4,446</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3,994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89.8 %</w:t>
            </w:r>
          </w:p>
        </w:tc>
        <w:tc>
          <w:tcPr>
            <w:tcW w:w="0" w:type="dxa"/>
            <w:vAlign w:val="bottom"/>
          </w:tcPr>
          <w:p>
            <w:pPr>
              <w:spacing w:after="0"/>
              <w:rPr>
                <w:sz w:val="1"/>
                <w:szCs w:val="1"/>
                <w:color w:val="auto"/>
              </w:rPr>
            </w:pPr>
          </w:p>
        </w:tc>
      </w:tr>
      <w:tr>
        <w:trPr>
          <w:trHeight w:val="24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33"/>
        </w:trPr>
        <w:tc>
          <w:tcPr>
            <w:tcW w:w="2820" w:type="dxa"/>
            <w:vAlign w:val="bottom"/>
          </w:tcPr>
          <w:p>
            <w:pPr>
              <w:ind w:left="20"/>
              <w:spacing w:after="0"/>
              <w:rPr>
                <w:sz w:val="20"/>
                <w:szCs w:val="20"/>
                <w:color w:val="auto"/>
              </w:rPr>
            </w:pPr>
            <w:r>
              <w:rPr>
                <w:rFonts w:ascii="Arial" w:cs="Arial" w:eastAsia="Arial" w:hAnsi="Arial"/>
                <w:sz w:val="16"/>
                <w:szCs w:val="16"/>
                <w:color w:val="auto"/>
              </w:rPr>
              <w:t>(Loss) income before income taxes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(16,539)</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44,888</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(61,427)</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(136.8)%</w:t>
            </w:r>
          </w:p>
        </w:tc>
        <w:tc>
          <w:tcPr>
            <w:tcW w:w="0" w:type="dxa"/>
            <w:vAlign w:val="bottom"/>
          </w:tcPr>
          <w:p>
            <w:pPr>
              <w:spacing w:after="0"/>
              <w:rPr>
                <w:sz w:val="1"/>
                <w:szCs w:val="1"/>
                <w:color w:val="auto"/>
              </w:rPr>
            </w:pPr>
          </w:p>
        </w:tc>
      </w:tr>
      <w:tr>
        <w:trPr>
          <w:trHeight w:val="24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(4,186)</w:t>
            </w:r>
          </w:p>
        </w:tc>
        <w:tc>
          <w:tcPr>
            <w:tcW w:w="12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8,717</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(12,903)</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(12,353)</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36,171</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(48,524)</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20" w:type="dxa"/>
            <w:vAlign w:val="bottom"/>
          </w:tcPr>
          <w:p>
            <w:pPr>
              <w:ind w:left="20"/>
              <w:spacing w:after="0"/>
              <w:rPr>
                <w:sz w:val="20"/>
                <w:szCs w:val="20"/>
                <w:color w:val="auto"/>
              </w:rPr>
            </w:pPr>
            <w:r>
              <w:rPr>
                <w:rFonts w:ascii="Arial" w:cs="Arial" w:eastAsia="Arial" w:hAnsi="Arial"/>
                <w:sz w:val="16"/>
                <w:szCs w:val="16"/>
                <w:color w:val="auto"/>
              </w:rPr>
              <w:t>Diluted (loss) income per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253"/>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average shares outstanding</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33,625</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31,644</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1,981</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Percentages may not add due to rounding differences.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third quarter Fiscal 2020 results were impacted by the unprecedented series of events related to the COVID-19 pandemic which included the suspension of the Company’s manufacturing operations as well as disruptions across its dealer network, supply chain and end consumers during most of the quarter.</w:t>
      </w:r>
    </w:p>
    <w:p>
      <w:pPr>
        <w:spacing w:after="0" w:line="200" w:lineRule="exact"/>
        <w:rPr>
          <w:sz w:val="20"/>
          <w:szCs w:val="20"/>
          <w:color w:val="auto"/>
        </w:rPr>
      </w:pPr>
    </w:p>
    <w:p>
      <w:pPr>
        <w:spacing w:after="0" w:line="215"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Net revenues decreased in the third quarter of Fiscal 2020 compared to the third quarter of Fiscal 2019 primarily due to lower volume as a result of the COVID-19 pandemic offset partially by our acquisition of Newmar.</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Gross profit as a percentage of revenue decreased in the third quarter of Fiscal 2020 compared to the third quarter of Fiscal 2019 primarily due to the impact of lower volume as a result of the COVID-19 pandemic and resulting deleverage when considering fixed expenses within cost of goods sold.</w:t>
      </w:r>
    </w:p>
    <w:p>
      <w:pPr>
        <w:spacing w:after="0" w:line="22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Operating expenses increased in the third quarter of Fiscal 2020 compared to the third quarter of Fiscal 2019 due to incremental operating expense due to our acquisition of Newmar partially offset by cost containment measures as a result of COVID-19.</w:t>
      </w:r>
    </w:p>
    <w:p>
      <w:pPr>
        <w:spacing w:after="0" w:line="22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Interest expense increased in the third quarter of Fiscal 2020 compared to the third quarter of Fiscal 2019 primarily due to the additional interest expense related to the Convertible Notes issued in connection with the acquisition of Newmar.</w:t>
      </w:r>
    </w:p>
    <w:p>
      <w:pPr>
        <w:spacing w:after="0" w:line="22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effective tax rate increased to 25.3% for the third quarter of Fiscal 2020 compared to 19.4% for the third quarter of Fiscal 2019 due primarily to a pre-tax loss in Q3 2020 and the favorable impact in the prior year of research and development credits.</w:t>
      </w:r>
    </w:p>
    <w:p>
      <w:pPr>
        <w:spacing w:after="0" w:line="222"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Net income and diluted income per share decreased in the third quarter of Fiscal 2020 compared to the third quarter of Fiscal 2019 primarily due to the profitability impact of the COVID-19 pandemic, incremental interest expense due to our convertible debt, and a favorable credit in the prior year related to research and development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 for the three months ended May 30, 2020 and May 25, 2019:</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30,</w:t>
            </w:r>
          </w:p>
        </w:tc>
        <w:tc>
          <w:tcPr>
            <w:tcW w:w="340" w:type="dxa"/>
            <w:vAlign w:val="bottom"/>
          </w:tcPr>
          <w:p>
            <w:pPr>
              <w:spacing w:after="0"/>
              <w:rPr>
                <w:sz w:val="17"/>
                <w:szCs w:val="17"/>
                <w:color w:val="auto"/>
              </w:rPr>
            </w:pPr>
          </w:p>
        </w:tc>
        <w:tc>
          <w:tcPr>
            <w:tcW w:w="1400" w:type="dxa"/>
            <w:vAlign w:val="bottom"/>
          </w:tcPr>
          <w:p>
            <w:pPr>
              <w:jc w:val="right"/>
              <w:ind w:right="499"/>
              <w:spacing w:after="0"/>
              <w:rPr>
                <w:sz w:val="20"/>
                <w:szCs w:val="20"/>
                <w:color w:val="auto"/>
              </w:rPr>
            </w:pPr>
            <w:r>
              <w:rPr>
                <w:rFonts w:ascii="Arial" w:cs="Arial" w:eastAsia="Arial" w:hAnsi="Arial"/>
                <w:sz w:val="16"/>
                <w:szCs w:val="16"/>
                <w:b w:val="1"/>
                <w:bCs w:val="1"/>
                <w:color w:val="auto"/>
              </w:rPr>
              <w:t>May 25,</w:t>
            </w:r>
          </w:p>
        </w:tc>
      </w:tr>
      <w:tr>
        <w:trPr>
          <w:trHeight w:val="22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36,171</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8,440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4,446</w:t>
            </w:r>
          </w:p>
        </w:tc>
      </w:tr>
      <w:tr>
        <w:trPr>
          <w:trHeight w:val="25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(4,186)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8,717</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36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4,134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3,520</w:t>
            </w:r>
          </w:p>
        </w:tc>
      </w:tr>
      <w:tr>
        <w:trPr>
          <w:trHeight w:val="24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6,926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2,278</w:t>
            </w:r>
          </w:p>
        </w:tc>
      </w:tr>
      <w:tr>
        <w:trPr>
          <w:trHeight w:val="233"/>
        </w:trPr>
        <w:tc>
          <w:tcPr>
            <w:tcW w:w="7640" w:type="dxa"/>
            <w:vAlign w:val="bottom"/>
          </w:tcPr>
          <w:p>
            <w:pPr>
              <w:ind w:left="120"/>
              <w:spacing w:after="0"/>
              <w:rPr>
                <w:sz w:val="20"/>
                <w:szCs w:val="20"/>
                <w:color w:val="auto"/>
              </w:rPr>
            </w:pPr>
            <w:r>
              <w:rPr>
                <w:rFonts w:ascii="Arial" w:cs="Arial" w:eastAsia="Arial" w:hAnsi="Arial"/>
                <w:sz w:val="16"/>
                <w:szCs w:val="16"/>
                <w:color w:val="auto"/>
              </w:rPr>
              <w:t>EBITDA</w:t>
            </w:r>
          </w:p>
        </w:tc>
        <w:tc>
          <w:tcPr>
            <w:tcW w:w="36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2,961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55,132</w:t>
            </w:r>
          </w:p>
        </w:tc>
      </w:tr>
      <w:tr>
        <w:trPr>
          <w:trHeight w:val="25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fair-value inventory step-up</w:t>
            </w:r>
          </w:p>
        </w:tc>
        <w:tc>
          <w:tcPr>
            <w:tcW w:w="3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Acquisition-related costs</w:t>
            </w:r>
          </w:p>
        </w:tc>
        <w:tc>
          <w:tcPr>
            <w:tcW w:w="36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3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1,102</w:t>
            </w:r>
          </w:p>
        </w:tc>
      </w:tr>
      <w:tr>
        <w:trPr>
          <w:trHeight w:val="237"/>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w:t>
            </w: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(360)</w:t>
            </w:r>
          </w:p>
        </w:tc>
      </w:tr>
      <w:tr>
        <w:trPr>
          <w:trHeight w:val="268"/>
        </w:trPr>
        <w:tc>
          <w:tcPr>
            <w:tcW w:w="7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55,874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26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is an analysis of key changes in our Towable segment for the three months ended May 30, 2020 compared to the three months ended May 25,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May 30,</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May 25,</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8"/>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280" w:type="dxa"/>
            <w:vAlign w:val="bottom"/>
          </w:tcPr>
          <w:p>
            <w:pPr>
              <w:spacing w:after="0"/>
              <w:rPr>
                <w:sz w:val="19"/>
                <w:szCs w:val="19"/>
                <w:color w:val="auto"/>
              </w:rPr>
            </w:pPr>
          </w:p>
        </w:tc>
        <w:tc>
          <w:tcPr>
            <w:tcW w:w="118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spacing w:after="0"/>
              <w:rPr>
                <w:sz w:val="19"/>
                <w:szCs w:val="19"/>
                <w:color w:val="auto"/>
              </w:rPr>
            </w:pPr>
          </w:p>
        </w:tc>
        <w:tc>
          <w:tcPr>
            <w:tcW w:w="1240" w:type="dxa"/>
            <w:vAlign w:val="bottom"/>
          </w:tcPr>
          <w:p>
            <w:pPr>
              <w:jc w:val="center"/>
              <w:ind w:right="1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Revenues</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 Change</w:t>
            </w: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188,898</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346,811</w:t>
            </w: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(157,913)</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w:t>
            </w:r>
          </w:p>
        </w:tc>
      </w:tr>
      <w:tr>
        <w:trPr>
          <w:trHeight w:val="233"/>
        </w:trPr>
        <w:tc>
          <w:tcPr>
            <w:tcW w:w="32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16,451</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57,172</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16.5 %</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(40,721)</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(71.2)%</w:t>
            </w:r>
          </w:p>
        </w:tc>
      </w:tr>
      <w:tr>
        <w:trPr>
          <w:trHeight w:val="266"/>
        </w:trPr>
        <w:tc>
          <w:tcPr>
            <w:tcW w:w="3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308"/>
        </w:trPr>
        <w:tc>
          <w:tcPr>
            <w:tcW w:w="3280" w:type="dxa"/>
            <w:vAlign w:val="bottom"/>
          </w:tcPr>
          <w:p>
            <w:pPr>
              <w:ind w:left="2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(1)</w:t>
            </w:r>
          </w:p>
        </w:tc>
        <w:tc>
          <w:tcPr>
            <w:tcW w:w="280" w:type="dxa"/>
            <w:vAlign w:val="bottom"/>
          </w:tcPr>
          <w:p>
            <w:pPr>
              <w:spacing w:after="0"/>
              <w:rPr>
                <w:sz w:val="24"/>
                <w:szCs w:val="24"/>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32,107</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33,318</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(1,211)</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34"/>
        </w:trPr>
        <w:tc>
          <w:tcPr>
            <w:tcW w:w="3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8"/>
        </w:trPr>
        <w:tc>
          <w:tcPr>
            <w:tcW w:w="3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May 30,</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May 25,</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280" w:type="dxa"/>
            <w:vAlign w:val="bottom"/>
          </w:tcPr>
          <w:p>
            <w:pPr>
              <w:spacing w:after="0"/>
              <w:rPr>
                <w:sz w:val="20"/>
                <w:szCs w:val="20"/>
                <w:color w:val="auto"/>
              </w:rPr>
            </w:pPr>
          </w:p>
        </w:tc>
        <w:tc>
          <w:tcPr>
            <w:tcW w:w="118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220" w:type="dxa"/>
            <w:vAlign w:val="bottom"/>
            <w:gridSpan w:val="2"/>
          </w:tcPr>
          <w:p>
            <w:pPr>
              <w:jc w:val="center"/>
              <w:ind w:right="120"/>
              <w:spacing w:after="0" w:line="234"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240" w:type="dxa"/>
            <w:vAlign w:val="bottom"/>
          </w:tcPr>
          <w:p>
            <w:pPr>
              <w:spacing w:after="0"/>
              <w:rPr>
                <w:sz w:val="20"/>
                <w:szCs w:val="20"/>
                <w:color w:val="auto"/>
              </w:rPr>
            </w:pPr>
          </w:p>
        </w:tc>
        <w:tc>
          <w:tcPr>
            <w:tcW w:w="1240" w:type="dxa"/>
            <w:vAlign w:val="bottom"/>
          </w:tcPr>
          <w:p>
            <w:pPr>
              <w:jc w:val="center"/>
              <w:ind w:right="1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line="234"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Unit Change</w:t>
            </w: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36"/>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28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3,537</w:t>
            </w:r>
          </w:p>
        </w:tc>
        <w:tc>
          <w:tcPr>
            <w:tcW w:w="1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60.3 %</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6,185</w:t>
            </w: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59.5 %</w:t>
            </w:r>
          </w:p>
        </w:tc>
        <w:tc>
          <w:tcPr>
            <w:tcW w:w="12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(2,648)</w:t>
            </w:r>
          </w:p>
        </w:tc>
        <w:tc>
          <w:tcPr>
            <w:tcW w:w="1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r>
      <w:tr>
        <w:trPr>
          <w:trHeight w:val="237"/>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2,324</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39.7 %</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4,216</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40.5 %</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(1,892)</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w:t>
            </w:r>
          </w:p>
        </w:tc>
      </w:tr>
      <w:tr>
        <w:trPr>
          <w:trHeight w:val="268"/>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towables</w:t>
            </w: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5,861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10,401</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(4,540)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Average selling price excludes off-invoice dealer incentives.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295" w:lineRule="exact"/>
        <w:rPr>
          <w:sz w:val="20"/>
          <w:szCs w:val="20"/>
          <w:color w:val="auto"/>
        </w:rPr>
      </w:pPr>
    </w:p>
    <w:p>
      <w:pPr>
        <w:jc w:val="both"/>
        <w:ind w:right="220"/>
        <w:spacing w:after="0" w:line="260" w:lineRule="auto"/>
        <w:rPr>
          <w:sz w:val="20"/>
          <w:szCs w:val="20"/>
          <w:color w:val="auto"/>
        </w:rPr>
      </w:pPr>
      <w:r>
        <w:rPr>
          <w:rFonts w:ascii="Arial" w:cs="Arial" w:eastAsia="Arial" w:hAnsi="Arial"/>
          <w:sz w:val="16"/>
          <w:szCs w:val="16"/>
          <w:color w:val="auto"/>
        </w:rPr>
        <w:t>Net revenues decreased in the third quarter of Fiscal 2020 compared to the third quarter of Fiscal 2019 due to the impact of the COVID-19 pandemic. Our Towable market share increased from 8.1% to 9.9% when comparing shipments during the twelve-month trailing periods ended April 2019 and April 2020.</w:t>
      </w:r>
    </w:p>
    <w:p>
      <w:pPr>
        <w:spacing w:after="0" w:line="222"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Adjusted EBITDA decreased in the third quarter of Fiscal 2020 compared to the third quarter of Fiscal 2019 due to the financial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the three months ended May 30, 2020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May 25, 2019:</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May 30,</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May 25,</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8"/>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28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spacing w:after="0"/>
              <w:rPr>
                <w:sz w:val="19"/>
                <w:szCs w:val="19"/>
                <w:color w:val="auto"/>
              </w:rPr>
            </w:pPr>
          </w:p>
        </w:tc>
        <w:tc>
          <w:tcPr>
            <w:tcW w:w="1240" w:type="dxa"/>
            <w:vAlign w:val="bottom"/>
          </w:tcPr>
          <w:p>
            <w:pPr>
              <w:jc w:val="center"/>
              <w:ind w:right="1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203,590</w:t>
            </w: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160,239</w:t>
            </w: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43,351</w:t>
            </w: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27.1 %</w:t>
            </w:r>
          </w:p>
        </w:tc>
      </w:tr>
      <w:tr>
        <w:trPr>
          <w:trHeight w:val="233"/>
        </w:trPr>
        <w:tc>
          <w:tcPr>
            <w:tcW w:w="32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(10,789)</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(11,170)</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(2,931.8)%</w:t>
            </w:r>
          </w:p>
        </w:tc>
      </w:tr>
      <w:tr>
        <w:trPr>
          <w:trHeight w:val="266"/>
        </w:trPr>
        <w:tc>
          <w:tcPr>
            <w:tcW w:w="3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308"/>
        </w:trPr>
        <w:tc>
          <w:tcPr>
            <w:tcW w:w="328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280" w:type="dxa"/>
            <w:vAlign w:val="bottom"/>
          </w:tcPr>
          <w:p>
            <w:pPr>
              <w:spacing w:after="0"/>
              <w:rPr>
                <w:sz w:val="24"/>
                <w:szCs w:val="24"/>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131,609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82,679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48,930</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59.2 %</w:t>
            </w:r>
          </w:p>
        </w:tc>
      </w:tr>
      <w:tr>
        <w:trPr>
          <w:trHeight w:val="334"/>
        </w:trPr>
        <w:tc>
          <w:tcPr>
            <w:tcW w:w="3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8"/>
        </w:trPr>
        <w:tc>
          <w:tcPr>
            <w:tcW w:w="3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May 30,</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May 25,</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280" w:type="dxa"/>
            <w:vAlign w:val="bottom"/>
          </w:tcPr>
          <w:p>
            <w:pPr>
              <w:spacing w:after="0"/>
              <w:rPr>
                <w:sz w:val="20"/>
                <w:szCs w:val="20"/>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220" w:type="dxa"/>
            <w:vAlign w:val="bottom"/>
            <w:gridSpan w:val="2"/>
          </w:tcPr>
          <w:p>
            <w:pPr>
              <w:jc w:val="center"/>
              <w:ind w:right="100"/>
              <w:spacing w:after="0" w:line="234" w:lineRule="exact"/>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(2)</w:t>
            </w:r>
          </w:p>
        </w:tc>
        <w:tc>
          <w:tcPr>
            <w:tcW w:w="240" w:type="dxa"/>
            <w:vAlign w:val="bottom"/>
          </w:tcPr>
          <w:p>
            <w:pPr>
              <w:spacing w:after="0"/>
              <w:rPr>
                <w:sz w:val="20"/>
                <w:szCs w:val="20"/>
                <w:color w:val="auto"/>
              </w:rPr>
            </w:pPr>
          </w:p>
        </w:tc>
        <w:tc>
          <w:tcPr>
            <w:tcW w:w="1240" w:type="dxa"/>
            <w:vAlign w:val="bottom"/>
          </w:tcPr>
          <w:p>
            <w:pPr>
              <w:jc w:val="center"/>
              <w:ind w:right="1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line="234"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Unit Change</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2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428</w:t>
            </w: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27.4 %</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378</w:t>
            </w: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19.3 %</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13.2 %</w:t>
            </w:r>
          </w:p>
        </w:tc>
      </w:tr>
      <w:tr>
        <w:trPr>
          <w:trHeight w:val="233"/>
        </w:trPr>
        <w:tc>
          <w:tcPr>
            <w:tcW w:w="3280" w:type="dxa"/>
            <w:vAlign w:val="bottom"/>
          </w:tcPr>
          <w:p>
            <w:pPr>
              <w:ind w:left="20"/>
              <w:spacing w:after="0"/>
              <w:rPr>
                <w:sz w:val="20"/>
                <w:szCs w:val="20"/>
                <w:color w:val="auto"/>
              </w:rPr>
            </w:pPr>
            <w:r>
              <w:rPr>
                <w:rFonts w:ascii="Arial" w:cs="Arial" w:eastAsia="Arial" w:hAnsi="Arial"/>
                <w:sz w:val="16"/>
                <w:szCs w:val="16"/>
                <w:color w:val="auto"/>
              </w:rPr>
              <w:t>Class B</w:t>
            </w:r>
          </w:p>
        </w:tc>
        <w:tc>
          <w:tcPr>
            <w:tcW w:w="28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44.4 %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26.2 %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34.8 %</w:t>
            </w:r>
          </w:p>
        </w:tc>
      </w:tr>
      <w:tr>
        <w:trPr>
          <w:trHeight w:val="24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28.2 %</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1,069</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54.5 %</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r>
      <w:tr>
        <w:trPr>
          <w:trHeight w:val="243"/>
        </w:trPr>
        <w:tc>
          <w:tcPr>
            <w:tcW w:w="3280" w:type="dxa"/>
            <w:vAlign w:val="bottom"/>
          </w:tcPr>
          <w:p>
            <w:pPr>
              <w:ind w:left="120"/>
              <w:spacing w:after="0"/>
              <w:rPr>
                <w:sz w:val="20"/>
                <w:szCs w:val="20"/>
                <w:color w:val="auto"/>
              </w:rPr>
            </w:pPr>
            <w:r>
              <w:rPr>
                <w:rFonts w:ascii="Arial" w:cs="Arial" w:eastAsia="Arial" w:hAnsi="Arial"/>
                <w:sz w:val="16"/>
                <w:szCs w:val="16"/>
                <w:color w:val="auto"/>
              </w:rPr>
              <w:t>Total motorhomes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1,562</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1,962</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20"/>
        </w:trPr>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ASP excludes off-invoice dealer incentives.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241"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Net revenues increased in the third quarter of Fiscal 2020 compared to the third quarter of Fiscal 2019 primarily due to our acquisition of Newmar, partially offset by the impact of COVID-19.</w:t>
      </w:r>
    </w:p>
    <w:p>
      <w:pPr>
        <w:spacing w:after="0" w:line="222"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Adjusted EBITDA decreased in the third quarter of Fiscal 2020 compared to the third quarter of Fiscal 2019 due to the deleverage impact of COVID-19 partially offset by our acquisition of Newmar and a favorable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First Nine Months of Fiscal 2020 Compared to the First Nine Months of Fiscal 2019</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268"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and comprehensive income for the nine months ended May 30, 2020 compared to the nine months ended May 25,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percent and per</w:t>
            </w:r>
          </w:p>
        </w:tc>
        <w:tc>
          <w:tcPr>
            <w:tcW w:w="26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30,</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25,</w:t>
            </w:r>
          </w:p>
        </w:tc>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 Change</w:t>
            </w:r>
          </w:p>
        </w:tc>
        <w:tc>
          <w:tcPr>
            <w:tcW w:w="11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share data)</w:t>
            </w:r>
          </w:p>
        </w:tc>
        <w:tc>
          <w:tcPr>
            <w:tcW w:w="260" w:type="dxa"/>
            <w:vAlign w:val="bottom"/>
          </w:tcPr>
          <w:p>
            <w:pPr>
              <w:spacing w:after="0"/>
              <w:rPr>
                <w:sz w:val="18"/>
                <w:szCs w:val="18"/>
                <w:color w:val="auto"/>
              </w:rPr>
            </w:pPr>
          </w:p>
        </w:tc>
        <w:tc>
          <w:tcPr>
            <w:tcW w:w="116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80" w:type="dxa"/>
            <w:vAlign w:val="bottom"/>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94"/>
              </w:rPr>
              <w:t>Revenues</w:t>
            </w:r>
            <w:r>
              <w:rPr>
                <w:rFonts w:ascii="Arial" w:cs="Arial" w:eastAsia="Arial" w:hAnsi="Arial"/>
                <w:sz w:val="21"/>
                <w:szCs w:val="21"/>
                <w:b w:val="1"/>
                <w:bCs w:val="1"/>
                <w:color w:val="auto"/>
                <w:w w:val="94"/>
                <w:vertAlign w:val="superscript"/>
              </w:rPr>
              <w:t>(1)</w:t>
            </w:r>
          </w:p>
        </w:tc>
        <w:tc>
          <w:tcPr>
            <w:tcW w:w="260" w:type="dxa"/>
            <w:vAlign w:val="bottom"/>
          </w:tcPr>
          <w:p>
            <w:pPr>
              <w:spacing w:after="0"/>
              <w:rPr>
                <w:sz w:val="18"/>
                <w:szCs w:val="18"/>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380" w:type="dxa"/>
            <w:vAlign w:val="bottom"/>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94"/>
              </w:rPr>
              <w:t>Revenues</w:t>
            </w:r>
            <w:r>
              <w:rPr>
                <w:rFonts w:ascii="Arial" w:cs="Arial" w:eastAsia="Arial" w:hAnsi="Arial"/>
                <w:sz w:val="21"/>
                <w:szCs w:val="21"/>
                <w:b w:val="1"/>
                <w:bCs w:val="1"/>
                <w:color w:val="auto"/>
                <w:w w:val="94"/>
                <w:vertAlign w:val="superscript"/>
              </w:rPr>
              <w:t>(1)</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1,617,726</w:t>
            </w:r>
          </w:p>
        </w:tc>
        <w:tc>
          <w:tcPr>
            <w:tcW w:w="10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1,455,278</w:t>
            </w:r>
          </w:p>
        </w:tc>
        <w:tc>
          <w:tcPr>
            <w:tcW w:w="10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162,448</w:t>
            </w:r>
          </w:p>
        </w:tc>
        <w:tc>
          <w:tcPr>
            <w:tcW w:w="12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1,427,307</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88.2 %</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1,231,269</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84.6 %</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196,038</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15.9 %</w:t>
            </w: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190,419</w:t>
            </w:r>
          </w:p>
        </w:tc>
        <w:tc>
          <w:tcPr>
            <w:tcW w:w="10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224,009</w:t>
            </w:r>
          </w:p>
        </w:tc>
        <w:tc>
          <w:tcPr>
            <w:tcW w:w="10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(33,590)</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98"/>
        </w:trPr>
        <w:tc>
          <w:tcPr>
            <w:tcW w:w="310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Arial" w:cs="Arial" w:eastAsia="Arial" w:hAnsi="Arial"/>
                <w:sz w:val="16"/>
                <w:szCs w:val="16"/>
                <w:color w:val="auto"/>
              </w:rPr>
              <w:t>expenses</w:t>
            </w:r>
          </w:p>
        </w:tc>
        <w:tc>
          <w:tcPr>
            <w:tcW w:w="260" w:type="dxa"/>
            <w:vAlign w:val="bottom"/>
          </w:tcPr>
          <w:p>
            <w:pPr>
              <w:spacing w:after="0"/>
              <w:rPr>
                <w:sz w:val="17"/>
                <w:szCs w:val="17"/>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126,540</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106,303</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20,237</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19.0 %</w:t>
            </w:r>
          </w:p>
        </w:tc>
        <w:tc>
          <w:tcPr>
            <w:tcW w:w="0" w:type="dxa"/>
            <w:vAlign w:val="bottom"/>
          </w:tcPr>
          <w:p>
            <w:pPr>
              <w:spacing w:after="0"/>
              <w:rPr>
                <w:sz w:val="1"/>
                <w:szCs w:val="1"/>
                <w:color w:val="auto"/>
              </w:rPr>
            </w:pPr>
          </w:p>
        </w:tc>
      </w:tr>
      <w:tr>
        <w:trPr>
          <w:trHeight w:val="24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18,514</w:t>
            </w:r>
          </w:p>
        </w:tc>
        <w:tc>
          <w:tcPr>
            <w:tcW w:w="10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7,204</w:t>
            </w:r>
          </w:p>
        </w:tc>
        <w:tc>
          <w:tcPr>
            <w:tcW w:w="10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11,310</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157.0 %</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145,054</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113,507</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31,547</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27.8 %</w:t>
            </w: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45,365</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110,502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(65,137)</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33"/>
        </w:trPr>
        <w:tc>
          <w:tcPr>
            <w:tcW w:w="31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23,140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13,293</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9,847</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74.1 %</w:t>
            </w:r>
          </w:p>
        </w:tc>
        <w:tc>
          <w:tcPr>
            <w:tcW w:w="0" w:type="dxa"/>
            <w:vAlign w:val="bottom"/>
          </w:tcPr>
          <w:p>
            <w:pPr>
              <w:spacing w:after="0"/>
              <w:rPr>
                <w:sz w:val="1"/>
                <w:szCs w:val="1"/>
                <w:color w:val="auto"/>
              </w:rPr>
            </w:pPr>
          </w:p>
        </w:tc>
      </w:tr>
      <w:tr>
        <w:trPr>
          <w:trHeight w:val="24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(1,330)</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33"/>
        </w:trPr>
        <w:tc>
          <w:tcPr>
            <w:tcW w:w="31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22,685</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98,539</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(75,854)</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4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3,702</w:t>
            </w:r>
          </w:p>
        </w:tc>
        <w:tc>
          <w:tcPr>
            <w:tcW w:w="10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18,609</w:t>
            </w:r>
          </w:p>
        </w:tc>
        <w:tc>
          <w:tcPr>
            <w:tcW w:w="10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(14,907)</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18,983</w:t>
            </w:r>
          </w:p>
        </w:tc>
        <w:tc>
          <w:tcPr>
            <w:tcW w:w="10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79,930</w:t>
            </w:r>
          </w:p>
        </w:tc>
        <w:tc>
          <w:tcPr>
            <w:tcW w:w="10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(60,947)</w:t>
            </w:r>
          </w:p>
        </w:tc>
        <w:tc>
          <w:tcPr>
            <w:tcW w:w="12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100" w:type="dxa"/>
            <w:vAlign w:val="bottom"/>
          </w:tcPr>
          <w:p>
            <w:pPr>
              <w:ind w:left="20"/>
              <w:spacing w:after="0"/>
              <w:rPr>
                <w:sz w:val="20"/>
                <w:szCs w:val="20"/>
                <w:color w:val="auto"/>
              </w:rPr>
            </w:pPr>
            <w:r>
              <w:rPr>
                <w:rFonts w:ascii="Arial" w:cs="Arial" w:eastAsia="Arial" w:hAnsi="Arial"/>
                <w:sz w:val="16"/>
                <w:szCs w:val="16"/>
                <w:color w:val="auto"/>
              </w:rPr>
              <w:t>Diluted income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53"/>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average shares outstanding</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33,289</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31,722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1,567</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Percentages may not add due to rounding differences.</w:t>
      </w:r>
    </w:p>
    <w:p>
      <w:pPr>
        <w:spacing w:after="0" w:line="241"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Net revenues increased in the first nine months of Fiscal 2020 compared to the first nine months of Fiscal 2019 primarily due to the strong performance in the first half of 2020, partially offset by the impact of the COVID-19 pandemic.</w:t>
      </w:r>
    </w:p>
    <w:p>
      <w:pPr>
        <w:spacing w:after="0" w:line="209" w:lineRule="exact"/>
        <w:rPr>
          <w:sz w:val="20"/>
          <w:szCs w:val="20"/>
          <w:color w:val="auto"/>
        </w:rPr>
      </w:pPr>
    </w:p>
    <w:p>
      <w:pPr>
        <w:ind w:right="180"/>
        <w:spacing w:after="0" w:line="237" w:lineRule="auto"/>
        <w:rPr>
          <w:sz w:val="20"/>
          <w:szCs w:val="20"/>
          <w:color w:val="auto"/>
        </w:rPr>
      </w:pPr>
      <w:r>
        <w:rPr>
          <w:rFonts w:ascii="Arial" w:cs="Arial" w:eastAsia="Arial" w:hAnsi="Arial"/>
          <w:sz w:val="16"/>
          <w:szCs w:val="16"/>
          <w:color w:val="auto"/>
        </w:rPr>
        <w:t>Gross profit as a percentage of revenue decreased in the first nine months of Fiscal 2020 compared to the first nine months of Fiscal 2019 due primarily to the impact of lower volume as a result of the COVID-19 pandemic and resulting deleverage when considering fixed expenses within cost of goods sold, Newmar purchase accounting impacts (inventory step-up) and an unfavorable change in mix as a result of our acquisition of Newmar.</w:t>
      </w:r>
    </w:p>
    <w:p>
      <w:pPr>
        <w:spacing w:after="0" w:line="23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Operating expenses increased in the first nine months of Fiscal 2020 compared to the first nine months of Fiscal 2019 due to acquisition-related costs and incremental amortization related to the purchase accounting for Newmar and normal operating expenses of Newmar partially offset by cost-containment initiatives to counteract the financial impact of the COVID-19 pandemic.</w:t>
      </w:r>
    </w:p>
    <w:p>
      <w:pPr>
        <w:spacing w:after="0" w:line="228"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Interest expense increased in the first nine months of Fiscal 2020 compared to the first nine months of Fiscal 2019 primarily due to the additional interest expense related to the Convertible Notes issued in connection with the acquisition of Newmar.</w:t>
      </w:r>
    </w:p>
    <w:p>
      <w:pPr>
        <w:spacing w:after="0" w:line="222"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Non-operating income decreased in the first nine months of Fiscal 2020 compared to the first nine months of Fiscal 2019 due to company-owned life insurance benefits in the prior year.</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effective tax rate decreased to 16.3% for the first nine months of Fiscal 2020 compared to 18.9% for the first nine months of Fiscal 2019 due primarily to fixed credits against lower taxable income due to the COVID-19 impact in the third quarter of Fiscal 2020 partially offset by a favorable credit in the prior year related to research and development credits.</w:t>
      </w:r>
    </w:p>
    <w:p>
      <w:pPr>
        <w:spacing w:after="0" w:line="22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Net income and diluted income per share decreased in the first nine months of Fiscal 2020 compared to the first nine months of Fiscal 2019 primarily due to the impact of the COVID-19 pandemic as well as acquisition-related costs for Newmar and the incremental interest expense due to our convertible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 for the nine months ended May 30, 2020 and May 25, 2019:</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7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30,</w:t>
            </w:r>
          </w:p>
        </w:tc>
        <w:tc>
          <w:tcPr>
            <w:tcW w:w="340" w:type="dxa"/>
            <w:vAlign w:val="bottom"/>
          </w:tcPr>
          <w:p>
            <w:pPr>
              <w:spacing w:after="0"/>
              <w:rPr>
                <w:sz w:val="17"/>
                <w:szCs w:val="17"/>
                <w:color w:val="auto"/>
              </w:rPr>
            </w:pPr>
          </w:p>
        </w:tc>
        <w:tc>
          <w:tcPr>
            <w:tcW w:w="1400" w:type="dxa"/>
            <w:vAlign w:val="bottom"/>
          </w:tcPr>
          <w:p>
            <w:pPr>
              <w:jc w:val="right"/>
              <w:ind w:right="499"/>
              <w:spacing w:after="0"/>
              <w:rPr>
                <w:sz w:val="20"/>
                <w:szCs w:val="20"/>
                <w:color w:val="auto"/>
              </w:rPr>
            </w:pPr>
            <w:r>
              <w:rPr>
                <w:rFonts w:ascii="Arial" w:cs="Arial" w:eastAsia="Arial" w:hAnsi="Arial"/>
                <w:sz w:val="16"/>
                <w:szCs w:val="16"/>
                <w:b w:val="1"/>
                <w:bCs w:val="1"/>
                <w:color w:val="auto"/>
              </w:rPr>
              <w:t>May 25,</w:t>
            </w:r>
          </w:p>
        </w:tc>
      </w:tr>
      <w:tr>
        <w:trPr>
          <w:trHeight w:val="22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18,983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79,930</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23,140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13,293</w:t>
            </w:r>
          </w:p>
        </w:tc>
      </w:tr>
      <w:tr>
        <w:trPr>
          <w:trHeight w:val="25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3,702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18,609</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36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11,854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9,788</w:t>
            </w:r>
          </w:p>
        </w:tc>
      </w:tr>
      <w:tr>
        <w:trPr>
          <w:trHeight w:val="24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18,514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7,204</w:t>
            </w:r>
          </w:p>
        </w:tc>
      </w:tr>
      <w:tr>
        <w:trPr>
          <w:trHeight w:val="233"/>
        </w:trPr>
        <w:tc>
          <w:tcPr>
            <w:tcW w:w="7640" w:type="dxa"/>
            <w:vAlign w:val="bottom"/>
          </w:tcPr>
          <w:p>
            <w:pPr>
              <w:ind w:left="120"/>
              <w:spacing w:after="0"/>
              <w:rPr>
                <w:sz w:val="20"/>
                <w:szCs w:val="20"/>
                <w:color w:val="auto"/>
              </w:rPr>
            </w:pPr>
            <w:r>
              <w:rPr>
                <w:rFonts w:ascii="Arial" w:cs="Arial" w:eastAsia="Arial" w:hAnsi="Arial"/>
                <w:sz w:val="16"/>
                <w:szCs w:val="16"/>
                <w:color w:val="auto"/>
              </w:rPr>
              <w:t>EBITDA</w:t>
            </w:r>
          </w:p>
        </w:tc>
        <w:tc>
          <w:tcPr>
            <w:tcW w:w="36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76,193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128,824</w:t>
            </w:r>
          </w:p>
        </w:tc>
      </w:tr>
      <w:tr>
        <w:trPr>
          <w:trHeight w:val="25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fair-value inventory step-up</w:t>
            </w:r>
          </w:p>
        </w:tc>
        <w:tc>
          <w:tcPr>
            <w:tcW w:w="3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Acquisition-related costs</w:t>
            </w:r>
          </w:p>
        </w:tc>
        <w:tc>
          <w:tcPr>
            <w:tcW w:w="36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9,761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3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1,321</w:t>
            </w:r>
          </w:p>
        </w:tc>
      </w:tr>
      <w:tr>
        <w:trPr>
          <w:trHeight w:val="236"/>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w:t>
            </w: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(1,330)</w:t>
            </w:r>
          </w:p>
        </w:tc>
      </w:tr>
      <w:tr>
        <w:trPr>
          <w:trHeight w:val="268"/>
        </w:trPr>
        <w:tc>
          <w:tcPr>
            <w:tcW w:w="7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91,551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128,815</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26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following is an analysis of key changes in our Towable segment for the nine months ended May 30, 2020 compared to the nine months ended May 25, 2019 and as of May 30, 2020 compared to May 25,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6"/>
                <w:szCs w:val="16"/>
                <w:b w:val="1"/>
                <w:bCs w:val="1"/>
                <w:color w:val="auto"/>
              </w:rPr>
              <w:t>Nine Months Ended</w:t>
            </w: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b w:val="1"/>
                <w:bCs w:val="1"/>
                <w:color w:val="auto"/>
              </w:rPr>
              <w:t>May 30,</w:t>
            </w:r>
          </w:p>
        </w:tc>
        <w:tc>
          <w:tcPr>
            <w:tcW w:w="100" w:type="dxa"/>
            <w:vAlign w:val="bottom"/>
          </w:tcPr>
          <w:p>
            <w:pPr>
              <w:spacing w:after="0"/>
              <w:rPr>
                <w:sz w:val="17"/>
                <w:szCs w:val="17"/>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 of</w:t>
            </w: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rPr>
              <w:t>May 25,</w:t>
            </w:r>
          </w:p>
        </w:tc>
        <w:tc>
          <w:tcPr>
            <w:tcW w:w="120" w:type="dxa"/>
            <w:vAlign w:val="bottom"/>
          </w:tcPr>
          <w:p>
            <w:pPr>
              <w:spacing w:after="0"/>
              <w:rPr>
                <w:sz w:val="17"/>
                <w:szCs w:val="17"/>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 of</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Revenues</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Revenues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 Change</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813,611</w:t>
            </w:r>
          </w:p>
        </w:tc>
        <w:tc>
          <w:tcPr>
            <w:tcW w:w="158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890,335</w:t>
            </w:r>
          </w:p>
        </w:tc>
        <w:tc>
          <w:tcPr>
            <w:tcW w:w="14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(76,724)</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3"/>
        </w:trPr>
        <w:tc>
          <w:tcPr>
            <w:tcW w:w="32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86,982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10.7 %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121,638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13.7 %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(34,656)</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66"/>
        </w:trPr>
        <w:tc>
          <w:tcPr>
            <w:tcW w:w="3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14"/>
        </w:trPr>
        <w:tc>
          <w:tcPr>
            <w:tcW w:w="328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280" w:type="dxa"/>
            <w:vAlign w:val="bottom"/>
          </w:tcPr>
          <w:p>
            <w:pPr>
              <w:spacing w:after="0"/>
              <w:rPr>
                <w:sz w:val="24"/>
                <w:szCs w:val="24"/>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32,836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32,926</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28"/>
        </w:trPr>
        <w:tc>
          <w:tcPr>
            <w:tcW w:w="3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6"/>
                <w:szCs w:val="16"/>
                <w:b w:val="1"/>
                <w:bCs w:val="1"/>
                <w:color w:val="auto"/>
              </w:rPr>
              <w:t>Nine Months Ended</w:t>
            </w: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b w:val="1"/>
                <w:bCs w:val="1"/>
                <w:color w:val="auto"/>
              </w:rPr>
              <w:t>May 30,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rPr>
              <w:t>May 25,</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280" w:type="dxa"/>
            <w:vAlign w:val="bottom"/>
          </w:tcPr>
          <w:p>
            <w:pPr>
              <w:spacing w:after="0"/>
              <w:rPr>
                <w:sz w:val="20"/>
                <w:szCs w:val="20"/>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120" w:type="dxa"/>
            <w:vAlign w:val="bottom"/>
          </w:tcPr>
          <w:p>
            <w:pPr>
              <w:jc w:val="center"/>
              <w:spacing w:after="0" w:line="234"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center"/>
              <w:ind w:right="1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420" w:type="dxa"/>
            <w:vAlign w:val="bottom"/>
            <w:gridSpan w:val="5"/>
          </w:tcPr>
          <w:p>
            <w:pPr>
              <w:ind w:left="20"/>
              <w:spacing w:after="0" w:line="234"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Unit Change</w:t>
            </w: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37"/>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2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15,319</w:t>
            </w: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60.8 %</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16,564</w:t>
            </w:r>
          </w:p>
        </w:tc>
        <w:tc>
          <w:tcPr>
            <w:tcW w:w="1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60.5 %</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(1,245)</w:t>
            </w:r>
          </w:p>
        </w:tc>
        <w:tc>
          <w:tcPr>
            <w:tcW w:w="1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6"/>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9,874</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39.2 %</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10,818</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39.5 %</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(944)</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63"/>
        </w:trPr>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towables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25,193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27,382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(2,189)</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280" w:type="dxa"/>
            <w:vAlign w:val="bottom"/>
          </w:tcPr>
          <w:p>
            <w:pPr>
              <w:spacing w:after="0"/>
              <w:rPr>
                <w:sz w:val="24"/>
                <w:szCs w:val="24"/>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b w:val="1"/>
                <w:bCs w:val="1"/>
                <w:color w:val="auto"/>
              </w:rPr>
              <w:t>May 30,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rPr>
              <w:t>May 25,</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1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20"/>
        </w:trPr>
        <w:tc>
          <w:tcPr>
            <w:tcW w:w="32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13,235</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7,089</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6,146</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86.7 %</w:t>
            </w:r>
          </w:p>
        </w:tc>
        <w:tc>
          <w:tcPr>
            <w:tcW w:w="0" w:type="dxa"/>
            <w:vAlign w:val="bottom"/>
          </w:tcPr>
          <w:p>
            <w:pPr>
              <w:spacing w:after="0"/>
              <w:rPr>
                <w:sz w:val="1"/>
                <w:szCs w:val="1"/>
                <w:color w:val="auto"/>
              </w:rPr>
            </w:pPr>
          </w:p>
        </w:tc>
      </w:tr>
      <w:tr>
        <w:trPr>
          <w:trHeight w:val="240"/>
        </w:trPr>
        <w:tc>
          <w:tcPr>
            <w:tcW w:w="3280" w:type="dxa"/>
            <w:vAlign w:val="bottom"/>
          </w:tcPr>
          <w:p>
            <w:pPr>
              <w:ind w:left="140"/>
              <w:spacing w:after="0"/>
              <w:rPr>
                <w:sz w:val="20"/>
                <w:szCs w:val="20"/>
                <w:color w:val="auto"/>
              </w:rPr>
            </w:pPr>
            <w:r>
              <w:rPr>
                <w:rFonts w:ascii="Arial" w:cs="Arial" w:eastAsia="Arial" w:hAnsi="Arial"/>
                <w:sz w:val="16"/>
                <w:szCs w:val="16"/>
                <w:color w:val="auto"/>
              </w:rPr>
              <w:t>Dollars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417,176</w:t>
            </w:r>
          </w:p>
        </w:tc>
        <w:tc>
          <w:tcPr>
            <w:tcW w:w="158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237,708</w:t>
            </w:r>
          </w:p>
        </w:tc>
        <w:tc>
          <w:tcPr>
            <w:tcW w:w="148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179,468</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75.5 %</w:t>
            </w:r>
          </w:p>
        </w:tc>
        <w:tc>
          <w:tcPr>
            <w:tcW w:w="0" w:type="dxa"/>
            <w:vAlign w:val="bottom"/>
          </w:tcPr>
          <w:p>
            <w:pPr>
              <w:spacing w:after="0"/>
              <w:rPr>
                <w:sz w:val="1"/>
                <w:szCs w:val="1"/>
                <w:color w:val="auto"/>
              </w:rPr>
            </w:pPr>
          </w:p>
        </w:tc>
      </w:tr>
      <w:tr>
        <w:trPr>
          <w:trHeight w:val="24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Dealer Inventory</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20"/>
              <w:spacing w:after="0"/>
              <w:rPr>
                <w:sz w:val="20"/>
                <w:szCs w:val="20"/>
                <w:color w:val="auto"/>
              </w:rPr>
            </w:pPr>
            <w:r>
              <w:rPr>
                <w:rFonts w:ascii="Arial" w:cs="Arial" w:eastAsia="Arial" w:hAnsi="Arial"/>
                <w:sz w:val="16"/>
                <w:szCs w:val="16"/>
                <w:color w:val="auto"/>
              </w:rPr>
              <w:t>Units</w:t>
            </w:r>
          </w:p>
        </w:tc>
        <w:tc>
          <w:tcPr>
            <w:tcW w:w="28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15,562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18,984</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(3,422)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ASP excludes off-invoice dealer incentives.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20" w:hanging="252"/>
        <w:spacing w:after="0" w:line="258" w:lineRule="auto"/>
        <w:tabs>
          <w:tab w:leader="none" w:pos="233"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Net revenues decreased in the first nine months of Fiscal 2020 compared to the first nine months of Fiscal 2019 due to a decrease in unit deliveries in the third quarter of Fiscal 2020 as a result of the COVID-19 pandemic partially offset by strong organic growth in the first half of Fiscal 2020.</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EBITDA decreased in the first nine months of Fiscal 2020 compared to the first nine months of Fiscal 2019 due to the deleverage impact of COVID-19.</w:t>
      </w:r>
    </w:p>
    <w:p>
      <w:pPr>
        <w:spacing w:after="0" w:line="222"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We have seen an increase in the volume and dollar value of backlog as of May 30, 2020 compared to May 25, 2019 primarily due to strong retail demand following the imposition of shelter-in-place mandates in response to the COVID-19 pandemic.</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the nine months ended May 30, 2020 compared to the nine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May 25, 2019 and as of May 30, 2020 compared to May 25, 2019:</w:t>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6"/>
                <w:szCs w:val="16"/>
                <w:b w:val="1"/>
                <w:bCs w:val="1"/>
                <w:color w:val="auto"/>
              </w:rPr>
              <w:t>Nine Months Ended</w:t>
            </w: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May 30,</w:t>
            </w: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rPr>
              <w:t>May 25,</w:t>
            </w:r>
          </w:p>
        </w:tc>
        <w:tc>
          <w:tcPr>
            <w:tcW w:w="100" w:type="dxa"/>
            <w:vAlign w:val="bottom"/>
          </w:tcPr>
          <w:p>
            <w:pPr>
              <w:spacing w:after="0"/>
              <w:rPr>
                <w:sz w:val="17"/>
                <w:szCs w:val="17"/>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 of</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8"/>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Revenues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Revenues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 Change</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755,023</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506,229</w:t>
            </w:r>
          </w:p>
        </w:tc>
        <w:tc>
          <w:tcPr>
            <w:tcW w:w="148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248,794</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49.1 %</w:t>
            </w:r>
          </w:p>
        </w:tc>
      </w:tr>
      <w:tr>
        <w:trPr>
          <w:trHeight w:val="233"/>
        </w:trPr>
        <w:tc>
          <w:tcPr>
            <w:tcW w:w="32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13,488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16,716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(3,228)</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66"/>
        </w:trPr>
        <w:tc>
          <w:tcPr>
            <w:tcW w:w="3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308"/>
        </w:trPr>
        <w:tc>
          <w:tcPr>
            <w:tcW w:w="328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280" w:type="dxa"/>
            <w:vAlign w:val="bottom"/>
          </w:tcPr>
          <w:p>
            <w:pPr>
              <w:spacing w:after="0"/>
              <w:rPr>
                <w:sz w:val="24"/>
                <w:szCs w:val="24"/>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129,344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91,091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38,253</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42.0 %</w:t>
            </w:r>
          </w:p>
        </w:tc>
      </w:tr>
      <w:tr>
        <w:trPr>
          <w:trHeight w:val="334"/>
        </w:trPr>
        <w:tc>
          <w:tcPr>
            <w:tcW w:w="3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6"/>
                <w:szCs w:val="16"/>
                <w:b w:val="1"/>
                <w:bCs w:val="1"/>
                <w:color w:val="auto"/>
              </w:rPr>
              <w:t>Nine Months Ended</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98"/>
        </w:trPr>
        <w:tc>
          <w:tcPr>
            <w:tcW w:w="3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May 30,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rPr>
              <w:t>May 25,</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280" w:type="dxa"/>
            <w:vAlign w:val="bottom"/>
          </w:tcPr>
          <w:p>
            <w:pPr>
              <w:spacing w:after="0"/>
              <w:rPr>
                <w:sz w:val="20"/>
                <w:szCs w:val="20"/>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120" w:type="dxa"/>
            <w:vAlign w:val="bottom"/>
          </w:tcPr>
          <w:p>
            <w:pPr>
              <w:jc w:val="center"/>
              <w:spacing w:after="0" w:line="234" w:lineRule="exact"/>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440" w:type="dxa"/>
            <w:vAlign w:val="bottom"/>
            <w:gridSpan w:val="5"/>
          </w:tcPr>
          <w:p>
            <w:pPr>
              <w:ind w:left="40"/>
              <w:spacing w:after="0" w:line="234"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Unit Change</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2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1,803</w:t>
            </w: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1,329</w:t>
            </w: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23.7 %</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474</w:t>
            </w:r>
          </w:p>
        </w:tc>
        <w:tc>
          <w:tcPr>
            <w:tcW w:w="10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35.7 %</w:t>
            </w:r>
          </w:p>
        </w:tc>
      </w:tr>
      <w:tr>
        <w:trPr>
          <w:trHeight w:val="233"/>
        </w:trPr>
        <w:tc>
          <w:tcPr>
            <w:tcW w:w="3280" w:type="dxa"/>
            <w:vAlign w:val="bottom"/>
          </w:tcPr>
          <w:p>
            <w:pPr>
              <w:ind w:left="20"/>
              <w:spacing w:after="0"/>
              <w:rPr>
                <w:sz w:val="20"/>
                <w:szCs w:val="20"/>
                <w:color w:val="auto"/>
              </w:rPr>
            </w:pPr>
            <w:r>
              <w:rPr>
                <w:rFonts w:ascii="Arial" w:cs="Arial" w:eastAsia="Arial" w:hAnsi="Arial"/>
                <w:sz w:val="16"/>
                <w:szCs w:val="16"/>
                <w:color w:val="auto"/>
              </w:rPr>
              <w:t>Class B</w:t>
            </w:r>
          </w:p>
        </w:tc>
        <w:tc>
          <w:tcPr>
            <w:tcW w:w="28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2,287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39.3 %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1,847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33.0 %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23.8 %</w:t>
            </w:r>
          </w:p>
        </w:tc>
      </w:tr>
      <w:tr>
        <w:trPr>
          <w:trHeight w:val="24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1,734</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29.7 %</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2,430</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43.3 %</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43"/>
        </w:trPr>
        <w:tc>
          <w:tcPr>
            <w:tcW w:w="3280" w:type="dxa"/>
            <w:vAlign w:val="bottom"/>
          </w:tcPr>
          <w:p>
            <w:pPr>
              <w:ind w:left="120"/>
              <w:spacing w:after="0"/>
              <w:rPr>
                <w:sz w:val="20"/>
                <w:szCs w:val="20"/>
                <w:color w:val="auto"/>
              </w:rPr>
            </w:pPr>
            <w:r>
              <w:rPr>
                <w:rFonts w:ascii="Arial" w:cs="Arial" w:eastAsia="Arial" w:hAnsi="Arial"/>
                <w:sz w:val="16"/>
                <w:szCs w:val="16"/>
                <w:color w:val="auto"/>
              </w:rPr>
              <w:t>Total motorhomes</w:t>
            </w:r>
          </w:p>
        </w:tc>
        <w:tc>
          <w:tcPr>
            <w:tcW w:w="28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5,824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5,606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3.9 %</w:t>
            </w:r>
          </w:p>
        </w:tc>
      </w:tr>
      <w:tr>
        <w:trPr>
          <w:trHeight w:val="21"/>
        </w:trPr>
        <w:tc>
          <w:tcPr>
            <w:tcW w:w="3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26"/>
        </w:trPr>
        <w:tc>
          <w:tcPr>
            <w:tcW w:w="3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May 30,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rPr>
              <w:t>May 25,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28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center"/>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16"/>
        </w:trPr>
        <w:tc>
          <w:tcPr>
            <w:tcW w:w="3280" w:type="dxa"/>
            <w:vAlign w:val="bottom"/>
            <w:tcBorders>
              <w:top w:val="single" w:sz="8" w:color="auto"/>
            </w:tcBorders>
          </w:tcPr>
          <w:p>
            <w:pPr>
              <w:ind w:left="20"/>
              <w:spacing w:after="0" w:line="216"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43"/>
        </w:trPr>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4,131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2,074</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2,057</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99.2 %</w:t>
            </w:r>
          </w:p>
        </w:tc>
      </w:tr>
      <w:tr>
        <w:trPr>
          <w:trHeight w:val="240"/>
        </w:trPr>
        <w:tc>
          <w:tcPr>
            <w:tcW w:w="3280" w:type="dxa"/>
            <w:vAlign w:val="bottom"/>
          </w:tcPr>
          <w:p>
            <w:pPr>
              <w:ind w:left="140"/>
              <w:spacing w:after="0"/>
              <w:rPr>
                <w:sz w:val="20"/>
                <w:szCs w:val="20"/>
                <w:color w:val="auto"/>
              </w:rPr>
            </w:pPr>
            <w:r>
              <w:rPr>
                <w:rFonts w:ascii="Arial" w:cs="Arial" w:eastAsia="Arial" w:hAnsi="Arial"/>
                <w:sz w:val="16"/>
                <w:szCs w:val="16"/>
                <w:color w:val="auto"/>
              </w:rPr>
              <w:t>Dollars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515,035</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182,354</w:t>
            </w:r>
          </w:p>
        </w:tc>
        <w:tc>
          <w:tcPr>
            <w:tcW w:w="148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332,681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182.4 %</w:t>
            </w:r>
          </w:p>
        </w:tc>
      </w:tr>
      <w:tr>
        <w:trPr>
          <w:trHeight w:val="24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Dealer Inventory</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3"/>
        </w:trPr>
        <w:tc>
          <w:tcPr>
            <w:tcW w:w="3280" w:type="dxa"/>
            <w:vAlign w:val="bottom"/>
          </w:tcPr>
          <w:p>
            <w:pPr>
              <w:ind w:left="120"/>
              <w:spacing w:after="0"/>
              <w:rPr>
                <w:sz w:val="20"/>
                <w:szCs w:val="20"/>
                <w:color w:val="auto"/>
              </w:rPr>
            </w:pPr>
            <w:r>
              <w:rPr>
                <w:rFonts w:ascii="Arial" w:cs="Arial" w:eastAsia="Arial" w:hAnsi="Arial"/>
                <w:sz w:val="16"/>
                <w:szCs w:val="16"/>
                <w:color w:val="auto"/>
              </w:rPr>
              <w:t>Units</w:t>
            </w:r>
          </w:p>
        </w:tc>
        <w:tc>
          <w:tcPr>
            <w:tcW w:w="28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5,013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4,235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18.4 %</w:t>
            </w:r>
          </w:p>
        </w:tc>
      </w:tr>
    </w:tbl>
    <w:p>
      <w:pPr>
        <w:spacing w:after="0" w:line="132"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ASP excludes off-invoice dealer incentives.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hanging="252"/>
        <w:spacing w:after="0" w:line="258" w:lineRule="auto"/>
        <w:tabs>
          <w:tab w:leader="none" w:pos="233"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218"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Net revenues increased in the first nine months of Fiscal 2020 compared to the first nine months of Fiscal 2019 due to the acquisition of Newmar and favorable mix partially offset by the reduction in volume related to the impact of COVID-19 during Q3 2020.</w:t>
      </w:r>
    </w:p>
    <w:p>
      <w:pPr>
        <w:spacing w:after="0" w:line="222"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Adjusted EBITDA decreased in the first nine months of Fiscal 2020 compared to the first nine months of Fiscal 2019 primarily due to the COVID-19 pandemic partially offset by the Newmar acquisition.</w:t>
      </w:r>
    </w:p>
    <w:p>
      <w:pPr>
        <w:spacing w:after="0" w:line="222"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We have seen an increase in the backlog volumes as of May 30, 2020 compared to May 25, 2019 primarily due to strong retail demand following the imposition of shelter-in-place mandates in response to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from operations for the nine months ended May 30, 2020 and May 25, 2019:</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7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May 30,</w:t>
            </w:r>
          </w:p>
        </w:tc>
        <w:tc>
          <w:tcPr>
            <w:tcW w:w="320" w:type="dxa"/>
            <w:vAlign w:val="bottom"/>
          </w:tcPr>
          <w:p>
            <w:pPr>
              <w:spacing w:after="0"/>
              <w:rPr>
                <w:sz w:val="17"/>
                <w:szCs w:val="17"/>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25,</w:t>
            </w:r>
          </w:p>
        </w:tc>
      </w:tr>
      <w:tr>
        <w:trPr>
          <w:trHeight w:val="228"/>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4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provided by (used in):</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7900" w:type="dxa"/>
            <w:vAlign w:val="bottom"/>
          </w:tcPr>
          <w:p>
            <w:pPr>
              <w:ind w:left="12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center"/>
              <w:ind w:left="339"/>
              <w:spacing w:after="0"/>
              <w:rPr>
                <w:sz w:val="20"/>
                <w:szCs w:val="20"/>
                <w:color w:val="auto"/>
              </w:rPr>
            </w:pPr>
            <w:r>
              <w:rPr>
                <w:rFonts w:ascii="Arial" w:cs="Arial" w:eastAsia="Arial" w:hAnsi="Arial"/>
                <w:sz w:val="16"/>
                <w:szCs w:val="16"/>
                <w:color w:val="auto"/>
              </w:rPr>
              <w:t>162,437</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82,849</w:t>
            </w:r>
          </w:p>
        </w:tc>
      </w:tr>
      <w:tr>
        <w:trPr>
          <w:trHeight w:val="25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Investing activities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99"/>
              </w:rPr>
              <w:t>(289,406)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(30,497)</w:t>
            </w:r>
          </w:p>
        </w:tc>
      </w:tr>
      <w:tr>
        <w:trPr>
          <w:trHeight w:val="237"/>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Financing activities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color w:val="auto"/>
              </w:rPr>
              <w:t>242,018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(50,518)</w:t>
            </w:r>
          </w:p>
        </w:tc>
      </w:tr>
      <w:tr>
        <w:trPr>
          <w:trHeight w:val="26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rPr>
              <w:t>115,049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1,834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6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Cash provided by operating activities increased for the nine months ended May 30, 2020 compared to the nine months ended May 25, 2019 primarily due to favorable changes in working capital partially offset by lower profitability in the third quarter of Fiscal 2020 due to the COVID-19 pandemic.</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Cash used in investing activities increased for the nine months ended May 30, 2020 compared to the nine months ended May 25, 2019 primarily due to our acquisition of Newmar.</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6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Cash provided by financing activities increased for the nine months ended May 30, 2020 compared to the nine months ended May 25, 2019 primarily due to the issuance of Convertible Notes issued in the first quarter of Fiscal 2020 to finance our acquisition of Newmar.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and Capital</w:t>
      </w:r>
    </w:p>
    <w:p>
      <w:pPr>
        <w:spacing w:after="0" w:line="252"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 xml:space="preserve">During the first quarter of Fiscal 2020, we issued the Convertible Notes, which were used to partially fund the Newmar acquisition. Refer to Note 9, </w:t>
      </w:r>
      <w:r>
        <w:rPr>
          <w:rFonts w:ascii="Arial" w:cs="Arial" w:eastAsia="Arial" w:hAnsi="Arial"/>
          <w:sz w:val="16"/>
          <w:szCs w:val="16"/>
          <w:i w:val="1"/>
          <w:iCs w:val="1"/>
          <w:color w:val="auto"/>
        </w:rPr>
        <w:t>Long-Term Debt</w:t>
      </w:r>
      <w:r>
        <w:rPr>
          <w:rFonts w:ascii="Arial" w:cs="Arial" w:eastAsia="Arial" w:hAnsi="Arial"/>
          <w:sz w:val="16"/>
          <w:szCs w:val="16"/>
          <w:color w:val="auto"/>
        </w:rPr>
        <w:t>, of the Notes to Condensed Consolidated Financial Statements included in this Quarterly Report on Form 10-Q for additional details.</w:t>
      </w:r>
    </w:p>
    <w:p>
      <w:pPr>
        <w:spacing w:after="0" w:line="206"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As of May 30, 2020, we have a debt agreement that consists of a $300.0 million term loan agreement ("Term Loan") that requires us to maintain certain financial ratios. As of May 30, 2020, we are in compliance with these covenants. Our debt covenants do not limit, nor are they reasonably likely to limit, our ability to obtain additional debt or equity financing.</w:t>
      </w:r>
    </w:p>
    <w:p>
      <w:pPr>
        <w:spacing w:after="0" w:line="228"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We maintain a $192.5 million asset-based revolving credit facility ("ABL Credit Facility") with a maturity date of October 22, 2024 subject to certain factors which may accelerate the maturity date. As of May 30, 2020, we had no borrowings against the ABL.</w:t>
      </w:r>
    </w:p>
    <w:p>
      <w:pPr>
        <w:spacing w:after="0" w:line="222"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As of May 30, 2020, we had $152.5 million in cash and cash equivalents and $192.5 million in unused ABL Credit Facility. Our cash and cash equivalent balances consist of high quality, short-term money market instruments.</w:t>
      </w:r>
    </w:p>
    <w:p>
      <w:pPr>
        <w:spacing w:after="0" w:line="222"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We believe cash flow from operations, existing lines of credit, and access to debt and capital markets will be sufficient to meet our current liquidity needs, and we have committed liquidity and cash reserves in excess of our anticipated funding requirements. Further, we use derivative instruments with J.P. Morgan as the principal counterparty to manage interest rate risks. We evaluate the financial stability of the counterparty and will continue to monitor counterparty risk on an on-going basis. We do not have any credit-risk related contingent features in our derivative contracts as of May 30, 2020.</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Financial Measures</w:t>
      </w:r>
    </w:p>
    <w:p>
      <w:pPr>
        <w:spacing w:after="0" w:line="268" w:lineRule="exact"/>
        <w:rPr>
          <w:sz w:val="20"/>
          <w:szCs w:val="20"/>
          <w:color w:val="auto"/>
        </w:rPr>
      </w:pPr>
    </w:p>
    <w:p>
      <w:pPr>
        <w:ind w:right="520"/>
        <w:spacing w:after="0" w:line="253" w:lineRule="auto"/>
        <w:rPr>
          <w:sz w:val="20"/>
          <w:szCs w:val="20"/>
          <w:color w:val="auto"/>
        </w:rPr>
      </w:pPr>
      <w:r>
        <w:rPr>
          <w:rFonts w:ascii="Arial" w:cs="Arial" w:eastAsia="Arial" w:hAnsi="Arial"/>
          <w:sz w:val="16"/>
          <w:szCs w:val="16"/>
          <w:color w:val="auto"/>
        </w:rPr>
        <w:t>Working capital at May 30, 2020 and August 31, 2019 was $299.8 million and $212.9 million, respectively. We currently expect cash on hand, funds generated from operations, and the borrowing available under our ABL Credit Facility to be sufficient to cover both short-term and long-term operating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 and Dividends</w:t>
      </w:r>
    </w:p>
    <w:p>
      <w:pPr>
        <w:spacing w:after="0" w:line="26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a debt leverage ratio within our targeted</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zone, maintain reasonable liquidity, and then return excess cash over time to shareholders through dividends and share repurchases.</w:t>
      </w:r>
    </w:p>
    <w:p>
      <w:pPr>
        <w:spacing w:after="0" w:line="24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 October 18, 2017, our Board of Directors authorized a share repurchase program in the amount of $70.0 million. There is no time restriction on the authorization. In the third quarter of Fiscal 2020, we did not repurchase any shares under this authorization. We continually evaluate if share repurchases reflect a prudent use of our capital and, subject to compliance with our Credit Agreements, we may purchase shares in the future. At May 30, 2020, we have $58.9 million remaining on our board repurchase authorization.</w:t>
      </w:r>
    </w:p>
    <w:p>
      <w:pPr>
        <w:spacing w:after="0" w:line="22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On May 19, 2020, our Board of Directors approved a quarterly cash dividend of $0.11 per share payable on July 1, 2020, to common stockholders of record at the close of business on June 17,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268"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 xml:space="preserve">There has been no material change in our contractual obligations other than the issuance of the Convertible Notes and in the ordinary course of business since the end of Fiscal 2019. Refer to Note 9, </w:t>
      </w:r>
      <w:r>
        <w:rPr>
          <w:rFonts w:ascii="Arial" w:cs="Arial" w:eastAsia="Arial" w:hAnsi="Arial"/>
          <w:sz w:val="16"/>
          <w:szCs w:val="16"/>
          <w:i w:val="1"/>
          <w:iCs w:val="1"/>
          <w:color w:val="auto"/>
        </w:rPr>
        <w:t>Long-Term Debt</w:t>
      </w:r>
      <w:r>
        <w:rPr>
          <w:rFonts w:ascii="Arial" w:cs="Arial" w:eastAsia="Arial" w:hAnsi="Arial"/>
          <w:sz w:val="16"/>
          <w:szCs w:val="16"/>
          <w:color w:val="auto"/>
        </w:rPr>
        <w:t>, of the Notes to Condensed Consolidated Financial Statements included in this Quarterly Report on Form 10-Q for additional details on the Convertible Notes, and see our Annual Report on Form 10-K for the fiscal year ended August 31, 2019 for additional information regarding our contractual obligations and commercial commitments.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 and Estimates</w:t>
      </w:r>
    </w:p>
    <w:p>
      <w:pPr>
        <w:spacing w:after="0" w:line="252"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of the Notes to Consolidated Financial Statements included in our Annual Report on Form 10-K for the fiscal year ended August 31, 2019. We discuss our critical accounting estimates in Item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 our Annual Report on Form 10-K for the fiscal year</w:t>
      </w:r>
    </w:p>
    <w:p>
      <w:pPr>
        <w:spacing w:after="0" w:line="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 xml:space="preserve">ended August 31, 2019. In the first quarter of Fiscal 2020, we adopted new lease accounting guidance, as described in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xml:space="preserve">, and Note 10, </w:t>
      </w:r>
      <w:r>
        <w:rPr>
          <w:rFonts w:ascii="Arial" w:cs="Arial" w:eastAsia="Arial" w:hAnsi="Arial"/>
          <w:sz w:val="16"/>
          <w:szCs w:val="16"/>
          <w:i w:val="1"/>
          <w:iCs w:val="1"/>
          <w:color w:val="auto"/>
        </w:rPr>
        <w:t>Leases</w:t>
      </w:r>
      <w:r>
        <w:rPr>
          <w:rFonts w:ascii="Arial" w:cs="Arial" w:eastAsia="Arial" w:hAnsi="Arial"/>
          <w:sz w:val="16"/>
          <w:szCs w:val="16"/>
          <w:color w:val="auto"/>
        </w:rPr>
        <w:t>, of the Notes to Condensed Consolidated Financial Statements included in this Quarterly Report on Form 10-Q. There have been no other significant changes in our significant accounting policies or critical accounting estimates since the end of Fiscal 2019.</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2"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 xml:space="preserve">For a description of new applicable accounting pronouncements,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of the Notes to Condensed Consolidated Financial Statements included in this Quarterly Report on Form 10-Q.</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26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 xml:space="preserve">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our Annual Report on Form 10-K for the fiscal year ended August 31, 2019, and Item 1A, </w:t>
      </w:r>
      <w:r>
        <w:rPr>
          <w:rFonts w:ascii="Arial" w:cs="Arial" w:eastAsia="Arial" w:hAnsi="Arial"/>
          <w:sz w:val="16"/>
          <w:szCs w:val="16"/>
          <w:i w:val="1"/>
          <w:iCs w:val="1"/>
          <w:color w:val="auto"/>
        </w:rPr>
        <w:t>Risk Factors</w:t>
      </w:r>
      <w:r>
        <w:rPr>
          <w:rFonts w:ascii="Arial" w:cs="Arial" w:eastAsia="Arial" w:hAnsi="Arial"/>
          <w:sz w:val="16"/>
          <w:szCs w:val="16"/>
          <w:color w:val="auto"/>
        </w:rPr>
        <w:t>, in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 competition and new product introductions by competitors, our ability to attract and retain qualified personnel, increases in market compensation rates, business or production disruptions, sales order cancellations, risk related to the terms of our credit agreements and compliance with debt covenants and leverage ratios, stock price volatility and share dilution, disruptions or unanticipated costs from facility expansions, availability of labor, a slowdown in the economy, low consumer confidence, the effect of global tensions, increases in interest rates, availability of credit, availability of financing for RV and marine dealers, impairment of goodwill, risk related to cyclicality and seasonality of our business, slower than anticipated sales of new or existing products, integration of operations relating to merger and acquisition activities generally, our acquisition of Newmar, the possibility that the Newmar acquisition may not perform as expected or may not result in earnings growth, difficulties and expenses related to integrating Newmar into our business, increased focus of management attention and resources on the acquisition of Newmar, risks related to the Convertible Notes, including our ability to satisfy our obligations under the Convertible Notes, risks related to our recent Convertible Note hedge and warrant transactions, inadequate liquidity or capital resources, inventory and distribution channel management, our ability to innovate, our reliance on large dealer organizations, significant increase in repurchase obligations, availability and price of fuel, availability of chassis and other key component parts, increased material and component costs, exposure to warranty claims, ability to protect our intellectual property, exposure to product liability claims, dependence on information systems and web applications, any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unexpected expenses related to the implementation of our ERP system, the duration and scope of the coronavirus (“COVID-19”) pandemic, actions governments, businesses, and individuals take in response to the COVID-19 pandemic, including mandatory business closures and restrictions of onsite commercial interactions; the impact of the pandemic and actions taken in response to the pandemic on regional economies and economic activity; the pace of recovery when the COVID-19 pandemic subsides; and general economic uncertainty in key markets and a worsening of domestic economic conditions or low levels of economic growth, risk related to data security, governmental regulation, including for climate change, risk related to anti-takeover provisions applicable to us, cyber-attacks and other factors. We caution that the foregoing list of important factors is not complete. Any forward-looking statements speak only as of the date they are made, and we assume no obligation to update any forward-looking statement that we may make.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68"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We are exposed to market risks related to fluctuations in interest rates on the outstanding variable rate debt. As of May 30, 2020, we had $253.5 million outstanding under our Term Loan, subject to variable interest rates. For our Term Loan in the third quarter of Fiscal 2020, a 1.0% increase in interest rates would have increased our interest expense by an estimated $2.5 million, and a 1.0% decrease in interest rates would not have changed our interest expense due to the 1% LIBOR floor. For additional information, see Note 9, </w:t>
      </w:r>
      <w:r>
        <w:rPr>
          <w:rFonts w:ascii="Arial" w:cs="Arial" w:eastAsia="Arial" w:hAnsi="Arial"/>
          <w:sz w:val="16"/>
          <w:szCs w:val="16"/>
          <w:i w:val="1"/>
          <w:iCs w:val="1"/>
          <w:color w:val="auto"/>
        </w:rPr>
        <w:t>Long-Term Debt</w:t>
      </w:r>
      <w:r>
        <w:rPr>
          <w:rFonts w:ascii="Arial" w:cs="Arial" w:eastAsia="Arial" w:hAnsi="Arial"/>
          <w:sz w:val="16"/>
          <w:szCs w:val="16"/>
          <w:color w:val="auto"/>
        </w:rPr>
        <w:t>. For variable rate debt, interest rate changes generally do not affect the fair value of the debt instrument, but do impact future earnings and cash flows, assuming other factors are held constant.</w:t>
      </w:r>
    </w:p>
    <w:p>
      <w:pPr>
        <w:spacing w:after="0" w:line="230"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While these are our best estimates of the impact of the specified interest rate scenario, actual results could differ from those projected. The sensitivity analysis presented assumes interest rate changes are instantaneous, parallel shifts in the yield curve. In reality, interest rate changes of this magnitude are rarely instantaneous or parallel.</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6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has evaluated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6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are implementing an ERP system, which is expected to improve the efficiency of certain financial and related transaction processes. The implementation of an ERP system will likely affect the processes that constitute our internal control over financial reporting and will require testing for effectiveness. As we have completed implementation of certain phases of the ERP, internal controls over financial reporting have been tested for effectiveness with respect to the scope of the phase completed. We concluded, as part of our evaluation described in the above paragraphs, that the implementation of ERP in these circumstances has not materially affected our internal control over financial reporting. The implementation is continuing in a phased approach and will continue to be evaluated for effect on our internal control over financial reporting.</w:t>
      </w:r>
    </w:p>
    <w:p>
      <w:pPr>
        <w:spacing w:after="0" w:line="23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During the first quarter of Fiscal 2020, we completed the acquisition of Newmar, which represents a material change in internal control over financial reporting since management's last assessment. Prior to the acquisition, Newmar was a private company and has not been subject to the Sarbanes-Oxley Act of 2002, the rules and regulations of the SEC, or other corporate governance requirements to which public reporting companies may be subject. As part of our ongoing integration activities, we are continuing to incorporate our controls and procedures into the acquired Newmar subsidiaries and to augment our company-wide controls to reflect the risks inherent in an acquisition of this type. Our report on our internal control over financial reporting in the Annual Report on Form 10-K for the year ending August 29, 2020 will exclude the acquired Newmar subsidiaries in order for management to have sufficient time to evaluate and implement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There were no other changes in our internal control over financial reporting that occurred during the third quarter of Fiscal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71" w:lineRule="exact"/>
        <w:rPr>
          <w:sz w:val="20"/>
          <w:szCs w:val="20"/>
          <w:color w:val="auto"/>
        </w:rPr>
      </w:pPr>
    </w:p>
    <w:p>
      <w:pPr>
        <w:ind w:right="600"/>
        <w:spacing w:after="0" w:line="281" w:lineRule="auto"/>
        <w:rPr>
          <w:sz w:val="20"/>
          <w:szCs w:val="20"/>
          <w:color w:val="auto"/>
        </w:rPr>
      </w:pPr>
      <w:r>
        <w:rPr>
          <w:rFonts w:ascii="Arial" w:cs="Arial" w:eastAsia="Arial" w:hAnsi="Arial"/>
          <w:sz w:val="16"/>
          <w:szCs w:val="16"/>
          <w:color w:val="auto"/>
        </w:rPr>
        <w:t xml:space="preserve">For a description of our legal proceedings, see Note 12, </w:t>
      </w:r>
      <w:r>
        <w:rPr>
          <w:rFonts w:ascii="Arial" w:cs="Arial" w:eastAsia="Arial" w:hAnsi="Arial"/>
          <w:sz w:val="16"/>
          <w:szCs w:val="16"/>
          <w:i w:val="1"/>
          <w:iCs w:val="1"/>
          <w:color w:val="auto"/>
        </w:rPr>
        <w:t>Contingent Liabilities and Commitments</w:t>
      </w:r>
      <w:r>
        <w:rPr>
          <w:rFonts w:ascii="Arial" w:cs="Arial" w:eastAsia="Arial" w:hAnsi="Arial"/>
          <w:sz w:val="16"/>
          <w:szCs w:val="16"/>
          <w:color w:val="auto"/>
        </w:rPr>
        <w:t>, of the Notes to Condensed Consolidated Financial Statements, included in this Quarterly Report on Form 10-Q.</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52"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 xml:space="preserve">There have been no material changes from the risk factors previously disclosed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Annual Report on Form 10-K for the fiscal year ended August 31, 2019, except for the risk factors updated below:</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COVID-19 pandemic may have a material negative impact on our business, financial condition, results of operations and cash flows.</w:t>
      </w:r>
    </w:p>
    <w:p>
      <w:pPr>
        <w:spacing w:after="0" w:line="255" w:lineRule="exact"/>
        <w:rPr>
          <w:sz w:val="20"/>
          <w:szCs w:val="20"/>
          <w:color w:val="auto"/>
        </w:rPr>
      </w:pPr>
    </w:p>
    <w:p>
      <w:pPr>
        <w:jc w:val="both"/>
        <w:ind w:right="120"/>
        <w:spacing w:after="0" w:line="228" w:lineRule="auto"/>
        <w:rPr>
          <w:sz w:val="20"/>
          <w:szCs w:val="20"/>
          <w:color w:val="auto"/>
        </w:rPr>
      </w:pPr>
      <w:r>
        <w:rPr>
          <w:rFonts w:ascii="Arial" w:cs="Arial" w:eastAsia="Arial" w:hAnsi="Arial"/>
          <w:sz w:val="16"/>
          <w:szCs w:val="16"/>
          <w:color w:val="auto"/>
        </w:rPr>
        <w:t>Our business and financial results are expected to be negatively impacted by the COVID-19 pandemic. The severity, magnitude and duration of the current COVID-19 pandemic is uncertain, rapidly changing and hard to predict. In Fiscal 2020, COVID-19 has significantly impacted economic activity and markets around the world. The COVID-19 pandemic has negatively impacted our business in numerous ways, including but not limited to those outlined below, and we expect these impacts to continue throughout Fiscal 2020 and beyond:</w:t>
      </w:r>
    </w:p>
    <w:p>
      <w:pPr>
        <w:spacing w:after="0" w:line="3" w:lineRule="exact"/>
        <w:rPr>
          <w:sz w:val="20"/>
          <w:szCs w:val="20"/>
          <w:color w:val="auto"/>
        </w:rPr>
      </w:pPr>
    </w:p>
    <w:p>
      <w:pPr>
        <w:ind w:left="660" w:right="220" w:hanging="328"/>
        <w:spacing w:after="0" w:line="228"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COVID-19 pandemic has caused a global economic slowdown that may last for an extended duration, and it is possible that it could cause a global recession.</w:t>
      </w:r>
    </w:p>
    <w:p>
      <w:pPr>
        <w:spacing w:after="0" w:line="1" w:lineRule="exact"/>
        <w:rPr>
          <w:rFonts w:ascii="Arial" w:cs="Arial" w:eastAsia="Arial" w:hAnsi="Arial"/>
          <w:sz w:val="16"/>
          <w:szCs w:val="16"/>
          <w:color w:val="auto"/>
        </w:rPr>
      </w:pPr>
    </w:p>
    <w:p>
      <w:pPr>
        <w:jc w:val="both"/>
        <w:ind w:left="660" w:right="100" w:hanging="328"/>
        <w:spacing w:after="0" w:line="228"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212529"/>
        </w:rPr>
        <w:t>Due to the impacts of the COVID-19 pandemic, we have experienced and could continue to experience reductions in customer demand for certain of our products. During the third quarter of Fiscal 2020, we experienced reductions in customer demand due to a decrease in consumer spending attributable to the COVID-19 pandemic.</w:t>
      </w:r>
    </w:p>
    <w:p>
      <w:pPr>
        <w:spacing w:after="0" w:line="2" w:lineRule="exact"/>
        <w:rPr>
          <w:rFonts w:ascii="Arial" w:cs="Arial" w:eastAsia="Arial" w:hAnsi="Arial"/>
          <w:sz w:val="16"/>
          <w:szCs w:val="16"/>
          <w:color w:val="auto"/>
        </w:rPr>
      </w:pPr>
    </w:p>
    <w:p>
      <w:pPr>
        <w:ind w:left="660" w:hanging="328"/>
        <w:spacing w:after="0" w:line="228"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212529"/>
        </w:rPr>
        <w:t>The COVID-19 pandemic is adversely affecting, and is expected to continue to adversely affect, certain elements of our business (including certain elements of our operations, supply chains and distribution systems), including required, preventive and precautionary measures that we, our communities and governments are taking. These impacts include requiring employees to work from home or not go into their offices, limiting the number of employees attending meetings and using digital options when available, reducing the number of people in our sites at any one time, reducing employee travel and adopting other employee safety measures. These measures may also impact our ability to meet production demands or requests depending on employee attendance or ability to continue to work.</w:t>
      </w:r>
    </w:p>
    <w:p>
      <w:pPr>
        <w:spacing w:after="0" w:line="4" w:lineRule="exact"/>
        <w:rPr>
          <w:rFonts w:ascii="Arial" w:cs="Arial" w:eastAsia="Arial" w:hAnsi="Arial"/>
          <w:sz w:val="16"/>
          <w:szCs w:val="16"/>
          <w:color w:val="auto"/>
        </w:rPr>
      </w:pPr>
    </w:p>
    <w:p>
      <w:pPr>
        <w:jc w:val="both"/>
        <w:ind w:left="660" w:right="40" w:hanging="328"/>
        <w:spacing w:after="0" w:line="228"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212529"/>
        </w:rPr>
        <w:t>If the COVID-19 pandemic continues and economic conditions worsen, we expect to experience additional adverse impacts on our operational and commercial activities, customer orders and our collections of accounts receivable, which may be material. It remains uncertain the impact on future operational and commercial activities, customer orders, and collections even if economic conditions begin to improve.</w:t>
      </w:r>
    </w:p>
    <w:p>
      <w:pPr>
        <w:spacing w:after="0" w:line="2" w:lineRule="exact"/>
        <w:rPr>
          <w:rFonts w:ascii="Arial" w:cs="Arial" w:eastAsia="Arial" w:hAnsi="Arial"/>
          <w:sz w:val="16"/>
          <w:szCs w:val="16"/>
          <w:color w:val="auto"/>
        </w:rPr>
      </w:pPr>
    </w:p>
    <w:p>
      <w:pPr>
        <w:ind w:left="660" w:right="40" w:hanging="328"/>
        <w:spacing w:after="0" w:line="228"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212529"/>
        </w:rPr>
        <w:t>Government or regulatory responses to the COVID-19 pandemic have and are likely to continue to negatively impact our business. Mandatory shelter-in-place or other restrictions on operations have temporarily disrupted our ability to manufacture or distribute our products in some markets and our dealers' ability to retail our product in certain markets. Continuation or expansion of these disruptions could materially adversely impact our operations and results. In addition to existing travel restrictions, jurisdictions may continue to close borders, impose prolonged quarantines and further restrict travel and business activity, which could significantly impact our ability to support our operations and customers and the ability of our employees to get to their workplaces to produce products and services, or significantly hinder our products from being sold to the end customer.</w:t>
      </w:r>
    </w:p>
    <w:p>
      <w:pPr>
        <w:spacing w:after="0" w:line="4" w:lineRule="exact"/>
        <w:rPr>
          <w:rFonts w:ascii="Arial" w:cs="Arial" w:eastAsia="Arial" w:hAnsi="Arial"/>
          <w:sz w:val="16"/>
          <w:szCs w:val="16"/>
          <w:color w:val="auto"/>
        </w:rPr>
      </w:pPr>
    </w:p>
    <w:p>
      <w:pPr>
        <w:jc w:val="both"/>
        <w:ind w:left="660" w:right="40" w:hanging="328"/>
        <w:spacing w:after="0" w:line="228"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212529"/>
        </w:rPr>
        <w:t>The impacts of the COVID-19 pandemic may limit our ability to reduce our overall operating costs. We expect increased costs relating to our efforts to mitigate the impact of the COVID-19 pandemic through enhanced sanitization procedures and social-distancing measures we have enacted and will likely continue to enact at our locations in an effort to protect our employees’ health and well-being.</w:t>
      </w:r>
    </w:p>
    <w:p>
      <w:pPr>
        <w:spacing w:after="0" w:line="2" w:lineRule="exact"/>
        <w:rPr>
          <w:rFonts w:ascii="Arial" w:cs="Arial" w:eastAsia="Arial" w:hAnsi="Arial"/>
          <w:sz w:val="16"/>
          <w:szCs w:val="16"/>
          <w:color w:val="auto"/>
        </w:rPr>
      </w:pPr>
    </w:p>
    <w:p>
      <w:pPr>
        <w:ind w:left="660" w:right="80" w:hanging="328"/>
        <w:spacing w:after="0" w:line="228"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212529"/>
        </w:rPr>
        <w:t>The COVID-19 pandemic has not materially disrupted our supply chain at this time, however, the full impact of the outbreak on our supply chain could result in future disruptions. Should disruptions or our failure to effectively respond to them occur, it may increase product or distribution costs or cause delays in delivering or an inability to deliver products to our customers.</w:t>
      </w:r>
    </w:p>
    <w:p>
      <w:pPr>
        <w:spacing w:after="0" w:line="2" w:lineRule="exact"/>
        <w:rPr>
          <w:rFonts w:ascii="Arial" w:cs="Arial" w:eastAsia="Arial" w:hAnsi="Arial"/>
          <w:sz w:val="16"/>
          <w:szCs w:val="16"/>
          <w:color w:val="auto"/>
        </w:rPr>
      </w:pPr>
    </w:p>
    <w:p>
      <w:pPr>
        <w:ind w:left="660" w:right="220" w:hanging="328"/>
        <w:spacing w:after="0" w:line="228"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212529"/>
        </w:rPr>
        <w:t>The COVID-19 pandemic has increased volatility and pricing in and disrupted the capital markets and commercial paper markets, and volatility is likely to continue. We might not be able to continue to access preferred sources of liquidity when we would like, and our borrowing costs could increase.</w:t>
      </w:r>
    </w:p>
    <w:p>
      <w:pPr>
        <w:spacing w:after="0" w:line="2" w:lineRule="exact"/>
        <w:rPr>
          <w:rFonts w:ascii="Arial" w:cs="Arial" w:eastAsia="Arial" w:hAnsi="Arial"/>
          <w:sz w:val="16"/>
          <w:szCs w:val="16"/>
          <w:color w:val="auto"/>
        </w:rPr>
      </w:pPr>
    </w:p>
    <w:p>
      <w:pPr>
        <w:ind w:left="660" w:right="100" w:hanging="328"/>
        <w:spacing w:after="0" w:line="235" w:lineRule="auto"/>
        <w:tabs>
          <w:tab w:leader="none" w:pos="649" w:val="left"/>
        </w:tabs>
        <w:numPr>
          <w:ilvl w:val="0"/>
          <w:numId w:val="20"/>
        </w:numPr>
        <w:rPr>
          <w:rFonts w:ascii="Arial" w:cs="Arial" w:eastAsia="Arial" w:hAnsi="Arial"/>
          <w:sz w:val="16"/>
          <w:szCs w:val="16"/>
          <w:color w:val="212529"/>
        </w:rPr>
      </w:pPr>
      <w:r>
        <w:rPr>
          <w:rFonts w:ascii="Arial" w:cs="Arial" w:eastAsia="Arial" w:hAnsi="Arial"/>
          <w:sz w:val="16"/>
          <w:szCs w:val="16"/>
          <w:color w:val="212529"/>
        </w:rPr>
        <w:t>The COVID-19 pandemic has caused increased difficulty in determining the fair value of the Company’s goodwill and other assets for accounting purposes given the level of judgment and estimation that is inherently higher in the current environment considering the uncertainty created by the COVID-19 pandemic, which could result in estimates and assumptions made in valuing goodwill and other Company assets proving to be inaccurate in the future.</w:t>
      </w:r>
    </w:p>
    <w:p>
      <w:pPr>
        <w:spacing w:after="0" w:line="89" w:lineRule="exact"/>
        <w:rPr>
          <w:sz w:val="20"/>
          <w:szCs w:val="20"/>
          <w:color w:val="auto"/>
        </w:rPr>
      </w:pPr>
    </w:p>
    <w:p>
      <w:pPr>
        <w:jc w:val="both"/>
        <w:ind w:right="120"/>
        <w:spacing w:after="0" w:line="233" w:lineRule="auto"/>
        <w:rPr>
          <w:sz w:val="20"/>
          <w:szCs w:val="20"/>
          <w:color w:val="auto"/>
        </w:rPr>
      </w:pPr>
      <w:r>
        <w:rPr>
          <w:rFonts w:ascii="Arial" w:cs="Arial" w:eastAsia="Arial" w:hAnsi="Arial"/>
          <w:sz w:val="16"/>
          <w:szCs w:val="16"/>
          <w:color w:val="212529"/>
        </w:rPr>
        <w:t>We may not be able to predict or respond to all impacts of the COVID-19 pandemic on a timely basis to prevent near- or long-term adverse impacts to our results. Due to the speed with which the COVID-19 situation continues to develop, the breadth of its spread and the range of governmental and community reactions thereto, there is uncertainty around its duration and ultimate impact; therefore, any negative impact on our business, financial condition (including without limitation our liquidity), results of operations and cash flows cannot be reasonably estimated at this time, but the COVID-19 pandemic could lead to extended disruption of economic activity and the impact on our business, financial condition, results of operations and cash flows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40"/>
        <w:spacing w:after="0" w:line="235" w:lineRule="auto"/>
        <w:rPr>
          <w:sz w:val="20"/>
          <w:szCs w:val="20"/>
          <w:color w:val="auto"/>
        </w:rPr>
      </w:pPr>
      <w:r>
        <w:rPr>
          <w:rFonts w:ascii="Arial" w:cs="Arial" w:eastAsia="Arial" w:hAnsi="Arial"/>
          <w:sz w:val="16"/>
          <w:szCs w:val="16"/>
          <w:color w:val="212529"/>
        </w:rPr>
        <w:t>The ultimate impact of these disruptions also depends on events beyond our knowledge or control, including the duration and severity of the COVID-19 pandemic and actions taken by parties other than us to respond to them. The foregoing and other impacts of the COVID-19 pandemic could have the effect of heightening many of the other risks described in our Annual Report on Form 10-K for the fiscal year ended August 31, 2019 and any of these impacts could materially adversely affect our business, financial condition, results of operations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terms of our Credit Agreements and other debt instruments could adversely affect our operating flexibility and pose risks of default.</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incurred substantial indebtedness to finance the acquisitions of Grand Design and Newmar. Our Credit Agreement is secured by substantially all of our assets, including cash, inventory, accounts receivable, and certain machinery and equipment. The Credit Agreement contains certain requirements, including affirmative and negative financial covenants. If we are unable to comply with these requirements and covenants, we may be restricted in our ability to pay dividends or engage in certain other business transactions, the lender may obtain control of our cash accounts, and we may experience an event of default. If a default occurs, the lenders under the Credit Agreement may elect to declare all of their respective outstanding debt, together with accrued interest and other amounts payable thereunder, to be immediately due and payable. Under such circumstances, we may not have sufficient funds or other resources to satisfy all of our obligations. In addition, the limitations imposed on our ability to incur additional debt and to take other corporate actions might significantly impair our ability to obtain other financing.</w:t>
      </w:r>
    </w:p>
    <w:p>
      <w:pPr>
        <w:spacing w:after="0" w:line="180"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In addition, the Credit Agreement contains certain restrictions on our ability to undertake certain types of transactions. Therefore, we may need to seek permission from our lenders in order to engage in certain corporate actions and any additional indebtedness that we may incur will need to comply with the terms of the Credit Agreement and will have its own restrictions on our ability to undertake certain types of transactions. Likewise, the Indenture related to the Convertible Notes issued to help finance the acquisition of Newmar includes certain limited covenants that could impact our ability to operate our business.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In addition, our indebtedness could:</w:t>
      </w:r>
    </w:p>
    <w:p>
      <w:pPr>
        <w:spacing w:after="0" w:line="5"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Make us more vulnerable to general adverse economic, regulatory, and industry conditions;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Limit our flexibility in planning for, or reacting to, changes and opportunities in the markets in which we compete;</w:t>
      </w:r>
    </w:p>
    <w:p>
      <w:pPr>
        <w:spacing w:after="0" w:line="5" w:lineRule="exact"/>
        <w:rPr>
          <w:rFonts w:ascii="Arial" w:cs="Arial" w:eastAsia="Arial" w:hAnsi="Arial"/>
          <w:sz w:val="16"/>
          <w:szCs w:val="16"/>
          <w:color w:val="auto"/>
        </w:rPr>
      </w:pPr>
    </w:p>
    <w:p>
      <w:pPr>
        <w:ind w:left="660" w:right="100" w:hanging="328"/>
        <w:spacing w:after="0" w:line="246"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 or could require us to dedicate a substantial portion of our cash flow to service our debt; and</w:t>
      </w: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Restrict us from making strategic acquisitions or exploiting other business opportunities.</w:t>
      </w:r>
    </w:p>
    <w:p>
      <w:pPr>
        <w:spacing w:after="0" w:line="22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b w:val="1"/>
          <w:bCs w:val="1"/>
          <w:color w:val="auto"/>
        </w:rPr>
        <w:t>Various factors, including share dilution, changes to credit terms, and our ability to meet financial performance expectations, could result in a decline in our stock price.</w:t>
      </w:r>
    </w:p>
    <w:p>
      <w:pPr>
        <w:spacing w:after="0" w:line="20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stock price may fluctuate based on many factors. To partially finance our acquisition of Grand Design, we issued $124.1 million worth of common stock to the owners of Grand Design and registered these shares for resale after the transaction closed. Similarly, we issued 2.0 million shares of our common stock to the owners of Newmar. In connection with our acquisition of Newmar, we also issued $300.0 million in aggregate principal amount of 1.50% convertible senior notes due 2025. We will settle conversions of the Convertible Notes by paying or delivering, as applicable, cash, shares of our common stock or a combination of cash and shares of our common stock, at our election, based on the applicable conversion rate(s). Any future stock issuance by us or liquidation of stock holding by the former owners of Grand Design or Newmar or holders of the Convertible Notes may cause dilution of earnings per share or put selling pressure on our share price. Changing credit agreements and leverage ratios may also impact stock price. In general, analysts' expectations and our ability to meet those expectations quarterly may cause stock price fluctuations. If we fail to meet expectations related to future growth, profitability, debt repayment, dividends, share issuance or repurchase, or other market expectations, our stock price may decline significantly.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effectively manage strategic acquisitions and alliances, joint ventures, or partnerships could have a negative impact on our business.</w:t>
      </w:r>
    </w:p>
    <w:p>
      <w:pPr>
        <w:spacing w:after="0" w:line="268"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One of our growth strategies is to drive growth through targeted acquisitions and alliances, stronger customer relations, and new joint ventures and partnerships that contribute profitable growth while supplementing our existing brands and product portfolio. On November 8, 2019, we acquired Newmar (the "Newmar Acquisition"), a leading manufacturer of Class A and Super C motorized RVs. Our ability to grow through acquisitions depends, in part, on the availability of suitable candidates at acceptable prices, terms, and conditions, our ability to compete effectively for acquisition candidates, and the availability of capital and personnel to complete such acquisitions and run the acquired business effectively. Any acquisition, alliance, joint venture, or partnership could impair our business, financial condition, reputation, and operating results. The benefits of an acquisition, including the Newmar Acquisition, or new alliance, joint venture, or partnership may take more time than expected to develop or integrate into our operations, and we cannot guarantee that previous or future acquisitions, alliances, joint ventures, or partnerships will, in fact, produce any benefits. Such acquisitions, alliances, joint ventures, and partnerships may involve a number of risks, including:</w:t>
      </w:r>
    </w:p>
    <w:p>
      <w:pPr>
        <w:spacing w:after="0" w:line="4"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Diversion of management’s attention;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Disruption to our existing operations and plans;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Inability to effectively manage our expanded operations;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260" w:hanging="328"/>
        <w:spacing w:after="0" w:line="24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Difficulties or delays in integrating and assimilating information and financial systems, operations, and products of an acquired business or other business venture or in realizing projected efficiencies, growth prospects, cost savings, and synergies;</w:t>
      </w: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Inability to successfully integrate or develop a distribution channel for acquired product lines;</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Potential loss of key employees, customers, distributors, or dealers of the acquired businesses or adverse effects on existing business relationships with suppliers, customers, distributors, and dealers;</w:t>
      </w: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Adverse impact on overall profitability, if our expanded operations do not achieve the financial results projected in our valuation model;</w:t>
      </w:r>
    </w:p>
    <w:p>
      <w:pPr>
        <w:spacing w:after="0" w:line="5" w:lineRule="exact"/>
        <w:rPr>
          <w:rFonts w:ascii="Arial" w:cs="Arial" w:eastAsia="Arial" w:hAnsi="Arial"/>
          <w:sz w:val="16"/>
          <w:szCs w:val="16"/>
          <w:color w:val="auto"/>
        </w:rPr>
      </w:pPr>
    </w:p>
    <w:p>
      <w:pPr>
        <w:ind w:left="660" w:right="200" w:hanging="328"/>
        <w:spacing w:after="0" w:line="24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Inaccurate assessment of additional post-acquisition or business venture investments, undisclosed, contingent or other liabilities or problems, unanticipated costs associated with an acquisition or other business venture, and an inability to recover or manage such liabilities and costs; and</w:t>
      </w:r>
    </w:p>
    <w:p>
      <w:pPr>
        <w:ind w:left="660" w:right="4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Incorrect estimates made in the accounting for acquisitions, occurrence of non-recurring charges, and write-off of significant amounts of goodwill or other assets that could adversely affect our operating results.</w:t>
      </w:r>
    </w:p>
    <w:p>
      <w:pPr>
        <w:spacing w:after="0" w:line="202"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color w:val="auto"/>
        </w:rPr>
        <w:t>We may experience difficulties in integrating the operations of Newmar into our business and in realizing the expected benefits of the Newmar Acquisition.</w:t>
      </w:r>
    </w:p>
    <w:p>
      <w:pPr>
        <w:spacing w:after="0" w:line="203"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The success of the Newmar Acquisition will depend in part on our ability to realize the anticipated business opportunities from combining the operations of Newmar with our business in an efficient and effective manner. The integration process could take longer than anticipated and could result in the loss of key employees, the disruption of each company’s ongoing businesses, tax costs or inefficiencies, or inconsistencies in standards, controls, information technology systems, procedures, and policies, any of which could adversely affect our ability to maintain relationships with customers, employees or other third parties, or our ability to achieve the anticipated benefits of the Newmar Acquisition, and could harm our financial performance. We cannot assure you that the Newmar business will perform as expected, that integration or other one-time costs will not be greater than expected, that we will not incur unforeseen obligations or liabilities, or that the rate of return from the acquisition will justify our investment. We also incurred significant costs in connection with the Newmar Acquisition, the substantial majority of which are non-recurring expenses. In addition, we expect to incur additional costs in the integration of Newmar's business and may not achieve cost synergies and other benefits sufficient to offset the incremental costs of the Newmar Acquisition. If we are unable to successfully or timely integrate the operations of Newmar with our business, we may incur unanticipated liabilities and be unable to realize the revenue growth, synergies, and other anticipated benefits resulting from the Newmar Acquisition, and our business, results of operations, and financial condition could be materially and adversely affected.</w:t>
      </w:r>
    </w:p>
    <w:p>
      <w:pPr>
        <w:spacing w:after="0" w:line="239"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The Newmar Acquisition also involves risks associated with integrating acquired assets into existing operations which could have a material adverse effect on our business, financial condition, results of operations, and cash flows, including, among others:</w:t>
      </w:r>
    </w:p>
    <w:p>
      <w:pPr>
        <w:spacing w:after="0" w:line="1"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failure to implement our business plan for the combined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unanticipated issues in integrating equipment, logistics, information, communications, and other systems;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possible inconsistencies in standards, controls, contracts, procedures, and policies;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impacts of change in control provisions in contracts and agreements;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failure to retain key customers and suppliers;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unanticipated changes in applicable laws and regulations;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failure to recruit and retain key employees to operate the combined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increased competition within the industries in which Newmar operates;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difficulties in managing the expanded operations of a significantly larger and more complex combined company;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inherent operating risks in the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unanticipated issues, expenses, and liabilities;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additional reporting requirements pursuant to applicable rules and regulations;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additional requirements relating to internal control over financial reporting;</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diversion of our senior management’s attention from the management of daily operations to the integration of the Newmar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significant unknown and contingent liabilities we incur for which we have limited or no contractual remedies or insurance coverage;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assets to be acquired failing to perform as well as we anticipate;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unexpected costs, delays, and challenges arising from integrating the assets acquired in the Newmar Acquisition into our existing operations.</w:t>
      </w:r>
    </w:p>
    <w:p>
      <w:pPr>
        <w:spacing w:after="0" w:line="24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Even if we successfully integrate the assets acquired in the Newmar Acquisition into our operations, it may not be possible to realize the full benefits we anticipate or we may not realize these benefits within the expected time frame. If we fail to realize the benefits we anticipate from the Newmar Acquisition, our business, results of operations, and financial condition may be adversely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Newmar may have liabilities that are not known, probable, or estimable at this time.</w:t>
      </w:r>
    </w:p>
    <w:p>
      <w:pPr>
        <w:spacing w:after="0" w:line="268"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Following the acquisition of Newmar, Newmar became our subsidiary and remains subject to all of its liabilities. There could be unasserted claims or assessments that we failed or were unable to discover or identify in the course of performing due diligence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investigations of Newmar. In addition, there may be liabilities that are neither probable nor estimable at this time that may become probable or estimable in the future. Any such liabilities, individually or in the aggregate, could have a material adverse effect on our financial results.</w:t>
      </w:r>
    </w:p>
    <w:p>
      <w:pPr>
        <w:spacing w:after="0" w:line="222"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Additionally, Newmar is subject to various rules, regulations, laws, and other legal requirements, enforced by governments or other public authorities. Misconduct, fraud, non-compliance with applicable laws and regulations, or other improper activities by any of Newmar’s directors, officers, employees, or agents could have a significant impact on Newmar’s business and reputation and could subject Newmar to fines and penalties and criminal, civil, and administrative legal sanctions, resulting in reduced revenues and profits.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Newmar Acquisition significantly increases our goodwill and other intangible assets.</w:t>
      </w:r>
    </w:p>
    <w:p>
      <w:pPr>
        <w:spacing w:after="0" w:line="268"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We have a significant amount, and the Newmar acquisition increased the amount of goodwill and other intangible assets on our consolidated financial statements, which are subject to impairment based upon future adverse changes in our business or prospects. The impairment of any goodwill and other intangible assets may have a negative impact on our consolidated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 Stock Repurchases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third quarter of Fiscal 2020 were: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Total Number of</w:t>
            </w:r>
          </w:p>
        </w:tc>
        <w:tc>
          <w:tcPr>
            <w:tcW w:w="14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Average Price</w:t>
            </w:r>
          </w:p>
        </w:tc>
        <w:tc>
          <w:tcPr>
            <w:tcW w:w="2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 of Shares Purchased as</w:t>
            </w:r>
          </w:p>
        </w:tc>
        <w:tc>
          <w:tcPr>
            <w:tcW w:w="140" w:type="dxa"/>
            <w:vAlign w:val="bottom"/>
          </w:tcPr>
          <w:p>
            <w:pPr>
              <w:spacing w:after="0"/>
              <w:rPr>
                <w:sz w:val="16"/>
                <w:szCs w:val="16"/>
                <w:color w:val="auto"/>
              </w:rPr>
            </w:pPr>
          </w:p>
        </w:tc>
        <w:tc>
          <w:tcPr>
            <w:tcW w:w="2620" w:type="dxa"/>
            <w:vAlign w:val="bottom"/>
          </w:tcPr>
          <w:p>
            <w:pPr>
              <w:jc w:val="right"/>
              <w:ind w:right="219"/>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400" w:type="dxa"/>
            <w:vAlign w:val="bottom"/>
            <w:gridSpan w:val="2"/>
            <w:vMerge w:val="continue"/>
          </w:tcPr>
          <w:p>
            <w:pPr>
              <w:spacing w:after="0"/>
              <w:rPr>
                <w:sz w:val="14"/>
                <w:szCs w:val="14"/>
                <w:color w:val="auto"/>
              </w:rPr>
            </w:pPr>
          </w:p>
        </w:tc>
        <w:tc>
          <w:tcPr>
            <w:tcW w:w="28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Part of Publicly Announced Plans</w:t>
            </w:r>
          </w:p>
        </w:tc>
        <w:tc>
          <w:tcPr>
            <w:tcW w:w="276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Purchased</w:t>
            </w:r>
            <w:r>
              <w:rPr>
                <w:rFonts w:ascii="Arial" w:cs="Arial" w:eastAsia="Arial" w:hAnsi="Arial"/>
                <w:sz w:val="21"/>
                <w:szCs w:val="21"/>
                <w:b w:val="1"/>
                <w:bCs w:val="1"/>
                <w:color w:val="auto"/>
                <w:w w:val="97"/>
                <w:vertAlign w:val="superscript"/>
              </w:rPr>
              <w:t>(1)</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Paid per Share</w:t>
            </w:r>
          </w:p>
        </w:tc>
        <w:tc>
          <w:tcPr>
            <w:tcW w:w="2860" w:type="dxa"/>
            <w:vAlign w:val="bottom"/>
            <w:tcBorders>
              <w:bottom w:val="single" w:sz="8" w:color="auto"/>
            </w:tcBorders>
            <w:gridSpan w:val="2"/>
          </w:tcPr>
          <w:p>
            <w:pPr>
              <w:jc w:val="center"/>
              <w:ind w:right="120"/>
              <w:spacing w:after="0" w:line="216" w:lineRule="exact"/>
              <w:rPr>
                <w:sz w:val="20"/>
                <w:szCs w:val="20"/>
                <w:color w:val="auto"/>
              </w:rPr>
            </w:pPr>
            <w:r>
              <w:rPr>
                <w:rFonts w:ascii="Arial" w:cs="Arial" w:eastAsia="Arial" w:hAnsi="Arial"/>
                <w:sz w:val="16"/>
                <w:szCs w:val="16"/>
                <w:b w:val="1"/>
                <w:bCs w:val="1"/>
                <w:color w:val="auto"/>
                <w:w w:val="97"/>
              </w:rPr>
              <w:t>or Programs</w:t>
            </w:r>
            <w:r>
              <w:rPr>
                <w:rFonts w:ascii="Arial" w:cs="Arial" w:eastAsia="Arial" w:hAnsi="Arial"/>
                <w:sz w:val="21"/>
                <w:szCs w:val="21"/>
                <w:b w:val="1"/>
                <w:bCs w:val="1"/>
                <w:color w:val="auto"/>
                <w:w w:val="97"/>
                <w:vertAlign w:val="superscript"/>
              </w:rPr>
              <w:t>(1)</w:t>
            </w: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119"/>
              <w:spacing w:after="0" w:line="216" w:lineRule="exact"/>
              <w:rPr>
                <w:sz w:val="20"/>
                <w:szCs w:val="20"/>
                <w:color w:val="auto"/>
              </w:rPr>
            </w:pPr>
            <w:r>
              <w:rPr>
                <w:rFonts w:ascii="Arial" w:cs="Arial" w:eastAsia="Arial" w:hAnsi="Arial"/>
                <w:sz w:val="16"/>
                <w:szCs w:val="16"/>
                <w:b w:val="1"/>
                <w:bCs w:val="1"/>
                <w:color w:val="auto"/>
              </w:rPr>
              <w:t>Under the Plans or Programs</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37"/>
        </w:trPr>
        <w:tc>
          <w:tcPr>
            <w:tcW w:w="2620" w:type="dxa"/>
            <w:vAlign w:val="bottom"/>
            <w:shd w:val="clear" w:color="auto" w:fill="BFE4FF"/>
          </w:tcPr>
          <w:p>
            <w:pPr>
              <w:ind w:left="20"/>
              <w:spacing w:after="0"/>
              <w:rPr>
                <w:sz w:val="20"/>
                <w:szCs w:val="20"/>
                <w:color w:val="auto"/>
              </w:rPr>
            </w:pPr>
            <w:r>
              <w:rPr>
                <w:rFonts w:ascii="Arial" w:cs="Arial" w:eastAsia="Arial" w:hAnsi="Arial"/>
                <w:sz w:val="16"/>
                <w:szCs w:val="16"/>
                <w:color w:val="auto"/>
              </w:rPr>
              <w:t>03/01/20 - 04/04/20</w:t>
            </w:r>
          </w:p>
        </w:tc>
        <w:tc>
          <w:tcPr>
            <w:tcW w:w="15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shd w:val="clear" w:color="auto" w:fill="BFE4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2860" w:type="dxa"/>
            <w:vAlign w:val="bottom"/>
            <w:gridSpan w:val="2"/>
            <w:shd w:val="clear" w:color="auto" w:fill="BFE4FF"/>
          </w:tcPr>
          <w:p>
            <w:pPr>
              <w:ind w:left="2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BFE4FF"/>
          </w:tcPr>
          <w:p>
            <w:pPr>
              <w:ind w:left="20"/>
              <w:spacing w:after="0"/>
              <w:rPr>
                <w:sz w:val="20"/>
                <w:szCs w:val="20"/>
                <w:color w:val="auto"/>
              </w:rPr>
            </w:pPr>
            <w:r>
              <w:rPr>
                <w:rFonts w:ascii="Arial" w:cs="Arial" w:eastAsia="Arial" w:hAnsi="Arial"/>
                <w:sz w:val="16"/>
                <w:szCs w:val="16"/>
                <w:color w:val="auto"/>
              </w:rPr>
              <w:t>$</w:t>
            </w:r>
          </w:p>
        </w:tc>
        <w:tc>
          <w:tcPr>
            <w:tcW w:w="262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58,870,000</w:t>
            </w:r>
          </w:p>
        </w:tc>
        <w:tc>
          <w:tcPr>
            <w:tcW w:w="0" w:type="dxa"/>
            <w:vAlign w:val="bottom"/>
          </w:tcPr>
          <w:p>
            <w:pPr>
              <w:spacing w:after="0"/>
              <w:rPr>
                <w:sz w:val="1"/>
                <w:szCs w:val="1"/>
                <w:color w:val="auto"/>
              </w:rPr>
            </w:pPr>
          </w:p>
        </w:tc>
      </w:tr>
      <w:tr>
        <w:trPr>
          <w:trHeight w:val="233"/>
        </w:trPr>
        <w:tc>
          <w:tcPr>
            <w:tcW w:w="2620" w:type="dxa"/>
            <w:vAlign w:val="bottom"/>
          </w:tcPr>
          <w:p>
            <w:pPr>
              <w:ind w:left="20"/>
              <w:spacing w:after="0"/>
              <w:rPr>
                <w:sz w:val="20"/>
                <w:szCs w:val="20"/>
                <w:color w:val="auto"/>
              </w:rPr>
            </w:pPr>
            <w:r>
              <w:rPr>
                <w:rFonts w:ascii="Arial" w:cs="Arial" w:eastAsia="Arial" w:hAnsi="Arial"/>
                <w:sz w:val="16"/>
                <w:szCs w:val="16"/>
                <w:color w:val="auto"/>
              </w:rPr>
              <w:t>04/05/20 - 05/02/20</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860" w:type="dxa"/>
            <w:vAlign w:val="bottom"/>
            <w:gridSpan w:val="2"/>
          </w:tcPr>
          <w:p>
            <w:pPr>
              <w:ind w:left="24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2620" w:type="dxa"/>
            <w:vAlign w:val="bottom"/>
          </w:tcPr>
          <w:p>
            <w:pPr>
              <w:jc w:val="right"/>
              <w:ind w:right="79"/>
              <w:spacing w:after="0"/>
              <w:rPr>
                <w:sz w:val="20"/>
                <w:szCs w:val="20"/>
                <w:color w:val="auto"/>
              </w:rPr>
            </w:pPr>
            <w:r>
              <w:rPr>
                <w:rFonts w:ascii="Arial" w:cs="Arial" w:eastAsia="Arial" w:hAnsi="Arial"/>
                <w:sz w:val="16"/>
                <w:szCs w:val="16"/>
                <w:color w:val="auto"/>
              </w:rPr>
              <w:t>58,870,000</w:t>
            </w:r>
          </w:p>
        </w:tc>
        <w:tc>
          <w:tcPr>
            <w:tcW w:w="0" w:type="dxa"/>
            <w:vAlign w:val="bottom"/>
          </w:tcPr>
          <w:p>
            <w:pPr>
              <w:spacing w:after="0"/>
              <w:rPr>
                <w:sz w:val="1"/>
                <w:szCs w:val="1"/>
                <w:color w:val="auto"/>
              </w:rPr>
            </w:pPr>
          </w:p>
        </w:tc>
      </w:tr>
      <w:tr>
        <w:trPr>
          <w:trHeight w:val="246"/>
        </w:trPr>
        <w:tc>
          <w:tcPr>
            <w:tcW w:w="2620" w:type="dxa"/>
            <w:vAlign w:val="bottom"/>
            <w:shd w:val="clear" w:color="auto" w:fill="BFE4FF"/>
          </w:tcPr>
          <w:p>
            <w:pPr>
              <w:ind w:left="20"/>
              <w:spacing w:after="0"/>
              <w:rPr>
                <w:sz w:val="20"/>
                <w:szCs w:val="20"/>
                <w:color w:val="auto"/>
              </w:rPr>
            </w:pPr>
            <w:r>
              <w:rPr>
                <w:rFonts w:ascii="Arial" w:cs="Arial" w:eastAsia="Arial" w:hAnsi="Arial"/>
                <w:sz w:val="16"/>
                <w:szCs w:val="16"/>
                <w:color w:val="auto"/>
              </w:rPr>
              <w:t>05/03/20 - 05/30/20</w:t>
            </w:r>
          </w:p>
        </w:tc>
        <w:tc>
          <w:tcPr>
            <w:tcW w:w="156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rPr>
              <w:t>1,021</w:t>
            </w:r>
          </w:p>
        </w:tc>
        <w:tc>
          <w:tcPr>
            <w:tcW w:w="480" w:type="dxa"/>
            <w:vAlign w:val="bottom"/>
            <w:shd w:val="clear" w:color="auto" w:fill="BFE4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BFE4FF"/>
          </w:tcPr>
          <w:p>
            <w:pPr>
              <w:jc w:val="right"/>
              <w:ind w:right="179"/>
              <w:spacing w:after="0"/>
              <w:rPr>
                <w:sz w:val="20"/>
                <w:szCs w:val="20"/>
                <w:color w:val="auto"/>
              </w:rPr>
            </w:pPr>
            <w:r>
              <w:rPr>
                <w:rFonts w:ascii="Arial" w:cs="Arial" w:eastAsia="Arial" w:hAnsi="Arial"/>
                <w:sz w:val="16"/>
                <w:szCs w:val="16"/>
                <w:color w:val="auto"/>
              </w:rPr>
              <w:t>50.58</w:t>
            </w:r>
          </w:p>
        </w:tc>
        <w:tc>
          <w:tcPr>
            <w:tcW w:w="2740" w:type="dxa"/>
            <w:vAlign w:val="bottom"/>
            <w:tcBorders>
              <w:bottom w:val="single" w:sz="8" w:color="auto"/>
            </w:tcBorders>
            <w:shd w:val="clear" w:color="auto" w:fill="BFE4FF"/>
          </w:tcPr>
          <w:p>
            <w:pPr>
              <w:ind w:left="2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BFE4FF"/>
          </w:tcPr>
          <w:p>
            <w:pPr>
              <w:spacing w:after="0"/>
              <w:rPr>
                <w:sz w:val="21"/>
                <w:szCs w:val="21"/>
                <w:color w:val="auto"/>
              </w:rPr>
            </w:pPr>
          </w:p>
        </w:tc>
        <w:tc>
          <w:tcPr>
            <w:tcW w:w="14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262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rPr>
              <w:t>58,870,000</w:t>
            </w:r>
          </w:p>
        </w:tc>
        <w:tc>
          <w:tcPr>
            <w:tcW w:w="0" w:type="dxa"/>
            <w:vAlign w:val="bottom"/>
          </w:tcPr>
          <w:p>
            <w:pPr>
              <w:spacing w:after="0"/>
              <w:rPr>
                <w:sz w:val="1"/>
                <w:szCs w:val="1"/>
                <w:color w:val="auto"/>
              </w:rPr>
            </w:pPr>
          </w:p>
        </w:tc>
      </w:tr>
      <w:tr>
        <w:trPr>
          <w:trHeight w:val="243"/>
        </w:trPr>
        <w:tc>
          <w:tcPr>
            <w:tcW w:w="2620" w:type="dxa"/>
            <w:vAlign w:val="bottom"/>
          </w:tcPr>
          <w:p>
            <w:pPr>
              <w:ind w:left="120"/>
              <w:spacing w:after="0"/>
              <w:rPr>
                <w:sz w:val="20"/>
                <w:szCs w:val="20"/>
                <w:color w:val="auto"/>
              </w:rPr>
            </w:pPr>
            <w:r>
              <w:rPr>
                <w:rFonts w:ascii="Arial" w:cs="Arial" w:eastAsia="Arial" w:hAnsi="Arial"/>
                <w:sz w:val="16"/>
                <w:szCs w:val="16"/>
                <w:color w:val="auto"/>
              </w:rPr>
              <w:t>Total</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1,021</w:t>
            </w: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50.58</w:t>
            </w:r>
          </w:p>
        </w:tc>
        <w:tc>
          <w:tcPr>
            <w:tcW w:w="2860" w:type="dxa"/>
            <w:vAlign w:val="bottom"/>
            <w:gridSpan w:val="2"/>
          </w:tcPr>
          <w:p>
            <w:pPr>
              <w:ind w:left="24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2620" w:type="dxa"/>
            <w:vAlign w:val="bottom"/>
          </w:tcPr>
          <w:p>
            <w:pPr>
              <w:jc w:val="right"/>
              <w:ind w:right="79"/>
              <w:spacing w:after="0"/>
              <w:rPr>
                <w:sz w:val="20"/>
                <w:szCs w:val="20"/>
                <w:color w:val="auto"/>
              </w:rPr>
            </w:pPr>
            <w:r>
              <w:rPr>
                <w:rFonts w:ascii="Arial" w:cs="Arial" w:eastAsia="Arial" w:hAnsi="Arial"/>
                <w:sz w:val="16"/>
                <w:szCs w:val="16"/>
                <w:color w:val="auto"/>
              </w:rPr>
              <w:t>58,870,000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60" w:hanging="252"/>
        <w:spacing w:after="0" w:line="241" w:lineRule="auto"/>
        <w:tabs>
          <w:tab w:leader="none" w:pos="233" w:val="left"/>
        </w:tabs>
        <w:numPr>
          <w:ilvl w:val="0"/>
          <w:numId w:val="25"/>
        </w:numPr>
        <w:rPr>
          <w:rFonts w:ascii="Arial" w:cs="Arial" w:eastAsia="Arial" w:hAnsi="Arial"/>
          <w:sz w:val="14"/>
          <w:szCs w:val="14"/>
          <w:color w:val="auto"/>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Pursuant to a $70.0 million share repurchase program authorized by our Board of Directors on October 18, 2017. There is no time restriction on the authorization.</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 xml:space="preserve">Our Credit Agreements, as defined in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the Notes to Condensed Consolidated Financial Statements, included in Item 1, </w:t>
      </w:r>
      <w:r>
        <w:rPr>
          <w:rFonts w:ascii="Arial" w:cs="Arial" w:eastAsia="Arial" w:hAnsi="Arial"/>
          <w:sz w:val="16"/>
          <w:szCs w:val="16"/>
          <w:i w:val="1"/>
          <w:iCs w:val="1"/>
          <w:color w:val="auto"/>
        </w:rPr>
        <w:t>Condensed Consolidated Financial Statements</w:t>
      </w:r>
      <w:r>
        <w:rPr>
          <w:rFonts w:ascii="Arial" w:cs="Arial" w:eastAsia="Arial" w:hAnsi="Arial"/>
          <w:sz w:val="16"/>
          <w:szCs w:val="16"/>
          <w:color w:val="auto"/>
        </w:rPr>
        <w:t>, of this Quarterly Report on Form 10-Q, contains restrictions that may limit our ability to make distributions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134620</wp:posOffset>
            </wp:positionV>
            <wp:extent cx="6686550" cy="4457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86550" cy="445770"/>
                    </a:xfrm>
                    <a:prstGeom prst="rect">
                      <a:avLst/>
                    </a:prstGeom>
                    <a:noFill/>
                  </pic:spPr>
                </pic:pic>
              </a:graphicData>
            </a:graphic>
          </wp:anchor>
        </w:drawing>
      </w:r>
    </w:p>
    <w:p>
      <w:pPr>
        <w:spacing w:after="0" w:line="208" w:lineRule="exact"/>
        <w:rPr>
          <w:sz w:val="20"/>
          <w:szCs w:val="20"/>
          <w:color w:val="auto"/>
        </w:rPr>
      </w:pPr>
    </w:p>
    <w:p>
      <w:pPr>
        <w:ind w:left="1380" w:right="20" w:hanging="643"/>
        <w:spacing w:after="0" w:line="221" w:lineRule="auto"/>
        <w:tabs>
          <w:tab w:leader="none" w:pos="1360" w:val="left"/>
        </w:tabs>
        <w:rPr>
          <w:rFonts w:ascii="Arial" w:cs="Arial" w:eastAsia="Arial" w:hAnsi="Arial"/>
          <w:sz w:val="16"/>
          <w:szCs w:val="16"/>
          <w:u w:val="single" w:color="auto"/>
          <w:color w:val="0000FF"/>
        </w:rPr>
      </w:pPr>
      <w:hyperlink r:id="rId84">
        <w:r>
          <w:rPr>
            <w:rFonts w:ascii="Arial" w:cs="Arial" w:eastAsia="Arial" w:hAnsi="Arial"/>
            <w:sz w:val="16"/>
            <w:szCs w:val="16"/>
            <w:u w:val="single" w:color="auto"/>
            <w:color w:val="0000FF"/>
          </w:rPr>
          <w:t>2.1</w:t>
        </w:r>
      </w:hyperlink>
      <w:r>
        <w:rPr>
          <w:rFonts w:ascii="Arial" w:cs="Arial" w:eastAsia="Arial" w:hAnsi="Arial"/>
          <w:sz w:val="16"/>
          <w:szCs w:val="16"/>
          <w:u w:val="single" w:color="auto"/>
          <w:color w:val="0000FF"/>
        </w:rPr>
        <w:tab/>
      </w:r>
      <w:hyperlink r:id="rId84">
        <w:r>
          <w:rPr>
            <w:rFonts w:ascii="Arial" w:cs="Arial" w:eastAsia="Arial" w:hAnsi="Arial"/>
            <w:sz w:val="16"/>
            <w:szCs w:val="16"/>
            <w:u w:val="single" w:color="auto"/>
            <w:color w:val="0000FF"/>
          </w:rPr>
          <w:t>Stock Purchase Agreement dated as of September 15, 2019, by and among the Registrant, Octavius Corporation, Newmar</w:t>
        </w:r>
      </w:hyperlink>
      <w:r>
        <w:rPr>
          <w:rFonts w:ascii="Arial" w:cs="Arial" w:eastAsia="Arial" w:hAnsi="Arial"/>
          <w:sz w:val="16"/>
          <w:szCs w:val="16"/>
          <w:u w:val="single" w:color="auto"/>
          <w:color w:val="0000FF"/>
        </w:rPr>
        <w:t xml:space="preserve"> </w:t>
      </w:r>
      <w:hyperlink r:id="rId84">
        <w:r>
          <w:rPr>
            <w:rFonts w:ascii="Arial" w:cs="Arial" w:eastAsia="Arial" w:hAnsi="Arial"/>
            <w:sz w:val="16"/>
            <w:szCs w:val="16"/>
            <w:u w:val="single" w:color="auto"/>
            <w:color w:val="0000FF"/>
          </w:rPr>
          <w:t>Corporation, Dutch Real Estate Corp., New-Way Transport Corp., New-Serv, Inc., the shareholders of Newmar Corporation, Dutch</w:t>
        </w:r>
      </w:hyperlink>
      <w:r>
        <w:rPr>
          <w:rFonts w:ascii="Arial" w:cs="Arial" w:eastAsia="Arial" w:hAnsi="Arial"/>
          <w:sz w:val="16"/>
          <w:szCs w:val="16"/>
          <w:u w:val="single" w:color="auto"/>
          <w:color w:val="0000FF"/>
        </w:rPr>
        <w:t xml:space="preserve"> </w:t>
      </w:r>
      <w:hyperlink r:id="rId84">
        <w:r>
          <w:rPr>
            <w:rFonts w:ascii="Arial" w:cs="Arial" w:eastAsia="Arial" w:hAnsi="Arial"/>
            <w:sz w:val="16"/>
            <w:szCs w:val="16"/>
            <w:u w:val="single" w:color="auto"/>
            <w:color w:val="0000FF"/>
          </w:rPr>
          <w:t>Real Estate Corp., New-Way Transport Corp. and New-Serv, Inc. and Matthew Miller, as Sellers Agent previously filed as Exhibit 2.1</w:t>
        </w:r>
      </w:hyperlink>
      <w:r>
        <w:rPr>
          <w:rFonts w:ascii="Arial" w:cs="Arial" w:eastAsia="Arial" w:hAnsi="Arial"/>
          <w:sz w:val="16"/>
          <w:szCs w:val="16"/>
          <w:u w:val="single" w:color="auto"/>
          <w:color w:val="0000FF"/>
        </w:rPr>
        <w:t xml:space="preserve"> </w:t>
      </w:r>
      <w:hyperlink r:id="rId84">
        <w:r>
          <w:rPr>
            <w:rFonts w:ascii="Arial" w:cs="Arial" w:eastAsia="Arial" w:hAnsi="Arial"/>
            <w:sz w:val="16"/>
            <w:szCs w:val="16"/>
            <w:u w:val="single" w:color="auto"/>
            <w:color w:val="0000FF"/>
          </w:rPr>
          <w:t>with the Registrant’s Current Report on Form 8-K dated September 15, 2019.</w:t>
        </w:r>
      </w:hyperlink>
    </w:p>
    <w:p>
      <w:pPr>
        <w:spacing w:after="0" w:line="24" w:lineRule="exact"/>
        <w:rPr>
          <w:rFonts w:ascii="Arial" w:cs="Arial" w:eastAsia="Arial" w:hAnsi="Arial"/>
          <w:sz w:val="16"/>
          <w:szCs w:val="16"/>
          <w:u w:val="single" w:color="auto"/>
          <w:color w:val="0000FF"/>
        </w:rPr>
      </w:pPr>
    </w:p>
    <w:p>
      <w:pPr>
        <w:ind w:left="1380" w:right="60" w:hanging="643"/>
        <w:spacing w:after="0" w:line="232" w:lineRule="auto"/>
        <w:tabs>
          <w:tab w:leader="none" w:pos="1360" w:val="left"/>
        </w:tabs>
        <w:rPr>
          <w:rFonts w:ascii="Arial" w:cs="Arial" w:eastAsia="Arial" w:hAnsi="Arial"/>
          <w:sz w:val="16"/>
          <w:szCs w:val="16"/>
          <w:u w:val="single" w:color="auto"/>
          <w:color w:val="0000FF"/>
        </w:rPr>
      </w:pPr>
      <w:hyperlink r:id="rId85">
        <w:r>
          <w:rPr>
            <w:rFonts w:ascii="Arial" w:cs="Arial" w:eastAsia="Arial" w:hAnsi="Arial"/>
            <w:sz w:val="16"/>
            <w:szCs w:val="16"/>
            <w:u w:val="single" w:color="auto"/>
            <w:color w:val="0000FF"/>
          </w:rPr>
          <w:t>3a</w:t>
        </w:r>
        <w:r>
          <w:rPr>
            <w:rFonts w:ascii="Arial" w:cs="Arial" w:eastAsia="Arial" w:hAnsi="Arial"/>
            <w:sz w:val="16"/>
            <w:szCs w:val="16"/>
            <w:color w:val="0000FF"/>
          </w:rPr>
          <w:t>.</w:t>
        </w:r>
      </w:hyperlink>
      <w:r>
        <w:rPr>
          <w:rFonts w:ascii="Arial" w:cs="Arial" w:eastAsia="Arial" w:hAnsi="Arial"/>
          <w:sz w:val="16"/>
          <w:szCs w:val="16"/>
          <w:color w:val="0000FF"/>
        </w:rPr>
        <w:tab/>
      </w:r>
      <w:hyperlink r:id="rId85">
        <w:r>
          <w:rPr>
            <w:rFonts w:ascii="Arial" w:cs="Arial" w:eastAsia="Arial" w:hAnsi="Arial"/>
            <w:sz w:val="16"/>
            <w:szCs w:val="16"/>
            <w:u w:val="single" w:color="auto"/>
            <w:color w:val="0000FF"/>
          </w:rPr>
          <w:t>Articles of Incorporation of the Registrant previously filed as Exhibit 3a to the Registrant’s Annual Report on Form 10-K for the fiscal</w:t>
        </w:r>
      </w:hyperlink>
      <w:r>
        <w:rPr>
          <w:rFonts w:ascii="Arial" w:cs="Arial" w:eastAsia="Arial" w:hAnsi="Arial"/>
          <w:sz w:val="16"/>
          <w:szCs w:val="16"/>
          <w:u w:val="single" w:color="auto"/>
          <w:color w:val="0000FF"/>
        </w:rPr>
        <w:t xml:space="preserve"> </w:t>
      </w:r>
      <w:hyperlink r:id="rId85">
        <w:r>
          <w:rPr>
            <w:rFonts w:ascii="Arial" w:cs="Arial" w:eastAsia="Arial" w:hAnsi="Arial"/>
            <w:sz w:val="16"/>
            <w:szCs w:val="16"/>
            <w:u w:val="single" w:color="auto"/>
            <w:color w:val="0000FF"/>
          </w:rPr>
          <w:t>year ended August 25, 2018 (Commission File Number 001-06403) and incorporated by reference herein.</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210820</wp:posOffset>
            </wp:positionH>
            <wp:positionV relativeFrom="paragraph">
              <wp:posOffset>4445</wp:posOffset>
            </wp:positionV>
            <wp:extent cx="6686550"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686550" cy="240030"/>
                    </a:xfrm>
                    <a:prstGeom prst="rect">
                      <a:avLst/>
                    </a:prstGeom>
                    <a:noFill/>
                  </pic:spPr>
                </pic:pic>
              </a:graphicData>
            </a:graphic>
          </wp:anchor>
        </w:drawing>
      </w:r>
    </w:p>
    <w:p>
      <w:pPr>
        <w:ind w:left="740"/>
        <w:spacing w:after="0"/>
        <w:tabs>
          <w:tab w:leader="none" w:pos="1360" w:val="left"/>
        </w:tabs>
        <w:rPr>
          <w:rFonts w:ascii="Arial" w:cs="Arial" w:eastAsia="Arial" w:hAnsi="Arial"/>
          <w:sz w:val="16"/>
          <w:szCs w:val="16"/>
          <w:u w:val="single" w:color="auto"/>
          <w:color w:val="0000FF"/>
        </w:rPr>
      </w:pPr>
      <w:hyperlink r:id="rId87">
        <w:r>
          <w:rPr>
            <w:rFonts w:ascii="Arial" w:cs="Arial" w:eastAsia="Arial" w:hAnsi="Arial"/>
            <w:sz w:val="16"/>
            <w:szCs w:val="16"/>
            <w:u w:val="single" w:color="auto"/>
            <w:color w:val="0000FF"/>
          </w:rPr>
          <w:t>3b</w:t>
        </w:r>
        <w:r>
          <w:rPr>
            <w:rFonts w:ascii="Arial" w:cs="Arial" w:eastAsia="Arial" w:hAnsi="Arial"/>
            <w:sz w:val="16"/>
            <w:szCs w:val="16"/>
            <w:color w:val="0000FF"/>
          </w:rPr>
          <w:t>.</w:t>
        </w:r>
      </w:hyperlink>
      <w:r>
        <w:rPr>
          <w:rFonts w:ascii="Arial" w:cs="Arial" w:eastAsia="Arial" w:hAnsi="Arial"/>
          <w:sz w:val="16"/>
          <w:szCs w:val="16"/>
          <w:color w:val="0000FF"/>
        </w:rPr>
        <w:tab/>
      </w:r>
      <w:hyperlink r:id="rId87">
        <w:r>
          <w:rPr>
            <w:rFonts w:ascii="Arial" w:cs="Arial" w:eastAsia="Arial" w:hAnsi="Arial"/>
            <w:sz w:val="16"/>
            <w:szCs w:val="16"/>
            <w:u w:val="single" w:color="auto"/>
            <w:color w:val="0000FF"/>
          </w:rPr>
          <w:t>Amended By-Laws of the Registrant previously filed as Exhibit 3.1 to the Registrant's Current Report on Form 8-K dated March 16,</w:t>
        </w:r>
      </w:hyperlink>
    </w:p>
    <w:p>
      <w:pPr>
        <w:ind w:left="1380"/>
        <w:spacing w:after="0"/>
        <w:rPr>
          <w:rFonts w:ascii="Arial" w:cs="Arial" w:eastAsia="Arial" w:hAnsi="Arial"/>
          <w:sz w:val="16"/>
          <w:szCs w:val="16"/>
          <w:u w:val="single" w:color="auto"/>
          <w:color w:val="0000FF"/>
        </w:rPr>
      </w:pPr>
      <w:hyperlink r:id="rId87">
        <w:r>
          <w:rPr>
            <w:rFonts w:ascii="Arial" w:cs="Arial" w:eastAsia="Arial" w:hAnsi="Arial"/>
            <w:sz w:val="16"/>
            <w:szCs w:val="16"/>
            <w:u w:val="single" w:color="auto"/>
            <w:color w:val="0000FF"/>
          </w:rPr>
          <w:t>2016 (Commission File Number 001-06403) and incorporated by reference herein.</w:t>
        </w:r>
      </w:hyperlink>
    </w:p>
    <w:p>
      <w:pPr>
        <w:spacing w:after="0" w:line="32" w:lineRule="exact"/>
        <w:rPr>
          <w:sz w:val="20"/>
          <w:szCs w:val="20"/>
          <w:color w:val="auto"/>
        </w:rPr>
      </w:pPr>
    </w:p>
    <w:p>
      <w:pPr>
        <w:ind w:left="1380" w:right="340" w:hanging="643"/>
        <w:spacing w:after="0" w:line="232" w:lineRule="auto"/>
        <w:tabs>
          <w:tab w:leader="none" w:pos="1360" w:val="left"/>
        </w:tabs>
        <w:rPr>
          <w:rFonts w:ascii="Arial" w:cs="Arial" w:eastAsia="Arial" w:hAnsi="Arial"/>
          <w:sz w:val="16"/>
          <w:szCs w:val="16"/>
          <w:u w:val="single" w:color="auto"/>
          <w:color w:val="0000FF"/>
        </w:rPr>
      </w:pPr>
      <w:hyperlink r:id="rId88">
        <w:r>
          <w:rPr>
            <w:rFonts w:ascii="Arial" w:cs="Arial" w:eastAsia="Arial" w:hAnsi="Arial"/>
            <w:sz w:val="16"/>
            <w:szCs w:val="16"/>
            <w:u w:val="single" w:color="auto"/>
            <w:color w:val="0000FF"/>
          </w:rPr>
          <w:t>4.1</w:t>
        </w:r>
      </w:hyperlink>
      <w:r>
        <w:rPr>
          <w:rFonts w:ascii="Arial" w:cs="Arial" w:eastAsia="Arial" w:hAnsi="Arial"/>
          <w:sz w:val="16"/>
          <w:szCs w:val="16"/>
          <w:u w:val="single" w:color="auto"/>
          <w:color w:val="0000FF"/>
        </w:rPr>
        <w:tab/>
      </w:r>
      <w:hyperlink r:id="rId88">
        <w:r>
          <w:rPr>
            <w:rFonts w:ascii="Arial" w:cs="Arial" w:eastAsia="Arial" w:hAnsi="Arial"/>
            <w:sz w:val="16"/>
            <w:szCs w:val="16"/>
            <w:u w:val="single" w:color="auto"/>
            <w:color w:val="0000FF"/>
          </w:rPr>
          <w:t>Indenture, dated November 1, 2019, by and between Winnebago Industries, Inc. and U.S. Bank National Association previously</w:t>
        </w:r>
      </w:hyperlink>
      <w:r>
        <w:rPr>
          <w:rFonts w:ascii="Arial" w:cs="Arial" w:eastAsia="Arial" w:hAnsi="Arial"/>
          <w:sz w:val="16"/>
          <w:szCs w:val="16"/>
          <w:u w:val="single" w:color="auto"/>
          <w:color w:val="0000FF"/>
        </w:rPr>
        <w:t xml:space="preserve"> </w:t>
      </w:r>
      <w:hyperlink r:id="rId88">
        <w:r>
          <w:rPr>
            <w:rFonts w:ascii="Arial" w:cs="Arial" w:eastAsia="Arial" w:hAnsi="Arial"/>
            <w:sz w:val="16"/>
            <w:szCs w:val="16"/>
            <w:u w:val="single" w:color="auto"/>
            <w:color w:val="0000FF"/>
          </w:rPr>
          <w:t>filed as Exhibit 4.1 with the Registrant’s Current Report on Form 8-K dated October 29, 2019.</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210820</wp:posOffset>
            </wp:positionH>
            <wp:positionV relativeFrom="paragraph">
              <wp:posOffset>4445</wp:posOffset>
            </wp:positionV>
            <wp:extent cx="668655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6686550" cy="240030"/>
                    </a:xfrm>
                    <a:prstGeom prst="rect">
                      <a:avLst/>
                    </a:prstGeom>
                    <a:noFill/>
                  </pic:spPr>
                </pic:pic>
              </a:graphicData>
            </a:graphic>
          </wp:anchor>
        </w:drawing>
      </w:r>
    </w:p>
    <w:p>
      <w:pPr>
        <w:spacing w:after="0" w:line="2" w:lineRule="exact"/>
        <w:rPr>
          <w:rFonts w:ascii="Arial" w:cs="Arial" w:eastAsia="Arial" w:hAnsi="Arial"/>
          <w:sz w:val="16"/>
          <w:szCs w:val="16"/>
          <w:u w:val="single" w:color="auto"/>
          <w:color w:val="0000FF"/>
        </w:rPr>
      </w:pPr>
    </w:p>
    <w:p>
      <w:pPr>
        <w:ind w:left="740"/>
        <w:spacing w:after="0"/>
        <w:tabs>
          <w:tab w:leader="none" w:pos="1360" w:val="left"/>
        </w:tabs>
        <w:rPr>
          <w:rFonts w:ascii="Arial" w:cs="Arial" w:eastAsia="Arial" w:hAnsi="Arial"/>
          <w:sz w:val="16"/>
          <w:szCs w:val="16"/>
          <w:u w:val="single" w:color="auto"/>
          <w:color w:val="0000FF"/>
        </w:rPr>
      </w:pPr>
      <w:hyperlink r:id="rId88">
        <w:r>
          <w:rPr>
            <w:rFonts w:ascii="Arial" w:cs="Arial" w:eastAsia="Arial" w:hAnsi="Arial"/>
            <w:sz w:val="16"/>
            <w:szCs w:val="16"/>
            <w:u w:val="single" w:color="auto"/>
            <w:color w:val="0000FF"/>
          </w:rPr>
          <w:t>4.2</w:t>
        </w:r>
      </w:hyperlink>
      <w:r>
        <w:rPr>
          <w:rFonts w:ascii="Arial" w:cs="Arial" w:eastAsia="Arial" w:hAnsi="Arial"/>
          <w:sz w:val="16"/>
          <w:szCs w:val="16"/>
          <w:u w:val="single" w:color="auto"/>
          <w:color w:val="0000FF"/>
        </w:rPr>
        <w:tab/>
      </w:r>
      <w:hyperlink r:id="rId88">
        <w:r>
          <w:rPr>
            <w:rFonts w:ascii="Arial" w:cs="Arial" w:eastAsia="Arial" w:hAnsi="Arial"/>
            <w:sz w:val="16"/>
            <w:szCs w:val="16"/>
            <w:u w:val="single" w:color="auto"/>
            <w:color w:val="0000FF"/>
          </w:rPr>
          <w:t>Form of 1.50% Convertible Senior Note due 2025 (included in Exhibit 4.1).</w:t>
        </w:r>
      </w:hyperlink>
    </w:p>
    <w:p>
      <w:pPr>
        <w:spacing w:after="0" w:line="194" w:lineRule="exact"/>
        <w:rPr>
          <w:sz w:val="20"/>
          <w:szCs w:val="20"/>
          <w:color w:val="auto"/>
        </w:rPr>
      </w:pPr>
    </w:p>
    <w:p>
      <w:pPr>
        <w:ind w:left="680"/>
        <w:spacing w:after="0"/>
        <w:tabs>
          <w:tab w:leader="none" w:pos="1360" w:val="left"/>
        </w:tabs>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31.1</w:t>
        </w:r>
      </w:hyperlink>
      <w:r>
        <w:rPr>
          <w:rFonts w:ascii="Arial" w:cs="Arial" w:eastAsia="Arial" w:hAnsi="Arial"/>
          <w:sz w:val="16"/>
          <w:szCs w:val="16"/>
          <w:color w:val="0000FF"/>
        </w:rPr>
        <w:tab/>
      </w:r>
      <w:hyperlink w:anchor="page47">
        <w:r>
          <w:rPr>
            <w:rFonts w:ascii="Arial" w:cs="Arial" w:eastAsia="Arial" w:hAnsi="Arial"/>
            <w:sz w:val="16"/>
            <w:szCs w:val="16"/>
            <w:u w:val="single" w:color="auto"/>
            <w:color w:val="0000FF"/>
          </w:rPr>
          <w:t>Certification by the Chief Executive Officer pursuant to Section 302 of the Sarbanes-Oxley Act of 2002</w:t>
        </w:r>
      </w:hyperlink>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113665</wp:posOffset>
            </wp:positionV>
            <wp:extent cx="6686550" cy="240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686550" cy="240030"/>
                    </a:xfrm>
                    <a:prstGeom prst="rect">
                      <a:avLst/>
                    </a:prstGeom>
                    <a:noFill/>
                  </pic:spPr>
                </pic:pic>
              </a:graphicData>
            </a:graphic>
          </wp:anchor>
        </w:drawing>
      </w:r>
    </w:p>
    <w:p>
      <w:pPr>
        <w:spacing w:after="0" w:line="174" w:lineRule="exact"/>
        <w:rPr>
          <w:sz w:val="20"/>
          <w:szCs w:val="20"/>
          <w:color w:val="auto"/>
        </w:rPr>
      </w:pPr>
    </w:p>
    <w:p>
      <w:pPr>
        <w:ind w:left="680"/>
        <w:spacing w:after="0"/>
        <w:tabs>
          <w:tab w:leader="none" w:pos="1360" w:val="left"/>
        </w:tabs>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31.2</w:t>
        </w:r>
      </w:hyperlink>
      <w:r>
        <w:rPr>
          <w:rFonts w:ascii="Arial" w:cs="Arial" w:eastAsia="Arial" w:hAnsi="Arial"/>
          <w:sz w:val="16"/>
          <w:szCs w:val="16"/>
          <w:u w:val="single" w:color="auto"/>
          <w:color w:val="0000FF"/>
        </w:rPr>
        <w:tab/>
      </w:r>
      <w:hyperlink w:anchor="page48">
        <w:r>
          <w:rPr>
            <w:rFonts w:ascii="Arial" w:cs="Arial" w:eastAsia="Arial" w:hAnsi="Arial"/>
            <w:sz w:val="16"/>
            <w:szCs w:val="16"/>
            <w:u w:val="single" w:color="auto"/>
            <w:color w:val="0000FF"/>
          </w:rPr>
          <w:t>Certification by the Chief Financial Officer pursuant to Section 302 of the Sarbanes-Oxley Act of 2002.</w:t>
        </w:r>
      </w:hyperlink>
    </w:p>
    <w:p>
      <w:pPr>
        <w:spacing w:after="0" w:line="194" w:lineRule="exact"/>
        <w:rPr>
          <w:sz w:val="20"/>
          <w:szCs w:val="20"/>
          <w:color w:val="auto"/>
        </w:rPr>
      </w:pPr>
    </w:p>
    <w:p>
      <w:pPr>
        <w:ind w:left="1380" w:right="740" w:hanging="688"/>
        <w:spacing w:after="0" w:line="232" w:lineRule="auto"/>
        <w:tabs>
          <w:tab w:leader="none" w:pos="1360" w:val="left"/>
        </w:tabs>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32.1</w:t>
        </w:r>
      </w:hyperlink>
      <w:r>
        <w:rPr>
          <w:rFonts w:ascii="Arial" w:cs="Arial" w:eastAsia="Arial" w:hAnsi="Arial"/>
          <w:sz w:val="16"/>
          <w:szCs w:val="16"/>
          <w:u w:val="single" w:color="auto"/>
          <w:color w:val="0000FF"/>
        </w:rPr>
        <w:tab/>
      </w:r>
      <w:hyperlink w:anchor="page49">
        <w:r>
          <w:rPr>
            <w:rFonts w:ascii="Arial" w:cs="Arial" w:eastAsia="Arial" w:hAnsi="Arial"/>
            <w:sz w:val="16"/>
            <w:szCs w:val="16"/>
            <w:u w:val="single" w:color="auto"/>
            <w:color w:val="0000FF"/>
          </w:rPr>
          <w:t>Certification by the Chief Executive Officer pursuant to 18 U.S.C. Section 1350, as adopted pursuant to Section 906 of the</w:t>
        </w:r>
      </w:hyperlink>
      <w:r>
        <w:rPr>
          <w:rFonts w:ascii="Arial" w:cs="Arial" w:eastAsia="Arial" w:hAnsi="Arial"/>
          <w:sz w:val="16"/>
          <w:szCs w:val="16"/>
          <w:u w:val="single" w:color="auto"/>
          <w:color w:val="0000FF"/>
        </w:rPr>
        <w:t xml:space="preserve"> </w:t>
      </w:r>
      <w:hyperlink w:anchor="page49">
        <w:r>
          <w:rPr>
            <w:rFonts w:ascii="Arial" w:cs="Arial" w:eastAsia="Arial" w:hAnsi="Arial"/>
            <w:sz w:val="16"/>
            <w:szCs w:val="16"/>
            <w:u w:val="single" w:color="auto"/>
            <w:color w:val="0000FF"/>
          </w:rPr>
          <w:t>Sarbanes-Oxley Act of 2002.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210820</wp:posOffset>
            </wp:positionH>
            <wp:positionV relativeFrom="paragraph">
              <wp:posOffset>4445</wp:posOffset>
            </wp:positionV>
            <wp:extent cx="668655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6686550" cy="240030"/>
                    </a:xfrm>
                    <a:prstGeom prst="rect">
                      <a:avLst/>
                    </a:prstGeom>
                    <a:noFill/>
                  </pic:spPr>
                </pic:pic>
              </a:graphicData>
            </a:graphic>
          </wp:anchor>
        </w:drawing>
      </w:r>
    </w:p>
    <w:p>
      <w:pPr>
        <w:spacing w:after="0" w:line="2" w:lineRule="exact"/>
        <w:rPr>
          <w:rFonts w:ascii="Arial" w:cs="Arial" w:eastAsia="Arial" w:hAnsi="Arial"/>
          <w:sz w:val="16"/>
          <w:szCs w:val="16"/>
          <w:u w:val="single" w:color="auto"/>
          <w:color w:val="0000FF"/>
        </w:rPr>
      </w:pPr>
    </w:p>
    <w:p>
      <w:pPr>
        <w:ind w:left="1380" w:hanging="688"/>
        <w:spacing w:after="0" w:line="232" w:lineRule="auto"/>
        <w:tabs>
          <w:tab w:leader="none" w:pos="1360" w:val="left"/>
        </w:tabs>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32.2</w:t>
        </w:r>
      </w:hyperlink>
      <w:r>
        <w:rPr>
          <w:rFonts w:ascii="Arial" w:cs="Arial" w:eastAsia="Arial" w:hAnsi="Arial"/>
          <w:sz w:val="16"/>
          <w:szCs w:val="16"/>
          <w:u w:val="single" w:color="auto"/>
          <w:color w:val="0000FF"/>
        </w:rPr>
        <w:tab/>
      </w:r>
      <w:hyperlink w:anchor="page50">
        <w:r>
          <w:rPr>
            <w:rFonts w:ascii="Arial" w:cs="Arial" w:eastAsia="Arial" w:hAnsi="Arial"/>
            <w:sz w:val="16"/>
            <w:szCs w:val="16"/>
            <w:u w:val="single" w:color="auto"/>
            <w:color w:val="0000FF"/>
          </w:rPr>
          <w:t>Certification by the Chief Financial Officer pursuant to 18 U.S.C. Section 1350, as adopted pursuant to Section 906 of the Sarbanes-</w:t>
        </w:r>
      </w:hyperlink>
      <w:hyperlink w:anchor="page50">
        <w:r>
          <w:rPr>
            <w:rFonts w:ascii="Arial" w:cs="Arial" w:eastAsia="Arial" w:hAnsi="Arial"/>
            <w:sz w:val="16"/>
            <w:szCs w:val="16"/>
            <w:u w:val="single" w:color="auto"/>
            <w:color w:val="0000FF"/>
          </w:rPr>
          <w:t>Oxley Act of 2002.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210820</wp:posOffset>
            </wp:positionH>
            <wp:positionV relativeFrom="paragraph">
              <wp:posOffset>73025</wp:posOffset>
            </wp:positionV>
            <wp:extent cx="6686550" cy="7543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6686550" cy="754380"/>
                    </a:xfrm>
                    <a:prstGeom prst="rect">
                      <a:avLst/>
                    </a:prstGeom>
                    <a:noFill/>
                  </pic:spPr>
                </pic:pic>
              </a:graphicData>
            </a:graphic>
          </wp:anchor>
        </w:drawing>
      </w:r>
    </w:p>
    <w:p>
      <w:pPr>
        <w:spacing w:after="0" w:line="124" w:lineRule="exact"/>
        <w:rPr>
          <w:rFonts w:ascii="Arial" w:cs="Arial" w:eastAsia="Arial" w:hAnsi="Arial"/>
          <w:sz w:val="16"/>
          <w:szCs w:val="16"/>
          <w:u w:val="single" w:color="auto"/>
          <w:color w:val="0000FF"/>
        </w:rPr>
      </w:pPr>
    </w:p>
    <w:p>
      <w:pPr>
        <w:jc w:val="both"/>
        <w:ind w:left="1380" w:right="140" w:hanging="670"/>
        <w:spacing w:after="0" w:line="249" w:lineRule="auto"/>
        <w:tabs>
          <w:tab w:leader="none" w:pos="1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following financial statements from our Quarterly Report on Form 10-Q for the third quarter of Fiscal 2020 in Inline Extensible Business Reporting Language ("iXBRL"): (i) the Condensed Consolidated Balance Sheets at May 30, 2020, and August 31, 2019, (ii) the Condensed Consolidated Statements of Income and Comprehensive Income for the nine months ended May 30, 2020, and May 25, 2019, (iii) the Condensed Consolidated Statements of Cash Flows for the nine months ended May 30, 2020, and May 25, 2019, (iv) the Condensed Consolidated Statements of Changes in Stockholders’ Equity for the three and nine months ended May 30, 2020, and May 25, 2019, and (v) the Notes to the Condensed Consolidated Financial Statements.</w:t>
      </w:r>
    </w:p>
    <w:p>
      <w:pPr>
        <w:spacing w:after="0" w:line="43" w:lineRule="exact"/>
        <w:rPr>
          <w:rFonts w:ascii="Arial" w:cs="Arial" w:eastAsia="Arial" w:hAnsi="Arial"/>
          <w:sz w:val="16"/>
          <w:szCs w:val="16"/>
          <w:u w:val="single" w:color="auto"/>
          <w:color w:val="0000FF"/>
        </w:rPr>
      </w:pPr>
    </w:p>
    <w:p>
      <w:pPr>
        <w:ind w:left="1380" w:right="60" w:hanging="670"/>
        <w:spacing w:after="0" w:line="260" w:lineRule="auto"/>
        <w:tabs>
          <w:tab w:leader="none" w:pos="13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cover page from our Quarterly Report on Form 10-Q for the third quarter of Fiscal 2020 formatted in iXBRL (included as Exhibit 101).</w:t>
      </w:r>
    </w:p>
    <w:p>
      <w:pPr>
        <w:spacing w:after="0" w:line="114" w:lineRule="exact"/>
        <w:rPr>
          <w:rFonts w:ascii="Arial" w:cs="Arial" w:eastAsia="Arial" w:hAnsi="Arial"/>
          <w:sz w:val="16"/>
          <w:szCs w:val="16"/>
          <w:color w:val="auto"/>
        </w:rPr>
      </w:pPr>
    </w:p>
    <w:p>
      <w:pPr>
        <w:ind w:left="180" w:right="80" w:hanging="162"/>
        <w:spacing w:after="0" w:line="260" w:lineRule="auto"/>
        <w:rPr>
          <w:rFonts w:ascii="Arial" w:cs="Arial" w:eastAsia="Arial" w:hAnsi="Arial"/>
          <w:sz w:val="16"/>
          <w:szCs w:val="16"/>
          <w:color w:val="auto"/>
        </w:rPr>
      </w:pPr>
      <w:r>
        <w:rPr>
          <w:rFonts w:ascii="Arial" w:cs="Arial" w:eastAsia="Arial" w:hAnsi="Arial"/>
          <w:sz w:val="16"/>
          <w:szCs w:val="16"/>
          <w:color w:val="auto"/>
        </w:rPr>
        <w:t>* Schedules have been omitted pursuant to Item 601(b)(2) of Regulation S-K. The Registrant hereby undertakes to furnish copies of any of the omitted schedules upon request of the U.S. Securities and Exchange Commission.</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43" w:lineRule="exact"/>
        <w:rPr>
          <w:rFonts w:ascii="Arial" w:cs="Arial" w:eastAsia="Arial" w:hAnsi="Arial"/>
          <w:sz w:val="16"/>
          <w:szCs w:val="16"/>
          <w:u w:val="single" w:color="auto"/>
          <w:color w:val="0000FF"/>
        </w:rPr>
      </w:pPr>
    </w:p>
    <w:p>
      <w:pPr>
        <w:jc w:val="center"/>
        <w:ind w:right="-419"/>
        <w:spacing w:after="0"/>
        <w:rPr>
          <w:sz w:val="20"/>
          <w:szCs w:val="20"/>
          <w:color w:val="auto"/>
        </w:rPr>
      </w:pPr>
      <w:r>
        <w:rPr>
          <w:rFonts w:ascii="Arial" w:cs="Arial" w:eastAsia="Arial" w:hAnsi="Arial"/>
          <w:sz w:val="16"/>
          <w:szCs w:val="16"/>
          <w:color w:val="auto"/>
        </w:rPr>
        <w:t>45</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41" w:right="7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7420" w:type="dxa"/>
            <w:vAlign w:val="bottom"/>
            <w:gridSpan w:val="2"/>
          </w:tcPr>
          <w:p>
            <w:pPr>
              <w:ind w:left="1780"/>
              <w:spacing w:after="0"/>
              <w:rPr>
                <w:sz w:val="20"/>
                <w:szCs w:val="20"/>
                <w:color w:val="auto"/>
              </w:rPr>
            </w:pPr>
            <w:r>
              <w:rPr>
                <w:rFonts w:ascii="Arial" w:cs="Arial" w:eastAsia="Arial" w:hAnsi="Arial"/>
                <w:sz w:val="16"/>
                <w:szCs w:val="16"/>
                <w:color w:val="auto"/>
              </w:rPr>
              <w:t>WINNEBAGO INDUSTRIES, INC.</w:t>
            </w:r>
          </w:p>
        </w:tc>
      </w:tr>
      <w:tr>
        <w:trPr>
          <w:trHeight w:val="472"/>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940" w:type="dxa"/>
            <w:vAlign w:val="bottom"/>
          </w:tcPr>
          <w:p>
            <w:pPr>
              <w:ind w:left="160"/>
              <w:spacing w:after="0"/>
              <w:rPr>
                <w:sz w:val="20"/>
                <w:szCs w:val="20"/>
                <w:color w:val="auto"/>
              </w:rPr>
            </w:pPr>
            <w:r>
              <w:rPr>
                <w:rFonts w:ascii="Arial" w:cs="Arial" w:eastAsia="Arial" w:hAnsi="Arial"/>
                <w:sz w:val="16"/>
                <w:szCs w:val="16"/>
                <w:color w:val="auto"/>
              </w:rPr>
              <w:t>June 24, 2020</w:t>
            </w:r>
          </w:p>
        </w:tc>
        <w:tc>
          <w:tcPr>
            <w:tcW w:w="7420" w:type="dxa"/>
            <w:vAlign w:val="bottom"/>
            <w:gridSpan w:val="2"/>
          </w:tcPr>
          <w:p>
            <w:pPr>
              <w:ind w:left="17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64"/>
        </w:trPr>
        <w:tc>
          <w:tcPr>
            <w:tcW w:w="56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Michael J. Happe</w:t>
            </w:r>
          </w:p>
        </w:tc>
      </w:tr>
      <w:tr>
        <w:trPr>
          <w:trHeight w:val="283"/>
        </w:trPr>
        <w:tc>
          <w:tcPr>
            <w:tcW w:w="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Chief Executive Officer, President</w:t>
            </w:r>
          </w:p>
        </w:tc>
      </w:tr>
      <w:tr>
        <w:trPr>
          <w:trHeight w:val="243"/>
        </w:trPr>
        <w:tc>
          <w:tcPr>
            <w:tcW w:w="5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472"/>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940" w:type="dxa"/>
            <w:vAlign w:val="bottom"/>
          </w:tcPr>
          <w:p>
            <w:pPr>
              <w:ind w:left="160"/>
              <w:spacing w:after="0"/>
              <w:rPr>
                <w:sz w:val="20"/>
                <w:szCs w:val="20"/>
                <w:color w:val="auto"/>
              </w:rPr>
            </w:pPr>
            <w:r>
              <w:rPr>
                <w:rFonts w:ascii="Arial" w:cs="Arial" w:eastAsia="Arial" w:hAnsi="Arial"/>
                <w:sz w:val="16"/>
                <w:szCs w:val="16"/>
                <w:color w:val="auto"/>
              </w:rPr>
              <w:t>June 24, 2020</w:t>
            </w:r>
          </w:p>
        </w:tc>
        <w:tc>
          <w:tcPr>
            <w:tcW w:w="7420" w:type="dxa"/>
            <w:vAlign w:val="bottom"/>
            <w:gridSpan w:val="2"/>
          </w:tcPr>
          <w:p>
            <w:pPr>
              <w:ind w:left="17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24"/>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Bryan L. Hughes</w:t>
            </w:r>
          </w:p>
        </w:tc>
      </w:tr>
      <w:tr>
        <w:trPr>
          <w:trHeight w:val="243"/>
        </w:trPr>
        <w:tc>
          <w:tcPr>
            <w:tcW w:w="5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Vice President, Chief Financial Officer</w:t>
            </w:r>
          </w:p>
        </w:tc>
      </w:tr>
      <w:tr>
        <w:trPr>
          <w:trHeight w:val="243"/>
        </w:trPr>
        <w:tc>
          <w:tcPr>
            <w:tcW w:w="5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0940"/>
          </w:cols>
          <w:pgMar w:left="320" w:top="141" w:right="6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53"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00" w:hanging="328"/>
        <w:spacing w:after="0" w:line="253"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60"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ind w:left="20"/>
        <w:spacing w:after="0"/>
        <w:tabs>
          <w:tab w:leader="none" w:pos="1000" w:val="left"/>
          <w:tab w:leader="none" w:pos="6180" w:val="left"/>
          <w:tab w:leader="none" w:pos="70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24,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29210</wp:posOffset>
            </wp:positionV>
            <wp:extent cx="26828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09"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Michael J. Happe</w:t>
      </w:r>
    </w:p>
    <w:p>
      <w:pPr>
        <w:spacing w:after="0" w:line="100"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5"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OF THE SARBANES-OXLEY ACT OF 2002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53"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00" w:hanging="328"/>
        <w:spacing w:after="0" w:line="253"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60"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ind w:left="20"/>
        <w:spacing w:after="0"/>
        <w:tabs>
          <w:tab w:leader="none" w:pos="1000" w:val="left"/>
          <w:tab w:leader="none" w:pos="6180" w:val="left"/>
          <w:tab w:leader="none" w:pos="70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24,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29210</wp:posOffset>
            </wp:positionV>
            <wp:extent cx="26828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69"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Bryan L. Hughes</w:t>
      </w:r>
    </w:p>
    <w:p>
      <w:pPr>
        <w:spacing w:after="0" w:line="59"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160" w:hanging="328"/>
        <w:spacing w:after="0" w:line="260"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May 30, 2020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32" w:lineRule="exact"/>
        <w:rPr>
          <w:sz w:val="20"/>
          <w:szCs w:val="20"/>
          <w:color w:val="auto"/>
        </w:rPr>
      </w:pPr>
    </w:p>
    <w:p>
      <w:pPr>
        <w:ind w:left="20"/>
        <w:spacing w:after="0"/>
        <w:tabs>
          <w:tab w:leader="none" w:pos="1000" w:val="left"/>
          <w:tab w:leader="none" w:pos="6180" w:val="left"/>
          <w:tab w:leader="none" w:pos="70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24,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29210</wp:posOffset>
            </wp:positionV>
            <wp:extent cx="26828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09"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Michael J. Happe</w:t>
      </w:r>
    </w:p>
    <w:p>
      <w:pPr>
        <w:spacing w:after="0" w:line="100"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160" w:hanging="328"/>
        <w:spacing w:after="0" w:line="260"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May 30, 2020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86" w:lineRule="exact"/>
        <w:rPr>
          <w:sz w:val="20"/>
          <w:szCs w:val="20"/>
          <w:color w:val="auto"/>
        </w:rPr>
      </w:pPr>
    </w:p>
    <w:p>
      <w:pPr>
        <w:ind w:left="20"/>
        <w:spacing w:after="0"/>
        <w:tabs>
          <w:tab w:leader="none" w:pos="1000" w:val="left"/>
          <w:tab w:leader="none" w:pos="6180" w:val="left"/>
          <w:tab w:leader="none" w:pos="70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24,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29210</wp:posOffset>
            </wp:positionV>
            <wp:extent cx="26828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69"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Bryan L. Hughes</w:t>
      </w:r>
    </w:p>
    <w:p>
      <w:pPr>
        <w:spacing w:after="0" w:line="59"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01"/>
    </w:lvl>
  </w:abstractNum>
  <w:abstractNum w:abstractNumId="26">
    <w:nsid w:val="2901D82"/>
    <w:multiLevelType w:val="hybridMultilevel"/>
    <w:lvl w:ilvl="0">
      <w:lvlJc w:val="left"/>
      <w:lvlText w:val="*"/>
      <w:numFmt w:val="bullet"/>
      <w:start w:val="1"/>
    </w:lvl>
    <w:lvl w:ilvl="1">
      <w:lvlJc w:val="left"/>
      <w:lvlText w:val="%2"/>
      <w:numFmt w:val="decimal"/>
      <w:start w:val="104"/>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6"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84" Type="http://schemas.openxmlformats.org/officeDocument/2006/relationships/hyperlink" Target="http://www.sec.gov/Archives/edgar/data/107687/000010768719000017/ex2120198-k0916.htm" TargetMode="External"/><Relationship Id="rId85" Type="http://schemas.openxmlformats.org/officeDocument/2006/relationships/hyperlink" Target="http://www.sec.gov/Archives/edgar/data/107687/000010768718000026/exhibit3aarticlesofincor.htm" TargetMode="External"/><Relationship Id="rId87" Type="http://schemas.openxmlformats.org/officeDocument/2006/relationships/hyperlink" Target="http://www.sec.gov/Archives/edgar/data/107687/000010768716000075/exh31by-lawsasamended3x16x.htm" TargetMode="External"/><Relationship Id="rId88" Type="http://schemas.openxmlformats.org/officeDocument/2006/relationships/hyperlink" Target="http://www.sec.gov/Archives/edgar/data/107687/000110465919059604/a19-21005_2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2020-06-24T16:04:17Z</dcterms:created>
  <dcterms:modified xsi:type="dcterms:W3CDTF">2020-06-24T16:04:17Z</dcterms:modified>
</cp:coreProperties>
</file>