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Kubacki Jeff David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100"/>
              <w:spacing w:after="0"/>
              <w:rPr>
                <w:sz w:val="20"/>
                <w:szCs w:val="20"/>
                <w:color w:val="auto"/>
              </w:rPr>
            </w:pPr>
            <w:r>
              <w:rPr>
                <w:rFonts w:ascii="Arial" w:cs="Arial" w:eastAsia="Arial" w:hAnsi="Arial"/>
                <w:sz w:val="18"/>
                <w:szCs w:val="18"/>
                <w:color w:val="0000FF"/>
              </w:rPr>
              <w:t>VP - Chief Information Officer</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11/14/2017</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11/14/2017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280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48.15</w:t>
            </w: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3,825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11/14/16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2"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total amount of Winnebago Stock Units held by reporting person in Winnebago Industries, Inc. as of reporting date.</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11/15/2017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89844"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2019-12-03T23:34:36Z</dcterms:created>
  <dcterms:modified xsi:type="dcterms:W3CDTF">2019-12-03T23:34:36Z</dcterms:modified>
</cp:coreProperties>
</file>