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229235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42545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November 25, 2017</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600" w:hanging="2985"/>
        <w:spacing w:after="0" w:line="510" w:lineRule="auto"/>
        <w:tabs>
          <w:tab w:leader="none" w:pos="501"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143510</wp:posOffset>
            </wp:positionV>
            <wp:extent cx="3129915"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32"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5"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55" w:lineRule="exact"/>
        <w:rPr>
          <w:sz w:val="24"/>
          <w:szCs w:val="24"/>
          <w:color w:val="auto"/>
        </w:rPr>
      </w:pPr>
    </w:p>
    <w:p>
      <w:pPr>
        <w:ind w:right="1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5" w:lineRule="exact"/>
        <w:rPr>
          <w:sz w:val="24"/>
          <w:szCs w:val="24"/>
          <w:color w:val="auto"/>
        </w:rPr>
      </w:pPr>
    </w:p>
    <w:tbl>
      <w:tblPr>
        <w:tblLayout w:type="fixed"/>
        <w:tblInd w:w="40" w:type="dxa"/>
        <w:tblCellMar>
          <w:top w:w="0" w:type="dxa"/>
          <w:left w:w="0" w:type="dxa"/>
          <w:bottom w:w="0" w:type="dxa"/>
          <w:right w:w="0" w:type="dxa"/>
        </w:tblCellMar>
      </w:tblPr>
      <w:tr>
        <w:trPr>
          <w:trHeight w:val="244"/>
        </w:trPr>
        <w:tc>
          <w:tcPr>
            <w:tcW w:w="2640" w:type="dxa"/>
            <w:vAlign w:val="bottom"/>
          </w:tcPr>
          <w:p>
            <w:pPr>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x</w:t>
            </w:r>
          </w:p>
        </w:tc>
        <w:tc>
          <w:tcPr>
            <w:tcW w:w="3360" w:type="dxa"/>
            <w:vAlign w:val="bottom"/>
          </w:tcPr>
          <w:p>
            <w:pPr>
              <w:ind w:left="560"/>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8"/>
                <w:szCs w:val="18"/>
                <w:color w:val="auto"/>
              </w:rPr>
              <w:t>o</w:t>
            </w:r>
          </w:p>
        </w:tc>
        <w:tc>
          <w:tcPr>
            <w:tcW w:w="2380" w:type="dxa"/>
            <w:vAlign w:val="bottom"/>
          </w:tcPr>
          <w:p>
            <w:pPr>
              <w:ind w:left="720"/>
              <w:spacing w:after="0"/>
              <w:rPr>
                <w:sz w:val="20"/>
                <w:szCs w:val="20"/>
                <w:color w:val="auto"/>
              </w:rPr>
            </w:pPr>
            <w:r>
              <w:rPr>
                <w:rFonts w:ascii="Arial" w:cs="Arial" w:eastAsia="Arial" w:hAnsi="Arial"/>
                <w:sz w:val="16"/>
                <w:szCs w:val="16"/>
                <w:color w:val="auto"/>
              </w:rPr>
              <w:t xml:space="preserve">Non-accelerated filer </w:t>
            </w:r>
            <w:r>
              <w:rPr>
                <w:rFonts w:ascii="Arial" w:cs="Arial" w:eastAsia="Arial" w:hAnsi="Arial"/>
                <w:sz w:val="18"/>
                <w:szCs w:val="18"/>
                <w:color w:val="auto"/>
              </w:rPr>
              <w:t>o</w:t>
            </w:r>
          </w:p>
        </w:tc>
      </w:tr>
      <w:tr>
        <w:trPr>
          <w:trHeight w:val="297"/>
        </w:trPr>
        <w:tc>
          <w:tcPr>
            <w:tcW w:w="2640" w:type="dxa"/>
            <w:vAlign w:val="bottom"/>
          </w:tcPr>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tc>
        <w:tc>
          <w:tcPr>
            <w:tcW w:w="3360" w:type="dxa"/>
            <w:vAlign w:val="bottom"/>
          </w:tcPr>
          <w:p>
            <w:pPr>
              <w:ind w:left="560"/>
              <w:spacing w:after="0"/>
              <w:rPr>
                <w:sz w:val="20"/>
                <w:szCs w:val="20"/>
                <w:color w:val="auto"/>
              </w:rPr>
            </w:pPr>
            <w:r>
              <w:rPr>
                <w:rFonts w:ascii="Arial" w:cs="Arial" w:eastAsia="Arial" w:hAnsi="Arial"/>
                <w:sz w:val="16"/>
                <w:szCs w:val="16"/>
                <w:color w:val="auto"/>
              </w:rPr>
              <w:t xml:space="preserve">Emerging growth company </w:t>
            </w:r>
            <w:r>
              <w:rPr>
                <w:rFonts w:ascii="Arial" w:cs="Arial" w:eastAsia="Arial" w:hAnsi="Arial"/>
                <w:sz w:val="18"/>
                <w:szCs w:val="18"/>
                <w:color w:val="auto"/>
              </w:rPr>
              <w:t>o</w:t>
            </w:r>
          </w:p>
        </w:tc>
        <w:tc>
          <w:tcPr>
            <w:tcW w:w="2380" w:type="dxa"/>
            <w:vAlign w:val="bottom"/>
          </w:tcPr>
          <w:p>
            <w:pPr>
              <w:spacing w:after="0"/>
              <w:rPr>
                <w:sz w:val="24"/>
                <w:szCs w:val="24"/>
                <w:color w:val="auto"/>
              </w:rPr>
            </w:pPr>
          </w:p>
        </w:tc>
      </w:tr>
    </w:tbl>
    <w:p>
      <w:pPr>
        <w:spacing w:after="0" w:line="137" w:lineRule="exact"/>
        <w:rPr>
          <w:sz w:val="24"/>
          <w:szCs w:val="24"/>
          <w:color w:val="auto"/>
        </w:rPr>
      </w:pPr>
    </w:p>
    <w:p>
      <w:pPr>
        <w:ind w:right="28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0"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December 20, 2017 was 31,656,131.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1" w:name="page2"/>
    <w:bookmarkEnd w:id="1"/>
    <w:p>
      <w:pPr>
        <w:jc w:val="center"/>
        <w:ind w:left="880"/>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ind w:left="880"/>
        <w:spacing w:after="0"/>
        <w:rPr>
          <w:sz w:val="20"/>
          <w:szCs w:val="20"/>
          <w:color w:val="auto"/>
        </w:rPr>
      </w:pPr>
      <w:r>
        <w:rPr>
          <w:rFonts w:ascii="Arial" w:cs="Arial" w:eastAsia="Arial" w:hAnsi="Arial"/>
          <w:sz w:val="22"/>
          <w:szCs w:val="22"/>
          <w:b w:val="1"/>
          <w:bCs w:val="1"/>
          <w:color w:val="auto"/>
        </w:rPr>
        <w:t>Table of Contents</w:t>
      </w:r>
    </w:p>
    <w:p>
      <w:pPr>
        <w:spacing w:after="0" w:line="377"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Glossary</w:t>
        </w:r>
      </w:hyperlink>
    </w:p>
    <w:p>
      <w:pPr>
        <w:spacing w:after="0" w:line="336" w:lineRule="exact"/>
        <w:rPr>
          <w:sz w:val="20"/>
          <w:szCs w:val="20"/>
          <w:color w:val="auto"/>
        </w:rPr>
      </w:pPr>
    </w:p>
    <w:p>
      <w:pPr>
        <w:spacing w:after="0"/>
        <w:tabs>
          <w:tab w:leader="none" w:pos="900" w:val="left"/>
        </w:tabs>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PART I</w:t>
        </w:r>
      </w:hyperlink>
      <w:r>
        <w:rPr>
          <w:rFonts w:ascii="Arial" w:cs="Arial" w:eastAsia="Arial" w:hAnsi="Arial"/>
          <w:sz w:val="16"/>
          <w:szCs w:val="16"/>
          <w:b w:val="1"/>
          <w:bCs w:val="1"/>
          <w:u w:val="single" w:color="auto"/>
          <w:color w:val="0000EE"/>
        </w:rPr>
        <w:tab/>
      </w:r>
      <w:hyperlink w:anchor="page4">
        <w:r>
          <w:rPr>
            <w:rFonts w:ascii="Arial" w:cs="Arial" w:eastAsia="Arial" w:hAnsi="Arial"/>
            <w:sz w:val="16"/>
            <w:szCs w:val="16"/>
            <w:b w:val="1"/>
            <w:bCs w:val="1"/>
            <w:u w:val="single" w:color="auto"/>
            <w:color w:val="0000EE"/>
          </w:rPr>
          <w:t>FINANCIAL INFORMATION</w:t>
        </w:r>
      </w:hyperlink>
    </w:p>
    <w:p>
      <w:pPr>
        <w:spacing w:after="0" w:line="79"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Item 1.</w:t>
      </w:r>
      <w:r>
        <w:rPr>
          <w:sz w:val="20"/>
          <w:szCs w:val="20"/>
          <w:color w:val="auto"/>
        </w:rPr>
        <w:tab/>
      </w:r>
      <w:hyperlink w:anchor="page4">
        <w:r>
          <w:rPr>
            <w:rFonts w:ascii="Arial" w:cs="Arial" w:eastAsia="Arial" w:hAnsi="Arial"/>
            <w:sz w:val="16"/>
            <w:szCs w:val="16"/>
            <w:u w:val="single" w:color="auto"/>
            <w:color w:val="0000EE"/>
          </w:rPr>
          <w:t>Condensed Consolidated Financial Statements (Unaudited)</w:t>
        </w:r>
      </w:hyperlink>
    </w:p>
    <w:p>
      <w:pPr>
        <w:spacing w:after="0" w:line="86" w:lineRule="exact"/>
        <w:rPr>
          <w:sz w:val="20"/>
          <w:szCs w:val="20"/>
          <w:color w:val="auto"/>
        </w:rPr>
      </w:pPr>
    </w:p>
    <w:p>
      <w:pPr>
        <w:ind w:left="116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Statements of Income and Comprehensive Income</w:t>
        </w:r>
      </w:hyperlink>
    </w:p>
    <w:p>
      <w:pPr>
        <w:spacing w:after="0" w:line="86" w:lineRule="exact"/>
        <w:rPr>
          <w:sz w:val="20"/>
          <w:szCs w:val="20"/>
          <w:color w:val="auto"/>
        </w:rPr>
      </w:pPr>
    </w:p>
    <w:p>
      <w:pPr>
        <w:ind w:left="11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Balance Sheets</w:t>
        </w:r>
      </w:hyperlink>
    </w:p>
    <w:p>
      <w:pPr>
        <w:spacing w:after="0" w:line="86" w:lineRule="exact"/>
        <w:rPr>
          <w:sz w:val="20"/>
          <w:szCs w:val="20"/>
          <w:color w:val="auto"/>
        </w:rPr>
      </w:pPr>
    </w:p>
    <w:p>
      <w:pPr>
        <w:ind w:left="116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Cash Flows</w:t>
        </w:r>
      </w:hyperlink>
    </w:p>
    <w:p>
      <w:pPr>
        <w:spacing w:after="0" w:line="86" w:lineRule="exact"/>
        <w:rPr>
          <w:sz w:val="20"/>
          <w:szCs w:val="20"/>
          <w:color w:val="auto"/>
        </w:rPr>
      </w:pPr>
    </w:p>
    <w:p>
      <w:pPr>
        <w:ind w:left="116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Condensed Consolidated Stockholders' Statement of Equity</w:t>
        </w:r>
      </w:hyperlink>
    </w:p>
    <w:p>
      <w:pPr>
        <w:spacing w:after="0" w:line="86" w:lineRule="exact"/>
        <w:rPr>
          <w:sz w:val="20"/>
          <w:szCs w:val="20"/>
          <w:color w:val="auto"/>
        </w:rPr>
      </w:pPr>
    </w:p>
    <w:p>
      <w:pPr>
        <w:ind w:left="116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Notes to Condensed Consolidated Financial Statements</w:t>
        </w:r>
      </w:hyperlink>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00" w:type="dxa"/>
            <w:vAlign w:val="bottom"/>
            <w:tcBorders>
              <w:bottom w:val="single" w:sz="8" w:color="0000EE"/>
            </w:tcBorders>
            <w:gridSpan w:val="12"/>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 1: Basis of Presentation</w:t>
              </w:r>
            </w:hyperlink>
          </w:p>
        </w:tc>
        <w:tc>
          <w:tcPr>
            <w:tcW w:w="3800" w:type="dxa"/>
            <w:vAlign w:val="bottom"/>
            <w:gridSpan w:val="10"/>
          </w:tcPr>
          <w:p>
            <w:pPr>
              <w:spacing w:after="0"/>
              <w:rPr>
                <w:sz w:val="16"/>
                <w:szCs w:val="16"/>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2: Business Combination, Goodwill and Other Intangible Assets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0" w:type="dxa"/>
            <w:vAlign w:val="bottom"/>
            <w:tcBorders>
              <w:top w:val="single" w:sz="8" w:color="0000EE"/>
              <w:bottom w:val="single" w:sz="8" w:color="0000EE"/>
            </w:tcBorders>
            <w:gridSpan w:val="10"/>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3: Business Segments</w:t>
              </w:r>
            </w:hyperlink>
          </w:p>
        </w:tc>
        <w:tc>
          <w:tcPr>
            <w:tcW w:w="2920" w:type="dxa"/>
            <w:vAlign w:val="bottom"/>
            <w:tcBorders>
              <w:top w:val="single" w:sz="8" w:color="0000EE"/>
            </w:tcBorders>
            <w:gridSpan w:val="11"/>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4: Concentration Risk</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5: Derivatives, Investments and Fair Value Measurements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9"/>
              </w:rPr>
            </w:pPr>
            <w:hyperlink w:anchor="page15">
              <w:r>
                <w:rPr>
                  <w:rFonts w:ascii="Arial" w:cs="Arial" w:eastAsia="Arial" w:hAnsi="Arial"/>
                  <w:sz w:val="16"/>
                  <w:szCs w:val="16"/>
                  <w:color w:val="0000EE"/>
                  <w:w w:val="99"/>
                </w:rPr>
                <w:t>Note 6: Inventories</w:t>
              </w:r>
            </w:hyperlink>
          </w:p>
        </w:tc>
        <w:tc>
          <w:tcPr>
            <w:tcW w:w="3160" w:type="dxa"/>
            <w:vAlign w:val="bottom"/>
            <w:tcBorders>
              <w:top w:val="single" w:sz="8" w:color="0000EE"/>
            </w:tcBorders>
            <w:gridSpan w:val="13"/>
          </w:tcPr>
          <w:p>
            <w:pPr>
              <w:spacing w:after="0"/>
              <w:rPr>
                <w:sz w:val="21"/>
                <w:szCs w:val="21"/>
                <w:color w:val="auto"/>
              </w:rPr>
            </w:pPr>
          </w:p>
        </w:tc>
        <w:tc>
          <w:tcPr>
            <w:tcW w:w="1380" w:type="dxa"/>
            <w:vAlign w:val="bottom"/>
            <w:gridSpan w:val="2"/>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60" w:type="dxa"/>
            <w:vAlign w:val="bottom"/>
            <w:tcBorders>
              <w:bottom w:val="single" w:sz="8" w:color="0000EE"/>
            </w:tcBorders>
            <w:gridSpan w:val="14"/>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Note 7: Property, Plant and Equipment</w:t>
              </w:r>
            </w:hyperlink>
          </w:p>
        </w:tc>
        <w:tc>
          <w:tcPr>
            <w:tcW w:w="3140" w:type="dxa"/>
            <w:vAlign w:val="bottom"/>
            <w:gridSpan w:val="8"/>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5">
              <w:r>
                <w:rPr>
                  <w:rFonts w:ascii="Arial" w:cs="Arial" w:eastAsia="Arial" w:hAnsi="Arial"/>
                  <w:sz w:val="16"/>
                  <w:szCs w:val="16"/>
                  <w:color w:val="0000EE"/>
                  <w:w w:val="99"/>
                </w:rPr>
                <w:t>Note 8: Warranty</w:t>
              </w:r>
            </w:hyperlink>
          </w:p>
        </w:tc>
        <w:tc>
          <w:tcPr>
            <w:tcW w:w="4680" w:type="dxa"/>
            <w:vAlign w:val="bottom"/>
            <w:gridSpan w:val="18"/>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Note 9: Long-Term Debt</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Note 10: Employee and Retiree Benefits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80" w:type="dxa"/>
            <w:vAlign w:val="bottom"/>
            <w:tcBorders>
              <w:top w:val="single" w:sz="8" w:color="0000EE"/>
            </w:tcBorders>
            <w:gridSpan w:val="15"/>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Note 11: Shareholders' Equity</w:t>
              </w:r>
            </w:hyperlink>
          </w:p>
        </w:tc>
        <w:tc>
          <w:tcPr>
            <w:tcW w:w="3020" w:type="dxa"/>
            <w:vAlign w:val="bottom"/>
            <w:gridSpan w:val="7"/>
          </w:tcPr>
          <w:p>
            <w:pPr>
              <w:spacing w:after="0"/>
              <w:rPr>
                <w:sz w:val="21"/>
                <w:szCs w:val="2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Note 12: Contingent Liabilities and Commitments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20" w:type="dxa"/>
            <w:vAlign w:val="bottom"/>
            <w:tcBorders>
              <w:top w:val="single" w:sz="8" w:color="0000EE"/>
              <w:bottom w:val="single" w:sz="8" w:color="0000EE"/>
            </w:tcBorders>
            <w:gridSpan w:val="8"/>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13: Income Taxes</w:t>
              </w:r>
            </w:hyperlink>
          </w:p>
        </w:tc>
        <w:tc>
          <w:tcPr>
            <w:tcW w:w="1780" w:type="dxa"/>
            <w:vAlign w:val="bottom"/>
            <w:tcBorders>
              <w:top w:val="single" w:sz="8" w:color="0000EE"/>
            </w:tcBorders>
            <w:gridSpan w:val="8"/>
          </w:tcPr>
          <w:p>
            <w:pPr>
              <w:spacing w:after="0"/>
              <w:rPr>
                <w:sz w:val="21"/>
                <w:szCs w:val="21"/>
                <w:color w:val="auto"/>
              </w:rPr>
            </w:pPr>
          </w:p>
        </w:tc>
        <w:tc>
          <w:tcPr>
            <w:tcW w:w="2400" w:type="dxa"/>
            <w:vAlign w:val="bottom"/>
            <w:gridSpan w:val="6"/>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14: Earnings Per Share</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15: Accumulated Other Comprehensive Income (Loss)</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11"/>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6360" w:type="dxa"/>
            <w:vAlign w:val="bottom"/>
            <w:tcBorders>
              <w:bottom w:val="single" w:sz="8" w:color="0000EE"/>
            </w:tcBorders>
            <w:gridSpan w:val="23"/>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Management's Discussion and Analysis of Financial Condition and Results of Operations</w:t>
              </w:r>
            </w:hyperlink>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3.</w:t>
            </w:r>
          </w:p>
        </w:tc>
        <w:tc>
          <w:tcPr>
            <w:tcW w:w="4240" w:type="dxa"/>
            <w:vAlign w:val="bottom"/>
            <w:tcBorders>
              <w:bottom w:val="single" w:sz="8" w:color="0000EE"/>
            </w:tcBorders>
            <w:gridSpan w:val="18"/>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Quantitative and Qualitative Disclosures About Market Risk</w:t>
              </w:r>
            </w:hyperlink>
          </w:p>
        </w:tc>
        <w:tc>
          <w:tcPr>
            <w:tcW w:w="2120" w:type="dxa"/>
            <w:vAlign w:val="bottom"/>
            <w:gridSpan w:val="5"/>
          </w:tcPr>
          <w:p>
            <w:pPr>
              <w:spacing w:after="0"/>
              <w:rPr>
                <w:sz w:val="19"/>
                <w:szCs w:val="19"/>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6360" w:type="dxa"/>
            <w:vAlign w:val="bottom"/>
            <w:gridSpan w:val="23"/>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Controls and Procedures</w:t>
              </w:r>
            </w:hyperlink>
          </w:p>
        </w:tc>
      </w:tr>
      <w:tr>
        <w:trPr>
          <w:trHeight w:val="520"/>
        </w:trPr>
        <w:tc>
          <w:tcPr>
            <w:tcW w:w="560" w:type="dxa"/>
            <w:vAlign w:val="bottom"/>
            <w:tcBorders>
              <w:bottom w:val="single" w:sz="8" w:color="0000EE"/>
            </w:tcBorders>
          </w:tcPr>
          <w:p>
            <w:pPr>
              <w:spacing w:after="0"/>
              <w:rPr>
                <w:rFonts w:ascii="Arial" w:cs="Arial" w:eastAsia="Arial" w:hAnsi="Arial"/>
                <w:sz w:val="16"/>
                <w:szCs w:val="16"/>
                <w:b w:val="1"/>
                <w:bCs w:val="1"/>
                <w:color w:val="0000EE"/>
                <w:w w:val="94"/>
              </w:rPr>
            </w:pPr>
            <w:hyperlink w:anchor="page27">
              <w:r>
                <w:rPr>
                  <w:rFonts w:ascii="Arial" w:cs="Arial" w:eastAsia="Arial" w:hAnsi="Arial"/>
                  <w:sz w:val="16"/>
                  <w:szCs w:val="16"/>
                  <w:b w:val="1"/>
                  <w:bCs w:val="1"/>
                  <w:color w:val="0000EE"/>
                  <w:w w:val="94"/>
                </w:rPr>
                <w:t>PART II</w:t>
              </w:r>
            </w:hyperlink>
          </w:p>
        </w:tc>
        <w:tc>
          <w:tcPr>
            <w:tcW w:w="36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6"/>
          </w:tcPr>
          <w:p>
            <w:pPr>
              <w:spacing w:after="0"/>
              <w:rPr>
                <w:rFonts w:ascii="Arial" w:cs="Arial" w:eastAsia="Arial" w:hAnsi="Arial"/>
                <w:sz w:val="16"/>
                <w:szCs w:val="16"/>
                <w:b w:val="1"/>
                <w:bCs w:val="1"/>
                <w:color w:val="0000EE"/>
                <w:w w:val="99"/>
              </w:rPr>
            </w:pPr>
            <w:hyperlink w:anchor="page27">
              <w:r>
                <w:rPr>
                  <w:rFonts w:ascii="Arial" w:cs="Arial" w:eastAsia="Arial" w:hAnsi="Arial"/>
                  <w:sz w:val="16"/>
                  <w:szCs w:val="16"/>
                  <w:b w:val="1"/>
                  <w:bCs w:val="1"/>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4580" w:type="dxa"/>
            <w:vAlign w:val="bottom"/>
            <w:gridSpan w:val="16"/>
          </w:tcPr>
          <w:p>
            <w:pPr>
              <w:spacing w:after="0"/>
              <w:rPr>
                <w:sz w:val="24"/>
                <w:szCs w:val="24"/>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27">
              <w:r>
                <w:rPr>
                  <w:rFonts w:ascii="Arial" w:cs="Arial" w:eastAsia="Arial" w:hAnsi="Arial"/>
                  <w:sz w:val="16"/>
                  <w:szCs w:val="16"/>
                  <w:color w:val="0000EE"/>
                  <w:w w:val="99"/>
                </w:rPr>
                <w:t>Legal Proceedings</w:t>
              </w:r>
            </w:hyperlink>
          </w:p>
        </w:tc>
        <w:tc>
          <w:tcPr>
            <w:tcW w:w="5020" w:type="dxa"/>
            <w:vAlign w:val="bottom"/>
            <w:gridSpan w:val="19"/>
          </w:tcPr>
          <w:p>
            <w:pPr>
              <w:spacing w:after="0"/>
              <w:rPr>
                <w:sz w:val="21"/>
                <w:szCs w:val="21"/>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28">
              <w:r>
                <w:rPr>
                  <w:rFonts w:ascii="Arial" w:cs="Arial" w:eastAsia="Arial" w:hAnsi="Arial"/>
                  <w:sz w:val="16"/>
                  <w:szCs w:val="16"/>
                  <w:color w:val="0000EE"/>
                  <w:w w:val="98"/>
                </w:rPr>
                <w:t>Risk Factors</w:t>
              </w:r>
            </w:hyperlink>
          </w:p>
        </w:tc>
        <w:tc>
          <w:tcPr>
            <w:tcW w:w="5460" w:type="dxa"/>
            <w:vAlign w:val="bottom"/>
            <w:gridSpan w:val="20"/>
          </w:tcPr>
          <w:p>
            <w:pPr>
              <w:spacing w:after="0"/>
              <w:rPr>
                <w:sz w:val="19"/>
                <w:szCs w:val="19"/>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6360" w:type="dxa"/>
            <w:vAlign w:val="bottom"/>
            <w:gridSpan w:val="23"/>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Unregistered Sales of Equity Securities and Use of Proceeds</w:t>
              </w:r>
            </w:hyperlink>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4360" w:type="dxa"/>
            <w:vAlign w:val="bottom"/>
            <w:tcBorders>
              <w:top w:val="single" w:sz="8" w:color="0000EE"/>
            </w:tcBorders>
            <w:gridSpan w:val="19"/>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Exhibits</w:t>
              </w:r>
            </w:hyperlink>
          </w:p>
        </w:tc>
        <w:tc>
          <w:tcPr>
            <w:tcW w:w="2000" w:type="dxa"/>
            <w:vAlign w:val="bottom"/>
            <w:gridSpan w:val="4"/>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9">
        <w:r>
          <w:rPr>
            <w:rFonts w:ascii="Arial" w:cs="Arial" w:eastAsia="Arial" w:hAnsi="Arial"/>
            <w:sz w:val="16"/>
            <w:szCs w:val="16"/>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4</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6</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6</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6">
        <w:r>
          <w:rPr>
            <w:rFonts w:ascii="Arial" w:cs="Arial" w:eastAsia="Arial" w:hAnsi="Arial"/>
            <w:sz w:val="16"/>
            <w:szCs w:val="16"/>
            <w:color w:val="0000EE"/>
          </w:rPr>
          <w:t>14</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7">
        <w:r>
          <w:rPr>
            <w:rFonts w:ascii="Arial" w:cs="Arial" w:eastAsia="Arial" w:hAnsi="Arial"/>
            <w:sz w:val="16"/>
            <w:szCs w:val="16"/>
            <w:color w:val="0000EE"/>
          </w:rPr>
          <w:t>15</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8">
        <w:r>
          <w:rPr>
            <w:rFonts w:ascii="Arial" w:cs="Arial" w:eastAsia="Arial" w:hAnsi="Arial"/>
            <w:sz w:val="16"/>
            <w:szCs w:val="16"/>
            <w:color w:val="0000EE"/>
          </w:rPr>
          <w:t>16</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8">
        <w:r>
          <w:rPr>
            <w:rFonts w:ascii="Arial" w:cs="Arial" w:eastAsia="Arial" w:hAnsi="Arial"/>
            <w:sz w:val="16"/>
            <w:szCs w:val="16"/>
            <w:color w:val="0000EE"/>
          </w:rPr>
          <w:t>16</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6">
        <w:r>
          <w:rPr>
            <w:rFonts w:ascii="Arial" w:cs="Arial" w:eastAsia="Arial" w:hAnsi="Arial"/>
            <w:sz w:val="16"/>
            <w:szCs w:val="16"/>
            <w:color w:val="0000EE"/>
          </w:rPr>
          <w:t>24</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7">
        <w:r>
          <w:rPr>
            <w:rFonts w:ascii="Arial" w:cs="Arial" w:eastAsia="Arial" w:hAnsi="Arial"/>
            <w:sz w:val="16"/>
            <w:szCs w:val="16"/>
            <w:color w:val="0000EE"/>
          </w:rPr>
          <w:t>25</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color w:val="0000EE"/>
        </w:rPr>
      </w:pPr>
      <w:hyperlink w:anchor="page27">
        <w:r>
          <w:rPr>
            <w:rFonts w:ascii="Arial" w:cs="Arial" w:eastAsia="Arial" w:hAnsi="Arial"/>
            <w:sz w:val="16"/>
            <w:szCs w:val="16"/>
            <w:color w:val="0000EE"/>
          </w:rPr>
          <w:t>25</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8">
        <w:r>
          <w:rPr>
            <w:rFonts w:ascii="Arial" w:cs="Arial" w:eastAsia="Arial" w:hAnsi="Arial"/>
            <w:sz w:val="16"/>
            <w:szCs w:val="16"/>
            <w:color w:val="0000EE"/>
          </w:rPr>
          <w:t>26</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8">
        <w:r>
          <w:rPr>
            <w:rFonts w:ascii="Arial" w:cs="Arial" w:eastAsia="Arial" w:hAnsi="Arial"/>
            <w:sz w:val="16"/>
            <w:szCs w:val="16"/>
            <w:color w:val="0000EE"/>
          </w:rPr>
          <w:t>26</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8">
        <w:r>
          <w:rPr>
            <w:rFonts w:ascii="Arial" w:cs="Arial" w:eastAsia="Arial" w:hAnsi="Arial"/>
            <w:sz w:val="16"/>
            <w:szCs w:val="16"/>
            <w:color w:val="0000EE"/>
          </w:rPr>
          <w:t>26</w:t>
        </w:r>
      </w:hyperlink>
    </w:p>
    <w:p>
      <w:pPr>
        <w:spacing w:after="0" w:line="356" w:lineRule="exact"/>
        <w:rPr>
          <w:sz w:val="20"/>
          <w:szCs w:val="20"/>
          <w:color w:val="auto"/>
        </w:rPr>
      </w:pPr>
    </w:p>
    <w:p>
      <w:pPr>
        <w:spacing w:after="0"/>
        <w:rPr>
          <w:rFonts w:ascii="Arial" w:cs="Arial" w:eastAsia="Arial" w:hAnsi="Arial"/>
          <w:sz w:val="16"/>
          <w:szCs w:val="16"/>
          <w:color w:val="0000EE"/>
        </w:rPr>
      </w:pPr>
      <w:hyperlink w:anchor="page29">
        <w:r>
          <w:rPr>
            <w:rFonts w:ascii="Arial" w:cs="Arial" w:eastAsia="Arial" w:hAnsi="Arial"/>
            <w:sz w:val="16"/>
            <w:szCs w:val="16"/>
            <w:color w:val="0000EE"/>
          </w:rPr>
          <w:t>27</w:t>
        </w:r>
      </w:hyperlink>
    </w:p>
    <w:p>
      <w:pPr>
        <w:sectPr>
          <w:pgSz w:w="11900" w:h="16838" w:orient="portrait"/>
          <w:cols w:equalWidth="0" w:num="2">
            <w:col w:w="10460" w:space="720"/>
            <w:col w:w="18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Credit Agreement dated as of November 8, 2016 among Winnebago Industries, Inc., Winnebago of Indiana, LLC,</w:t>
            </w:r>
          </w:p>
        </w:tc>
        <w:tc>
          <w:tcPr>
            <w:tcW w:w="0" w:type="dxa"/>
            <w:vAlign w:val="bottom"/>
          </w:tcPr>
          <w:p>
            <w:pPr>
              <w:spacing w:after="0"/>
              <w:rPr>
                <w:sz w:val="1"/>
                <w:szCs w:val="1"/>
                <w:color w:val="auto"/>
              </w:rPr>
            </w:pPr>
          </w:p>
        </w:tc>
      </w:tr>
      <w:tr>
        <w:trPr>
          <w:trHeight w:val="214"/>
        </w:trPr>
        <w:tc>
          <w:tcPr>
            <w:tcW w:w="2520" w:type="dxa"/>
            <w:vAlign w:val="bottom"/>
            <w:shd w:val="clear" w:color="auto" w:fill="CCEEFF"/>
          </w:tcPr>
          <w:p>
            <w:pPr>
              <w:spacing w:after="0"/>
              <w:rPr>
                <w:sz w:val="18"/>
                <w:szCs w:val="18"/>
                <w:color w:val="auto"/>
              </w:rPr>
            </w:pP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Grand Design RV, LLC, the other loan parties thereto and JPMorgan Chase Bank, N.A. as Administrative Agent</w:t>
            </w:r>
          </w:p>
        </w:tc>
        <w:tc>
          <w:tcPr>
            <w:tcW w:w="0" w:type="dxa"/>
            <w:vAlign w:val="bottom"/>
          </w:tcPr>
          <w:p>
            <w:pPr>
              <w:spacing w:after="0"/>
              <w:rPr>
                <w:sz w:val="1"/>
                <w:szCs w:val="1"/>
                <w:color w:val="auto"/>
              </w:rPr>
            </w:pPr>
          </w:p>
        </w:tc>
      </w:tr>
      <w:tr>
        <w:trPr>
          <w:trHeight w:val="233"/>
        </w:trPr>
        <w:tc>
          <w:tcPr>
            <w:tcW w:w="2520" w:type="dxa"/>
            <w:vAlign w:val="bottom"/>
          </w:tcPr>
          <w:p>
            <w:pPr>
              <w:ind w:left="40"/>
              <w:spacing w:after="0"/>
              <w:rPr>
                <w:sz w:val="20"/>
                <w:szCs w:val="20"/>
                <w:color w:val="auto"/>
              </w:rPr>
            </w:pPr>
            <w:r>
              <w:rPr>
                <w:rFonts w:ascii="Arial" w:cs="Arial" w:eastAsia="Arial" w:hAnsi="Arial"/>
                <w:sz w:val="16"/>
                <w:szCs w:val="16"/>
                <w:color w:val="auto"/>
              </w:rPr>
              <w:t>AOCI</w:t>
            </w:r>
          </w:p>
        </w:tc>
        <w:tc>
          <w:tcPr>
            <w:tcW w:w="8900" w:type="dxa"/>
            <w:vAlign w:val="bottom"/>
          </w:tcPr>
          <w:p>
            <w:pPr>
              <w:ind w:left="48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2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Amended Credit Agreement</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w:t>
            </w:r>
          </w:p>
        </w:tc>
        <w:tc>
          <w:tcPr>
            <w:tcW w:w="0" w:type="dxa"/>
            <w:vAlign w:val="bottom"/>
          </w:tcPr>
          <w:p>
            <w:pPr>
              <w:spacing w:after="0"/>
              <w:rPr>
                <w:sz w:val="1"/>
                <w:szCs w:val="1"/>
                <w:color w:val="auto"/>
              </w:rPr>
            </w:pPr>
          </w:p>
        </w:tc>
      </w:tr>
      <w:tr>
        <w:trPr>
          <w:trHeight w:val="195"/>
        </w:trPr>
        <w:tc>
          <w:tcPr>
            <w:tcW w:w="2520" w:type="dxa"/>
            <w:vAlign w:val="bottom"/>
            <w:shd w:val="clear" w:color="auto" w:fill="CCEEFF"/>
          </w:tcPr>
          <w:p>
            <w:pPr>
              <w:spacing w:after="0"/>
              <w:rPr>
                <w:sz w:val="16"/>
                <w:szCs w:val="16"/>
                <w:color w:val="auto"/>
              </w:rPr>
            </w:pP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LLC, as Borrowers, and Wells Fargo Capital Finance, as Agent; terminated on November 8, 2016</w:t>
            </w:r>
          </w:p>
        </w:tc>
        <w:tc>
          <w:tcPr>
            <w:tcW w:w="0" w:type="dxa"/>
            <w:vAlign w:val="bottom"/>
          </w:tcPr>
          <w:p>
            <w:pPr>
              <w:spacing w:after="0"/>
              <w:rPr>
                <w:sz w:val="1"/>
                <w:szCs w:val="1"/>
                <w:color w:val="auto"/>
              </w:rPr>
            </w:pPr>
          </w:p>
        </w:tc>
      </w:tr>
      <w:tr>
        <w:trPr>
          <w:trHeight w:val="74"/>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ASC</w:t>
            </w:r>
          </w:p>
        </w:tc>
        <w:tc>
          <w:tcPr>
            <w:tcW w:w="8900" w:type="dxa"/>
            <w:vAlign w:val="bottom"/>
          </w:tcPr>
          <w:p>
            <w:pPr>
              <w:ind w:left="48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ASU</w:t>
            </w:r>
          </w:p>
        </w:tc>
        <w:tc>
          <w:tcPr>
            <w:tcW w:w="8900" w:type="dxa"/>
            <w:vAlign w:val="bottom"/>
          </w:tcPr>
          <w:p>
            <w:pPr>
              <w:ind w:left="48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Blocker Corporation</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SP GE VIII - B GD RV Blocker Corporation</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Credit Agreement</w:t>
            </w:r>
          </w:p>
        </w:tc>
        <w:tc>
          <w:tcPr>
            <w:tcW w:w="8900" w:type="dxa"/>
            <w:vAlign w:val="bottom"/>
          </w:tcPr>
          <w:p>
            <w:pPr>
              <w:ind w:left="480"/>
              <w:spacing w:after="0"/>
              <w:rPr>
                <w:sz w:val="20"/>
                <w:szCs w:val="20"/>
                <w:color w:val="auto"/>
              </w:rPr>
            </w:pPr>
            <w:r>
              <w:rPr>
                <w:rFonts w:ascii="Arial" w:cs="Arial" w:eastAsia="Arial" w:hAnsi="Arial"/>
                <w:sz w:val="16"/>
                <w:szCs w:val="16"/>
                <w:color w:val="auto"/>
              </w:rPr>
              <w:t>Collective reference to the ABL and Term Loan</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Earnings Before Interest, Tax, Depreciation and Amortization</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EPS</w:t>
            </w:r>
          </w:p>
        </w:tc>
        <w:tc>
          <w:tcPr>
            <w:tcW w:w="8900" w:type="dxa"/>
            <w:vAlign w:val="bottom"/>
          </w:tcPr>
          <w:p>
            <w:pPr>
              <w:ind w:left="480"/>
              <w:spacing w:after="0"/>
              <w:rPr>
                <w:sz w:val="20"/>
                <w:szCs w:val="20"/>
                <w:color w:val="auto"/>
              </w:rPr>
            </w:pPr>
            <w:r>
              <w:rPr>
                <w:rFonts w:ascii="Arial" w:cs="Arial" w:eastAsia="Arial" w:hAnsi="Arial"/>
                <w:sz w:val="16"/>
                <w:szCs w:val="16"/>
                <w:color w:val="auto"/>
              </w:rPr>
              <w:t>Earnings Per Share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ERP</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Enterprise Resource Planning</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FASB</w:t>
            </w:r>
          </w:p>
        </w:tc>
        <w:tc>
          <w:tcPr>
            <w:tcW w:w="8900" w:type="dxa"/>
            <w:vAlign w:val="bottom"/>
          </w:tcPr>
          <w:p>
            <w:pPr>
              <w:ind w:left="48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FIFO</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GAAP</w:t>
            </w:r>
          </w:p>
        </w:tc>
        <w:tc>
          <w:tcPr>
            <w:tcW w:w="8900" w:type="dxa"/>
            <w:vAlign w:val="bottom"/>
          </w:tcPr>
          <w:p>
            <w:pPr>
              <w:ind w:left="48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Grand Design</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Grand Design RV, LLC</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IRS</w:t>
            </w:r>
          </w:p>
        </w:tc>
        <w:tc>
          <w:tcPr>
            <w:tcW w:w="8900" w:type="dxa"/>
            <w:vAlign w:val="bottom"/>
          </w:tcPr>
          <w:p>
            <w:pPr>
              <w:ind w:left="48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LIBOR</w:t>
            </w:r>
          </w:p>
        </w:tc>
        <w:tc>
          <w:tcPr>
            <w:tcW w:w="8900" w:type="dxa"/>
            <w:vAlign w:val="bottom"/>
          </w:tcPr>
          <w:p>
            <w:pPr>
              <w:ind w:left="48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Business segment including motorhomes and other related manufactured products</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NYFRB</w:t>
            </w:r>
          </w:p>
        </w:tc>
        <w:tc>
          <w:tcPr>
            <w:tcW w:w="8900" w:type="dxa"/>
            <w:vAlign w:val="bottom"/>
          </w:tcPr>
          <w:p>
            <w:pPr>
              <w:ind w:left="480"/>
              <w:spacing w:after="0"/>
              <w:rPr>
                <w:sz w:val="20"/>
                <w:szCs w:val="20"/>
                <w:color w:val="auto"/>
              </w:rPr>
            </w:pPr>
            <w:r>
              <w:rPr>
                <w:rFonts w:ascii="Arial" w:cs="Arial" w:eastAsia="Arial" w:hAnsi="Arial"/>
                <w:sz w:val="16"/>
                <w:szCs w:val="16"/>
                <w:color w:val="auto"/>
              </w:rPr>
              <w:t>New York Federal Reserve Bank</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NYSE</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OCI</w:t>
            </w:r>
          </w:p>
        </w:tc>
        <w:tc>
          <w:tcPr>
            <w:tcW w:w="8900" w:type="dxa"/>
            <w:vAlign w:val="bottom"/>
          </w:tcPr>
          <w:p>
            <w:pPr>
              <w:ind w:left="48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Octavius</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Octavius Corporation, a wholly-owned subsidiary of Winnebago Industries, Inc.</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RV</w:t>
            </w:r>
          </w:p>
        </w:tc>
        <w:tc>
          <w:tcPr>
            <w:tcW w:w="8900" w:type="dxa"/>
            <w:vAlign w:val="bottom"/>
          </w:tcPr>
          <w:p>
            <w:pPr>
              <w:ind w:left="48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RVIA</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SEC</w:t>
            </w:r>
          </w:p>
        </w:tc>
        <w:tc>
          <w:tcPr>
            <w:tcW w:w="8900" w:type="dxa"/>
            <w:vAlign w:val="bottom"/>
          </w:tcPr>
          <w:p>
            <w:pPr>
              <w:ind w:left="48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40"/>
              <w:spacing w:after="0"/>
              <w:rPr>
                <w:sz w:val="20"/>
                <w:szCs w:val="20"/>
                <w:color w:val="auto"/>
              </w:rPr>
            </w:pPr>
            <w:r>
              <w:rPr>
                <w:rFonts w:ascii="Arial" w:cs="Arial" w:eastAsia="Arial" w:hAnsi="Arial"/>
                <w:sz w:val="16"/>
                <w:szCs w:val="16"/>
                <w:color w:val="auto"/>
              </w:rPr>
              <w:t>SG&amp;A</w:t>
            </w:r>
          </w:p>
        </w:tc>
        <w:tc>
          <w:tcPr>
            <w:tcW w:w="8900" w:type="dxa"/>
            <w:vAlign w:val="bottom"/>
          </w:tcPr>
          <w:p>
            <w:pPr>
              <w:ind w:left="480"/>
              <w:spacing w:after="0"/>
              <w:rPr>
                <w:sz w:val="20"/>
                <w:szCs w:val="20"/>
                <w:color w:val="auto"/>
              </w:rPr>
            </w:pPr>
            <w:r>
              <w:rPr>
                <w:rFonts w:ascii="Arial" w:cs="Arial" w:eastAsia="Arial" w:hAnsi="Arial"/>
                <w:sz w:val="16"/>
                <w:szCs w:val="16"/>
                <w:color w:val="auto"/>
              </w:rPr>
              <w:t>Selling, General and Administrative Expenses</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6"/>
                <w:szCs w:val="16"/>
                <w:color w:val="auto"/>
              </w:rPr>
              <w:t>Term Loan</w:t>
            </w:r>
          </w:p>
        </w:tc>
        <w:tc>
          <w:tcPr>
            <w:tcW w:w="8900" w:type="dxa"/>
            <w:vAlign w:val="bottom"/>
          </w:tcPr>
          <w:p>
            <w:pPr>
              <w:ind w:left="480"/>
              <w:spacing w:after="0"/>
              <w:rPr>
                <w:sz w:val="20"/>
                <w:szCs w:val="20"/>
                <w:color w:val="auto"/>
              </w:rPr>
            </w:pPr>
            <w:r>
              <w:rPr>
                <w:rFonts w:ascii="Arial" w:cs="Arial" w:eastAsia="Arial" w:hAnsi="Arial"/>
                <w:sz w:val="16"/>
                <w:szCs w:val="16"/>
                <w:color w:val="auto"/>
              </w:rPr>
              <w:t>Loan Agreement dated as of November 8, 2016 among Winnebago Industries, Inc., Octavius Corporation, the other</w:t>
            </w:r>
          </w:p>
        </w:tc>
        <w:tc>
          <w:tcPr>
            <w:tcW w:w="0" w:type="dxa"/>
            <w:vAlign w:val="bottom"/>
          </w:tcPr>
          <w:p>
            <w:pPr>
              <w:spacing w:after="0"/>
              <w:rPr>
                <w:sz w:val="1"/>
                <w:szCs w:val="1"/>
                <w:color w:val="auto"/>
              </w:rPr>
            </w:pPr>
          </w:p>
        </w:tc>
      </w:tr>
      <w:tr>
        <w:trPr>
          <w:trHeight w:val="195"/>
        </w:trPr>
        <w:tc>
          <w:tcPr>
            <w:tcW w:w="2520" w:type="dxa"/>
            <w:vAlign w:val="bottom"/>
          </w:tcPr>
          <w:p>
            <w:pPr>
              <w:spacing w:after="0"/>
              <w:rPr>
                <w:sz w:val="16"/>
                <w:szCs w:val="16"/>
                <w:color w:val="auto"/>
              </w:rPr>
            </w:pPr>
          </w:p>
        </w:tc>
        <w:tc>
          <w:tcPr>
            <w:tcW w:w="8900" w:type="dxa"/>
            <w:vAlign w:val="bottom"/>
          </w:tcPr>
          <w:p>
            <w:pPr>
              <w:ind w:left="480"/>
              <w:spacing w:after="0"/>
              <w:rPr>
                <w:sz w:val="20"/>
                <w:szCs w:val="20"/>
                <w:color w:val="auto"/>
              </w:rPr>
            </w:pPr>
            <w:r>
              <w:rPr>
                <w:rFonts w:ascii="Arial" w:cs="Arial" w:eastAsia="Arial" w:hAnsi="Arial"/>
                <w:sz w:val="16"/>
                <w:szCs w:val="16"/>
                <w:color w:val="auto"/>
              </w:rPr>
              <w:t>loan parties thereto and JPMorgan Chase Bank, N.A. as Administrative Agent</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Business segment including products which are not motorized and are towable by another vehicle</w:t>
            </w:r>
          </w:p>
        </w:tc>
        <w:tc>
          <w:tcPr>
            <w:tcW w:w="0" w:type="dxa"/>
            <w:vAlign w:val="bottom"/>
          </w:tcPr>
          <w:p>
            <w:pPr>
              <w:spacing w:after="0"/>
              <w:rPr>
                <w:sz w:val="1"/>
                <w:szCs w:val="1"/>
                <w:color w:val="auto"/>
              </w:rPr>
            </w:pPr>
          </w:p>
        </w:tc>
      </w:tr>
      <w:tr>
        <w:trPr>
          <w:trHeight w:val="74"/>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40"/>
              <w:spacing w:after="0"/>
              <w:rPr>
                <w:sz w:val="20"/>
                <w:szCs w:val="20"/>
                <w:color w:val="auto"/>
              </w:rPr>
            </w:pPr>
            <w:r>
              <w:rPr>
                <w:rFonts w:ascii="Arial" w:cs="Arial" w:eastAsia="Arial" w:hAnsi="Arial"/>
                <w:sz w:val="16"/>
                <w:szCs w:val="16"/>
                <w:color w:val="auto"/>
              </w:rPr>
              <w:t>US</w:t>
            </w:r>
          </w:p>
        </w:tc>
        <w:tc>
          <w:tcPr>
            <w:tcW w:w="890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74"/>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5"/>
        </w:trPr>
        <w:tc>
          <w:tcPr>
            <w:tcW w:w="2520" w:type="dxa"/>
            <w:vAlign w:val="bottom"/>
          </w:tcPr>
          <w:p>
            <w:pPr>
              <w:spacing w:after="0"/>
              <w:rPr>
                <w:sz w:val="24"/>
                <w:szCs w:val="24"/>
                <w:color w:val="auto"/>
              </w:rPr>
            </w:pPr>
          </w:p>
        </w:tc>
        <w:tc>
          <w:tcPr>
            <w:tcW w:w="8900" w:type="dxa"/>
            <w:vAlign w:val="bottom"/>
          </w:tcPr>
          <w:p>
            <w:pPr>
              <w:ind w:left="3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47"/>
        </w:trPr>
        <w:tc>
          <w:tcPr>
            <w:tcW w:w="7720" w:type="dxa"/>
            <w:vAlign w:val="bottom"/>
            <w:gridSpan w:val="3"/>
          </w:tcPr>
          <w:p>
            <w:pPr>
              <w:spacing w:after="0"/>
              <w:rPr>
                <w:sz w:val="20"/>
                <w:szCs w:val="20"/>
                <w:color w:val="auto"/>
              </w:rPr>
            </w:pPr>
            <w:r>
              <w:rPr>
                <w:rFonts w:ascii="Arial" w:cs="Arial" w:eastAsia="Arial" w:hAnsi="Arial"/>
                <w:sz w:val="16"/>
                <w:szCs w:val="16"/>
                <w:b w:val="1"/>
                <w:bCs w:val="1"/>
                <w:color w:val="auto"/>
              </w:rPr>
              <w:t>PART I. FINANCIAL INFORMATION</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8"/>
        </w:trPr>
        <w:tc>
          <w:tcPr>
            <w:tcW w:w="7720" w:type="dxa"/>
            <w:vAlign w:val="bottom"/>
            <w:gridSpan w:val="3"/>
          </w:tcPr>
          <w:p>
            <w:pPr>
              <w:spacing w:after="0"/>
              <w:rPr>
                <w:sz w:val="20"/>
                <w:szCs w:val="20"/>
                <w:color w:val="auto"/>
              </w:rPr>
            </w:pPr>
            <w:r>
              <w:rPr>
                <w:rFonts w:ascii="Arial" w:cs="Arial" w:eastAsia="Arial" w:hAnsi="Arial"/>
                <w:sz w:val="16"/>
                <w:szCs w:val="16"/>
                <w:b w:val="1"/>
                <w:bCs w:val="1"/>
                <w:color w:val="auto"/>
              </w:rPr>
              <w:t>Item 1. Condensed Consolidated Financial Statements</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53"/>
        </w:trPr>
        <w:tc>
          <w:tcPr>
            <w:tcW w:w="7720" w:type="dxa"/>
            <w:vAlign w:val="bottom"/>
            <w:gridSpan w:val="3"/>
          </w:tcPr>
          <w:p>
            <w:pPr>
              <w:spacing w:after="0"/>
              <w:rPr>
                <w:sz w:val="20"/>
                <w:szCs w:val="20"/>
                <w:color w:val="auto"/>
              </w:rPr>
            </w:pPr>
            <w:r>
              <w:rPr>
                <w:rFonts w:ascii="Arial" w:cs="Arial" w:eastAsia="Arial" w:hAnsi="Arial"/>
                <w:sz w:val="16"/>
                <w:szCs w:val="16"/>
                <w:b w:val="1"/>
                <w:bCs w:val="1"/>
                <w:color w:val="auto"/>
              </w:rPr>
              <w:t>Winnebago Industries, Inc.</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9"/>
        </w:trPr>
        <w:tc>
          <w:tcPr>
            <w:tcW w:w="7720" w:type="dxa"/>
            <w:vAlign w:val="bottom"/>
            <w:gridSpan w:val="3"/>
          </w:tcPr>
          <w:p>
            <w:pPr>
              <w:spacing w:after="0"/>
              <w:rPr>
                <w:sz w:val="20"/>
                <w:szCs w:val="20"/>
                <w:color w:val="auto"/>
              </w:rPr>
            </w:pPr>
            <w:r>
              <w:rPr>
                <w:rFonts w:ascii="Arial" w:cs="Arial" w:eastAsia="Arial" w:hAnsi="Arial"/>
                <w:sz w:val="16"/>
                <w:szCs w:val="16"/>
                <w:b w:val="1"/>
                <w:bCs w:val="1"/>
                <w:color w:val="auto"/>
              </w:rPr>
              <w:t>Condensed Consolidated Statements of Income and Comprehensive Income</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5"/>
        </w:trPr>
        <w:tc>
          <w:tcPr>
            <w:tcW w:w="7720" w:type="dxa"/>
            <w:vAlign w:val="bottom"/>
            <w:gridSpan w:val="3"/>
          </w:tcPr>
          <w:p>
            <w:pPr>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126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25,</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76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r>
      <w:tr>
        <w:trPr>
          <w:trHeight w:val="257"/>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450,021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245,308</w:t>
            </w:r>
          </w:p>
        </w:tc>
      </w:tr>
      <w:tr>
        <w:trPr>
          <w:trHeight w:val="264"/>
        </w:trPr>
        <w:tc>
          <w:tcPr>
            <w:tcW w:w="7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387,190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216,433</w:t>
            </w:r>
          </w:p>
        </w:tc>
      </w:tr>
      <w:tr>
        <w:trPr>
          <w:trHeight w:val="257"/>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62,831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28,875</w:t>
            </w:r>
          </w:p>
        </w:tc>
      </w:tr>
      <w:tr>
        <w:trPr>
          <w:trHeight w:val="254"/>
        </w:trPr>
        <w:tc>
          <w:tcPr>
            <w:tcW w:w="7720" w:type="dxa"/>
            <w:vAlign w:val="bottom"/>
            <w:gridSpan w:val="3"/>
          </w:tcPr>
          <w:p>
            <w:pPr>
              <w:ind w:left="40"/>
              <w:spacing w:after="0"/>
              <w:rPr>
                <w:sz w:val="20"/>
                <w:szCs w:val="20"/>
                <w:color w:val="auto"/>
              </w:rPr>
            </w:pPr>
            <w:r>
              <w:rPr>
                <w:rFonts w:ascii="Arial" w:cs="Arial" w:eastAsia="Arial" w:hAnsi="Arial"/>
                <w:sz w:val="16"/>
                <w:szCs w:val="16"/>
                <w:color w:val="auto"/>
              </w:rPr>
              <w:t>SG&amp;A:</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12,134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5,870</w:t>
            </w:r>
          </w:p>
        </w:tc>
      </w:tr>
      <w:tr>
        <w:trPr>
          <w:trHeight w:val="260"/>
        </w:trPr>
        <w:tc>
          <w:tcPr>
            <w:tcW w:w="7720" w:type="dxa"/>
            <w:vAlign w:val="bottom"/>
            <w:gridSpan w:val="3"/>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17,416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9,906</w:t>
            </w:r>
          </w:p>
        </w:tc>
      </w:tr>
      <w:tr>
        <w:trPr>
          <w:trHeight w:val="280"/>
        </w:trPr>
        <w:tc>
          <w:tcPr>
            <w:tcW w:w="77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2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(12,813)</w:t>
            </w:r>
          </w:p>
        </w:tc>
      </w:tr>
      <w:tr>
        <w:trPr>
          <w:trHeight w:val="260"/>
        </w:trPr>
        <w:tc>
          <w:tcPr>
            <w:tcW w:w="7720" w:type="dxa"/>
            <w:vAlign w:val="bottom"/>
            <w:gridSpan w:val="3"/>
          </w:tcPr>
          <w:p>
            <w:pPr>
              <w:ind w:left="28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5,462</w:t>
            </w:r>
          </w:p>
        </w:tc>
      </w:tr>
      <w:tr>
        <w:trPr>
          <w:trHeight w:val="273"/>
        </w:trPr>
        <w:tc>
          <w:tcPr>
            <w:tcW w:w="77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2,051</w:t>
            </w:r>
          </w:p>
        </w:tc>
      </w:tr>
      <w:tr>
        <w:trPr>
          <w:trHeight w:val="250"/>
        </w:trPr>
        <w:tc>
          <w:tcPr>
            <w:tcW w:w="7720" w:type="dxa"/>
            <w:vAlign w:val="bottom"/>
            <w:tcBorders>
              <w:bottom w:val="single" w:sz="8" w:color="CCEEFF"/>
            </w:tcBorders>
            <w:gridSpan w:val="3"/>
          </w:tcPr>
          <w:p>
            <w:pPr>
              <w:ind w:left="280"/>
              <w:spacing w:after="0"/>
              <w:rPr>
                <w:sz w:val="20"/>
                <w:szCs w:val="20"/>
                <w:color w:val="auto"/>
              </w:rPr>
            </w:pPr>
            <w:r>
              <w:rPr>
                <w:rFonts w:ascii="Arial" w:cs="Arial" w:eastAsia="Arial" w:hAnsi="Arial"/>
                <w:sz w:val="16"/>
                <w:szCs w:val="16"/>
                <w:color w:val="auto"/>
              </w:rPr>
              <w:t>Total SG&amp;A</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31,655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10,476</w:t>
            </w:r>
          </w:p>
        </w:tc>
      </w:tr>
      <w:tr>
        <w:trPr>
          <w:trHeight w:val="257"/>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31,176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18,399</w:t>
            </w:r>
          </w:p>
        </w:tc>
      </w:tr>
      <w:tr>
        <w:trPr>
          <w:trHeight w:val="260"/>
        </w:trPr>
        <w:tc>
          <w:tcPr>
            <w:tcW w:w="7720" w:type="dxa"/>
            <w:vAlign w:val="bottom"/>
            <w:gridSpan w:val="3"/>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4,781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1,128</w:t>
            </w:r>
          </w:p>
        </w:tc>
      </w:tr>
      <w:tr>
        <w:trPr>
          <w:trHeight w:val="273"/>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(87)</w:t>
            </w:r>
          </w:p>
        </w:tc>
      </w:tr>
      <w:tr>
        <w:trPr>
          <w:trHeight w:val="247"/>
        </w:trPr>
        <w:tc>
          <w:tcPr>
            <w:tcW w:w="7720" w:type="dxa"/>
            <w:vAlign w:val="bottom"/>
            <w:gridSpan w:val="3"/>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26,518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17,358</w:t>
            </w:r>
          </w:p>
        </w:tc>
      </w:tr>
      <w:tr>
        <w:trPr>
          <w:trHeight w:val="273"/>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8,560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5,620</w:t>
            </w:r>
          </w:p>
        </w:tc>
      </w:tr>
      <w:tr>
        <w:trPr>
          <w:trHeight w:val="280"/>
        </w:trPr>
        <w:tc>
          <w:tcPr>
            <w:tcW w:w="7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17,958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11,738</w:t>
            </w:r>
          </w:p>
        </w:tc>
      </w:tr>
      <w:tr>
        <w:trPr>
          <w:trHeight w:val="281"/>
        </w:trPr>
        <w:tc>
          <w:tcPr>
            <w:tcW w:w="126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3"/>
          </w:tcPr>
          <w:p>
            <w:pPr>
              <w:ind w:left="40"/>
              <w:spacing w:after="0"/>
              <w:rPr>
                <w:sz w:val="20"/>
                <w:szCs w:val="20"/>
                <w:color w:val="auto"/>
              </w:rPr>
            </w:pPr>
            <w:r>
              <w:rPr>
                <w:rFonts w:ascii="Arial" w:cs="Arial" w:eastAsia="Arial" w:hAnsi="Arial"/>
                <w:sz w:val="16"/>
                <w:szCs w:val="16"/>
                <w:color w:val="auto"/>
              </w:rPr>
              <w:t>Income per common share:</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0.42</w:t>
            </w:r>
          </w:p>
        </w:tc>
      </w:tr>
      <w:tr>
        <w:trPr>
          <w:trHeight w:val="260"/>
        </w:trPr>
        <w:tc>
          <w:tcPr>
            <w:tcW w:w="7720" w:type="dxa"/>
            <w:vAlign w:val="bottom"/>
            <w:gridSpan w:val="3"/>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0.42</w:t>
            </w:r>
          </w:p>
        </w:tc>
      </w:tr>
      <w:tr>
        <w:trPr>
          <w:trHeight w:val="307"/>
        </w:trPr>
        <w:tc>
          <w:tcPr>
            <w:tcW w:w="126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3"/>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31,614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27,836</w:t>
            </w:r>
          </w:p>
        </w:tc>
      </w:tr>
      <w:tr>
        <w:trPr>
          <w:trHeight w:val="260"/>
        </w:trPr>
        <w:tc>
          <w:tcPr>
            <w:tcW w:w="7720" w:type="dxa"/>
            <w:vAlign w:val="bottom"/>
            <w:gridSpan w:val="3"/>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31,772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27,969</w:t>
            </w:r>
          </w:p>
        </w:tc>
      </w:tr>
      <w:tr>
        <w:trPr>
          <w:trHeight w:val="307"/>
        </w:trPr>
        <w:tc>
          <w:tcPr>
            <w:tcW w:w="126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3"/>
          </w:tcPr>
          <w:p>
            <w:pPr>
              <w:ind w:left="40"/>
              <w:spacing w:after="0"/>
              <w:rPr>
                <w:sz w:val="20"/>
                <w:szCs w:val="20"/>
                <w:color w:val="auto"/>
              </w:rPr>
            </w:pPr>
            <w:r>
              <w:rPr>
                <w:rFonts w:ascii="Arial" w:cs="Arial" w:eastAsia="Arial" w:hAnsi="Arial"/>
                <w:sz w:val="16"/>
                <w:szCs w:val="16"/>
                <w:color w:val="auto"/>
              </w:rPr>
              <w:t>Dividends paid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0.10</w:t>
            </w:r>
          </w:p>
        </w:tc>
      </w:tr>
      <w:tr>
        <w:trPr>
          <w:trHeight w:val="307"/>
        </w:trPr>
        <w:tc>
          <w:tcPr>
            <w:tcW w:w="126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17,958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11,738</w:t>
            </w:r>
          </w:p>
        </w:tc>
      </w:tr>
      <w:tr>
        <w:trPr>
          <w:trHeight w:val="280"/>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18"/>
        </w:trPr>
        <w:tc>
          <w:tcPr>
            <w:tcW w:w="7720" w:type="dxa"/>
            <w:vAlign w:val="bottom"/>
            <w:gridSpan w:val="3"/>
          </w:tcPr>
          <w:p>
            <w:pPr>
              <w:ind w:left="28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4"/>
        </w:trPr>
        <w:tc>
          <w:tcPr>
            <w:tcW w:w="7720" w:type="dxa"/>
            <w:vAlign w:val="bottom"/>
            <w:gridSpan w:val="3"/>
          </w:tcPr>
          <w:p>
            <w:pPr>
              <w:ind w:left="360"/>
              <w:spacing w:after="0"/>
              <w:rPr>
                <w:sz w:val="20"/>
                <w:szCs w:val="20"/>
                <w:color w:val="auto"/>
              </w:rPr>
            </w:pPr>
            <w:r>
              <w:rPr>
                <w:rFonts w:ascii="Arial" w:cs="Arial" w:eastAsia="Arial" w:hAnsi="Arial"/>
                <w:sz w:val="16"/>
                <w:szCs w:val="16"/>
                <w:color w:val="auto"/>
              </w:rPr>
              <w:t>(net of tax of $0 and $7,914)</w:t>
            </w:r>
          </w:p>
        </w:tc>
        <w:tc>
          <w:tcPr>
            <w:tcW w:w="240" w:type="dxa"/>
            <w:vAlign w:val="bottom"/>
          </w:tcPr>
          <w:p>
            <w:pPr>
              <w:spacing w:after="0"/>
              <w:rPr>
                <w:sz w:val="17"/>
                <w:szCs w:val="17"/>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(12,858)</w:t>
            </w:r>
          </w:p>
        </w:tc>
      </w:tr>
      <w:tr>
        <w:trPr>
          <w:trHeight w:val="228"/>
        </w:trPr>
        <w:tc>
          <w:tcPr>
            <w:tcW w:w="77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4"/>
        </w:trPr>
        <w:tc>
          <w:tcPr>
            <w:tcW w:w="772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(net of tax of $4 and $3,036)</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4,932</w:t>
            </w:r>
          </w:p>
        </w:tc>
      </w:tr>
      <w:tr>
        <w:trPr>
          <w:trHeight w:val="218"/>
        </w:trPr>
        <w:tc>
          <w:tcPr>
            <w:tcW w:w="7720" w:type="dxa"/>
            <w:vAlign w:val="bottom"/>
            <w:gridSpan w:val="3"/>
          </w:tcPr>
          <w:p>
            <w:pPr>
              <w:ind w:left="280"/>
              <w:spacing w:after="0"/>
              <w:rPr>
                <w:sz w:val="20"/>
                <w:szCs w:val="20"/>
                <w:color w:val="auto"/>
              </w:rPr>
            </w:pPr>
            <w:r>
              <w:rPr>
                <w:rFonts w:ascii="Arial" w:cs="Arial" w:eastAsia="Arial" w:hAnsi="Arial"/>
                <w:sz w:val="16"/>
                <w:szCs w:val="16"/>
                <w:color w:val="auto"/>
              </w:rPr>
              <w:t>Plan amendment</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4"/>
        </w:trPr>
        <w:tc>
          <w:tcPr>
            <w:tcW w:w="7720" w:type="dxa"/>
            <w:vAlign w:val="bottom"/>
            <w:gridSpan w:val="3"/>
          </w:tcPr>
          <w:p>
            <w:pPr>
              <w:ind w:left="360"/>
              <w:spacing w:after="0"/>
              <w:rPr>
                <w:sz w:val="20"/>
                <w:szCs w:val="20"/>
                <w:color w:val="auto"/>
              </w:rPr>
            </w:pPr>
            <w:r>
              <w:rPr>
                <w:rFonts w:ascii="Arial" w:cs="Arial" w:eastAsia="Arial" w:hAnsi="Arial"/>
                <w:sz w:val="16"/>
                <w:szCs w:val="16"/>
                <w:color w:val="auto"/>
              </w:rPr>
              <w:t>(net of tax of $0 and $2,402)</w:t>
            </w:r>
          </w:p>
        </w:tc>
        <w:tc>
          <w:tcPr>
            <w:tcW w:w="240" w:type="dxa"/>
            <w:vAlign w:val="bottom"/>
          </w:tcPr>
          <w:p>
            <w:pPr>
              <w:spacing w:after="0"/>
              <w:rPr>
                <w:sz w:val="17"/>
                <w:szCs w:val="17"/>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3,903</w:t>
            </w:r>
          </w:p>
        </w:tc>
      </w:tr>
      <w:tr>
        <w:trPr>
          <w:trHeight w:val="228"/>
        </w:trPr>
        <w:tc>
          <w:tcPr>
            <w:tcW w:w="77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Change in fair value of interest rate swap</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08"/>
        </w:trPr>
        <w:tc>
          <w:tcPr>
            <w:tcW w:w="772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(net of tax of $387 and $0)</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50"/>
        </w:trPr>
        <w:tc>
          <w:tcPr>
            <w:tcW w:w="7720" w:type="dxa"/>
            <w:vAlign w:val="bottom"/>
            <w:tcBorders>
              <w:bottom w:val="single" w:sz="8" w:color="CCEEFF"/>
            </w:tcBorders>
            <w:gridSpan w:val="3"/>
          </w:tcPr>
          <w:p>
            <w:pPr>
              <w:ind w:left="280"/>
              <w:spacing w:after="0"/>
              <w:rPr>
                <w:sz w:val="20"/>
                <w:szCs w:val="20"/>
                <w:color w:val="auto"/>
              </w:rPr>
            </w:pPr>
            <w:r>
              <w:rPr>
                <w:rFonts w:ascii="Arial" w:cs="Arial" w:eastAsia="Arial" w:hAnsi="Arial"/>
                <w:sz w:val="16"/>
                <w:szCs w:val="16"/>
                <w:color w:val="auto"/>
              </w:rPr>
              <w:t>Total other comprehensive income (loss)</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(4,023)</w:t>
            </w:r>
          </w:p>
        </w:tc>
      </w:tr>
      <w:tr>
        <w:trPr>
          <w:trHeight w:val="240"/>
        </w:trPr>
        <w:tc>
          <w:tcPr>
            <w:tcW w:w="7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18,598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7,715</w:t>
            </w:r>
          </w:p>
        </w:tc>
      </w:tr>
      <w:tr>
        <w:trPr>
          <w:trHeight w:val="20"/>
        </w:trPr>
        <w:tc>
          <w:tcPr>
            <w:tcW w:w="12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November 25,</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2017</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54,468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35,945</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($176 and $183)</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116,798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124,539</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151,787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142,265</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12,359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11,388</w:t>
            </w:r>
          </w:p>
        </w:tc>
      </w:tr>
      <w:tr>
        <w:trPr>
          <w:trHeight w:val="25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335,412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314,137</w:t>
            </w:r>
          </w:p>
        </w:tc>
      </w:tr>
      <w:tr>
        <w:trPr>
          <w:trHeight w:val="24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1"/>
                <w:szCs w:val="21"/>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74,113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71,560</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244,684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242,728</w:t>
            </w:r>
          </w:p>
        </w:tc>
      </w:tr>
      <w:tr>
        <w:trPr>
          <w:trHeight w:val="280"/>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226,385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228,440</w:t>
            </w:r>
          </w:p>
        </w:tc>
      </w:tr>
      <w:tr>
        <w:trPr>
          <w:trHeight w:val="260"/>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Investment in life insurance</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27,634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27,418</w:t>
            </w:r>
          </w:p>
        </w:tc>
      </w:tr>
      <w:tr>
        <w:trPr>
          <w:trHeight w:val="280"/>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10,680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12,736</w:t>
            </w:r>
          </w:p>
        </w:tc>
      </w:tr>
      <w:tr>
        <w:trPr>
          <w:trHeight w:val="264"/>
        </w:trPr>
        <w:tc>
          <w:tcPr>
            <w:tcW w:w="7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5,942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5,493</w:t>
            </w:r>
          </w:p>
        </w:tc>
      </w:tr>
      <w:tr>
        <w:trPr>
          <w:trHeight w:val="240"/>
        </w:trPr>
        <w:tc>
          <w:tcPr>
            <w:tcW w:w="7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924,850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902,512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76,109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79,194</w:t>
            </w:r>
          </w:p>
        </w:tc>
      </w:tr>
      <w:tr>
        <w:trPr>
          <w:trHeight w:val="263"/>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2,342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8"/>
                <w:szCs w:val="18"/>
                <w:color w:val="auto"/>
              </w:rPr>
              <w:t>2,850</w:t>
            </w:r>
          </w:p>
        </w:tc>
      </w:tr>
      <w:tr>
        <w:trPr>
          <w:trHeight w:val="277"/>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13,869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7,450</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23,004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24,546</w:t>
            </w:r>
          </w:p>
        </w:tc>
      </w:tr>
      <w:tr>
        <w:trPr>
          <w:trHeight w:val="260"/>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Product warranties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32,500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30,805</w:t>
            </w: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Self-insurance</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6,157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6,122</w:t>
            </w:r>
          </w:p>
        </w:tc>
      </w:tr>
      <w:tr>
        <w:trPr>
          <w:trHeight w:val="260"/>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Promotional</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9,741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6,560</w:t>
            </w: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Accrued interest</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3,065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3,128</w:t>
            </w:r>
          </w:p>
        </w:tc>
      </w:tr>
      <w:tr>
        <w:trPr>
          <w:trHeight w:val="260"/>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Accrued dividend</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3,187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73"/>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8,546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6,503</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178,520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167,158</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Long-term debt, less current maturities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268,421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271,726</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1,634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1,606</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Deferred compensation benefits, net of current portion</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19,394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19,270</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1,078</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289,699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293,680</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18"/>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Capital stock common (par value $0.50;</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4"/>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authorized 60,000 shares, issued 51,776 shares)</w:t>
            </w:r>
          </w:p>
        </w:tc>
        <w:tc>
          <w:tcPr>
            <w:tcW w:w="260" w:type="dxa"/>
            <w:vAlign w:val="bottom"/>
          </w:tcPr>
          <w:p>
            <w:pPr>
              <w:spacing w:after="0"/>
              <w:rPr>
                <w:sz w:val="17"/>
                <w:szCs w:val="17"/>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25,888</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80,040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80,401</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693,909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679,138</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(1,023)</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Treasury stock, at cost (20,140 and 20,183 shares)</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(342,823)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(342,730)</w:t>
            </w:r>
          </w:p>
        </w:tc>
      </w:tr>
      <w:tr>
        <w:trPr>
          <w:trHeight w:val="250"/>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456,631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441,674</w:t>
            </w:r>
          </w:p>
        </w:tc>
      </w:tr>
      <w:tr>
        <w:trPr>
          <w:trHeight w:val="240"/>
        </w:trPr>
        <w:tc>
          <w:tcPr>
            <w:tcW w:w="7280" w:type="dxa"/>
            <w:vAlign w:val="bottom"/>
            <w:gridSpan w:val="2"/>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924,850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902,512</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21"/>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9"/>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5"/>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126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25,</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77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17,958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11,738</w:t>
            </w:r>
          </w:p>
        </w:tc>
      </w:tr>
      <w:tr>
        <w:trPr>
          <w:trHeight w:val="28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2,130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1,580</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2,051</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Amortization of debt issuance costs</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78</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299</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821</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(1,613)</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Deferred compensation expense and postretirement benefit income</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(12,471)</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(271)</w:t>
            </w: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(9,821)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(17,923)</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Receivables, prepaid and other assets</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6,739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16,080</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8,200</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(7,977)</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(742)</w:t>
            </w:r>
          </w:p>
        </w:tc>
      </w:tr>
      <w:tr>
        <w:trPr>
          <w:trHeight w:val="25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29,458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(150)</w:t>
            </w:r>
          </w:p>
        </w:tc>
      </w:tr>
      <w:tr>
        <w:trPr>
          <w:trHeight w:val="284"/>
        </w:trPr>
        <w:tc>
          <w:tcPr>
            <w:tcW w:w="1260" w:type="dxa"/>
            <w:vAlign w:val="bottom"/>
            <w:shd w:val="clear" w:color="auto" w:fill="CCEEFF"/>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(3,562)</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2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(394,835)</w:t>
            </w:r>
          </w:p>
        </w:tc>
      </w:tr>
      <w:tr>
        <w:trPr>
          <w:trHeight w:val="264"/>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901</w:t>
            </w:r>
          </w:p>
        </w:tc>
      </w:tr>
      <w:tr>
        <w:trPr>
          <w:trHeight w:val="25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(5,322)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(397,496)</w:t>
            </w:r>
          </w:p>
        </w:tc>
      </w:tr>
      <w:tr>
        <w:trPr>
          <w:trHeight w:val="284"/>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(1,318)</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of cash dividends</w:t>
            </w:r>
          </w:p>
        </w:tc>
        <w:tc>
          <w:tcPr>
            <w:tcW w:w="2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(3,185)</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Payments of debt issuance costs</w:t>
            </w:r>
          </w:p>
        </w:tc>
        <w:tc>
          <w:tcPr>
            <w:tcW w:w="240" w:type="dxa"/>
            <w:vAlign w:val="bottom"/>
          </w:tcPr>
          <w:p>
            <w:pPr>
              <w:spacing w:after="0"/>
              <w:rPr>
                <w:sz w:val="22"/>
                <w:szCs w:val="22"/>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(10,758)</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Borrowings on credit facility</w:t>
            </w:r>
          </w:p>
        </w:tc>
        <w:tc>
          <w:tcPr>
            <w:tcW w:w="2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353,000</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Repayments of credit facility</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(92)</w:t>
            </w:r>
          </w:p>
        </w:tc>
      </w:tr>
      <w:tr>
        <w:trPr>
          <w:trHeight w:val="25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(5,613)</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337,647</w:t>
            </w:r>
          </w:p>
        </w:tc>
      </w:tr>
      <w:tr>
        <w:trPr>
          <w:trHeight w:val="284"/>
        </w:trPr>
        <w:tc>
          <w:tcPr>
            <w:tcW w:w="1260" w:type="dxa"/>
            <w:vAlign w:val="bottom"/>
            <w:shd w:val="clear" w:color="auto" w:fill="CCEEFF"/>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18,523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(59,999)</w:t>
            </w:r>
          </w:p>
        </w:tc>
      </w:tr>
      <w:tr>
        <w:trPr>
          <w:trHeight w:val="273"/>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35,945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85,583</w:t>
            </w:r>
          </w:p>
        </w:tc>
      </w:tr>
      <w:tr>
        <w:trPr>
          <w:trHeight w:val="28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54,468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25,584</w:t>
            </w:r>
          </w:p>
        </w:tc>
      </w:tr>
      <w:tr>
        <w:trPr>
          <w:trHeight w:val="267"/>
        </w:trPr>
        <w:tc>
          <w:tcPr>
            <w:tcW w:w="1260" w:type="dxa"/>
            <w:vAlign w:val="bottom"/>
            <w:shd w:val="clear" w:color="auto" w:fill="CCEEFF"/>
          </w:tcPr>
          <w:p>
            <w:pPr>
              <w:spacing w:after="0"/>
              <w:rPr>
                <w:sz w:val="23"/>
                <w:szCs w:val="23"/>
                <w:color w:val="auto"/>
              </w:rPr>
            </w:pPr>
          </w:p>
        </w:tc>
        <w:tc>
          <w:tcPr>
            <w:tcW w:w="6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Supplemental cash flow disclosure:</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121</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Interest paid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4,548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Issuance of Winnebago common stock for acquisition of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124,066</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695</w:t>
            </w:r>
          </w:p>
        </w:tc>
      </w:tr>
      <w:tr>
        <w:trPr>
          <w:trHeight w:val="251"/>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Accrued dividend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3,187</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18" w:right="239" w:bottom="1079"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079"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772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21"/>
        </w:trPr>
        <w:tc>
          <w:tcPr>
            <w:tcW w:w="7720" w:type="dxa"/>
            <w:vAlign w:val="bottom"/>
            <w:gridSpan w:val="3"/>
          </w:tcPr>
          <w:p>
            <w:pPr>
              <w:spacing w:after="0"/>
              <w:rPr>
                <w:sz w:val="20"/>
                <w:szCs w:val="20"/>
                <w:color w:val="auto"/>
              </w:rPr>
            </w:pPr>
            <w:r>
              <w:rPr>
                <w:rFonts w:ascii="Arial" w:cs="Arial" w:eastAsia="Arial" w:hAnsi="Arial"/>
                <w:sz w:val="16"/>
                <w:szCs w:val="16"/>
                <w:b w:val="1"/>
                <w:bCs w:val="1"/>
                <w:color w:val="auto"/>
              </w:rPr>
              <w:t>Winnebago Industries, Inc.</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9"/>
        </w:trPr>
        <w:tc>
          <w:tcPr>
            <w:tcW w:w="7720" w:type="dxa"/>
            <w:vAlign w:val="bottom"/>
            <w:gridSpan w:val="3"/>
          </w:tcPr>
          <w:p>
            <w:pPr>
              <w:spacing w:after="0"/>
              <w:rPr>
                <w:sz w:val="20"/>
                <w:szCs w:val="20"/>
                <w:color w:val="auto"/>
              </w:rPr>
            </w:pPr>
            <w:r>
              <w:rPr>
                <w:rFonts w:ascii="Arial" w:cs="Arial" w:eastAsia="Arial" w:hAnsi="Arial"/>
                <w:sz w:val="16"/>
                <w:szCs w:val="16"/>
                <w:b w:val="1"/>
                <w:bCs w:val="1"/>
                <w:color w:val="auto"/>
              </w:rPr>
              <w:t>Condensed Consolidated Stockholders' Statement of Equity</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5"/>
        </w:trPr>
        <w:tc>
          <w:tcPr>
            <w:tcW w:w="7720" w:type="dxa"/>
            <w:vAlign w:val="bottom"/>
            <w:gridSpan w:val="3"/>
          </w:tcPr>
          <w:p>
            <w:pPr>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126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25,</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76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r>
      <w:tr>
        <w:trPr>
          <w:trHeight w:val="270"/>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 and paid-in capital</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3"/>
          </w:tcPr>
          <w:p>
            <w:pPr>
              <w:ind w:left="40"/>
              <w:spacing w:after="0"/>
              <w:rPr>
                <w:sz w:val="20"/>
                <w:szCs w:val="20"/>
                <w:color w:val="auto"/>
              </w:rPr>
            </w:pPr>
            <w:r>
              <w:rPr>
                <w:rFonts w:ascii="Arial" w:cs="Arial" w:eastAsia="Arial" w:hAnsi="Arial"/>
                <w:sz w:val="16"/>
                <w:szCs w:val="16"/>
                <w:color w:val="auto"/>
              </w:rPr>
              <w:t>Balance, beginning of period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106,289</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58,605</w:t>
            </w:r>
          </w:p>
        </w:tc>
      </w:tr>
      <w:tr>
        <w:trPr>
          <w:trHeight w:val="280"/>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Issuance of common stock</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45,419</w:t>
            </w:r>
          </w:p>
        </w:tc>
      </w:tr>
      <w:tr>
        <w:trPr>
          <w:trHeight w:val="264"/>
        </w:trPr>
        <w:tc>
          <w:tcPr>
            <w:tcW w:w="7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804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805</w:t>
            </w:r>
          </w:p>
        </w:tc>
      </w:tr>
      <w:tr>
        <w:trPr>
          <w:trHeight w:val="250"/>
        </w:trPr>
        <w:tc>
          <w:tcPr>
            <w:tcW w:w="77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105,928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104,829</w:t>
            </w:r>
          </w:p>
        </w:tc>
      </w:tr>
      <w:tr>
        <w:trPr>
          <w:trHeight w:val="270"/>
        </w:trPr>
        <w:tc>
          <w:tcPr>
            <w:tcW w:w="126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Retained earnings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3"/>
          </w:tcPr>
          <w:p>
            <w:pPr>
              <w:ind w:left="40"/>
              <w:spacing w:after="0"/>
              <w:rPr>
                <w:sz w:val="20"/>
                <w:szCs w:val="20"/>
                <w:color w:val="auto"/>
              </w:rPr>
            </w:pPr>
            <w:r>
              <w:rPr>
                <w:rFonts w:ascii="Arial" w:cs="Arial" w:eastAsia="Arial" w:hAnsi="Arial"/>
                <w:sz w:val="16"/>
                <w:szCs w:val="16"/>
                <w:color w:val="auto"/>
              </w:rPr>
              <w:t>Balance, beginning of period</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679,138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620,546</w:t>
            </w:r>
          </w:p>
        </w:tc>
      </w:tr>
      <w:tr>
        <w:trPr>
          <w:trHeight w:val="280"/>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17,958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11,738</w:t>
            </w:r>
          </w:p>
        </w:tc>
      </w:tr>
      <w:tr>
        <w:trPr>
          <w:trHeight w:val="264"/>
        </w:trPr>
        <w:tc>
          <w:tcPr>
            <w:tcW w:w="7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Common stock dividends</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(3,187)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(3,185)</w:t>
            </w:r>
          </w:p>
        </w:tc>
      </w:tr>
      <w:tr>
        <w:trPr>
          <w:trHeight w:val="250"/>
        </w:trPr>
        <w:tc>
          <w:tcPr>
            <w:tcW w:w="77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693,909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629,099</w:t>
            </w:r>
          </w:p>
        </w:tc>
      </w:tr>
      <w:tr>
        <w:trPr>
          <w:trHeight w:val="297"/>
        </w:trPr>
        <w:tc>
          <w:tcPr>
            <w:tcW w:w="1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comprehensive income (loss)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3"/>
          </w:tcPr>
          <w:p>
            <w:pPr>
              <w:ind w:left="40"/>
              <w:spacing w:after="0"/>
              <w:rPr>
                <w:sz w:val="20"/>
                <w:szCs w:val="20"/>
                <w:color w:val="auto"/>
              </w:rPr>
            </w:pPr>
            <w:r>
              <w:rPr>
                <w:rFonts w:ascii="Arial" w:cs="Arial" w:eastAsia="Arial" w:hAnsi="Arial"/>
                <w:sz w:val="16"/>
                <w:szCs w:val="16"/>
                <w:color w:val="auto"/>
              </w:rPr>
              <w:t>Balance, beginning of period</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10,975</w:t>
            </w:r>
          </w:p>
        </w:tc>
      </w:tr>
      <w:tr>
        <w:trPr>
          <w:trHeight w:val="273"/>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(4,023)</w:t>
            </w:r>
          </w:p>
        </w:tc>
      </w:tr>
      <w:tr>
        <w:trPr>
          <w:trHeight w:val="250"/>
        </w:trPr>
        <w:tc>
          <w:tcPr>
            <w:tcW w:w="7720" w:type="dxa"/>
            <w:vAlign w:val="bottom"/>
            <w:tcBorders>
              <w:bottom w:val="single" w:sz="8" w:color="CCEEFF"/>
            </w:tcBorders>
            <w:gridSpan w:val="3"/>
          </w:tcPr>
          <w:p>
            <w:pPr>
              <w:ind w:left="28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6,952</w:t>
            </w:r>
          </w:p>
        </w:tc>
      </w:tr>
      <w:tr>
        <w:trPr>
          <w:trHeight w:val="297"/>
        </w:trPr>
        <w:tc>
          <w:tcPr>
            <w:tcW w:w="126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3"/>
          </w:tcPr>
          <w:p>
            <w:pPr>
              <w:ind w:left="40"/>
              <w:spacing w:after="0"/>
              <w:rPr>
                <w:sz w:val="20"/>
                <w:szCs w:val="20"/>
                <w:color w:val="auto"/>
              </w:rPr>
            </w:pPr>
            <w:r>
              <w:rPr>
                <w:rFonts w:ascii="Arial" w:cs="Arial" w:eastAsia="Arial" w:hAnsi="Arial"/>
                <w:sz w:val="16"/>
                <w:szCs w:val="16"/>
                <w:b w:val="1"/>
                <w:bCs w:val="1"/>
                <w:color w:val="auto"/>
              </w:rPr>
              <w:t>Treasury stock</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(342,730)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(421,767)</w:t>
            </w:r>
          </w:p>
        </w:tc>
      </w:tr>
      <w:tr>
        <w:trPr>
          <w:trHeight w:val="260"/>
        </w:trPr>
        <w:tc>
          <w:tcPr>
            <w:tcW w:w="7720" w:type="dxa"/>
            <w:vAlign w:val="bottom"/>
            <w:gridSpan w:val="3"/>
          </w:tcPr>
          <w:p>
            <w:pPr>
              <w:ind w:left="40"/>
              <w:spacing w:after="0"/>
              <w:rPr>
                <w:sz w:val="20"/>
                <w:szCs w:val="20"/>
                <w:color w:val="auto"/>
              </w:rPr>
            </w:pPr>
            <w:r>
              <w:rPr>
                <w:rFonts w:ascii="Arial" w:cs="Arial" w:eastAsia="Arial" w:hAnsi="Arial"/>
                <w:sz w:val="16"/>
                <w:szCs w:val="16"/>
                <w:color w:val="auto"/>
              </w:rPr>
              <w:t>Issuance of common stock</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79,664</w:t>
            </w:r>
          </w:p>
        </w:tc>
      </w:tr>
      <w:tr>
        <w:trPr>
          <w:trHeight w:val="273"/>
        </w:trPr>
        <w:tc>
          <w:tcPr>
            <w:tcW w:w="7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Common stock repurchased</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(1,363)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(1,318)</w:t>
            </w:r>
          </w:p>
        </w:tc>
      </w:tr>
      <w:tr>
        <w:trPr>
          <w:trHeight w:val="250"/>
        </w:trPr>
        <w:tc>
          <w:tcPr>
            <w:tcW w:w="7720" w:type="dxa"/>
            <w:vAlign w:val="bottom"/>
            <w:tcBorders>
              <w:bottom w:val="single" w:sz="8" w:color="CCEEFF"/>
            </w:tcBorders>
            <w:gridSpan w:val="3"/>
          </w:tcPr>
          <w:p>
            <w:pPr>
              <w:ind w:left="28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(342,823)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(343,421)</w:t>
            </w:r>
          </w:p>
        </w:tc>
      </w:tr>
      <w:tr>
        <w:trPr>
          <w:trHeight w:val="240"/>
        </w:trPr>
        <w:tc>
          <w:tcPr>
            <w:tcW w:w="7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456,631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397,459</w:t>
            </w:r>
          </w:p>
        </w:tc>
      </w:tr>
      <w:tr>
        <w:trPr>
          <w:trHeight w:val="20"/>
        </w:trPr>
        <w:tc>
          <w:tcPr>
            <w:tcW w:w="12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subsidiaries, as appropriate in the context.</w:t>
      </w:r>
    </w:p>
    <w:p>
      <w:pPr>
        <w:spacing w:after="0" w:line="16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primary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GAAP for interim financial information and with the instructions to Form 10-Q and Article 10 of Regulation S-X. As permitted under those rules, certain footnotes or other financial information that are normally required by GAAP can be condensed or omitted. In our opinion, the accompanying unaudited condensed consolidated financial statements contain all adjustments, consisting of normal recurring accruals, necessary to present fairly our consolidated financial position as of November 25, 2017 and the consolidated results of income and comprehensive income, consolidated cash flows and consolidated statement of equity for the first three months of Fiscal 2018 and 2017. The consolidated statement of income and comprehensive income for the first three months of Fiscal 2018 is not necessarily indicative of the results to be expected for the full year. These interim financial statements should be read in conjunction with the audited consolidated financial statements and notes thereto appearing in our Annual Report on Form 10-K for the fiscal year ended August 26, 2017.</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Both Fiscal 2018 and Fiscal 2017 are 52-week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which simplifies several aspects of the accounting for employee share-based payment transactions, including the accounting for the related income taxes, forfeitures, statutory tax withholding requirements and classification in the statement of cash flows. ASU 2016-09 is effective for annual reporting periods beginning after December 15, 2016 (our Fiscal 2018), including interim periods within those annual reporting periods. We adopted this ASU in the interim quarterly reporting period ended November 25, 2017. Amendments requiring recognition of excess tax benefits and tax deficiencies in the income statement resulted in $0.6 million of excess tax benefits recorded as a reduction of income tax expense for the three months ended November 25, 2017. The reduction in income tax expense also reduced the effective tax rate by 2.2% and added $0.02 to earnings per share for the quarter. Amendments related to the presentation of excess tax benefits and employee taxes paid when an employer withholds shares to meet the minimum statutory withholding requirement required no change to the statement of cash flows. There were no material impacts on the financial statements of the Company which adopted a policy of accounting for forfeitures when they occur.</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which requires inventory measured using any method other than last-in, first-out (“LIFO”) or the retail inventory method to be subsequently measured at the lower of cost or net realizable value, rather than at the lower of cost or market. Under this ASU, subsequent measurement of inventory using the LIFO and retail inventory method is unchanged. ASU 2015-11 is effective prospectively for fiscal years beginning after December 15, 2016 (our Fiscal 2018), including interim periods within those annual reporting periods. We adopted this ASU on August 27, 2017, and there was no material impact on our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establishes a comprehensive new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 Entities have the option of using either retrospective transition or a modified approach in applying the new standard. The standard is effective for fiscal years, and the interim periods within those years, beginning after December 15, 2017 (our Fiscal 2019).</w:t>
      </w:r>
    </w:p>
    <w:p>
      <w:pPr>
        <w:spacing w:after="0" w:line="1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performed an evaluation which included a review of representative contracts with key customers and the performance obligations contained therein, as well as a review of our commercial terms and practices across each of our segments. Based on our preliminary review, we do not expect adoption to have a material impact but further work to substantiate this preliminary conclusion is underway. We will determine the transition method to apply and the implications of using either the full retrospective or modified retrospective approach after this additional work is concluded.</w:t>
      </w:r>
    </w:p>
    <w:p>
      <w:pPr>
        <w:spacing w:after="0" w:line="16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an entity to recognize both assets and liabilities arising from financing and operating leases, along with additional qualitative and quantitative disclosures. The new standard is effective retrospectively or on a modified retrospective basis for fiscal years beginning after December 15, 2018 (our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Fiscal 2020), including interim periods within those annual reporting periods. Early adoption is permitted. We are currently evaluating the impact of adopting this ASU on our consolidated financial statements.</w:t>
      </w:r>
    </w:p>
    <w:p>
      <w:pPr>
        <w:spacing w:after="0" w:line="153"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Classification of Certain Cash Receipts and Cash Payments (Topic 230)</w:t>
      </w:r>
      <w:r>
        <w:rPr>
          <w:rFonts w:ascii="Arial" w:cs="Arial" w:eastAsia="Arial" w:hAnsi="Arial"/>
          <w:sz w:val="16"/>
          <w:szCs w:val="16"/>
          <w:color w:val="auto"/>
        </w:rPr>
        <w:t>, which provides guidance for eight specific cash flow issues with the objective of reducing the existing diversity in practice. ASU 2016-15 is effective retrospectively for annual reporting periods beginning after December 15, 2017 (our Fiscal 2019), including interim periods within those annual reporting periods. Early adoption is permitted. We are currently evaluating the impact of adopting this ASU on our consolidated financial statements and do not expect adoption to have a material impact.</w:t>
      </w:r>
    </w:p>
    <w:p>
      <w:pPr>
        <w:spacing w:after="0" w:line="154"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which improves the financial reporting of hedging relationships to better portray the economic results of an entity's risk management activities in its financial statements. ASU 2017-12 is effective for annual reporting periods beginning after December 15, 2018 (our Fiscal 2020), including interim periods within those annual reporting periods. Early adoption is permitted. We are currently evaluating the impact of adopting this ASU on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to Accounting Policy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Reporting Segments</w:t>
      </w:r>
    </w:p>
    <w:p>
      <w:pPr>
        <w:spacing w:after="0" w:line="2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have two reporting segments: (1) Motorized products and services and (2) Towable products and services. We aggregate two operating segments into the Towable reporting segment based upon their similar products, customers, distribution methods, production processes and economic characteristics. A new corporate allocation policy was adopted in the first quarter of Fiscal 2018 which identifies shared costs and allocates them to the operating segments. The cost drivers selected as the basis for allocation are the most appropriate driver for the type of cost being allocated. All corporate expenses are allocated to the operating segments. Previous to the first quarter of Fiscal 2018, costs were not allocated and were borne by the segment in which the costs originated. See Note 3: Business Segments.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1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December 8, 2017, we entered into an amendment to our Credit Agreement to reprice $260 million of Term Loan B debt. The revised interest rate is LIBOR plus 3.5%, down from the previous rate of LIBOR plus 4.5%. Prior to this repricing, $19.7 million was drawn on our ABL and the proceeds from the ABL borrowing were used to pay down our Term Loan B. Various other amendments were made to our ABL providing us with reduced borrowing costs and facility fees under the ABL. The requirement to hedge a portion of the Term Loan B floating rate interest exposure was also removed from the ABL.</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On December 12, 2017 our shareholders approved a new Employee Stock Purchase Plan.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On December 13, 2017 our Board of Directors declared a cash dividend of $0.10 per share as noted in Note 11.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 Goodwill and Other Intangible Assets</w:t>
      </w:r>
    </w:p>
    <w:p>
      <w:pPr>
        <w:spacing w:after="0" w:line="22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acquired 100% of the ownership interests of Grand Design on November 8, 2016 in accordance with the Securities Purchase Agreement for an aggregate purchase price of $520.5 million, which was paid in cash and Winnebago shares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r>
      <w:tr>
        <w:trPr>
          <w:trHeight w:val="228"/>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396,442</w:t>
            </w:r>
          </w:p>
        </w:tc>
      </w:tr>
      <w:tr>
        <w:trPr>
          <w:trHeight w:val="264"/>
        </w:trPr>
        <w:tc>
          <w:tcPr>
            <w:tcW w:w="9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Winnebago shares: 4,586,555 at $27.05 per share</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124,066</w:t>
            </w:r>
          </w:p>
        </w:tc>
      </w:tr>
      <w:tr>
        <w:trPr>
          <w:trHeight w:val="24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cash portion was funded from cash on hand and borrowings under our ABL and Term Loan agreements. The stock was valued using our share price on the date of closing.</w:t>
      </w:r>
    </w:p>
    <w:p>
      <w:pPr>
        <w:spacing w:after="0" w:line="180"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 xml:space="preserve">The acquisition has been accounted for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using the acquisition method of accounting. Under the acquisition method of accounting, the total purchase price was allocated to the net tangible and intangible assets of Grand Design acquired, based on their fair values at the date of the acquisition. The purchase price allocation was finalized during the first quarter of Fiscal 2018. The allocation of the purchase price to assets acquired and liabilities assumed is as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99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460"/>
        </w:trPr>
        <w:tc>
          <w:tcPr>
            <w:tcW w:w="1260" w:type="dxa"/>
            <w:vAlign w:val="bottom"/>
            <w:tcBorders>
              <w:top w:val="single" w:sz="8" w:color="0000EE"/>
            </w:tcBorders>
          </w:tcPr>
          <w:p>
            <w:pPr>
              <w:spacing w:after="0"/>
              <w:rPr>
                <w:sz w:val="20"/>
                <w:szCs w:val="20"/>
                <w:color w:val="auto"/>
              </w:rPr>
            </w:pPr>
            <w:r>
              <w:rPr>
                <w:rFonts w:ascii="Arial" w:cs="Arial" w:eastAsia="Arial" w:hAnsi="Arial"/>
                <w:sz w:val="16"/>
                <w:szCs w:val="16"/>
                <w:color w:val="auto"/>
              </w:rPr>
              <w:t>follows:</w:t>
            </w:r>
          </w:p>
        </w:tc>
        <w:tc>
          <w:tcPr>
            <w:tcW w:w="86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9"/>
        </w:trPr>
        <w:tc>
          <w:tcPr>
            <w:tcW w:w="126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r>
      <w:tr>
        <w:trPr>
          <w:trHeight w:val="228"/>
        </w:trPr>
        <w:tc>
          <w:tcPr>
            <w:tcW w:w="98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1,748</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32,834</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15,300</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3,037</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8,998</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243,456</w:t>
            </w:r>
          </w:p>
        </w:tc>
      </w:tr>
      <w:tr>
        <w:trPr>
          <w:trHeight w:val="27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253,100</w:t>
            </w:r>
          </w:p>
        </w:tc>
      </w:tr>
      <w:tr>
        <w:trPr>
          <w:trHeight w:val="247"/>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Total assets acquired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558,473</w:t>
            </w:r>
          </w:p>
        </w:tc>
      </w:tr>
      <w:tr>
        <w:trPr>
          <w:trHeight w:val="293"/>
        </w:trPr>
        <w:tc>
          <w:tcPr>
            <w:tcW w:w="1260" w:type="dxa"/>
            <w:vAlign w:val="bottom"/>
            <w:shd w:val="clear" w:color="auto" w:fill="CCEEFF"/>
          </w:tcPr>
          <w:p>
            <w:pPr>
              <w:spacing w:after="0"/>
              <w:rPr>
                <w:sz w:val="24"/>
                <w:szCs w:val="24"/>
                <w:color w:val="auto"/>
              </w:rPr>
            </w:pPr>
          </w:p>
        </w:tc>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11,163</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3,615</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Product warranties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12,904</w:t>
            </w:r>
          </w:p>
        </w:tc>
      </w:tr>
      <w:tr>
        <w:trPr>
          <w:trHeight w:val="280"/>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Promotional</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r>
      <w:tr>
        <w:trPr>
          <w:trHeight w:val="260"/>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1,496</w:t>
            </w:r>
          </w:p>
        </w:tc>
      </w:tr>
      <w:tr>
        <w:trPr>
          <w:trHeight w:val="27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4,811</w:t>
            </w:r>
          </w:p>
        </w:tc>
      </w:tr>
      <w:tr>
        <w:trPr>
          <w:trHeight w:val="247"/>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Total liabilities assumed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37,965</w:t>
            </w:r>
          </w:p>
        </w:tc>
      </w:tr>
      <w:tr>
        <w:trPr>
          <w:trHeight w:val="293"/>
        </w:trPr>
        <w:tc>
          <w:tcPr>
            <w:tcW w:w="1260" w:type="dxa"/>
            <w:vAlign w:val="bottom"/>
            <w:shd w:val="clear" w:color="auto" w:fill="CCEEFF"/>
          </w:tcPr>
          <w:p>
            <w:pPr>
              <w:spacing w:after="0"/>
              <w:rPr>
                <w:sz w:val="24"/>
                <w:szCs w:val="24"/>
                <w:color w:val="auto"/>
              </w:rPr>
            </w:pPr>
          </w:p>
        </w:tc>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4"/>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Total purchase price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126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acquisition of 100% of the ownership interests of Grand Design occurred in two steps: (1) direct purchase of 89.34% of Grand Design member interests and (2) simultaneous acquisition of the remaining 10.66% of Grand Design member interests via the purchase of 100% of the shares of Blocker Corporation which held the remaining 10.66% of the Grand Design member interests. We agreed to acquire Blocker Corporation as part of the Securities Purchase Agreement and we did not receive a step-up in basis for 10.66% of the Grand Design assets. As a result, we established certain deferred tax liabilities on the opening balance sheet that relate to Blocker Corporation.</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goodwill recognized is primarily attributable to the value of the workforce, reputation of founders, customer and dealer growth opportunities and expected synergies. Key areas of cost synergies include increased purchasing power for raw materials and supply chain consolidation. Goodwill is expected to be mostly deductible for tax purposes. The goodwill resulting from the acquisition of Grand Design is included in total goodwill of $244.7 million within the Towable segment as of November 25, 2017. Goodwill was $242.7 million as of August 26, 2017. Changes made to the carrying amount of goodwill for the three months ended November 25, 2017 included adjustments to tax liabilities assumed as part of the Grand Design acquisition.</w:t>
      </w:r>
    </w:p>
    <w:p>
      <w:pPr>
        <w:spacing w:after="0" w:line="176"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allocation of the purchase price to the net assets acquired and liabilities assumed resulted in the recognition of intangible assets with fair value on the closing date of November 8, 2016 and amortization accumulated from the closing date through November 25, 2017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 Life-</w:t>
            </w:r>
          </w:p>
        </w:tc>
        <w:tc>
          <w:tcPr>
            <w:tcW w:w="320" w:type="dxa"/>
            <w:vAlign w:val="bottom"/>
          </w:tcPr>
          <w:p>
            <w:pPr>
              <w:spacing w:after="0"/>
              <w:rPr>
                <w:sz w:val="16"/>
                <w:szCs w:val="16"/>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r>
      <w:tr>
        <w:trPr>
          <w:trHeight w:val="228"/>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Amortization</w:t>
            </w:r>
          </w:p>
        </w:tc>
      </w:tr>
      <w:tr>
        <w:trPr>
          <w:trHeight w:val="257"/>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6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Indefinite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148,000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Dealer network</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80,500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7,021</w:t>
            </w:r>
          </w:p>
        </w:tc>
      </w:tr>
      <w:tr>
        <w:trPr>
          <w:trHeight w:val="280"/>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Backlog</w:t>
            </w: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18,000</w:t>
            </w:r>
          </w:p>
        </w:tc>
      </w:tr>
      <w:tr>
        <w:trPr>
          <w:trHeight w:val="26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Non-compete agreements</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4,600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1,437</w:t>
            </w:r>
          </w:p>
        </w:tc>
      </w:tr>
      <w:tr>
        <w:trPr>
          <w:trHeight w:val="27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Leasehold interest-favorable</w:t>
            </w: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r>
      <w:tr>
        <w:trPr>
          <w:trHeight w:val="28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253,100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26,715</w:t>
            </w:r>
          </w:p>
        </w:tc>
      </w:tr>
      <w:tr>
        <w:trPr>
          <w:trHeight w:val="247"/>
        </w:trPr>
        <w:tc>
          <w:tcPr>
            <w:tcW w:w="62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5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auto"/>
            </w:tcBorders>
            <w:shd w:val="clear" w:color="auto" w:fill="CCEEFF"/>
          </w:tcPr>
          <w:p>
            <w:pPr>
              <w:spacing w:after="0"/>
              <w:rPr>
                <w:sz w:val="21"/>
                <w:szCs w:val="21"/>
                <w:color w:val="auto"/>
              </w:rPr>
            </w:pPr>
          </w:p>
        </w:tc>
        <w:tc>
          <w:tcPr>
            <w:tcW w:w="1480" w:type="dxa"/>
            <w:vAlign w:val="bottom"/>
            <w:tcBorders>
              <w:top w:val="single" w:sz="8" w:color="CCEEFF"/>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(26,715)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r>
      <w:tr>
        <w:trPr>
          <w:trHeight w:val="24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Net book value of intangible assets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226,385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We used the income approach to value certain intangible assets. Under the income approach, an intangible asset’s fair value is equal to the present value of future economic benefits to be derived from ownership of the asset. We used the income approach known as the relief from royalty method to value the trade name. The relief from royalty method is based on the hypothetical royalty stream that would be received if we were to license the trade name and is based on expected revenues from such license. The fair value of the dealer network was estimated using an income approach known as the cost to recreate/cost savings method. This method uses the replacement of the asset as an indicator of the fair value of the asset. The useful life of the intangible assets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the intangible assets.</w:t>
      </w:r>
    </w:p>
    <w:p>
      <w:pPr>
        <w:spacing w:after="0" w:line="209"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For the three months ended November 25, 2017 and November 26, 2016, amortization of intangible assets charged to operations was $2.1 million and $2.1 million respectively. The weighted average remaining amortization period for intangible assets as of November 25, 2017 was approximately 10.8 years. Remaining estimated aggregate annual amortization expense by fiscal year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r>
      <w:tr>
        <w:trPr>
          <w:trHeight w:val="257"/>
        </w:trPr>
        <w:tc>
          <w:tcPr>
            <w:tcW w:w="9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Remainder of 2018</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5,799</w:t>
            </w:r>
          </w:p>
        </w:tc>
      </w:tr>
      <w:tr>
        <w:trPr>
          <w:trHeight w:val="260"/>
        </w:trPr>
        <w:tc>
          <w:tcPr>
            <w:tcW w:w="9720" w:type="dxa"/>
            <w:vAlign w:val="bottom"/>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28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7,733</w:t>
            </w:r>
          </w:p>
        </w:tc>
      </w:tr>
      <w:tr>
        <w:trPr>
          <w:trHeight w:val="260"/>
        </w:trPr>
        <w:tc>
          <w:tcPr>
            <w:tcW w:w="9720" w:type="dxa"/>
            <w:vAlign w:val="bottom"/>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28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7,106</w:t>
            </w:r>
          </w:p>
        </w:tc>
      </w:tr>
      <w:tr>
        <w:trPr>
          <w:trHeight w:val="251"/>
        </w:trPr>
        <w:tc>
          <w:tcPr>
            <w:tcW w:w="984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42,281</w:t>
            </w:r>
          </w:p>
        </w:tc>
      </w:tr>
    </w:tbl>
    <w:p>
      <w:pPr>
        <w:spacing w:after="0" w:line="23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Within the Towable segment, the results of Grand Design's operations have been included in our consolidated financial statements from the close of the acquisition. The following table provides net revenues and operating income (which includes amortization expense) from the Grand Design business included in our consolidated results during the three months ended November 25, 2017 and November 26, 2016 following the November 8, 2016 closing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25,</w:t>
            </w:r>
          </w:p>
        </w:tc>
        <w:tc>
          <w:tcPr>
            <w:tcW w:w="1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221,229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25,836</w:t>
            </w:r>
          </w:p>
        </w:tc>
      </w:tr>
      <w:tr>
        <w:trPr>
          <w:trHeight w:val="251"/>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26,507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760</w:t>
            </w:r>
          </w:p>
        </w:tc>
      </w:tr>
    </w:tbl>
    <w:p>
      <w:pPr>
        <w:spacing w:after="0" w:line="210"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Unaudited pro forma information has been prepared as if the acquisition had taken place on August 30, 2015. The unaudited pro forma information is not necessarily indicative of the results that we would have achieved had the transaction actually taken place on August 30, 2015, and the unaudited pro forma information does not purport to be indicative of future financial operating results. The unaudited pro forma condensed consolidated financial information does not reflect any operating efficiencies and cost savings that may be realized from the integration of the acquisition. Unaudited pro forma information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25,</w:t>
            </w:r>
          </w:p>
        </w:tc>
        <w:tc>
          <w:tcPr>
            <w:tcW w:w="16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November 26,</w:t>
            </w:r>
          </w:p>
        </w:tc>
      </w:tr>
      <w:tr>
        <w:trPr>
          <w:trHeight w:val="23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9"/>
              <w:spacing w:after="0" w:line="234" w:lineRule="exact"/>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(1)</w:t>
            </w:r>
          </w:p>
        </w:tc>
      </w:tr>
      <w:tr>
        <w:trPr>
          <w:trHeight w:val="25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450,021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340,975</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18,066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20,269</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0.64</w:t>
            </w:r>
          </w:p>
        </w:tc>
      </w:tr>
      <w:tr>
        <w:trPr>
          <w:trHeight w:val="251"/>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Income per share - diluted</w:t>
            </w: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0.64</w:t>
            </w:r>
          </w:p>
        </w:tc>
      </w:tr>
    </w:tbl>
    <w:p>
      <w:pPr>
        <w:spacing w:after="0" w:line="24" w:lineRule="exact"/>
        <w:rPr>
          <w:sz w:val="20"/>
          <w:szCs w:val="20"/>
          <w:color w:val="auto"/>
        </w:rPr>
      </w:pPr>
    </w:p>
    <w:p>
      <w:pPr>
        <w:ind w:right="480" w:firstLine="8"/>
        <w:spacing w:after="0" w:line="225"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Net income and income per share include the increased benefit of $8.4 million, net of tax, associated with the termination of the postretirement health care plan in the first quarter of Fiscal 2017.</w:t>
      </w:r>
    </w:p>
    <w:p>
      <w:pPr>
        <w:spacing w:after="0" w:line="17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unaudited pro forma data above includes the following significant non-recurring adjustments made to account for certain costs which would have changed if the acquisition of Grand Design had been completed on August 30, 2015: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8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25,</w:t>
            </w:r>
          </w:p>
        </w:tc>
        <w:tc>
          <w:tcPr>
            <w:tcW w:w="180" w:type="dxa"/>
            <w:vAlign w:val="bottom"/>
          </w:tcPr>
          <w:p>
            <w:pPr>
              <w:spacing w:after="0"/>
              <w:rPr>
                <w:sz w:val="17"/>
                <w:szCs w:val="17"/>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8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57"/>
        </w:trPr>
        <w:tc>
          <w:tcPr>
            <w:tcW w:w="8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intangibles (1 year or less useful life)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(1,941)</w:t>
            </w:r>
          </w:p>
        </w:tc>
      </w:tr>
      <w:tr>
        <w:trPr>
          <w:trHeight w:val="260"/>
        </w:trPr>
        <w:tc>
          <w:tcPr>
            <w:tcW w:w="8160" w:type="dxa"/>
            <w:vAlign w:val="bottom"/>
            <w:gridSpan w:val="2"/>
          </w:tcPr>
          <w:p>
            <w:pPr>
              <w:ind w:left="40"/>
              <w:spacing w:after="0"/>
              <w:rPr>
                <w:sz w:val="20"/>
                <w:szCs w:val="20"/>
                <w:color w:val="auto"/>
              </w:rPr>
            </w:pPr>
            <w:r>
              <w:rPr>
                <w:rFonts w:ascii="Arial" w:cs="Arial" w:eastAsia="Arial" w:hAnsi="Arial"/>
                <w:sz w:val="16"/>
                <w:szCs w:val="16"/>
                <w:color w:val="auto"/>
              </w:rPr>
              <w:t>Increase in amortization of intangibles</w:t>
            </w:r>
          </w:p>
        </w:tc>
        <w:tc>
          <w:tcPr>
            <w:tcW w:w="160" w:type="dxa"/>
            <w:vAlign w:val="bottom"/>
          </w:tcPr>
          <w:p>
            <w:pPr>
              <w:spacing w:after="0"/>
              <w:rPr>
                <w:sz w:val="22"/>
                <w:szCs w:val="22"/>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1,551</w:t>
            </w:r>
          </w:p>
        </w:tc>
      </w:tr>
      <w:tr>
        <w:trPr>
          <w:trHeight w:val="280"/>
        </w:trPr>
        <w:tc>
          <w:tcPr>
            <w:tcW w:w="8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Expenses related to business combination (transaction costs)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(5,519)</w:t>
            </w:r>
          </w:p>
        </w:tc>
      </w:tr>
      <w:tr>
        <w:trPr>
          <w:trHeight w:val="260"/>
        </w:trPr>
        <w:tc>
          <w:tcPr>
            <w:tcW w:w="8160" w:type="dxa"/>
            <w:vAlign w:val="bottom"/>
            <w:gridSpan w:val="2"/>
          </w:tcPr>
          <w:p>
            <w:pPr>
              <w:ind w:left="40"/>
              <w:spacing w:after="0"/>
              <w:rPr>
                <w:sz w:val="20"/>
                <w:szCs w:val="20"/>
                <w:color w:val="auto"/>
              </w:rPr>
            </w:pPr>
            <w:r>
              <w:rPr>
                <w:rFonts w:ascii="Arial" w:cs="Arial" w:eastAsia="Arial" w:hAnsi="Arial"/>
                <w:sz w:val="16"/>
                <w:szCs w:val="16"/>
                <w:color w:val="auto"/>
              </w:rPr>
              <w:t>Interest to reflect new debt structure</w:t>
            </w:r>
          </w:p>
        </w:tc>
        <w:tc>
          <w:tcPr>
            <w:tcW w:w="160" w:type="dxa"/>
            <w:vAlign w:val="bottom"/>
          </w:tcPr>
          <w:p>
            <w:pPr>
              <w:spacing w:after="0"/>
              <w:rPr>
                <w:sz w:val="22"/>
                <w:szCs w:val="22"/>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3,672</w:t>
            </w:r>
          </w:p>
        </w:tc>
      </w:tr>
      <w:tr>
        <w:trPr>
          <w:trHeight w:val="280"/>
        </w:trPr>
        <w:tc>
          <w:tcPr>
            <w:tcW w:w="8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Taxes related to the adjustments to the pro forma data and to the income of Grand Design</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5,011</w:t>
            </w:r>
          </w:p>
        </w:tc>
      </w:tr>
    </w:tbl>
    <w:p>
      <w:pPr>
        <w:spacing w:after="0" w:line="2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Pro forma transaction costs include $0.1 million incurred by Grand Design prior to acquisition.</w:t>
      </w:r>
    </w:p>
    <w:p>
      <w:pPr>
        <w:spacing w:after="0" w:line="176"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We incurred approximately $6.9 million of acquisition-related costs to date, of which $0.1 million and $5.5 million were expensed during the three months ended November 25, 2017 and November 26, 2016, respectively.</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Business Segments</w:t>
      </w:r>
    </w:p>
    <w:p>
      <w:pPr>
        <w:spacing w:after="0" w:line="198"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 xml:space="preserve">We report segment information based on the "management" approach defined in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management approach designates the internal reporting used by management for making decisions and assessing performance as the source of our reportable segments.</w:t>
      </w:r>
    </w:p>
    <w:p>
      <w:pPr>
        <w:spacing w:after="0" w:line="152"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We have two reportable segments: (1) Motorized products and services and (2) Towable products and services. The Motorized segment includes all products that include a motorized chassis as well as other related manufactured products. The Towable segment includes all products which are not motorized and are generally towed by another vehicle.</w:t>
      </w:r>
    </w:p>
    <w:p>
      <w:pPr>
        <w:spacing w:after="0" w:line="17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organize our business reporting on a product basis. Each reportable segment is managed separately to better align to our customers, distribution partners and the unique market dynamics of the product groups. We aggregate two operating segments into the Towable reporting segment based upon their similar products, customers, distribution methods, production processes and economic characteristics. The accounting policies of both reportable segments are the same and described in Note 1, "Summary of Significant Accounting Policies" in our annual report on Form 10-K for the year ended August 26, 2017.</w:t>
      </w:r>
    </w:p>
    <w:p>
      <w:pPr>
        <w:spacing w:after="0" w:line="17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Subsequent to the acquisition of Grand Design in Fiscal 2017, management re-evaluated the manner in which corporate expenses were allocated to the reportable segments. A new corporate allocation policy was adopted in the first quarter of Fiscal 2018 which identifies shared costs and allocates them to the operating segments based on a cost driver most appropriate for the type of cost being allocated. For example, certain costs were allocated based on the financial size of the operating segment while other costs, where appropriate, were allocated based on the headcount in the operating segments since headcount was deemed the appropriate driver for those types of expenses. Prior year segment information has been restated to conform to the current reporting segment presentation. All corporate expenses were allocated to the operating segments. Assets presented by reportable segment exclude certain corporate assets which cannot reasonably be allocated to the reportable segments. These Unallocated Corporate Assets include cash and deferred tax assets.</w:t>
      </w:r>
    </w:p>
    <w:p>
      <w:pPr>
        <w:spacing w:after="0" w:line="182"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evaluate the performance of our reportable segments based on Adjusted EBITDA after corporate allocations. Adjusted EBITDA is defined as earnings before interest, taxes, depreciation and amortization and other adjustments made in order to present comparable results from period to period. Examples of items excluded from Adjusted EBITDA include the postretirement health care benefit income resulting from the plan amendments over the past several years and the transaction costs related to our acquisition of Grand Design.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20"/>
                <w:szCs w:val="20"/>
                <w:color w:val="auto"/>
              </w:rPr>
            </w:pPr>
            <w:r>
              <w:rPr>
                <w:rFonts w:ascii="Arial" w:cs="Arial" w:eastAsia="Arial" w:hAnsi="Arial"/>
                <w:sz w:val="16"/>
                <w:szCs w:val="16"/>
                <w:color w:val="auto"/>
              </w:rPr>
              <w:t>The following table shows information by reporting segment:</w:t>
            </w: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4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98"/>
        </w:trPr>
        <w:tc>
          <w:tcPr>
            <w:tcW w:w="49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25,</w:t>
            </w:r>
          </w:p>
        </w:tc>
        <w:tc>
          <w:tcPr>
            <w:tcW w:w="1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26,</w:t>
            </w:r>
          </w:p>
        </w:tc>
        <w:tc>
          <w:tcPr>
            <w:tcW w:w="0" w:type="dxa"/>
            <w:vAlign w:val="bottom"/>
          </w:tcPr>
          <w:p>
            <w:pPr>
              <w:spacing w:after="0"/>
              <w:rPr>
                <w:sz w:val="1"/>
                <w:szCs w:val="1"/>
                <w:color w:val="auto"/>
              </w:rPr>
            </w:pPr>
          </w:p>
        </w:tc>
      </w:tr>
      <w:tr>
        <w:trPr>
          <w:trHeight w:val="228"/>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80" w:type="dxa"/>
            <w:vAlign w:val="bottom"/>
          </w:tcPr>
          <w:p>
            <w:pPr>
              <w:ind w:left="40"/>
              <w:spacing w:after="0"/>
              <w:rPr>
                <w:sz w:val="20"/>
                <w:szCs w:val="20"/>
                <w:color w:val="auto"/>
              </w:rPr>
            </w:pPr>
            <w:r>
              <w:rPr>
                <w:rFonts w:ascii="Arial" w:cs="Arial" w:eastAsia="Arial" w:hAnsi="Arial"/>
                <w:sz w:val="16"/>
                <w:szCs w:val="16"/>
                <w:color w:val="auto"/>
              </w:rPr>
              <w:t>Motorized</w:t>
            </w:r>
          </w:p>
        </w:tc>
        <w:tc>
          <w:tcPr>
            <w:tcW w:w="3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190,356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195,125</w:t>
            </w:r>
          </w:p>
        </w:tc>
        <w:tc>
          <w:tcPr>
            <w:tcW w:w="0" w:type="dxa"/>
            <w:vAlign w:val="bottom"/>
          </w:tcPr>
          <w:p>
            <w:pPr>
              <w:spacing w:after="0"/>
              <w:rPr>
                <w:sz w:val="1"/>
                <w:szCs w:val="1"/>
                <w:color w:val="auto"/>
              </w:rPr>
            </w:pPr>
          </w:p>
        </w:tc>
      </w:tr>
      <w:tr>
        <w:trPr>
          <w:trHeight w:val="273"/>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3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259,665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50,183</w:t>
            </w:r>
          </w:p>
        </w:tc>
        <w:tc>
          <w:tcPr>
            <w:tcW w:w="0" w:type="dxa"/>
            <w:vAlign w:val="bottom"/>
          </w:tcPr>
          <w:p>
            <w:pPr>
              <w:spacing w:after="0"/>
              <w:rPr>
                <w:sz w:val="1"/>
                <w:szCs w:val="1"/>
                <w:color w:val="auto"/>
              </w:rPr>
            </w:pPr>
          </w:p>
        </w:tc>
      </w:tr>
      <w:tr>
        <w:trPr>
          <w:trHeight w:val="280"/>
        </w:trPr>
        <w:tc>
          <w:tcPr>
            <w:tcW w:w="498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3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450,021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245,308</w:t>
            </w:r>
          </w:p>
        </w:tc>
        <w:tc>
          <w:tcPr>
            <w:tcW w:w="0" w:type="dxa"/>
            <w:vAlign w:val="bottom"/>
          </w:tcPr>
          <w:p>
            <w:pPr>
              <w:spacing w:after="0"/>
              <w:rPr>
                <w:sz w:val="1"/>
                <w:szCs w:val="1"/>
                <w:color w:val="auto"/>
              </w:rPr>
            </w:pPr>
          </w:p>
        </w:tc>
      </w:tr>
      <w:tr>
        <w:trPr>
          <w:trHeight w:val="267"/>
        </w:trPr>
        <w:tc>
          <w:tcPr>
            <w:tcW w:w="4980" w:type="dxa"/>
            <w:vAlign w:val="bottom"/>
            <w:tcBorders>
              <w:top w:val="single" w:sz="8" w:color="CCEEFF"/>
            </w:tcBorders>
            <w:shd w:val="clear" w:color="auto" w:fill="CCEEFF"/>
          </w:tcPr>
          <w:p>
            <w:pPr>
              <w:spacing w:after="0"/>
              <w:rPr>
                <w:sz w:val="23"/>
                <w:szCs w:val="23"/>
                <w:color w:val="auto"/>
              </w:rPr>
            </w:pPr>
          </w:p>
        </w:tc>
        <w:tc>
          <w:tcPr>
            <w:tcW w:w="32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8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3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35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11,116</w:t>
            </w: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Towable</w:t>
            </w:r>
          </w:p>
        </w:tc>
        <w:tc>
          <w:tcPr>
            <w:tcW w:w="3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32,256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3,563</w:t>
            </w:r>
          </w:p>
        </w:tc>
        <w:tc>
          <w:tcPr>
            <w:tcW w:w="0" w:type="dxa"/>
            <w:vAlign w:val="bottom"/>
          </w:tcPr>
          <w:p>
            <w:pPr>
              <w:spacing w:after="0"/>
              <w:rPr>
                <w:sz w:val="1"/>
                <w:szCs w:val="1"/>
                <w:color w:val="auto"/>
              </w:rPr>
            </w:pPr>
          </w:p>
        </w:tc>
      </w:tr>
      <w:tr>
        <w:trPr>
          <w:trHeight w:val="240"/>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35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14,679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9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3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80" w:type="dxa"/>
            <w:vAlign w:val="bottom"/>
          </w:tcPr>
          <w:p>
            <w:pPr>
              <w:ind w:left="40"/>
              <w:spacing w:after="0"/>
              <w:rPr>
                <w:sz w:val="20"/>
                <w:szCs w:val="20"/>
                <w:color w:val="auto"/>
              </w:rPr>
            </w:pPr>
            <w:r>
              <w:rPr>
                <w:rFonts w:ascii="Arial" w:cs="Arial" w:eastAsia="Arial" w:hAnsi="Arial"/>
                <w:sz w:val="16"/>
                <w:szCs w:val="16"/>
                <w:color w:val="auto"/>
              </w:rPr>
              <w:t>Motorized</w:t>
            </w:r>
          </w:p>
        </w:tc>
        <w:tc>
          <w:tcPr>
            <w:tcW w:w="3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3,107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2,801</w:t>
            </w:r>
          </w:p>
        </w:tc>
        <w:tc>
          <w:tcPr>
            <w:tcW w:w="0" w:type="dxa"/>
            <w:vAlign w:val="bottom"/>
          </w:tcPr>
          <w:p>
            <w:pPr>
              <w:spacing w:after="0"/>
              <w:rPr>
                <w:sz w:val="1"/>
                <w:szCs w:val="1"/>
                <w:color w:val="auto"/>
              </w:rPr>
            </w:pPr>
          </w:p>
        </w:tc>
      </w:tr>
      <w:tr>
        <w:trPr>
          <w:trHeight w:val="273"/>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3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2,250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80"/>
        </w:trPr>
        <w:tc>
          <w:tcPr>
            <w:tcW w:w="498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3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5,357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3,562</w:t>
            </w:r>
          </w:p>
        </w:tc>
        <w:tc>
          <w:tcPr>
            <w:tcW w:w="0" w:type="dxa"/>
            <w:vAlign w:val="bottom"/>
          </w:tcPr>
          <w:p>
            <w:pPr>
              <w:spacing w:after="0"/>
              <w:rPr>
                <w:sz w:val="1"/>
                <w:szCs w:val="1"/>
                <w:color w:val="auto"/>
              </w:rPr>
            </w:pPr>
          </w:p>
        </w:tc>
      </w:tr>
      <w:tr>
        <w:trPr>
          <w:trHeight w:val="267"/>
        </w:trPr>
        <w:tc>
          <w:tcPr>
            <w:tcW w:w="4980" w:type="dxa"/>
            <w:vAlign w:val="bottom"/>
            <w:tcBorders>
              <w:top w:val="single" w:sz="8" w:color="CCEEFF"/>
            </w:tcBorders>
            <w:shd w:val="clear" w:color="auto" w:fill="CCEEFF"/>
          </w:tcPr>
          <w:p>
            <w:pPr>
              <w:spacing w:after="0"/>
              <w:rPr>
                <w:sz w:val="23"/>
                <w:szCs w:val="23"/>
                <w:color w:val="auto"/>
              </w:rPr>
            </w:pPr>
          </w:p>
        </w:tc>
        <w:tc>
          <w:tcPr>
            <w:tcW w:w="32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8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35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264,506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263,663</w:t>
            </w:r>
          </w:p>
        </w:tc>
        <w:tc>
          <w:tcPr>
            <w:tcW w:w="0" w:type="dxa"/>
            <w:vAlign w:val="bottom"/>
          </w:tcPr>
          <w:p>
            <w:pPr>
              <w:spacing w:after="0"/>
              <w:rPr>
                <w:sz w:val="1"/>
                <w:szCs w:val="1"/>
                <w:color w:val="auto"/>
              </w:rPr>
            </w:pPr>
          </w:p>
        </w:tc>
      </w:tr>
      <w:tr>
        <w:trPr>
          <w:trHeight w:val="260"/>
        </w:trPr>
        <w:tc>
          <w:tcPr>
            <w:tcW w:w="4980" w:type="dxa"/>
            <w:vAlign w:val="bottom"/>
          </w:tcPr>
          <w:p>
            <w:pPr>
              <w:ind w:left="40"/>
              <w:spacing w:after="0"/>
              <w:rPr>
                <w:sz w:val="20"/>
                <w:szCs w:val="20"/>
                <w:color w:val="auto"/>
              </w:rPr>
            </w:pPr>
            <w:r>
              <w:rPr>
                <w:rFonts w:ascii="Arial" w:cs="Arial" w:eastAsia="Arial" w:hAnsi="Arial"/>
                <w:sz w:val="16"/>
                <w:szCs w:val="16"/>
                <w:color w:val="auto"/>
              </w:rPr>
              <w:t>Towable</w:t>
            </w:r>
          </w:p>
        </w:tc>
        <w:tc>
          <w:tcPr>
            <w:tcW w:w="3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590,386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578,003</w:t>
            </w:r>
          </w:p>
        </w:tc>
        <w:tc>
          <w:tcPr>
            <w:tcW w:w="0" w:type="dxa"/>
            <w:vAlign w:val="bottom"/>
          </w:tcPr>
          <w:p>
            <w:pPr>
              <w:spacing w:after="0"/>
              <w:rPr>
                <w:sz w:val="1"/>
                <w:szCs w:val="1"/>
                <w:color w:val="auto"/>
              </w:rPr>
            </w:pPr>
          </w:p>
        </w:tc>
      </w:tr>
      <w:tr>
        <w:trPr>
          <w:trHeight w:val="273"/>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Unallocated Corporate Assets</w:t>
            </w:r>
          </w:p>
        </w:tc>
        <w:tc>
          <w:tcPr>
            <w:tcW w:w="3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69,958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41,029</w:t>
            </w:r>
          </w:p>
        </w:tc>
        <w:tc>
          <w:tcPr>
            <w:tcW w:w="0" w:type="dxa"/>
            <w:vAlign w:val="bottom"/>
          </w:tcPr>
          <w:p>
            <w:pPr>
              <w:spacing w:after="0"/>
              <w:rPr>
                <w:sz w:val="1"/>
                <w:szCs w:val="1"/>
                <w:color w:val="auto"/>
              </w:rPr>
            </w:pPr>
          </w:p>
        </w:tc>
      </w:tr>
      <w:tr>
        <w:trPr>
          <w:trHeight w:val="237"/>
        </w:trPr>
        <w:tc>
          <w:tcPr>
            <w:tcW w:w="4980" w:type="dxa"/>
            <w:vAlign w:val="bottom"/>
          </w:tcPr>
          <w:p>
            <w:pPr>
              <w:ind w:left="180"/>
              <w:spacing w:after="0"/>
              <w:rPr>
                <w:sz w:val="20"/>
                <w:szCs w:val="20"/>
                <w:color w:val="auto"/>
              </w:rPr>
            </w:pPr>
            <w:r>
              <w:rPr>
                <w:rFonts w:ascii="Arial" w:cs="Arial" w:eastAsia="Arial" w:hAnsi="Arial"/>
                <w:sz w:val="16"/>
                <w:szCs w:val="16"/>
                <w:color w:val="auto"/>
              </w:rPr>
              <w:t>Consolidated</w:t>
            </w:r>
          </w:p>
        </w:tc>
        <w:tc>
          <w:tcPr>
            <w:tcW w:w="3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924,850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882,695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260" w:type="dxa"/>
            <w:vAlign w:val="bottom"/>
            <w:vMerge w:val="restart"/>
          </w:tcPr>
          <w:p>
            <w:pPr>
              <w:jc w:val="right"/>
              <w:ind w:right="235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9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47"/>
        </w:trPr>
        <w:tc>
          <w:tcPr>
            <w:tcW w:w="8160" w:type="dxa"/>
            <w:vAlign w:val="bottom"/>
            <w:gridSpan w:val="3"/>
          </w:tcPr>
          <w:p>
            <w:pPr>
              <w:spacing w:after="0"/>
              <w:rPr>
                <w:sz w:val="20"/>
                <w:szCs w:val="20"/>
                <w:color w:val="auto"/>
              </w:rPr>
            </w:pPr>
            <w:r>
              <w:rPr>
                <w:rFonts w:ascii="Arial" w:cs="Arial" w:eastAsia="Arial" w:hAnsi="Arial"/>
                <w:sz w:val="16"/>
                <w:szCs w:val="16"/>
                <w:color w:val="auto"/>
              </w:rPr>
              <w:t>Reconciliation of net income to consolidated Adjusted EBITDA:</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126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25,</w:t>
            </w:r>
          </w:p>
        </w:tc>
        <w:tc>
          <w:tcPr>
            <w:tcW w:w="180" w:type="dxa"/>
            <w:vAlign w:val="bottom"/>
          </w:tcPr>
          <w:p>
            <w:pPr>
              <w:spacing w:after="0"/>
              <w:rPr>
                <w:sz w:val="17"/>
                <w:szCs w:val="17"/>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8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57"/>
        </w:trPr>
        <w:tc>
          <w:tcPr>
            <w:tcW w:w="8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17,958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11,738</w:t>
            </w:r>
          </w:p>
        </w:tc>
      </w:tr>
      <w:tr>
        <w:trPr>
          <w:trHeight w:val="260"/>
        </w:trPr>
        <w:tc>
          <w:tcPr>
            <w:tcW w:w="8160" w:type="dxa"/>
            <w:vAlign w:val="bottom"/>
            <w:gridSpan w:val="3"/>
          </w:tcPr>
          <w:p>
            <w:pPr>
              <w:ind w:left="18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4,781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1,128</w:t>
            </w:r>
          </w:p>
        </w:tc>
      </w:tr>
      <w:tr>
        <w:trPr>
          <w:trHeight w:val="280"/>
        </w:trPr>
        <w:tc>
          <w:tcPr>
            <w:tcW w:w="8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5,620</w:t>
            </w:r>
          </w:p>
        </w:tc>
      </w:tr>
      <w:tr>
        <w:trPr>
          <w:trHeight w:val="260"/>
        </w:trPr>
        <w:tc>
          <w:tcPr>
            <w:tcW w:w="8160" w:type="dxa"/>
            <w:vAlign w:val="bottom"/>
            <w:gridSpan w:val="3"/>
          </w:tcPr>
          <w:p>
            <w:pPr>
              <w:ind w:left="18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2,130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1,580</w:t>
            </w:r>
          </w:p>
        </w:tc>
      </w:tr>
      <w:tr>
        <w:trPr>
          <w:trHeight w:val="273"/>
        </w:trPr>
        <w:tc>
          <w:tcPr>
            <w:tcW w:w="8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2,051</w:t>
            </w:r>
          </w:p>
        </w:tc>
      </w:tr>
      <w:tr>
        <w:trPr>
          <w:trHeight w:val="247"/>
        </w:trPr>
        <w:tc>
          <w:tcPr>
            <w:tcW w:w="8160" w:type="dxa"/>
            <w:vAlign w:val="bottom"/>
            <w:gridSpan w:val="3"/>
          </w:tcPr>
          <w:p>
            <w:pPr>
              <w:ind w:left="40"/>
              <w:spacing w:after="0"/>
              <w:rPr>
                <w:sz w:val="20"/>
                <w:szCs w:val="20"/>
                <w:color w:val="auto"/>
              </w:rPr>
            </w:pPr>
            <w:r>
              <w:rPr>
                <w:rFonts w:ascii="Arial" w:cs="Arial" w:eastAsia="Arial" w:hAnsi="Arial"/>
                <w:sz w:val="16"/>
                <w:szCs w:val="16"/>
                <w:color w:val="auto"/>
              </w:rPr>
              <w:t>EBITDA</w:t>
            </w:r>
          </w:p>
        </w:tc>
        <w:tc>
          <w:tcPr>
            <w:tcW w:w="160" w:type="dxa"/>
            <w:vAlign w:val="bottom"/>
          </w:tcPr>
          <w:p>
            <w:pPr>
              <w:spacing w:after="0"/>
              <w:rPr>
                <w:sz w:val="21"/>
                <w:szCs w:val="21"/>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35,484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22,117</w:t>
            </w:r>
          </w:p>
        </w:tc>
      </w:tr>
      <w:tr>
        <w:trPr>
          <w:trHeight w:val="280"/>
        </w:trPr>
        <w:tc>
          <w:tcPr>
            <w:tcW w:w="8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(12,813)</w:t>
            </w:r>
          </w:p>
        </w:tc>
      </w:tr>
      <w:tr>
        <w:trPr>
          <w:trHeight w:val="260"/>
        </w:trPr>
        <w:tc>
          <w:tcPr>
            <w:tcW w:w="8160" w:type="dxa"/>
            <w:vAlign w:val="bottom"/>
            <w:gridSpan w:val="3"/>
          </w:tcPr>
          <w:p>
            <w:pPr>
              <w:ind w:left="180"/>
              <w:spacing w:after="0"/>
              <w:rPr>
                <w:sz w:val="20"/>
                <w:szCs w:val="20"/>
                <w:color w:val="auto"/>
              </w:rPr>
            </w:pPr>
            <w:r>
              <w:rPr>
                <w:rFonts w:ascii="Arial" w:cs="Arial" w:eastAsia="Arial" w:hAnsi="Arial"/>
                <w:sz w:val="16"/>
                <w:szCs w:val="16"/>
                <w:color w:val="auto"/>
              </w:rPr>
              <w:t>Transaction costs</w:t>
            </w:r>
          </w:p>
        </w:tc>
        <w:tc>
          <w:tcPr>
            <w:tcW w:w="16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5,462</w:t>
            </w:r>
          </w:p>
        </w:tc>
      </w:tr>
      <w:tr>
        <w:trPr>
          <w:trHeight w:val="273"/>
        </w:trPr>
        <w:tc>
          <w:tcPr>
            <w:tcW w:w="8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r>
      <w:tr>
        <w:trPr>
          <w:trHeight w:val="240"/>
        </w:trPr>
        <w:tc>
          <w:tcPr>
            <w:tcW w:w="8160" w:type="dxa"/>
            <w:vAlign w:val="bottom"/>
            <w:gridSpan w:val="3"/>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35,411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14,679</w:t>
            </w:r>
          </w:p>
        </w:tc>
      </w:tr>
      <w:tr>
        <w:trPr>
          <w:trHeight w:val="20"/>
        </w:trPr>
        <w:tc>
          <w:tcPr>
            <w:tcW w:w="12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w:t>
      </w:r>
      <w:r>
        <w:rPr>
          <w:rFonts w:ascii="Arial" w:cs="Arial" w:eastAsia="Arial" w:hAnsi="Arial"/>
          <w:sz w:val="18"/>
          <w:szCs w:val="18"/>
          <w:b w:val="1"/>
          <w:bCs w:val="1"/>
          <w:color w:val="auto"/>
        </w:rPr>
        <w:t>:</w:t>
      </w:r>
      <w:r>
        <w:rPr>
          <w:rFonts w:ascii="Arial" w:cs="Arial" w:eastAsia="Arial" w:hAnsi="Arial"/>
          <w:sz w:val="16"/>
          <w:szCs w:val="16"/>
          <w:b w:val="1"/>
          <w:bCs w:val="1"/>
          <w:color w:val="auto"/>
        </w:rPr>
        <w:t xml:space="preserve"> Concentration Risk</w:t>
      </w:r>
    </w:p>
    <w:p>
      <w:pPr>
        <w:spacing w:after="0" w:line="21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During the first three months of Fiscal 2018, no dealer organization accounted for 10% or more of our consolidated revenues. One of our dealer organizations, La Mesa RV Center, Inc., accounted for 14.2% of our consolidated net revenues for the first three months of Fiscal 2017. A second dealer organization, FreedomRoads, LLC, accounted for 13.7% of our consolidated net revenues for the first three months of Fiscal 2017. These dealers declined on a relative basis due to the growth of other dealers and due to the addition of Grand Design revenue.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Derivatives,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90"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and liabilities that were accounted for at fair value on a recurring basis at November 25, 2017 and August 26, 2017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November 25,</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1,768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1,728</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Fixed income funds</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 contract</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Total assets (liabilities)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2,520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2,003</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23"/>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77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583"/>
        </w:trPr>
        <w:tc>
          <w:tcPr>
            <w:tcW w:w="126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20" w:type="dxa"/>
            <w:vAlign w:val="bottom"/>
            <w:gridSpan w:val="6"/>
          </w:tcPr>
          <w:p>
            <w:pPr>
              <w:jc w:val="center"/>
              <w:ind w:right="19"/>
              <w:spacing w:after="0"/>
              <w:rPr>
                <w:sz w:val="20"/>
                <w:szCs w:val="20"/>
                <w:color w:val="auto"/>
              </w:rPr>
            </w:pPr>
            <w:r>
              <w:rPr>
                <w:rFonts w:ascii="Arial" w:cs="Arial" w:eastAsia="Arial" w:hAnsi="Arial"/>
                <w:sz w:val="16"/>
                <w:szCs w:val="16"/>
                <w:b w:val="1"/>
                <w:bCs w:val="1"/>
                <w:color w:val="auto"/>
              </w:rPr>
              <w:t>Fair Value Measurements</w:t>
            </w:r>
          </w:p>
        </w:tc>
        <w:tc>
          <w:tcPr>
            <w:tcW w:w="1280" w:type="dxa"/>
            <w:vAlign w:val="bottom"/>
          </w:tcPr>
          <w:p>
            <w:pPr>
              <w:spacing w:after="0"/>
              <w:rPr>
                <w:sz w:val="24"/>
                <w:szCs w:val="24"/>
                <w:color w:val="auto"/>
              </w:rPr>
            </w:pPr>
          </w:p>
        </w:tc>
      </w:tr>
      <w:tr>
        <w:trPr>
          <w:trHeight w:val="228"/>
        </w:trPr>
        <w:tc>
          <w:tcPr>
            <w:tcW w:w="12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center"/>
              <w:ind w:left="1119"/>
              <w:spacing w:after="0"/>
              <w:rPr>
                <w:sz w:val="20"/>
                <w:szCs w:val="20"/>
                <w:color w:val="auto"/>
              </w:rPr>
            </w:pPr>
            <w:r>
              <w:rPr>
                <w:rFonts w:ascii="Arial" w:cs="Arial" w:eastAsia="Arial" w:hAnsi="Arial"/>
                <w:sz w:val="16"/>
                <w:szCs w:val="16"/>
                <w:b w:val="1"/>
                <w:bCs w:val="1"/>
                <w:color w:val="auto"/>
              </w:rPr>
              <w:t>Using Inputs Considered As</w:t>
            </w:r>
          </w:p>
        </w:tc>
        <w:tc>
          <w:tcPr>
            <w:tcW w:w="1280" w:type="dxa"/>
            <w:vAlign w:val="bottom"/>
            <w:tcBorders>
              <w:bottom w:val="single" w:sz="8" w:color="auto"/>
            </w:tcBorders>
          </w:tcPr>
          <w:p>
            <w:pPr>
              <w:spacing w:after="0"/>
              <w:rPr>
                <w:sz w:val="19"/>
                <w:szCs w:val="19"/>
                <w:color w:val="auto"/>
              </w:rPr>
            </w:pPr>
          </w:p>
        </w:tc>
      </w:tr>
      <w:tr>
        <w:trPr>
          <w:trHeight w:val="198"/>
        </w:trPr>
        <w:tc>
          <w:tcPr>
            <w:tcW w:w="12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Level 1 Quoted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Level 3</w:t>
            </w:r>
          </w:p>
        </w:tc>
      </w:tr>
      <w:tr>
        <w:trPr>
          <w:trHeight w:val="189"/>
        </w:trPr>
        <w:tc>
          <w:tcPr>
            <w:tcW w:w="12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Prices in Active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Level 2 Significant</w:t>
            </w:r>
          </w:p>
        </w:tc>
        <w:tc>
          <w:tcPr>
            <w:tcW w:w="18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12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August 26,</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9"/>
              </w:rPr>
              <w:t>Markets 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47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Identical Assets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Inputs</w:t>
            </w:r>
          </w:p>
        </w:tc>
      </w:tr>
      <w:tr>
        <w:trPr>
          <w:trHeight w:val="270"/>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4860" w:type="dxa"/>
            <w:vAlign w:val="bottom"/>
            <w:gridSpan w:val="3"/>
          </w:tcPr>
          <w:p>
            <w:pPr>
              <w:ind w:left="120"/>
              <w:spacing w:after="0"/>
              <w:rPr>
                <w:sz w:val="20"/>
                <w:szCs w:val="20"/>
                <w:color w:val="auto"/>
              </w:rPr>
            </w:pPr>
            <w:r>
              <w:rPr>
                <w:rFonts w:ascii="Arial" w:cs="Arial" w:eastAsia="Arial" w:hAnsi="Arial"/>
                <w:sz w:val="16"/>
                <w:szCs w:val="16"/>
                <w:color w:val="auto"/>
              </w:rPr>
              <w:t>Domestic equity funds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1,708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1,671</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80"/>
        </w:trPr>
        <w:tc>
          <w:tcPr>
            <w:tcW w:w="48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0"/>
        </w:trPr>
        <w:tc>
          <w:tcPr>
            <w:tcW w:w="4860" w:type="dxa"/>
            <w:vAlign w:val="bottom"/>
            <w:gridSpan w:val="3"/>
          </w:tcPr>
          <w:p>
            <w:pPr>
              <w:ind w:left="120"/>
              <w:spacing w:after="0"/>
              <w:rPr>
                <w:sz w:val="20"/>
                <w:szCs w:val="20"/>
                <w:color w:val="auto"/>
              </w:rPr>
            </w:pPr>
            <w:r>
              <w:rPr>
                <w:rFonts w:ascii="Arial" w:cs="Arial" w:eastAsia="Arial" w:hAnsi="Arial"/>
                <w:sz w:val="16"/>
                <w:szCs w:val="16"/>
                <w:color w:val="auto"/>
              </w:rPr>
              <w:t>Fixed income funds</w:t>
            </w:r>
          </w:p>
        </w:tc>
        <w:tc>
          <w:tcPr>
            <w:tcW w:w="2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3"/>
        </w:trPr>
        <w:tc>
          <w:tcPr>
            <w:tcW w:w="4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Interest rate swap contract</w:t>
            </w:r>
          </w:p>
        </w:tc>
        <w:tc>
          <w:tcPr>
            <w:tcW w:w="2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40"/>
        </w:trPr>
        <w:tc>
          <w:tcPr>
            <w:tcW w:w="4860" w:type="dxa"/>
            <w:vAlign w:val="bottom"/>
            <w:gridSpan w:val="3"/>
          </w:tcPr>
          <w:p>
            <w:pPr>
              <w:ind w:left="40"/>
              <w:spacing w:after="0"/>
              <w:rPr>
                <w:sz w:val="20"/>
                <w:szCs w:val="20"/>
                <w:color w:val="auto"/>
              </w:rPr>
            </w:pPr>
            <w:r>
              <w:rPr>
                <w:rFonts w:ascii="Arial" w:cs="Arial" w:eastAsia="Arial" w:hAnsi="Arial"/>
                <w:sz w:val="16"/>
                <w:szCs w:val="16"/>
                <w:color w:val="auto"/>
              </w:rPr>
              <w:t>Total assets (liabilities) at fair value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1,998</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1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 majority of securities are classified as Level 1 as they are traded in an active market for which closing stock prices are readily available. These securities fund the Executive Share Option Plan and the Executive Deferred Compensation Plan (see Note 10). The proportion of the assets that will fund options which expire within a year are included in prepaid expenses and other current assets in the accompanying consolidated balance sheets. The remaining assets are classified as non-current and are included in other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Contract</w:t>
      </w:r>
    </w:p>
    <w:p>
      <w:pPr>
        <w:spacing w:after="0" w:line="2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Under terms of our Credit Agreement (see Note 9) we were previously required to hedge a portion of the floating interest rate exposure. In accordance with this requirement, we entered into an interest swap contract on January 23, 2017, which effectively fixed our interest rate on $200.0 million of our Term Loan at</w:t>
      </w:r>
    </w:p>
    <w:p>
      <w:pPr>
        <w:spacing w:after="0" w:line="1"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6.32%. The notional amount of the swap contract decreases to $170.0 million on December 8, 2017, $120.0 million on December 10, 2018, and $60.0 million on December 9, 2019. The swap contract expires on December 8, 2020. As discussed in subsequent events in Note 1, the requirement to hedge a portion of this interest rate exposure was removed from our Credit Agreement.</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fair value of the interest rate swap based on a Level 2 valuation was an asset of $0.4 million as of November 25, 2017. The fair value is classified as Level 2 as it is corroborated based on observable market data. This amount is included in other non-current assets on the consolidated balance sheet. The change in value in first quarter was predominately recorded to accumulated other comprehensive income on the consolidated balance sheet since the interest rate swap has been designated for hedge accounting and $0.2 million was recorded as a reduction of interest expense on the consolidated income statement consistent with the accounting guidance under ASC 815 - Derivatives and Hedging.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non-financial assets, which includes goodwill, intangible assets,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three months of Fiscal 2018, no impairments were recorded for non-financial assets.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our debt as of November 25, 2017 approximates fair value as interest is at variable market rates.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67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47"/>
        </w:trPr>
        <w:tc>
          <w:tcPr>
            <w:tcW w:w="6780" w:type="dxa"/>
            <w:vAlign w:val="bottom"/>
            <w:gridSpan w:val="3"/>
          </w:tcPr>
          <w:p>
            <w:pPr>
              <w:spacing w:after="0"/>
              <w:rPr>
                <w:sz w:val="20"/>
                <w:szCs w:val="20"/>
                <w:color w:val="auto"/>
              </w:rPr>
            </w:pPr>
            <w:r>
              <w:rPr>
                <w:rFonts w:ascii="Arial" w:cs="Arial" w:eastAsia="Arial" w:hAnsi="Arial"/>
                <w:sz w:val="16"/>
                <w:szCs w:val="16"/>
                <w:b w:val="1"/>
                <w:bCs w:val="1"/>
                <w:color w:val="auto"/>
              </w:rPr>
              <w:t>Note 6: Inventories</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1"/>
        </w:trPr>
        <w:tc>
          <w:tcPr>
            <w:tcW w:w="6780" w:type="dxa"/>
            <w:vAlign w:val="bottom"/>
            <w:gridSpan w:val="3"/>
          </w:tcPr>
          <w:p>
            <w:pPr>
              <w:spacing w:after="0"/>
              <w:rPr>
                <w:sz w:val="20"/>
                <w:szCs w:val="20"/>
                <w:color w:val="auto"/>
              </w:rPr>
            </w:pPr>
            <w:r>
              <w:rPr>
                <w:rFonts w:ascii="Arial" w:cs="Arial" w:eastAsia="Arial" w:hAnsi="Arial"/>
                <w:sz w:val="16"/>
                <w:szCs w:val="16"/>
                <w:color w:val="auto"/>
              </w:rPr>
              <w:t>Inventories consist of the following:</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2"/>
          </w:tcPr>
          <w:p>
            <w:pPr>
              <w:ind w:left="220"/>
              <w:spacing w:after="0"/>
              <w:rPr>
                <w:sz w:val="20"/>
                <w:szCs w:val="20"/>
                <w:color w:val="auto"/>
              </w:rPr>
            </w:pPr>
            <w:r>
              <w:rPr>
                <w:rFonts w:ascii="Arial" w:cs="Arial" w:eastAsia="Arial" w:hAnsi="Arial"/>
                <w:sz w:val="16"/>
                <w:szCs w:val="16"/>
                <w:b w:val="1"/>
                <w:bCs w:val="1"/>
                <w:color w:val="auto"/>
              </w:rPr>
              <w:t>November 25,</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6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2017</w:t>
            </w:r>
          </w:p>
        </w:tc>
      </w:tr>
      <w:tr>
        <w:trPr>
          <w:trHeight w:val="257"/>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32,500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16,947</w:t>
            </w:r>
          </w:p>
        </w:tc>
      </w:tr>
      <w:tr>
        <w:trPr>
          <w:trHeight w:val="26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Work-in-process</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66,342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60,818</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88,663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99,919</w:t>
            </w:r>
          </w:p>
        </w:tc>
      </w:tr>
      <w:tr>
        <w:trPr>
          <w:trHeight w:val="247"/>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21"/>
                <w:szCs w:val="21"/>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187,505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177,684</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(35,718)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(35,419)</w:t>
            </w:r>
          </w:p>
        </w:tc>
      </w:tr>
      <w:tr>
        <w:trPr>
          <w:trHeight w:val="24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151,787</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142,265</w:t>
            </w:r>
          </w:p>
        </w:tc>
      </w:tr>
      <w:tr>
        <w:trPr>
          <w:trHeight w:val="20"/>
        </w:trPr>
        <w:tc>
          <w:tcPr>
            <w:tcW w:w="1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$187.5 million and</w:t>
      </w:r>
    </w:p>
    <w:p>
      <w:pPr>
        <w:spacing w:after="0" w:line="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$177.7 million inventory at November 25, 2017 and August 26, 2017, respectively, $156.0 million and $149.8 million is valued on a LIFO basis. The remaining inventories of $31.5 million and $27.9 million at November 25, 2017 and August 26, 2017, respectively, are valued on a FIFO basis.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2"/>
          </w:tcPr>
          <w:p>
            <w:pPr>
              <w:ind w:left="220"/>
              <w:spacing w:after="0"/>
              <w:rPr>
                <w:sz w:val="20"/>
                <w:szCs w:val="20"/>
                <w:color w:val="auto"/>
              </w:rPr>
            </w:pPr>
            <w:r>
              <w:rPr>
                <w:rFonts w:ascii="Arial" w:cs="Arial" w:eastAsia="Arial" w:hAnsi="Arial"/>
                <w:sz w:val="16"/>
                <w:szCs w:val="16"/>
                <w:b w:val="1"/>
                <w:bCs w:val="1"/>
                <w:color w:val="auto"/>
              </w:rPr>
              <w:t>November 25,</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2017</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3,934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3,914</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76,528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73,831</w:t>
            </w:r>
          </w:p>
        </w:tc>
      </w:tr>
      <w:tr>
        <w:trPr>
          <w:trHeight w:val="280"/>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100,065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99,952</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Software</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19,352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17,844</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8,617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8,993</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60" w:type="dxa"/>
            <w:vAlign w:val="bottom"/>
          </w:tcPr>
          <w:p>
            <w:pPr>
              <w:spacing w:after="0"/>
              <w:rPr>
                <w:sz w:val="21"/>
                <w:szCs w:val="21"/>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208,496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204,534</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(134,383)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(132,974)</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74,113</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71,560</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214"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We provide service and warranty policies on our products. From time to time, we also voluntarily incur costs for certain warranty-type expenses occurring after the normal warranty period to help protect the reputation of our products and the goodwill of our customers. Warranty expense is affected by dealership labor rates, the cost of parts and the frequency of claims. Estimated costs related to product warranty are accrued at the time of sale and are based upon historical warranty and service claims experience. Adjustments are made to accruals as claim data and cost experience becomes available.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98"/>
        </w:trPr>
        <w:tc>
          <w:tcPr>
            <w:tcW w:w="48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25,</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26,</w:t>
            </w:r>
          </w:p>
        </w:tc>
        <w:tc>
          <w:tcPr>
            <w:tcW w:w="0" w:type="dxa"/>
            <w:vAlign w:val="bottom"/>
          </w:tcPr>
          <w:p>
            <w:pPr>
              <w:spacing w:after="0"/>
              <w:rPr>
                <w:sz w:val="1"/>
                <w:szCs w:val="1"/>
                <w:color w:val="auto"/>
              </w:rPr>
            </w:pPr>
          </w:p>
        </w:tc>
      </w:tr>
      <w:tr>
        <w:trPr>
          <w:trHeight w:val="22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1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30,805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12,412</w:t>
            </w:r>
          </w:p>
        </w:tc>
        <w:tc>
          <w:tcPr>
            <w:tcW w:w="0" w:type="dxa"/>
            <w:vAlign w:val="bottom"/>
          </w:tcPr>
          <w:p>
            <w:pPr>
              <w:spacing w:after="0"/>
              <w:rPr>
                <w:sz w:val="1"/>
                <w:szCs w:val="1"/>
                <w:color w:val="auto"/>
              </w:rPr>
            </w:pPr>
          </w:p>
        </w:tc>
      </w:tr>
      <w:tr>
        <w:trPr>
          <w:trHeight w:val="260"/>
        </w:trPr>
        <w:tc>
          <w:tcPr>
            <w:tcW w:w="4800" w:type="dxa"/>
            <w:vAlign w:val="bottom"/>
          </w:tcPr>
          <w:p>
            <w:pPr>
              <w:ind w:left="40"/>
              <w:spacing w:after="0"/>
              <w:rPr>
                <w:sz w:val="20"/>
                <w:szCs w:val="20"/>
                <w:color w:val="auto"/>
              </w:rPr>
            </w:pPr>
            <w:r>
              <w:rPr>
                <w:rFonts w:ascii="Arial" w:cs="Arial" w:eastAsia="Arial" w:hAnsi="Arial"/>
                <w:sz w:val="16"/>
                <w:szCs w:val="16"/>
                <w:color w:val="auto"/>
              </w:rPr>
              <w:t>Provision</w:t>
            </w:r>
          </w:p>
        </w:tc>
        <w:tc>
          <w:tcPr>
            <w:tcW w:w="2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9,953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3,898</w:t>
            </w:r>
          </w:p>
        </w:tc>
        <w:tc>
          <w:tcPr>
            <w:tcW w:w="0" w:type="dxa"/>
            <w:vAlign w:val="bottom"/>
          </w:tcPr>
          <w:p>
            <w:pPr>
              <w:spacing w:after="0"/>
              <w:rPr>
                <w:sz w:val="1"/>
                <w:szCs w:val="1"/>
                <w:color w:val="auto"/>
              </w:rPr>
            </w:pPr>
          </w:p>
        </w:tc>
      </w:tr>
      <w:tr>
        <w:trPr>
          <w:trHeight w:val="280"/>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2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(8,258)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(4,663)</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Acquisition of Grand Design</w:t>
            </w:r>
          </w:p>
        </w:tc>
        <w:tc>
          <w:tcPr>
            <w:tcW w:w="2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12,904</w:t>
            </w:r>
          </w:p>
        </w:tc>
        <w:tc>
          <w:tcPr>
            <w:tcW w:w="0" w:type="dxa"/>
            <w:vAlign w:val="bottom"/>
          </w:tcPr>
          <w:p>
            <w:pPr>
              <w:spacing w:after="0"/>
              <w:rPr>
                <w:sz w:val="1"/>
                <w:szCs w:val="1"/>
                <w:color w:val="auto"/>
              </w:rPr>
            </w:pPr>
          </w:p>
        </w:tc>
      </w:tr>
      <w:tr>
        <w:trPr>
          <w:trHeight w:val="240"/>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1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32,500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24,551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1739"/>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48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47"/>
        </w:trPr>
        <w:tc>
          <w:tcPr>
            <w:tcW w:w="7740" w:type="dxa"/>
            <w:vAlign w:val="bottom"/>
            <w:gridSpan w:val="3"/>
          </w:tcPr>
          <w:p>
            <w:pPr>
              <w:spacing w:after="0"/>
              <w:rPr>
                <w:sz w:val="20"/>
                <w:szCs w:val="20"/>
                <w:color w:val="auto"/>
              </w:rPr>
            </w:pPr>
            <w:r>
              <w:rPr>
                <w:rFonts w:ascii="Arial" w:cs="Arial" w:eastAsia="Arial" w:hAnsi="Arial"/>
                <w:sz w:val="16"/>
                <w:szCs w:val="16"/>
                <w:b w:val="1"/>
                <w:bCs w:val="1"/>
                <w:color w:val="auto"/>
              </w:rPr>
              <w:t>Note 9: Long-Term Debt</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8"/>
        </w:trPr>
        <w:tc>
          <w:tcPr>
            <w:tcW w:w="7740" w:type="dxa"/>
            <w:vAlign w:val="bottom"/>
            <w:gridSpan w:val="3"/>
          </w:tcPr>
          <w:p>
            <w:pPr>
              <w:spacing w:after="0"/>
              <w:rPr>
                <w:sz w:val="20"/>
                <w:szCs w:val="20"/>
                <w:color w:val="auto"/>
              </w:rPr>
            </w:pPr>
            <w:r>
              <w:rPr>
                <w:rFonts w:ascii="Arial" w:cs="Arial" w:eastAsia="Arial" w:hAnsi="Arial"/>
                <w:sz w:val="16"/>
                <w:szCs w:val="16"/>
                <w:color w:val="auto"/>
              </w:rPr>
              <w:t>The components of long-term debt are as follows: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November 25,</w:t>
            </w:r>
          </w:p>
        </w:tc>
        <w:tc>
          <w:tcPr>
            <w:tcW w:w="280" w:type="dxa"/>
            <w:vAlign w:val="bottom"/>
          </w:tcPr>
          <w:p>
            <w:pPr>
              <w:spacing w:after="0"/>
              <w:rPr>
                <w:sz w:val="24"/>
                <w:szCs w:val="24"/>
                <w:color w:val="auto"/>
              </w:rPr>
            </w:pPr>
          </w:p>
        </w:tc>
        <w:tc>
          <w:tcPr>
            <w:tcW w:w="1500" w:type="dxa"/>
            <w:vAlign w:val="bottom"/>
          </w:tcPr>
          <w:p>
            <w:pPr>
              <w:jc w:val="right"/>
              <w:ind w:right="41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76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r>
      <w:tr>
        <w:trPr>
          <w:trHeight w:val="257"/>
        </w:trPr>
        <w:tc>
          <w:tcPr>
            <w:tcW w:w="77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7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Term Loan</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279,750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284,000</w:t>
            </w:r>
          </w:p>
        </w:tc>
      </w:tr>
      <w:tr>
        <w:trPr>
          <w:trHeight w:val="257"/>
        </w:trPr>
        <w:tc>
          <w:tcPr>
            <w:tcW w:w="77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Gross Long-term debt, excluding issuance costs</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279,750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284,000</w:t>
            </w:r>
          </w:p>
        </w:tc>
      </w:tr>
      <w:tr>
        <w:trPr>
          <w:trHeight w:val="264"/>
        </w:trPr>
        <w:tc>
          <w:tcPr>
            <w:tcW w:w="77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debt issuance cost, net</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(8,987)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(9,424)</w:t>
            </w:r>
          </w:p>
        </w:tc>
      </w:tr>
      <w:tr>
        <w:trPr>
          <w:trHeight w:val="257"/>
        </w:trPr>
        <w:tc>
          <w:tcPr>
            <w:tcW w:w="77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Long-term debt, net of issuance costs</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270,763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274,576</w:t>
            </w:r>
          </w:p>
        </w:tc>
      </w:tr>
      <w:tr>
        <w:trPr>
          <w:trHeight w:val="264"/>
        </w:trPr>
        <w:tc>
          <w:tcPr>
            <w:tcW w:w="774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current maturities</w:t>
            </w: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(2,342)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(2,850)</w:t>
            </w:r>
          </w:p>
        </w:tc>
      </w:tr>
      <w:tr>
        <w:trPr>
          <w:trHeight w:val="240"/>
        </w:trPr>
        <w:tc>
          <w:tcPr>
            <w:tcW w:w="7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debt, less current maturities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268,421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271,726</w:t>
            </w:r>
          </w:p>
        </w:tc>
      </w:tr>
      <w:tr>
        <w:trPr>
          <w:trHeight w:val="20"/>
        </w:trPr>
        <w:tc>
          <w:tcPr>
            <w:tcW w:w="12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On November 8, 2016, we entered into a $125.0 million ABL agreement and a $300.0 million Term Loan with JPMorgan Chase.</w:t>
      </w:r>
    </w:p>
    <w:p>
      <w:pPr>
        <w:spacing w:after="0" w:line="221"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Under the ABL agreement, we have a five year credit facility on a revolving basis, subject to availability under a borrowing base consisting of eligible accounts receivable and eligible inventory. The line is available for issuance of letters of credit to a specified limit of $10.0 million. We pay a customary commitment fee based upon the amount of the facility available but unused.</w:t>
      </w:r>
    </w:p>
    <w:p>
      <w:pPr>
        <w:spacing w:after="0" w:line="201"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Under the agreement, we can elect to base the interest rate on various base rates plus specific spreads depending on the amount of borrowings outstanding. As of November 25, 2017 no funds were drawn on the ABL agreement other than an outstanding $0.2 million letter of credit. As discussed in Note 1: Basis of Presentation - Subsequent Events, $19.7 million was drawn on the ABL as part of an amendment to our Credit Agreement and used to prepay a portion of our Term Loan B prior to the repricing of that loan. We currently pay interest on ABL borrowings at a floating rate based upon LIBOR plus 1.25%.</w:t>
      </w:r>
    </w:p>
    <w:p>
      <w:pPr>
        <w:spacing w:after="0" w:line="20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Under the Term Loan agreement, we have a seven year credit facility originally repayable in quarterly installments in an aggregate amount equal to 1.0% of the original amount of the Term Loan on March 31, June 30 and September 30, 2017; 1.25% each calendar quarter end thereafter; with the balance payable on November 8, 2023. We have made voluntary prepayments towards the outstanding Term Loan B balance. These prepayments have been designated as applying to the next regularly scheduled payments. As of November 25, 2017, these designations provide an opportunity to defer principal payments on the term loan, at our option, until September 30, 2018. As noted in Note 1: Basis of Presentation - Subsequent Events, on December 8, 2017 we finalized an amendment to our Credit Agreement to reprice $260 million of Term Loan B debt. Prior to the repricing, we made an additional $19.7 million prepayment on the Term Loan B. That prepayment extended the opportunity to defer payment, at our option, until December 31, 2019. There are mandatory prepayments for proceeds of new debt, sale of significant assets or subsidiaries, and excess cash flow as those terms are defined in the agreement. Incremental term loans of up to $125.0 million are available if certain financial ratios and other conditions are met.</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the Term Loan agreement, we can elect to base the interest rate on various base rates plus specific spreads. The interest rate as of November 25, 2017, before consideration of the hedge and prior to the amendment, was 5.7%.</w:t>
      </w:r>
    </w:p>
    <w:p>
      <w:pPr>
        <w:spacing w:after="0" w:line="196"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Term Loan agreement and the ABL agreement both contain various financial covenants. As of November 25, 2017, we are in compliance with all financial covenants of the Credit Agreement.</w:t>
      </w:r>
    </w:p>
    <w:p>
      <w:pPr>
        <w:spacing w:after="0" w:line="19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ABL and Term Loan are guaranteed by Winnebago Industries, Inc. and all material direct and indirect domestic subsidiaries, and are secured by a security interest in substantially all of our assets, except minor excluded assets.</w:t>
      </w:r>
    </w:p>
    <w:p>
      <w:pPr>
        <w:spacing w:after="0" w:line="19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As of November 25, 2017, $9.0 million of debt issuance costs, net of amortization of $2.0 million, were recorded as a direct deduction from long-term debt, $1.4 million from the current portion and $7.6 million from the long-term portion. Unamortized debt issuance costs of $0.1 million related to the prior Amended Credit Agreement were expensed in the three months ended November 26, 2016.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9820" w:type="dxa"/>
            <w:vAlign w:val="bottom"/>
            <w:gridSpan w:val="4"/>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8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60"/>
        </w:trPr>
        <w:tc>
          <w:tcPr>
            <w:tcW w:w="9820" w:type="dxa"/>
            <w:vAlign w:val="bottom"/>
            <w:gridSpan w:val="4"/>
          </w:tcPr>
          <w:p>
            <w:pPr>
              <w:spacing w:after="0"/>
              <w:rPr>
                <w:sz w:val="20"/>
                <w:szCs w:val="20"/>
                <w:color w:val="auto"/>
              </w:rPr>
            </w:pPr>
            <w:r>
              <w:rPr>
                <w:rFonts w:ascii="Arial" w:cs="Arial" w:eastAsia="Arial" w:hAnsi="Arial"/>
                <w:sz w:val="16"/>
                <w:szCs w:val="16"/>
                <w:color w:val="auto"/>
              </w:rPr>
              <w:t>Aggregate contractual maturities of debt in future fiscal years, are as follows as of November 25, 2017: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982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4"/>
                <w:szCs w:val="24"/>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257"/>
        </w:trPr>
        <w:tc>
          <w:tcPr>
            <w:tcW w:w="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9040" w:type="dxa"/>
            <w:vAlign w:val="bottom"/>
            <w:tcBorders>
              <w:top w:val="single" w:sz="8" w:color="auto"/>
            </w:tcBorders>
            <w:gridSpan w:val="2"/>
            <w:shd w:val="clear" w:color="auto" w:fill="CCEEFF"/>
          </w:tcPr>
          <w:p>
            <w:pPr>
              <w:ind w:left="280"/>
              <w:spacing w:after="0"/>
              <w:rPr>
                <w:sz w:val="20"/>
                <w:szCs w:val="20"/>
                <w:color w:val="auto"/>
              </w:rPr>
            </w:pPr>
            <w:r>
              <w:rPr>
                <w:rFonts w:ascii="Arial" w:cs="Arial" w:eastAsia="Arial" w:hAnsi="Arial"/>
                <w:sz w:val="16"/>
                <w:szCs w:val="16"/>
                <w:color w:val="auto"/>
              </w:rPr>
              <w:t>2018</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80" w:type="dxa"/>
            <w:vAlign w:val="bottom"/>
          </w:tcPr>
          <w:p>
            <w:pPr>
              <w:spacing w:after="0"/>
              <w:rPr>
                <w:sz w:val="22"/>
                <w:szCs w:val="22"/>
                <w:color w:val="auto"/>
              </w:rPr>
            </w:pPr>
          </w:p>
        </w:tc>
        <w:tc>
          <w:tcPr>
            <w:tcW w:w="9040" w:type="dxa"/>
            <w:vAlign w:val="bottom"/>
            <w:gridSpan w:val="2"/>
          </w:tcPr>
          <w:p>
            <w:pPr>
              <w:ind w:left="28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280"/>
        </w:trPr>
        <w:tc>
          <w:tcPr>
            <w:tcW w:w="680" w:type="dxa"/>
            <w:vAlign w:val="bottom"/>
            <w:shd w:val="clear" w:color="auto" w:fill="CCEEFF"/>
          </w:tcPr>
          <w:p>
            <w:pPr>
              <w:spacing w:after="0"/>
              <w:rPr>
                <w:sz w:val="24"/>
                <w:szCs w:val="24"/>
                <w:color w:val="auto"/>
              </w:rPr>
            </w:pPr>
          </w:p>
        </w:tc>
        <w:tc>
          <w:tcPr>
            <w:tcW w:w="9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0"/>
        </w:trPr>
        <w:tc>
          <w:tcPr>
            <w:tcW w:w="680" w:type="dxa"/>
            <w:vAlign w:val="bottom"/>
          </w:tcPr>
          <w:p>
            <w:pPr>
              <w:spacing w:after="0"/>
              <w:rPr>
                <w:sz w:val="22"/>
                <w:szCs w:val="22"/>
                <w:color w:val="auto"/>
              </w:rPr>
            </w:pPr>
          </w:p>
        </w:tc>
        <w:tc>
          <w:tcPr>
            <w:tcW w:w="9040" w:type="dxa"/>
            <w:vAlign w:val="bottom"/>
            <w:gridSpan w:val="2"/>
          </w:tcPr>
          <w:p>
            <w:pPr>
              <w:ind w:left="28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280"/>
        </w:trPr>
        <w:tc>
          <w:tcPr>
            <w:tcW w:w="680" w:type="dxa"/>
            <w:vAlign w:val="bottom"/>
            <w:shd w:val="clear" w:color="auto" w:fill="CCEEFF"/>
          </w:tcPr>
          <w:p>
            <w:pPr>
              <w:spacing w:after="0"/>
              <w:rPr>
                <w:sz w:val="24"/>
                <w:szCs w:val="24"/>
                <w:color w:val="auto"/>
              </w:rPr>
            </w:pPr>
          </w:p>
        </w:tc>
        <w:tc>
          <w:tcPr>
            <w:tcW w:w="9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0"/>
        </w:trPr>
        <w:tc>
          <w:tcPr>
            <w:tcW w:w="680" w:type="dxa"/>
            <w:vAlign w:val="bottom"/>
          </w:tcPr>
          <w:p>
            <w:pPr>
              <w:spacing w:after="0"/>
              <w:rPr>
                <w:sz w:val="22"/>
                <w:szCs w:val="22"/>
                <w:color w:val="auto"/>
              </w:rPr>
            </w:pPr>
          </w:p>
        </w:tc>
        <w:tc>
          <w:tcPr>
            <w:tcW w:w="9040" w:type="dxa"/>
            <w:vAlign w:val="bottom"/>
            <w:gridSpan w:val="2"/>
          </w:tcPr>
          <w:p>
            <w:pPr>
              <w:ind w:left="28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273"/>
        </w:trPr>
        <w:tc>
          <w:tcPr>
            <w:tcW w:w="680" w:type="dxa"/>
            <w:vAlign w:val="bottom"/>
            <w:shd w:val="clear" w:color="auto" w:fill="CCEEFF"/>
          </w:tcPr>
          <w:p>
            <w:pPr>
              <w:spacing w:after="0"/>
              <w:rPr>
                <w:sz w:val="23"/>
                <w:szCs w:val="23"/>
                <w:color w:val="auto"/>
              </w:rPr>
            </w:pPr>
          </w:p>
        </w:tc>
        <w:tc>
          <w:tcPr>
            <w:tcW w:w="90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204,750</w:t>
            </w:r>
          </w:p>
        </w:tc>
      </w:tr>
      <w:tr>
        <w:trPr>
          <w:trHeight w:val="240"/>
        </w:trPr>
        <w:tc>
          <w:tcPr>
            <w:tcW w:w="680" w:type="dxa"/>
            <w:vAlign w:val="bottom"/>
          </w:tcPr>
          <w:p>
            <w:pPr>
              <w:spacing w:after="0"/>
              <w:rPr>
                <w:sz w:val="20"/>
                <w:szCs w:val="20"/>
                <w:color w:val="auto"/>
              </w:rPr>
            </w:pPr>
          </w:p>
        </w:tc>
        <w:tc>
          <w:tcPr>
            <w:tcW w:w="9140" w:type="dxa"/>
            <w:vAlign w:val="bottom"/>
            <w:gridSpan w:val="3"/>
          </w:tcPr>
          <w:p>
            <w:pPr>
              <w:ind w:left="280"/>
              <w:spacing w:after="0"/>
              <w:rPr>
                <w:sz w:val="20"/>
                <w:szCs w:val="20"/>
                <w:color w:val="auto"/>
              </w:rPr>
            </w:pPr>
            <w:r>
              <w:rPr>
                <w:rFonts w:ascii="Arial" w:cs="Arial" w:eastAsia="Arial" w:hAnsi="Arial"/>
                <w:sz w:val="16"/>
                <w:szCs w:val="16"/>
                <w:color w:val="auto"/>
              </w:rPr>
              <w:t>Total debt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279,750</w:t>
            </w:r>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gridSpan w:val="2"/>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51"/>
        </w:trPr>
        <w:tc>
          <w:tcPr>
            <w:tcW w:w="7560" w:type="dxa"/>
            <w:vAlign w:val="bottom"/>
            <w:gridSpan w:val="2"/>
          </w:tcPr>
          <w:p>
            <w:pPr>
              <w:spacing w:after="0"/>
              <w:rPr>
                <w:sz w:val="20"/>
                <w:szCs w:val="20"/>
                <w:color w:val="auto"/>
              </w:rPr>
            </w:pPr>
            <w:r>
              <w:rPr>
                <w:rFonts w:ascii="Arial" w:cs="Arial" w:eastAsia="Arial" w:hAnsi="Arial"/>
                <w:sz w:val="16"/>
                <w:szCs w:val="16"/>
                <w:color w:val="auto"/>
              </w:rPr>
              <w:t>Deferred compensation liabilities are as follows: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6"/>
        </w:trPr>
        <w:tc>
          <w:tcPr>
            <w:tcW w:w="7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November 25,</w:t>
            </w:r>
          </w:p>
        </w:tc>
        <w:tc>
          <w:tcPr>
            <w:tcW w:w="300" w:type="dxa"/>
            <w:vAlign w:val="bottom"/>
          </w:tcPr>
          <w:p>
            <w:pPr>
              <w:spacing w:after="0"/>
              <w:rPr>
                <w:sz w:val="24"/>
                <w:szCs w:val="24"/>
                <w:color w:val="auto"/>
              </w:rPr>
            </w:pPr>
          </w:p>
        </w:tc>
        <w:tc>
          <w:tcPr>
            <w:tcW w:w="1560" w:type="dxa"/>
            <w:vAlign w:val="bottom"/>
          </w:tcPr>
          <w:p>
            <w:pPr>
              <w:jc w:val="right"/>
              <w:ind w:right="459"/>
              <w:spacing w:after="0"/>
              <w:rPr>
                <w:sz w:val="20"/>
                <w:szCs w:val="20"/>
                <w:color w:val="auto"/>
              </w:rPr>
            </w:pPr>
            <w:r>
              <w:rPr>
                <w:rFonts w:ascii="Arial" w:cs="Arial" w:eastAsia="Arial" w:hAnsi="Arial"/>
                <w:sz w:val="16"/>
                <w:szCs w:val="16"/>
                <w:b w:val="1"/>
                <w:bCs w:val="1"/>
                <w:color w:val="auto"/>
              </w:rPr>
              <w:t>August 26,</w:t>
            </w:r>
          </w:p>
        </w:tc>
      </w:tr>
      <w:tr>
        <w:trPr>
          <w:trHeight w:val="22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2017</w:t>
            </w:r>
          </w:p>
        </w:tc>
      </w:tr>
      <w:tr>
        <w:trPr>
          <w:trHeight w:val="257"/>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Non-qualified deferred compensation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16,093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16,476</w:t>
            </w:r>
          </w:p>
        </w:tc>
      </w:tr>
      <w:tr>
        <w:trPr>
          <w:trHeight w:val="260"/>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Executive share option plan liability</w:t>
            </w:r>
          </w:p>
        </w:tc>
        <w:tc>
          <w:tcPr>
            <w:tcW w:w="260" w:type="dxa"/>
            <w:vAlign w:val="bottom"/>
          </w:tcPr>
          <w:p>
            <w:pPr>
              <w:spacing w:after="0"/>
              <w:rPr>
                <w:sz w:val="22"/>
                <w:szCs w:val="22"/>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color w:val="auto"/>
              </w:rPr>
              <w:t>1,540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1,498</w:t>
            </w:r>
          </w:p>
        </w:tc>
      </w:tr>
      <w:tr>
        <w:trPr>
          <w:trHeight w:val="280"/>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SERP benefit liability</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2,549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2,534</w:t>
            </w:r>
          </w:p>
        </w:tc>
      </w:tr>
      <w:tr>
        <w:trPr>
          <w:trHeight w:val="260"/>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Executive deferred compensation</w:t>
            </w:r>
          </w:p>
        </w:tc>
        <w:tc>
          <w:tcPr>
            <w:tcW w:w="260" w:type="dxa"/>
            <w:vAlign w:val="bottom"/>
          </w:tcPr>
          <w:p>
            <w:pPr>
              <w:spacing w:after="0"/>
              <w:rPr>
                <w:sz w:val="22"/>
                <w:szCs w:val="22"/>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447</w:t>
            </w:r>
          </w:p>
        </w:tc>
      </w:tr>
      <w:tr>
        <w:trPr>
          <w:trHeight w:val="273"/>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Officer stock-based compensation</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2,937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1,664</w:t>
            </w:r>
          </w:p>
        </w:tc>
      </w:tr>
      <w:tr>
        <w:trPr>
          <w:trHeight w:val="247"/>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Total deferred compensation</w:t>
            </w:r>
          </w:p>
        </w:tc>
        <w:tc>
          <w:tcPr>
            <w:tcW w:w="260" w:type="dxa"/>
            <w:vAlign w:val="bottom"/>
          </w:tcPr>
          <w:p>
            <w:pPr>
              <w:spacing w:after="0"/>
              <w:rPr>
                <w:sz w:val="21"/>
                <w:szCs w:val="21"/>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color w:val="auto"/>
              </w:rPr>
              <w:t>23,589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color w:val="auto"/>
              </w:rPr>
              <w:t>22,619</w:t>
            </w:r>
          </w:p>
        </w:tc>
      </w:tr>
      <w:tr>
        <w:trPr>
          <w:trHeight w:val="273"/>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(4,195)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(3,349)</w:t>
            </w:r>
          </w:p>
        </w:tc>
      </w:tr>
      <w:tr>
        <w:trPr>
          <w:trHeight w:val="240"/>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Long-term deferred compensation</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19,394</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19,270</w:t>
            </w: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Historically, we provided certain health care and other benefits for retired employees hired before April 1, 2001, who had fulfilled eligibility requirements at age 55 with 15 years of continuous service. In Fiscal 2016, postretirement health care benefits were discontinued for retirees age 65 and over. The plan amendment also included a 10% reduction in employer paid premiums for retirees under age 65. During the first quarter of Fiscal 2017, we announced the termination of the remaining postretirement health care benefits to all participants. Beginning January 1, 2017, postretirement health care benefits were discontinued for retirees under age 65. As a result of these amendments, our liability for postretirement health care was reduced as presented in the following table.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Liability</w:t>
            </w:r>
          </w:p>
        </w:tc>
        <w:tc>
          <w:tcPr>
            <w:tcW w:w="1400" w:type="dxa"/>
            <w:vAlign w:val="bottom"/>
          </w:tcPr>
          <w:p>
            <w:pPr>
              <w:spacing w:after="0"/>
              <w:rPr>
                <w:sz w:val="16"/>
                <w:szCs w:val="16"/>
                <w:color w:val="auto"/>
              </w:rPr>
            </w:pPr>
          </w:p>
        </w:tc>
      </w:tr>
      <w:tr>
        <w:trPr>
          <w:trHeight w:val="189"/>
        </w:trPr>
        <w:tc>
          <w:tcPr>
            <w:tcW w:w="14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Dollar Cap</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9"/>
              </w:rPr>
              <w:t>Reduction</w:t>
            </w:r>
          </w:p>
        </w:tc>
        <w:tc>
          <w:tcPr>
            <w:tcW w:w="1400" w:type="dxa"/>
            <w:vAlign w:val="bottom"/>
          </w:tcPr>
          <w:p>
            <w:pPr>
              <w:ind w:left="160"/>
              <w:spacing w:after="0"/>
              <w:rPr>
                <w:sz w:val="20"/>
                <w:szCs w:val="20"/>
                <w:color w:val="auto"/>
              </w:rPr>
            </w:pPr>
            <w:r>
              <w:rPr>
                <w:rFonts w:ascii="Arial" w:cs="Arial" w:eastAsia="Arial" w:hAnsi="Arial"/>
                <w:sz w:val="16"/>
                <w:szCs w:val="16"/>
                <w:b w:val="1"/>
                <w:bCs w:val="1"/>
                <w:color w:val="auto"/>
              </w:rPr>
              <w:t>Amortization</w:t>
            </w:r>
          </w:p>
        </w:tc>
      </w:tr>
      <w:tr>
        <w:trPr>
          <w:trHeight w:val="234"/>
        </w:trPr>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Date</w:t>
            </w:r>
          </w:p>
        </w:tc>
        <w:tc>
          <w:tcPr>
            <w:tcW w:w="53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Event</w:t>
            </w:r>
          </w:p>
        </w:tc>
        <w:tc>
          <w:tcPr>
            <w:tcW w:w="14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Reduction</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tcBorders>
              <w:bottom w:val="single" w:sz="8" w:color="auto"/>
            </w:tcBorders>
          </w:tcPr>
          <w:p>
            <w:pPr>
              <w:ind w:left="340"/>
              <w:spacing w:after="0" w:line="234"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(1)</w:t>
            </w:r>
          </w:p>
        </w:tc>
      </w:tr>
      <w:tr>
        <w:trPr>
          <w:trHeight w:val="211"/>
        </w:trPr>
        <w:tc>
          <w:tcPr>
            <w:tcW w:w="1480" w:type="dxa"/>
            <w:vAlign w:val="bottom"/>
          </w:tcPr>
          <w:p>
            <w:pPr>
              <w:ind w:left="40"/>
              <w:spacing w:after="0"/>
              <w:rPr>
                <w:sz w:val="20"/>
                <w:szCs w:val="20"/>
                <w:color w:val="auto"/>
              </w:rPr>
            </w:pPr>
            <w:r>
              <w:rPr>
                <w:rFonts w:ascii="Arial" w:cs="Arial" w:eastAsia="Arial" w:hAnsi="Arial"/>
                <w:sz w:val="16"/>
                <w:szCs w:val="16"/>
                <w:color w:val="auto"/>
              </w:rPr>
              <w:t>January 2016</w:t>
            </w:r>
          </w:p>
        </w:tc>
        <w:tc>
          <w:tcPr>
            <w:tcW w:w="5520" w:type="dxa"/>
            <w:vAlign w:val="bottom"/>
            <w:gridSpan w:val="2"/>
          </w:tcPr>
          <w:p>
            <w:pPr>
              <w:ind w:left="280"/>
              <w:spacing w:after="0"/>
              <w:rPr>
                <w:sz w:val="20"/>
                <w:szCs w:val="20"/>
                <w:color w:val="auto"/>
              </w:rPr>
            </w:pPr>
            <w:r>
              <w:rPr>
                <w:rFonts w:ascii="Arial" w:cs="Arial" w:eastAsia="Arial" w:hAnsi="Arial"/>
                <w:sz w:val="16"/>
                <w:szCs w:val="16"/>
                <w:color w:val="auto"/>
              </w:rPr>
              <w:t>Reduced employer dollar caps for retirees under age 65; discontinued</w:t>
            </w: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5"/>
        </w:trPr>
        <w:tc>
          <w:tcPr>
            <w:tcW w:w="1480" w:type="dxa"/>
            <w:vAlign w:val="bottom"/>
          </w:tcPr>
          <w:p>
            <w:pPr>
              <w:spacing w:after="0"/>
              <w:rPr>
                <w:sz w:val="16"/>
                <w:szCs w:val="16"/>
                <w:color w:val="auto"/>
              </w:rPr>
            </w:pPr>
          </w:p>
        </w:tc>
        <w:tc>
          <w:tcPr>
            <w:tcW w:w="5520" w:type="dxa"/>
            <w:vAlign w:val="bottom"/>
            <w:gridSpan w:val="2"/>
          </w:tcPr>
          <w:p>
            <w:pPr>
              <w:ind w:left="280"/>
              <w:spacing w:after="0"/>
              <w:rPr>
                <w:sz w:val="20"/>
                <w:szCs w:val="20"/>
                <w:color w:val="auto"/>
              </w:rPr>
            </w:pPr>
            <w:r>
              <w:rPr>
                <w:rFonts w:ascii="Arial" w:cs="Arial" w:eastAsia="Arial" w:hAnsi="Arial"/>
                <w:sz w:val="16"/>
                <w:szCs w:val="16"/>
                <w:color w:val="auto"/>
              </w:rPr>
              <w:t>retiree benefits for retirees age 65 and over</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10%</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28,596</w:t>
            </w:r>
          </w:p>
        </w:tc>
        <w:tc>
          <w:tcPr>
            <w:tcW w:w="1400" w:type="dxa"/>
            <w:vAlign w:val="bottom"/>
          </w:tcPr>
          <w:p>
            <w:pPr>
              <w:ind w:left="360"/>
              <w:spacing w:after="0"/>
              <w:rPr>
                <w:sz w:val="20"/>
                <w:szCs w:val="20"/>
                <w:color w:val="auto"/>
              </w:rPr>
            </w:pPr>
            <w:r>
              <w:rPr>
                <w:rFonts w:ascii="Arial" w:cs="Arial" w:eastAsia="Arial" w:hAnsi="Arial"/>
                <w:sz w:val="16"/>
                <w:szCs w:val="16"/>
                <w:color w:val="auto"/>
              </w:rPr>
              <w:t>6.9 years</w:t>
            </w:r>
          </w:p>
        </w:tc>
      </w:tr>
      <w:tr>
        <w:trPr>
          <w:trHeight w:val="289"/>
        </w:trPr>
        <w:tc>
          <w:tcPr>
            <w:tcW w:w="1480" w:type="dxa"/>
            <w:vAlign w:val="bottom"/>
          </w:tcPr>
          <w:p>
            <w:pPr>
              <w:ind w:left="40"/>
              <w:spacing w:after="0"/>
              <w:rPr>
                <w:sz w:val="20"/>
                <w:szCs w:val="20"/>
                <w:color w:val="auto"/>
              </w:rPr>
            </w:pPr>
            <w:r>
              <w:rPr>
                <w:rFonts w:ascii="Arial" w:cs="Arial" w:eastAsia="Arial" w:hAnsi="Arial"/>
                <w:sz w:val="16"/>
                <w:szCs w:val="16"/>
                <w:color w:val="auto"/>
              </w:rPr>
              <w:t xml:space="preserve">January 2017 </w:t>
            </w:r>
            <w:r>
              <w:rPr>
                <w:rFonts w:ascii="Arial" w:cs="Arial" w:eastAsia="Arial" w:hAnsi="Arial"/>
                <w:sz w:val="21"/>
                <w:szCs w:val="21"/>
                <w:color w:val="auto"/>
                <w:vertAlign w:val="superscript"/>
              </w:rPr>
              <w:t>(2)</w:t>
            </w:r>
          </w:p>
        </w:tc>
        <w:tc>
          <w:tcPr>
            <w:tcW w:w="5520" w:type="dxa"/>
            <w:vAlign w:val="bottom"/>
            <w:gridSpan w:val="2"/>
          </w:tcPr>
          <w:p>
            <w:pPr>
              <w:ind w:left="280"/>
              <w:spacing w:after="0"/>
              <w:rPr>
                <w:sz w:val="20"/>
                <w:szCs w:val="20"/>
                <w:color w:val="auto"/>
              </w:rPr>
            </w:pPr>
            <w:r>
              <w:rPr>
                <w:rFonts w:ascii="Arial" w:cs="Arial" w:eastAsia="Arial" w:hAnsi="Arial"/>
                <w:sz w:val="16"/>
                <w:szCs w:val="16"/>
                <w:color w:val="auto"/>
              </w:rPr>
              <w:t>Terminated plan</w:t>
            </w:r>
          </w:p>
        </w:tc>
        <w:tc>
          <w:tcPr>
            <w:tcW w:w="1400" w:type="dxa"/>
            <w:vAlign w:val="bottom"/>
          </w:tcPr>
          <w:p>
            <w:pPr>
              <w:spacing w:after="0"/>
              <w:rPr>
                <w:sz w:val="24"/>
                <w:szCs w:val="24"/>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6,338</w:t>
            </w:r>
          </w:p>
        </w:tc>
        <w:tc>
          <w:tcPr>
            <w:tcW w:w="1400" w:type="dxa"/>
            <w:vAlign w:val="bottom"/>
          </w:tcPr>
          <w:p>
            <w:pPr>
              <w:ind w:left="360"/>
              <w:spacing w:after="0"/>
              <w:rPr>
                <w:sz w:val="20"/>
                <w:szCs w:val="20"/>
                <w:color w:val="auto"/>
              </w:rPr>
            </w:pPr>
            <w:r>
              <w:rPr>
                <w:rFonts w:ascii="Arial" w:cs="Arial" w:eastAsia="Arial" w:hAnsi="Arial"/>
                <w:sz w:val="16"/>
                <w:szCs w:val="16"/>
                <w:color w:val="auto"/>
              </w:rPr>
              <w:t>0.2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0" w:hanging="132"/>
        <w:spacing w:after="0" w:line="218"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Plan amendments were amortized on a straight-line basis over the expected remaining service period of active plan participants.</w:t>
      </w:r>
    </w:p>
    <w:p>
      <w:pPr>
        <w:ind w:right="100" w:firstLine="8"/>
        <w:spacing w:after="0" w:line="225" w:lineRule="auto"/>
        <w:tabs>
          <w:tab w:leader="none" w:pos="150"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In accordance with ASC 715, the effects of the plan amendment are accounted for at the date the amendment is adopted and has been communicated to plan participants. The effective date for this plan amendment was October 26,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gridSpan w:val="2"/>
          </w:tcPr>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91"/>
        </w:trPr>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November 25,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7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r>
      <w:tr>
        <w:trPr>
          <w:trHeight w:val="257"/>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132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w:t>
            </w:r>
          </w:p>
        </w:tc>
      </w:tr>
      <w:tr>
        <w:trPr>
          <w:trHeight w:val="260"/>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1320" w:type="dxa"/>
            <w:vAlign w:val="bottom"/>
          </w:tcPr>
          <w:p>
            <w:pPr>
              <w:spacing w:after="0"/>
              <w:rPr>
                <w:sz w:val="22"/>
                <w:szCs w:val="22"/>
                <w:color w:val="auto"/>
              </w:rPr>
            </w:pPr>
          </w:p>
        </w:tc>
        <w:tc>
          <w:tcPr>
            <w:tcW w:w="4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16</w:t>
            </w:r>
          </w:p>
        </w:tc>
      </w:tr>
      <w:tr>
        <w:trPr>
          <w:trHeight w:val="28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132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(20,772)</w:t>
            </w: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1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7,959</w:t>
            </w:r>
          </w:p>
        </w:tc>
      </w:tr>
      <w:tr>
        <w:trPr>
          <w:trHeight w:val="24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132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(12,768)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67"/>
        </w:trPr>
        <w:tc>
          <w:tcPr>
            <w:tcW w:w="7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4"/>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132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Shareholders'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in place as approved by shareholders, which allows us to grant or issue non-qualified stock options, incentive stock options, share awards and other equity compensation to key employees and to non-employee directors.</w:t>
      </w:r>
    </w:p>
    <w:p>
      <w:pPr>
        <w:spacing w:after="0" w:line="14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On October 18, 2017 and October 11, 2016 the Human Resources Committee of the Board of Directors granted an aggregate of 62,660 and 97,600 shares, respectively, of restricted common stock to our key employees and non-employee directors under the Plan. The value of each restricted stock award is determined using the intrinsic value method which, in this case, is based on the number of shares granted and the closing price of our common stock on the date of grant.</w:t>
      </w:r>
    </w:p>
    <w:p>
      <w:pPr>
        <w:spacing w:after="0" w:line="14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Stock-based compensation expense was $0.8 million and $0.8 million during the first quarters of Fiscal 2018 and 2017, respectively. Compensation expense is recognized over the requisite service period of the award.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October 18, 2017, the Board of Directors declared a quarterly cash dividend of $0.10 per share of common stock, which was paid on November 29, 2017 to shareholders of record at the close of business on November 15, 2017. The accrued dividend was $3.2 million on the accompanying balance sheet as of November 25, 2017.</w:t>
      </w:r>
    </w:p>
    <w:p>
      <w:pPr>
        <w:spacing w:after="0" w:line="174"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On December 13, 2017, the Board of Directors declared a quarterly cash dividend of $0.10 per share of common stock, payable on January 24, 2018 to shareholders of record at the close of business on January 10, 2018.</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Registration</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a result of the acquisition of Grand Design, Winnebago agreed to register the 4,586,555 shares of common stock issued to the Summit Sellers and the RDB Sellers pursuant to the terms of a registration rights agreement. Under the registration rights agreement, Winnebago filed a shelf registration statement on January 20, 2017 to register these shares for resale. On April 11, 2017, pursuant to an underwriting agreement dated as of April 5, 2017, by and among Winnebago, the Summit Sellers and Morgan Stanley &amp; Co., LLC, the Summit Sellers sold 2,293,277 shares of common stock in an underwritten block trade.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RVs purchased.</w:t>
      </w:r>
    </w:p>
    <w:p>
      <w:pPr>
        <w:spacing w:after="0" w:line="14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to the lending institution, or dealer invoice less periodic reductions based on the time since the date of the original invoice. In certain instances, we also repurchase inventory from our dealers due to state law or regulatory requirements that govern voluntary or involuntary relationship terminations. Although laws vary from state to state, some states have laws in place that require manufacturers of RVs to repurchase current inventory if a dealership exits the business. Our total contingent liability on all repurchase agreements was approximately $768.7 million and $713.1 million at November 25, 2017 and August 26, 2017, respectively, with the increase attributed primarily due to growth in the Towable Segment.</w:t>
      </w:r>
    </w:p>
    <w:p>
      <w:pPr>
        <w:spacing w:after="0" w:line="155"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and our historical loss experience, we established an associated loss reserve. Our accrued losses on repurchases were $0.8 million as of November 25, 2017 and $0.7 million as of August 26, 2017 and are included in Accrued expenses - Other on the Consolidated Balance Sheets.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There was no activity related to repurchase agreements during the three months ended November 25, 2017 and November 26, 2016.</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41"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820"/>
        <w:spacing w:after="0" w:line="260" w:lineRule="auto"/>
        <w:rPr>
          <w:sz w:val="20"/>
          <w:szCs w:val="20"/>
          <w:color w:val="auto"/>
        </w:rPr>
      </w:pPr>
      <w:r>
        <w:rPr>
          <w:rFonts w:ascii="Arial" w:cs="Arial" w:eastAsia="Arial" w:hAnsi="Arial"/>
          <w:sz w:val="16"/>
          <w:szCs w:val="16"/>
          <w:color w:val="auto"/>
        </w:rPr>
        <w:t>believe there is a reasonable likelihood that there will be a material change related to these matters, litigation is subject to inherent uncertainties and management’s view of these matters may change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Income Taxes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Although certain years are no longer subject to examination by the IRS and various state taxing authorities, net operating loss carryforwards generated in those years may still be adjusted upon examination by the IRS or state taxing authorities. As of November 25, 2017, our federal returns from Fiscal 2014 to present continue to be subject to review by the IRS. With few exceptions, the state returns from Fiscal 2013 to present continue to be subject to review by the state taxing jurisdictions.</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As of November 25, 2017, our unrecognized tax benefits were $1.6 million including accrued interest and penalties of $0.4 million. If we were to prevail on all unrecognized tax benefits recorded, $1.5 million of the $1.6 million would benefit the overall effective tax rate. It is our policy to recognize interest and penalties accrued relative to unrecognized tax benefits as tax expense. We do not believe that there will be a significant change in the total amount of unrecognized tax benefits within the next twelve months.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Note 14: Earnings Per Share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51"/>
        </w:trPr>
        <w:tc>
          <w:tcPr>
            <w:tcW w:w="8120" w:type="dxa"/>
            <w:vAlign w:val="bottom"/>
            <w:gridSpan w:val="2"/>
          </w:tcPr>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1"/>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25,</w:t>
            </w:r>
          </w:p>
        </w:tc>
        <w:tc>
          <w:tcPr>
            <w:tcW w:w="18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17,958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11,738</w:t>
            </w: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27,836</w:t>
            </w: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0.42</w:t>
            </w:r>
          </w:p>
        </w:tc>
      </w:tr>
      <w:tr>
        <w:trPr>
          <w:trHeight w:val="293"/>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11,738</w:t>
            </w: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31,614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27,836</w:t>
            </w: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31,772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27,969</w:t>
            </w: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r>
    </w:tbl>
    <w:p>
      <w:pPr>
        <w:spacing w:after="0" w:line="191"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 xml:space="preserve">The computation of weighted average shares and potential dilutive shares outstanding excludes the effect of options to purchase 72,710 and 44,000 shares of common stock for the three months ended November 25, 2017 and November 26, 2016, respectively. These amounts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Accumulated Other Comprehensive Income (Loss)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9"/>
              </w:rPr>
              <w:t>November 25, 2017</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6"/>
          </w:tcPr>
          <w:p>
            <w:pPr>
              <w:jc w:val="center"/>
              <w:ind w:right="139"/>
              <w:spacing w:after="0"/>
              <w:rPr>
                <w:sz w:val="20"/>
                <w:szCs w:val="20"/>
                <w:color w:val="auto"/>
              </w:rPr>
            </w:pPr>
            <w:r>
              <w:rPr>
                <w:rFonts w:ascii="Arial" w:cs="Arial" w:eastAsia="Arial" w:hAnsi="Arial"/>
                <w:sz w:val="16"/>
                <w:szCs w:val="16"/>
                <w:b w:val="1"/>
                <w:bCs w:val="1"/>
                <w:color w:val="auto"/>
              </w:rPr>
              <w:t>November 26, 2016</w:t>
            </w:r>
          </w:p>
        </w:tc>
        <w:tc>
          <w:tcPr>
            <w:tcW w:w="1060" w:type="dxa"/>
            <w:vAlign w:val="bottom"/>
            <w:tcBorders>
              <w:bottom w:val="single" w:sz="8" w:color="auto"/>
            </w:tcBorders>
          </w:tcPr>
          <w:p>
            <w:pPr>
              <w:spacing w:after="0"/>
              <w:rPr>
                <w:sz w:val="22"/>
                <w:szCs w:val="22"/>
                <w:color w:val="auto"/>
              </w:rPr>
            </w:pPr>
          </w:p>
        </w:tc>
      </w:tr>
      <w:tr>
        <w:trPr>
          <w:trHeight w:val="198"/>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 Rate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Defined Benefit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Interest 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Pension Items</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Swap</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Pension Items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Swap</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70"/>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(1,023)</w:t>
            </w: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10,975</w:t>
            </w:r>
          </w:p>
        </w:tc>
        <w:tc>
          <w:tcPr>
            <w:tcW w:w="4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10,975</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634</w:t>
            </w: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3,903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3,903</w:t>
            </w:r>
          </w:p>
        </w:tc>
      </w:tr>
      <w:tr>
        <w:trPr>
          <w:trHeight w:val="264"/>
        </w:trPr>
        <w:tc>
          <w:tcPr>
            <w:tcW w:w="2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(7,926)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(7,926)</w:t>
            </w:r>
          </w:p>
        </w:tc>
      </w:tr>
      <w:tr>
        <w:trPr>
          <w:trHeight w:val="264"/>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640</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(4,023)</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(4,023)</w:t>
            </w:r>
          </w:p>
        </w:tc>
      </w:tr>
      <w:tr>
        <w:trPr>
          <w:trHeight w:val="270"/>
        </w:trPr>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r>
      <w:tr>
        <w:trPr>
          <w:trHeight w:val="254"/>
        </w:trPr>
        <w:tc>
          <w:tcPr>
            <w:tcW w:w="2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(383)</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6,952</w:t>
            </w:r>
          </w:p>
        </w:tc>
        <w:tc>
          <w:tcPr>
            <w:tcW w:w="4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6,952</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 on Consolidated Statements</w:t>
            </w:r>
          </w:p>
        </w:tc>
        <w:tc>
          <w:tcPr>
            <w:tcW w:w="18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25,</w:t>
            </w:r>
          </w:p>
        </w:tc>
        <w:tc>
          <w:tcPr>
            <w:tcW w:w="220" w:type="dxa"/>
            <w:vAlign w:val="bottom"/>
          </w:tcPr>
          <w:p>
            <w:pPr>
              <w:spacing w:after="0"/>
              <w:rPr>
                <w:sz w:val="17"/>
                <w:szCs w:val="17"/>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of Income and Comprehensive Income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r>
      <w:tr>
        <w:trPr>
          <w:trHeight w:val="257"/>
        </w:trPr>
        <w:tc>
          <w:tcPr>
            <w:tcW w:w="36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(12,858)</w:t>
            </w:r>
          </w:p>
        </w:tc>
      </w:tr>
      <w:tr>
        <w:trPr>
          <w:trHeight w:val="264"/>
        </w:trPr>
        <w:tc>
          <w:tcPr>
            <w:tcW w:w="36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4,932</w:t>
            </w:r>
          </w:p>
        </w:tc>
      </w:tr>
      <w:tr>
        <w:trPr>
          <w:trHeight w:val="240"/>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4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(7,926)</w:t>
            </w: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jc w:val="both"/>
        <w:ind w:right="40"/>
        <w:spacing w:after="0" w:line="191" w:lineRule="exact"/>
        <w:rPr>
          <w:sz w:val="20"/>
          <w:szCs w:val="20"/>
          <w:color w:val="auto"/>
        </w:rPr>
      </w:pPr>
      <w:r>
        <w:rPr>
          <w:rFonts w:ascii="Arial" w:cs="Arial" w:eastAsia="Arial" w:hAnsi="Arial"/>
          <w:sz w:val="16"/>
          <w:szCs w:val="16"/>
          <w:color w:val="auto"/>
        </w:rPr>
        <w:t>This management's discussion should be read in conjunction with the Unaudited Consolidated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26, 2017 and in Part II, Item 1A of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This Quarterly Report on Form 10-Q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 and acquisition activities generally, business interruptions, any unexpected expenses related to ERP, risk related to compliance with debt covenants and leverage ratios, and other factors. Additional information concerning certain risks and uncertainties that could cause actual results to differ materially from that projected or suggested is contained in our filings with the SEC over the last 12 months, copies of which are available from the SEC or from us upon request. We disclaim any obligation or undertaking to disseminate any updates or revisions to any forward-looking statements contained in this release or to reflect any changes in expectations after the date of this release or any change in events, conditions or circumstances on which any statement is based, except as required by law.</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59 years. We currently produce a large majority of our motorhomes in vertically integrated manufacturing facilities in Iowa and we produce all of our travel trailer and fifth wheel trailers in Indiana. We are in the process of expanding some motorhome manufacturing to Junction City, Oregon. We distribute our products primarily through independent dealers throughout the US and Canada, who then retail the products to the end consumer.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Transaction</w:t>
      </w:r>
    </w:p>
    <w:p>
      <w:pPr>
        <w:spacing w:after="0" w:line="21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November 8, 2016, we acquired all of the issued and outstanding capital stock of towable RV manufacturer Grand Design for an aggregate purchase price of $520.5 million. This acquisition was funded from our cash on hand, $353.0 million from asset-based revolving and term loan credit facilities, as well as stock consideration as is more fully described in Note 2 and Note 9 to the Consolidated Financial Statements. We purchased Grand Design to significantly expand our existing towable RV product offerings and dealer base and acquire additional talent in the RV industry.</w:t>
      </w:r>
    </w:p>
    <w:p>
      <w:pPr>
        <w:spacing w:after="0" w:line="176"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With the acquisition of Grand Design in the first quarter of Fiscal 2017, we expanded the number of reporting segments to two: (1) Motorized products and services and (2) Towable products and services. The Motorized segment includes all products that include a motorized chassis as well as other related manufactured products. The Towable segment includes all products which are not motorized and are generally towed by another vehicle.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 Trends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RVIA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by Stat Surveys</w:t>
      </w:r>
    </w:p>
    <w:p>
      <w:pPr>
        <w:spacing w:after="0" w:line="19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 The rolling twelve months shipment and retail information for 2017 and 2016 as noted below, illustrates that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RV industry continues to grow at the wholesale and retail level. We believe that retail demand is the key driver to continued growth in the industry.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4"/>
                <w:szCs w:val="14"/>
                <w:b w:val="1"/>
                <w:bCs w:val="1"/>
                <w:color w:val="auto"/>
              </w:rPr>
              <w:t>US and Canada Industry</w:t>
            </w:r>
          </w:p>
        </w:tc>
        <w:tc>
          <w:tcPr>
            <w:tcW w:w="1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58"/>
        </w:trPr>
        <w:tc>
          <w:tcPr>
            <w:tcW w:w="1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Wholesale Unit Shipments per RVIA</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Retail Unit Registrations per Stat Surveys</w:t>
            </w:r>
          </w:p>
        </w:tc>
      </w:tr>
      <w:tr>
        <w:trPr>
          <w:trHeight w:val="276"/>
        </w:trPr>
        <w:tc>
          <w:tcPr>
            <w:tcW w:w="19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Rolling 12 Months through October</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Rolling 12 Months through October</w:t>
            </w:r>
          </w:p>
        </w:tc>
        <w:tc>
          <w:tcPr>
            <w:tcW w:w="1080" w:type="dxa"/>
            <w:vAlign w:val="bottom"/>
            <w:tcBorders>
              <w:bottom w:val="single" w:sz="8" w:color="auto"/>
            </w:tcBorders>
          </w:tcPr>
          <w:p>
            <w:pPr>
              <w:spacing w:after="0"/>
              <w:rPr>
                <w:sz w:val="24"/>
                <w:szCs w:val="24"/>
                <w:color w:val="auto"/>
              </w:rPr>
            </w:pPr>
          </w:p>
        </w:tc>
      </w:tr>
      <w:tr>
        <w:trPr>
          <w:trHeight w:val="250"/>
        </w:trPr>
        <w:tc>
          <w:tcPr>
            <w:tcW w:w="198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4"/>
                <w:szCs w:val="14"/>
                <w:b w:val="1"/>
                <w:bCs w:val="1"/>
                <w:color w:val="auto"/>
              </w:rPr>
              <w:t>2017</w:t>
            </w:r>
          </w:p>
        </w:tc>
        <w:tc>
          <w:tcPr>
            <w:tcW w:w="1140" w:type="dxa"/>
            <w:vAlign w:val="bottom"/>
          </w:tcPr>
          <w:p>
            <w:pPr>
              <w:jc w:val="right"/>
              <w:ind w:right="43"/>
              <w:spacing w:after="0"/>
              <w:rPr>
                <w:sz w:val="20"/>
                <w:szCs w:val="20"/>
                <w:color w:val="auto"/>
              </w:rPr>
            </w:pPr>
            <w:r>
              <w:rPr>
                <w:rFonts w:ascii="Arial" w:cs="Arial" w:eastAsia="Arial" w:hAnsi="Arial"/>
                <w:sz w:val="14"/>
                <w:szCs w:val="14"/>
                <w:b w:val="1"/>
                <w:bCs w:val="1"/>
                <w:color w:val="auto"/>
              </w:rPr>
              <w:t>2016</w:t>
            </w: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Unit Change</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3"/>
              <w:spacing w:after="0"/>
              <w:rPr>
                <w:sz w:val="20"/>
                <w:szCs w:val="20"/>
                <w:color w:val="auto"/>
              </w:rPr>
            </w:pPr>
            <w:r>
              <w:rPr>
                <w:rFonts w:ascii="Arial" w:cs="Arial" w:eastAsia="Arial" w:hAnsi="Arial"/>
                <w:sz w:val="14"/>
                <w:szCs w:val="14"/>
                <w:b w:val="1"/>
                <w:bCs w:val="1"/>
                <w:color w:val="auto"/>
              </w:rPr>
              <w:t>2017</w:t>
            </w:r>
          </w:p>
        </w:tc>
        <w:tc>
          <w:tcPr>
            <w:tcW w:w="1120" w:type="dxa"/>
            <w:vAlign w:val="bottom"/>
          </w:tcPr>
          <w:p>
            <w:pPr>
              <w:jc w:val="right"/>
              <w:ind w:right="43"/>
              <w:spacing w:after="0"/>
              <w:rPr>
                <w:sz w:val="20"/>
                <w:szCs w:val="20"/>
                <w:color w:val="auto"/>
              </w:rPr>
            </w:pPr>
            <w:r>
              <w:rPr>
                <w:rFonts w:ascii="Arial" w:cs="Arial" w:eastAsia="Arial" w:hAnsi="Arial"/>
                <w:sz w:val="14"/>
                <w:szCs w:val="14"/>
                <w:b w:val="1"/>
                <w:bCs w:val="1"/>
                <w:color w:val="auto"/>
              </w:rPr>
              <w:t>2016</w:t>
            </w: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Unit Change</w:t>
            </w:r>
          </w:p>
        </w:tc>
        <w:tc>
          <w:tcPr>
            <w:tcW w:w="1080" w:type="dxa"/>
            <w:vAlign w:val="bottom"/>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6"/>
        </w:trPr>
        <w:tc>
          <w:tcPr>
            <w:tcW w:w="1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Towable </w:t>
            </w:r>
            <w:r>
              <w:rPr>
                <w:rFonts w:ascii="Arial" w:cs="Arial" w:eastAsia="Arial" w:hAnsi="Arial"/>
                <w:sz w:val="21"/>
                <w:szCs w:val="21"/>
                <w:color w:val="auto"/>
                <w:vertAlign w:val="superscript"/>
              </w:rPr>
              <w:t>(1)</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420,857</w:t>
            </w: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351,616</w:t>
            </w:r>
          </w:p>
        </w:tc>
        <w:tc>
          <w:tcPr>
            <w:tcW w:w="14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69,241</w:t>
            </w:r>
          </w:p>
        </w:tc>
        <w:tc>
          <w:tcPr>
            <w:tcW w:w="10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19.7%</w:t>
            </w: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381,513</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343,719</w:t>
            </w:r>
          </w:p>
        </w:tc>
        <w:tc>
          <w:tcPr>
            <w:tcW w:w="14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37,794</w:t>
            </w:r>
          </w:p>
        </w:tc>
        <w:tc>
          <w:tcPr>
            <w:tcW w:w="10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11.0%</w:t>
            </w:r>
          </w:p>
        </w:tc>
      </w:tr>
      <w:tr>
        <w:trPr>
          <w:trHeight w:val="270"/>
        </w:trPr>
        <w:tc>
          <w:tcPr>
            <w:tcW w:w="1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Motorized </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61,421</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53,459</w:t>
            </w: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7,962</w:t>
            </w:r>
          </w:p>
        </w:tc>
        <w:tc>
          <w:tcPr>
            <w:tcW w:w="10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55,989</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49,748</w:t>
            </w: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6,241</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12.5%</w:t>
            </w:r>
          </w:p>
        </w:tc>
      </w:tr>
      <w:tr>
        <w:trPr>
          <w:trHeight w:val="234"/>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482,278</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405,075</w:t>
            </w:r>
          </w:p>
        </w:tc>
        <w:tc>
          <w:tcPr>
            <w:tcW w:w="14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77,203</w:t>
            </w:r>
          </w:p>
        </w:tc>
        <w:tc>
          <w:tcPr>
            <w:tcW w:w="10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437,502</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393,467</w:t>
            </w:r>
          </w:p>
        </w:tc>
        <w:tc>
          <w:tcPr>
            <w:tcW w:w="14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44,035</w:t>
            </w:r>
          </w:p>
        </w:tc>
        <w:tc>
          <w:tcPr>
            <w:tcW w:w="10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11.2%</w:t>
            </w:r>
          </w:p>
        </w:tc>
      </w:tr>
      <w:tr>
        <w:trPr>
          <w:trHeight w:val="20"/>
        </w:trPr>
        <w:tc>
          <w:tcPr>
            <w:tcW w:w="1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Fifth wheel and travel trailer products</w:t>
      </w:r>
    </w:p>
    <w:p>
      <w:pPr>
        <w:ind w:left="180" w:hanging="172"/>
        <w:spacing w:after="0" w:line="199" w:lineRule="auto"/>
        <w:tabs>
          <w:tab w:leader="none" w:pos="1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Motorized: Class A, B and C products</w:t>
      </w:r>
    </w:p>
    <w:p>
      <w:pPr>
        <w:spacing w:after="0" w:line="150"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 most recent towable and motorized RVIA wholesale shipment forecasts for calendar year 2017 and 2018 as noted in the table below illustrates continued projected growth of the industry. The outlook for future growth in RV sales is based on continued modest gains in job and disposable income prospects as well as low inflation, and takes into account the impact of slowly rising interest rates, a strong U.S. dollar and continued weakness in energy production and prices.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Borders>
              <w:bottom w:val="single" w:sz="8" w:color="auto"/>
            </w:tcBorders>
          </w:tcPr>
          <w:p>
            <w:pPr>
              <w:spacing w:after="0"/>
              <w:rPr>
                <w:sz w:val="17"/>
                <w:szCs w:val="17"/>
                <w:color w:val="auto"/>
              </w:rPr>
            </w:pPr>
          </w:p>
        </w:tc>
      </w:tr>
      <w:tr>
        <w:trPr>
          <w:trHeight w:val="175"/>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jc w:val="right"/>
              <w:ind w:right="523"/>
              <w:spacing w:after="0"/>
              <w:rPr>
                <w:sz w:val="20"/>
                <w:szCs w:val="20"/>
                <w:color w:val="auto"/>
              </w:rPr>
            </w:pPr>
            <w:r>
              <w:rPr>
                <w:rFonts w:ascii="Arial" w:cs="Arial" w:eastAsia="Arial" w:hAnsi="Arial"/>
                <w:sz w:val="14"/>
                <w:szCs w:val="14"/>
                <w:b w:val="1"/>
                <w:bCs w:val="1"/>
                <w:color w:val="auto"/>
              </w:rPr>
              <w:t>Unit</w:t>
            </w:r>
          </w:p>
        </w:tc>
        <w:tc>
          <w:tcPr>
            <w:tcW w:w="1260" w:type="dxa"/>
            <w:vAlign w:val="bottom"/>
          </w:tcPr>
          <w:p>
            <w:pPr>
              <w:jc w:val="right"/>
              <w:ind w:right="583"/>
              <w:spacing w:after="0"/>
              <w:rPr>
                <w:sz w:val="20"/>
                <w:szCs w:val="20"/>
                <w:color w:val="auto"/>
              </w:rPr>
            </w:pPr>
            <w:r>
              <w:rPr>
                <w:rFonts w:ascii="Arial" w:cs="Arial" w:eastAsia="Arial" w:hAnsi="Arial"/>
                <w:sz w:val="14"/>
                <w:szCs w:val="14"/>
                <w:b w:val="1"/>
                <w:bCs w:val="1"/>
                <w:color w:val="auto"/>
              </w:rPr>
              <w:t>%</w:t>
            </w:r>
          </w:p>
        </w:tc>
      </w:tr>
      <w:tr>
        <w:trPr>
          <w:trHeight w:val="20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Wholesale Unit Shipment Forecast per RVIA</w:t>
            </w:r>
            <w:r>
              <w:rPr>
                <w:rFonts w:ascii="Arial" w:cs="Arial" w:eastAsia="Arial" w:hAnsi="Arial"/>
                <w:sz w:val="17"/>
                <w:szCs w:val="17"/>
                <w:b w:val="1"/>
                <w:bCs w:val="1"/>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12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c>
          <w:tcPr>
            <w:tcW w:w="12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r>
      <w:tr>
        <w:trPr>
          <w:trHeight w:val="250"/>
        </w:trPr>
        <w:tc>
          <w:tcPr>
            <w:tcW w:w="6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443,000</w:t>
            </w: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432,000</w:t>
            </w:r>
          </w:p>
        </w:tc>
        <w:tc>
          <w:tcPr>
            <w:tcW w:w="120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11,000</w:t>
            </w:r>
          </w:p>
        </w:tc>
        <w:tc>
          <w:tcPr>
            <w:tcW w:w="126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2.5%</w:t>
            </w:r>
          </w:p>
        </w:tc>
      </w:tr>
      <w:tr>
        <w:trPr>
          <w:trHeight w:val="264"/>
        </w:trPr>
        <w:tc>
          <w:tcPr>
            <w:tcW w:w="65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Motorized</w:t>
            </w:r>
          </w:p>
        </w:tc>
        <w:tc>
          <w:tcPr>
            <w:tcW w:w="1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65,500</w:t>
            </w: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61,500</w:t>
            </w:r>
          </w:p>
        </w:tc>
        <w:tc>
          <w:tcPr>
            <w:tcW w:w="120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4,000</w:t>
            </w:r>
          </w:p>
        </w:tc>
        <w:tc>
          <w:tcPr>
            <w:tcW w:w="12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6.5%</w:t>
            </w:r>
          </w:p>
        </w:tc>
      </w:tr>
      <w:tr>
        <w:trPr>
          <w:trHeight w:val="24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508,500</w:t>
            </w:r>
          </w:p>
        </w:tc>
        <w:tc>
          <w:tcPr>
            <w:tcW w:w="10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493,500</w:t>
            </w:r>
          </w:p>
        </w:tc>
        <w:tc>
          <w:tcPr>
            <w:tcW w:w="12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15,000</w:t>
            </w:r>
          </w:p>
        </w:tc>
        <w:tc>
          <w:tcPr>
            <w:tcW w:w="12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3.0%</w:t>
            </w: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180" w:right="380" w:hanging="172"/>
        <w:spacing w:after="0" w:line="218" w:lineRule="auto"/>
        <w:tabs>
          <w:tab w:leader="none" w:pos="18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Forecast prepared by Dr. Richard Curtin of the University of Michigan Consumer Survey Research Center for RVIA and reported in the Roadsigns RV Winter 2017 Industry Forecast Issue. Unit forecasts exclude folding camper and truck camper categories.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Share</w:t>
      </w:r>
    </w:p>
    <w:p>
      <w:pPr>
        <w:spacing w:after="0" w:line="214"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Rolling 12 Months</w:t>
            </w:r>
          </w:p>
        </w:tc>
        <w:tc>
          <w:tcPr>
            <w:tcW w:w="1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4660" w:type="dxa"/>
            <w:vAlign w:val="bottom"/>
          </w:tcPr>
          <w:p>
            <w:pPr>
              <w:spacing w:after="0"/>
              <w:rPr>
                <w:sz w:val="17"/>
                <w:szCs w:val="17"/>
                <w:color w:val="auto"/>
              </w:rPr>
            </w:pPr>
          </w:p>
        </w:tc>
        <w:tc>
          <w:tcPr>
            <w:tcW w:w="2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Through October</w:t>
            </w:r>
          </w:p>
        </w:tc>
        <w:tc>
          <w:tcPr>
            <w:tcW w:w="1280" w:type="dxa"/>
            <w:vAlign w:val="bottom"/>
          </w:tcPr>
          <w:p>
            <w:pPr>
              <w:spacing w:after="0"/>
              <w:rPr>
                <w:sz w:val="17"/>
                <w:szCs w:val="17"/>
                <w:color w:val="auto"/>
              </w:rPr>
            </w:pPr>
          </w:p>
        </w:tc>
        <w:tc>
          <w:tcPr>
            <w:tcW w:w="1540" w:type="dxa"/>
            <w:vAlign w:val="bottom"/>
          </w:tcPr>
          <w:p>
            <w:pPr>
              <w:jc w:val="right"/>
              <w:ind w:right="263"/>
              <w:spacing w:after="0"/>
              <w:rPr>
                <w:sz w:val="20"/>
                <w:szCs w:val="20"/>
                <w:color w:val="auto"/>
              </w:rPr>
            </w:pPr>
            <w:r>
              <w:rPr>
                <w:rFonts w:ascii="Arial" w:cs="Arial" w:eastAsia="Arial" w:hAnsi="Arial"/>
                <w:sz w:val="14"/>
                <w:szCs w:val="14"/>
                <w:b w:val="1"/>
                <w:bCs w:val="1"/>
                <w:color w:val="auto"/>
              </w:rPr>
              <w:t>Calendar Year</w:t>
            </w:r>
          </w:p>
        </w:tc>
        <w:tc>
          <w:tcPr>
            <w:tcW w:w="1160" w:type="dxa"/>
            <w:vAlign w:val="bottom"/>
          </w:tcPr>
          <w:p>
            <w:pPr>
              <w:spacing w:after="0"/>
              <w:rPr>
                <w:sz w:val="17"/>
                <w:szCs w:val="17"/>
                <w:color w:val="auto"/>
              </w:rPr>
            </w:pPr>
          </w:p>
        </w:tc>
      </w:tr>
      <w:tr>
        <w:trPr>
          <w:trHeight w:val="250"/>
        </w:trPr>
        <w:tc>
          <w:tcPr>
            <w:tcW w:w="4660" w:type="dxa"/>
            <w:vAlign w:val="bottom"/>
            <w:tcBorders>
              <w:bottom w:val="single" w:sz="8" w:color="CCEEFF"/>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2017</w:t>
            </w:r>
          </w:p>
        </w:tc>
        <w:tc>
          <w:tcPr>
            <w:tcW w:w="12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2016</w:t>
            </w:r>
          </w:p>
        </w:tc>
        <w:tc>
          <w:tcPr>
            <w:tcW w:w="154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2015</w:t>
            </w:r>
          </w:p>
        </w:tc>
        <w:tc>
          <w:tcPr>
            <w:tcW w:w="11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2014</w:t>
            </w:r>
          </w:p>
        </w:tc>
      </w:tr>
      <w:tr>
        <w:trPr>
          <w:trHeight w:val="256"/>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46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rPr>
              <w:t>16.1%</w:t>
            </w: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18.0%</w:t>
            </w:r>
          </w:p>
        </w:tc>
        <w:tc>
          <w:tcPr>
            <w:tcW w:w="154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20.5%</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20.7%</w:t>
            </w:r>
          </w:p>
        </w:tc>
      </w:tr>
      <w:tr>
        <w:trPr>
          <w:trHeight w:val="324"/>
        </w:trPr>
        <w:tc>
          <w:tcPr>
            <w:tcW w:w="4660" w:type="dxa"/>
            <w:vAlign w:val="bottom"/>
          </w:tcPr>
          <w:p>
            <w:pPr>
              <w:ind w:left="40"/>
              <w:spacing w:after="0"/>
              <w:rPr>
                <w:sz w:val="20"/>
                <w:szCs w:val="20"/>
                <w:color w:val="auto"/>
              </w:rPr>
            </w:pPr>
            <w:r>
              <w:rPr>
                <w:rFonts w:ascii="Arial" w:cs="Arial" w:eastAsia="Arial" w:hAnsi="Arial"/>
                <w:sz w:val="16"/>
                <w:szCs w:val="16"/>
                <w:color w:val="auto"/>
              </w:rPr>
              <w:t>Travel trailer and fifth wheels</w:t>
            </w:r>
          </w:p>
        </w:tc>
        <w:tc>
          <w:tcPr>
            <w:tcW w:w="1460" w:type="dxa"/>
            <w:vAlign w:val="bottom"/>
          </w:tcPr>
          <w:p>
            <w:pPr>
              <w:jc w:val="center"/>
              <w:ind w:right="444"/>
              <w:spacing w:after="0"/>
              <w:rPr>
                <w:sz w:val="20"/>
                <w:szCs w:val="20"/>
                <w:color w:val="auto"/>
              </w:rPr>
            </w:pPr>
            <w:r>
              <w:rPr>
                <w:rFonts w:ascii="Arial" w:cs="Arial" w:eastAsia="Arial" w:hAnsi="Arial"/>
                <w:sz w:val="16"/>
                <w:szCs w:val="16"/>
                <w:color w:val="auto"/>
              </w:rPr>
              <w:t xml:space="preserve">6.0% </w:t>
            </w:r>
            <w:r>
              <w:rPr>
                <w:rFonts w:ascii="Arial" w:cs="Arial" w:eastAsia="Arial" w:hAnsi="Arial"/>
                <w:sz w:val="21"/>
                <w:szCs w:val="21"/>
                <w:color w:val="auto"/>
                <w:vertAlign w:val="superscript"/>
              </w:rPr>
              <w:t>(1)</w:t>
            </w: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1280" w:type="dxa"/>
            <w:vAlign w:val="bottom"/>
          </w:tcPr>
          <w:p>
            <w:pPr>
              <w:jc w:val="center"/>
              <w:ind w:right="262"/>
              <w:spacing w:after="0"/>
              <w:rPr>
                <w:sz w:val="20"/>
                <w:szCs w:val="20"/>
                <w:color w:val="auto"/>
              </w:rPr>
            </w:pPr>
            <w:r>
              <w:rPr>
                <w:rFonts w:ascii="Arial" w:cs="Arial" w:eastAsia="Arial" w:hAnsi="Arial"/>
                <w:sz w:val="16"/>
                <w:szCs w:val="16"/>
                <w:color w:val="auto"/>
              </w:rPr>
              <w:t xml:space="preserve">1.7% </w:t>
            </w:r>
            <w:r>
              <w:rPr>
                <w:rFonts w:ascii="Arial" w:cs="Arial" w:eastAsia="Arial" w:hAnsi="Arial"/>
                <w:sz w:val="21"/>
                <w:szCs w:val="21"/>
                <w:color w:val="auto"/>
                <w:vertAlign w:val="superscript"/>
              </w:rPr>
              <w:t>(1)</w:t>
            </w:r>
          </w:p>
        </w:tc>
        <w:tc>
          <w:tcPr>
            <w:tcW w:w="1540" w:type="dxa"/>
            <w:vAlign w:val="bottom"/>
          </w:tcPr>
          <w:p>
            <w:pPr>
              <w:jc w:val="right"/>
              <w:ind w:right="363"/>
              <w:spacing w:after="0"/>
              <w:rPr>
                <w:sz w:val="20"/>
                <w:szCs w:val="20"/>
                <w:color w:val="auto"/>
              </w:rPr>
            </w:pPr>
            <w:r>
              <w:rPr>
                <w:rFonts w:ascii="Arial" w:cs="Arial" w:eastAsia="Arial" w:hAnsi="Arial"/>
                <w:sz w:val="16"/>
                <w:szCs w:val="16"/>
                <w:color w:val="auto"/>
              </w:rPr>
              <w:t>0.9%</w:t>
            </w:r>
          </w:p>
        </w:tc>
        <w:tc>
          <w:tcPr>
            <w:tcW w:w="1160" w:type="dxa"/>
            <w:vAlign w:val="bottom"/>
          </w:tcPr>
          <w:p>
            <w:pPr>
              <w:jc w:val="right"/>
              <w:ind w:right="202"/>
              <w:spacing w:after="0"/>
              <w:rPr>
                <w:sz w:val="20"/>
                <w:szCs w:val="20"/>
                <w:color w:val="auto"/>
              </w:rPr>
            </w:pPr>
            <w:r>
              <w:rPr>
                <w:rFonts w:ascii="Arial" w:cs="Arial" w:eastAsia="Arial" w:hAnsi="Arial"/>
                <w:sz w:val="16"/>
                <w:szCs w:val="16"/>
                <w:color w:val="auto"/>
              </w:rPr>
              <w:t>0.8%</w:t>
            </w:r>
          </w:p>
        </w:tc>
      </w:tr>
    </w:tbl>
    <w:p>
      <w:pPr>
        <w:ind w:left="180" w:hanging="172"/>
        <w:spacing w:after="0" w:line="205" w:lineRule="auto"/>
        <w:tabs>
          <w:tab w:leader="none" w:pos="1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Includes retail unit market share for Grand Design since acquisition on November 8, 2016.</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Repricing</w:t>
      </w:r>
    </w:p>
    <w:p>
      <w:pPr>
        <w:spacing w:after="0" w:line="21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Subsequent to quarter end, we finalized an amendment to our Credit Agreement to reprice $260 million of Term Loan B debt. Effective December 8, 2017, the revised interest rate is LIBOR plus 3.5%, down from the previous rate of LIBOR plus 4.5%. Prior to this repricing, $19.7 million was drawn on our ABL and the proceeds from the ABL borrowing were used to pay down our Term Loan B. Various other amendments were made to our ABL providing us with reduced borrowing costs and facility fees under the ABL. The requirement to hedge a portion of the Term Loan B floating rate interest exposure was also removed from the ABL providing greater flexibility under the Credit Agreement.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Facility Expansion</w:t>
      </w:r>
    </w:p>
    <w:p>
      <w:pPr>
        <w:spacing w:after="0" w:line="241"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During Fiscal 2017, the Board of Directors approved two large facility expansion projects in the fast growing Towable segment. The Grand Design expansion project began in Fiscal 2017 and is expected to increase units produced midway through Fiscal 2018. The facility expansion in the Winnebago-branded Towable division is expected to be completed in early Fiscal 2019.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ERP System</w:t>
      </w:r>
    </w:p>
    <w:p>
      <w:pPr>
        <w:spacing w:after="0" w:line="214"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In the second quarter of Fiscal 2015, the Board of Directors approved the strategic initiative of implementing an ERP system to replace our legacy business applications. The new ERP platform will provide better support for our changing business needs and plans for future growth. Our initial cost estimates have grown for additional needs of the business such as the acquisition of the Junction City, Oregon plant and the opportunity to integrate the ERP system with additional manufacturing systems. The project includes software, external implementation assistance and increased internal staffing directly related to this initiative. We anticipate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that approximately 40% of the cost will be expensed in the period incurred and 60% will be capitalized and depreciated over its useful life.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2018</w:t>
            </w:r>
          </w:p>
        </w:tc>
        <w:tc>
          <w:tcPr>
            <w:tcW w:w="26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Fiscal</w:t>
            </w:r>
          </w:p>
        </w:tc>
        <w:tc>
          <w:tcPr>
            <w:tcW w:w="26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Fiscal</w:t>
            </w:r>
          </w:p>
        </w:tc>
        <w:tc>
          <w:tcPr>
            <w:tcW w:w="26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Fiscal</w:t>
            </w:r>
          </w:p>
        </w:tc>
        <w:tc>
          <w:tcPr>
            <w:tcW w:w="360" w:type="dxa"/>
            <w:vAlign w:val="bottom"/>
          </w:tcPr>
          <w:p>
            <w:pPr>
              <w:spacing w:after="0"/>
              <w:rPr>
                <w:sz w:val="18"/>
                <w:szCs w:val="18"/>
                <w:color w:val="auto"/>
              </w:rPr>
            </w:pPr>
          </w:p>
        </w:tc>
        <w:tc>
          <w:tcPr>
            <w:tcW w:w="1220" w:type="dxa"/>
            <w:vAlign w:val="bottom"/>
            <w:gridSpan w:val="3"/>
          </w:tcPr>
          <w:p>
            <w:pPr>
              <w:ind w:left="260"/>
              <w:spacing w:after="0"/>
              <w:rPr>
                <w:sz w:val="20"/>
                <w:szCs w:val="20"/>
                <w:color w:val="auto"/>
              </w:rPr>
            </w:pPr>
            <w:r>
              <w:rPr>
                <w:rFonts w:ascii="Arial" w:cs="Arial" w:eastAsia="Arial" w:hAnsi="Arial"/>
                <w:sz w:val="16"/>
                <w:szCs w:val="16"/>
                <w:b w:val="1"/>
                <w:bCs w:val="1"/>
                <w:color w:val="auto"/>
              </w:rPr>
              <w:t>Cumulative</w:t>
            </w:r>
          </w:p>
        </w:tc>
        <w:tc>
          <w:tcPr>
            <w:tcW w:w="520" w:type="dxa"/>
            <w:vAlign w:val="bottom"/>
          </w:tcPr>
          <w:p>
            <w:pPr>
              <w:spacing w:after="0"/>
              <w:rPr>
                <w:sz w:val="18"/>
                <w:szCs w:val="18"/>
                <w:color w:val="auto"/>
              </w:rPr>
            </w:pPr>
          </w:p>
        </w:tc>
      </w:tr>
      <w:tr>
        <w:trPr>
          <w:trHeight w:val="283"/>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Q1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Investment</w:t>
            </w:r>
          </w:p>
        </w:tc>
        <w:tc>
          <w:tcPr>
            <w:tcW w:w="520" w:type="dxa"/>
            <w:vAlign w:val="bottom"/>
            <w:tcBorders>
              <w:bottom w:val="single" w:sz="8" w:color="auto"/>
            </w:tcBorders>
          </w:tcPr>
          <w:p>
            <w:pPr>
              <w:spacing w:after="0"/>
              <w:rPr>
                <w:sz w:val="24"/>
                <w:szCs w:val="24"/>
                <w:color w:val="auto"/>
              </w:rPr>
            </w:pPr>
          </w:p>
        </w:tc>
      </w:tr>
      <w:tr>
        <w:trPr>
          <w:trHeight w:val="270"/>
        </w:trPr>
        <w:tc>
          <w:tcPr>
            <w:tcW w:w="3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14,386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64"/>
        </w:trPr>
        <w:tc>
          <w:tcPr>
            <w:tcW w:w="3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Expensed</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5,930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11,446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4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25,832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In May of 2017, the Board approved continued investment in the ERP system and a change in implementation partner. The project is proceeding and the benefits are expected to be realized over the next several years. Total project costs are expected to be approximately $38 million.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following is an analysis of changes in key items included in the consolidated statements of operations for the three months ended November 25, 2017 compared to the three months ended November 26, 2016: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8"/>
        </w:trPr>
        <w:tc>
          <w:tcPr>
            <w:tcW w:w="28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60" w:type="dxa"/>
            <w:vAlign w:val="bottom"/>
          </w:tcPr>
          <w:p>
            <w:pPr>
              <w:spacing w:after="0"/>
              <w:rPr>
                <w:sz w:val="17"/>
                <w:szCs w:val="17"/>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25,</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26,</w:t>
            </w:r>
          </w:p>
        </w:tc>
        <w:tc>
          <w:tcPr>
            <w:tcW w:w="148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b w:val="1"/>
                <w:bCs w:val="1"/>
                <w:color w:val="auto"/>
              </w:rPr>
              <w:t>Increase</w:t>
            </w: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38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(Decrease)</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450,021</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245,308</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204,713</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83.5 %</w:t>
            </w:r>
          </w:p>
        </w:tc>
      </w:tr>
      <w:tr>
        <w:trPr>
          <w:trHeight w:val="264"/>
        </w:trPr>
        <w:tc>
          <w:tcPr>
            <w:tcW w:w="2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387,190</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86.0 %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216,433</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88.2 %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170,757</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78.9 %</w:t>
            </w:r>
          </w:p>
        </w:tc>
      </w:tr>
      <w:tr>
        <w:trPr>
          <w:trHeight w:val="250"/>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62,831</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14.0 %</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28,875</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33,956</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117.6 %</w:t>
            </w:r>
          </w:p>
        </w:tc>
      </w:tr>
      <w:tr>
        <w:trPr>
          <w:trHeight w:val="284"/>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12,134</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5,870</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6,264</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106.7 %</w:t>
            </w:r>
          </w:p>
        </w:tc>
      </w:tr>
      <w:tr>
        <w:trPr>
          <w:trHeight w:val="260"/>
        </w:trPr>
        <w:tc>
          <w:tcPr>
            <w:tcW w:w="2820" w:type="dxa"/>
            <w:vAlign w:val="bottom"/>
            <w:gridSpan w:val="2"/>
          </w:tcPr>
          <w:p>
            <w:pPr>
              <w:ind w:left="18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17,416</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9,906</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7,510</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75.8 %</w:t>
            </w:r>
          </w:p>
        </w:tc>
      </w:tr>
      <w:tr>
        <w:trPr>
          <w:trHeight w:val="228"/>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4"/>
        </w:trPr>
        <w:tc>
          <w:tcPr>
            <w:tcW w:w="28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(12,813)</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12,813</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60"/>
        </w:trPr>
        <w:tc>
          <w:tcPr>
            <w:tcW w:w="282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16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50</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5,462</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(5,412)</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(99.1)%</w:t>
            </w:r>
          </w:p>
        </w:tc>
      </w:tr>
      <w:tr>
        <w:trPr>
          <w:trHeight w:val="273"/>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2,055</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2,051</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0.2 %</w:t>
            </w:r>
          </w:p>
        </w:tc>
      </w:tr>
      <w:tr>
        <w:trPr>
          <w:trHeight w:val="250"/>
        </w:trPr>
        <w:tc>
          <w:tcPr>
            <w:tcW w:w="2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general and administrative</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19,521</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4.3 %</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4,606</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14,915</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323.8 %</w:t>
            </w:r>
          </w:p>
        </w:tc>
      </w:tr>
      <w:tr>
        <w:trPr>
          <w:trHeight w:val="250"/>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SG&amp;A</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31,655</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7.0 %</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10,476</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21,179</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202.2 %</w:t>
            </w:r>
          </w:p>
        </w:tc>
      </w:tr>
      <w:tr>
        <w:trPr>
          <w:trHeight w:val="284"/>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31,176</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18,399</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12,777</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69.4 %</w:t>
            </w:r>
          </w:p>
        </w:tc>
      </w:tr>
      <w:tr>
        <w:trPr>
          <w:trHeight w:val="260"/>
        </w:trPr>
        <w:tc>
          <w:tcPr>
            <w:tcW w:w="282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4,781</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1,128</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3,653</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323.8 %</w:t>
            </w:r>
          </w:p>
        </w:tc>
      </w:tr>
      <w:tr>
        <w:trPr>
          <w:trHeight w:val="273"/>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(123)</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(87)</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(36)</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41.4 %</w:t>
            </w:r>
          </w:p>
        </w:tc>
      </w:tr>
      <w:tr>
        <w:trPr>
          <w:trHeight w:val="247"/>
        </w:trPr>
        <w:tc>
          <w:tcPr>
            <w:tcW w:w="28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26,518</w:t>
            </w:r>
          </w:p>
        </w:tc>
        <w:tc>
          <w:tcPr>
            <w:tcW w:w="13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5.9 %</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17,358</w:t>
            </w:r>
          </w:p>
        </w:tc>
        <w:tc>
          <w:tcPr>
            <w:tcW w:w="13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9,160</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52.8 %</w:t>
            </w:r>
          </w:p>
        </w:tc>
      </w:tr>
      <w:tr>
        <w:trPr>
          <w:trHeight w:val="273"/>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8,560</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5,620</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2,940</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52.3 %</w:t>
            </w:r>
          </w:p>
        </w:tc>
      </w:tr>
      <w:tr>
        <w:trPr>
          <w:trHeight w:val="280"/>
        </w:trPr>
        <w:tc>
          <w:tcPr>
            <w:tcW w:w="2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17,958</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4.0 %</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11,738</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6,220</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53.0 %</w:t>
            </w:r>
          </w:p>
        </w:tc>
      </w:tr>
      <w:tr>
        <w:trPr>
          <w:trHeight w:val="267"/>
        </w:trPr>
        <w:tc>
          <w:tcPr>
            <w:tcW w:w="2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0"/>
        </w:trPr>
        <w:tc>
          <w:tcPr>
            <w:tcW w:w="282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0.57</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0.42</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0.15</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35.7 %</w:t>
            </w:r>
          </w:p>
        </w:tc>
      </w:tr>
      <w:tr>
        <w:trPr>
          <w:trHeight w:val="280"/>
        </w:trPr>
        <w:tc>
          <w:tcPr>
            <w:tcW w:w="2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31,772</w:t>
            </w: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27,969</w:t>
            </w: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3,803</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13.6 %</w:t>
            </w:r>
          </w:p>
        </w:tc>
      </w:tr>
    </w:tbl>
    <w:p>
      <w:pPr>
        <w:spacing w:after="0" w:line="24"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49"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Consolidated net revenues increased $204.7 million or 83.5% in the first quarter of Fiscal 2018 over the first quarter of Fiscal 2017. This was primarily due to the acquisition of Grand Design which added incremental revenues of $195.4 million in the quarter. In addition, Winnebago-branded Towables revenues rose $14.1 million or 57.9% in the quarter over the first quarter of Fiscal 2017, helping to offset a decline of 2.4% in Motorized revenues.</w:t>
      </w:r>
    </w:p>
    <w:p>
      <w:pPr>
        <w:spacing w:after="0" w:line="174"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auto"/>
        </w:rPr>
        <w:t>Cost of goods sold was $387.2 million, or 86.0% of net revenues for the first quarter of Fiscal 2018 compared to $216.4 million, or 88.2% of net revenues for the same period a year ago due to the following:</w:t>
      </w:r>
    </w:p>
    <w:p>
      <w:pPr>
        <w:spacing w:after="0" w:line="1" w:lineRule="exact"/>
        <w:rPr>
          <w:sz w:val="20"/>
          <w:szCs w:val="20"/>
          <w:color w:val="auto"/>
        </w:rPr>
      </w:pPr>
    </w:p>
    <w:p>
      <w:pPr>
        <w:ind w:left="340" w:right="300" w:hanging="332"/>
        <w:spacing w:after="0" w:line="253"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from 82.9% to 81.6%, primarily due to a higher proportion of Towable revenue in the quarter as the Towable segment operates at a higher gross profit rate. Also, favorable product mix and improvement in Towables material efficiency</w:t>
      </w:r>
    </w:p>
    <w:p>
      <w:pPr>
        <w:sectPr>
          <w:pgSz w:w="11900" w:h="16838" w:orient="portrait"/>
          <w:cols w:equalWidth="0" w:num="1">
            <w:col w:w="11420"/>
          </w:cols>
          <w:pgMar w:left="240" w:top="141"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41"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340" w:right="480"/>
        <w:spacing w:after="0" w:line="317" w:lineRule="auto"/>
        <w:rPr>
          <w:sz w:val="20"/>
          <w:szCs w:val="20"/>
          <w:color w:val="auto"/>
        </w:rPr>
      </w:pPr>
      <w:r>
        <w:rPr>
          <w:rFonts w:ascii="Arial" w:cs="Arial" w:eastAsia="Arial" w:hAnsi="Arial"/>
          <w:sz w:val="16"/>
          <w:szCs w:val="16"/>
          <w:color w:val="auto"/>
        </w:rPr>
        <w:t>reduced costs as a percent of revenue. This was partially offset by margin pressure in the Motorized segment due to new product line start-up costs, ongoing expenses related to the ramp up of our West Coast production facility and an increase in direct material costs.</w:t>
      </w:r>
    </w:p>
    <w:p>
      <w:pPr>
        <w:ind w:left="340" w:right="8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engineering-related costs decreased from 5.3% to 4.4% of net revenues due mainly to a higher proportion of Towable revenue, which operates at a lower fixed cost per unit.</w:t>
      </w: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11.8% to 14.0% of net revenues.</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Selling expenses were $12.1 million and $5.9 million, or 2.7% and 2.4% of net revenues in the first quarter of Fiscal 2018 and Fiscal 2017, respectively. Selling expenses are largely variable and proportional to revenues. The increase in the rate of selling expense in the first quarter of Fiscal 2018 is due to the higher mix of Towable volume which operates at a higher commission rate.</w:t>
      </w:r>
    </w:p>
    <w:p>
      <w:pPr>
        <w:spacing w:after="0" w:line="14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General and administrative expenses were $19.5 million and $4.6 million, or 4.3% and 1.9% of net revenues in the first quarter of Fiscal 2018 and Fiscal 2017, respectively. This increase was due to the addition of $5.9 million of general and administrative expenses related to the acquired Grand Design operation. The first quarter of Fiscal 2017 was impacted by an increased benefit of $12.8 million associated with the termination of the postretirement health care plan. This benefit was partially offset by $5.4 million of transaction related expenses in the first quarter of Fiscal 2017.</w:t>
      </w:r>
    </w:p>
    <w:p>
      <w:pPr>
        <w:spacing w:after="0" w:line="230"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Interest expense increased $3.7 million in the first quarter of Fiscal 2018. This increase is related to the ABL and Term Loan agreements associated with the acquisition of Grand Design. See Analysis of Financial Condition, Liquidity, and Resources and Note 9 for further information.</w:t>
      </w:r>
    </w:p>
    <w:p>
      <w:pPr>
        <w:spacing w:after="0" w:line="223"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overall effective income tax rate for the first quarter of Fiscal 2018 was 32.3% compared to the effective tax rate of 32.4% for the same period in Fiscal 2017. While the effective tax rate for the first quarter of Fiscal 2018 is essentially flat compared to the same period in Fiscal 2017, the prior year’s rate was favorably impacted by the one-time settlement of various uncertain tax positions. The current year rate benefited from the adoption of ASU 2016-09 related to share-based compensation as discussed in Note 1 to the Condensed Consolidated Financial Statements.</w:t>
      </w:r>
    </w:p>
    <w:p>
      <w:pPr>
        <w:spacing w:after="0" w:line="149"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Net income and diluted income per share were $18.0 million and $0.57 per share, respectively, for the first quarter of Fiscal 2018. In the first quarter of Fiscal 2017, net income was $11.7 million and diluted income was $0.42 per share. The increase in net income and diluted income per share is due primarily to the Grand Design contribution to net income.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have provided the following non-GAAP financial measures, which are not calculated or presented in accordance with GAAP,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below may differ from similar measures used by other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Adjusted EBITDA for the three months ended November 25, 2017 and November 26,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25,</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26,</w:t>
            </w:r>
          </w:p>
        </w:tc>
      </w:tr>
      <w:tr>
        <w:trPr>
          <w:trHeight w:val="228"/>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r>
      <w:tr>
        <w:trPr>
          <w:trHeight w:val="25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17,958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11,738</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4,781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1,128</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8,560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5,620</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2,130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1,580</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2,051</w:t>
            </w:r>
          </w:p>
        </w:tc>
      </w:tr>
      <w:tr>
        <w:trPr>
          <w:trHeight w:val="247"/>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35,484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22,117</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(12,813)</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5,462</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(87)</w:t>
            </w:r>
          </w:p>
        </w:tc>
      </w:tr>
      <w:tr>
        <w:trPr>
          <w:trHeight w:val="24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35,411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14,679</w:t>
            </w:r>
          </w:p>
        </w:tc>
      </w:tr>
      <w:tr>
        <w:trPr>
          <w:trHeight w:val="20"/>
        </w:trPr>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items impacting current results which are not expected to impact future performance.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Examples of items excluded from Adjusted EBITDA include the postretirement health care benefit income from terminating the plan and transaction costs related to our acquisition of Grand Design.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that publish similar measures;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and, (d) to evaluate potential acquisitions. We believe these non-GAAP financial measures are frequently used by securities analysts, investors and other interested parties to evaluate companies in our industry.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Motorized segment for the three months ended November 25, 2017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November 26,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Motorized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83"/>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299"/>
              <w:spacing w:after="0"/>
              <w:rPr>
                <w:sz w:val="20"/>
                <w:szCs w:val="20"/>
                <w:color w:val="auto"/>
              </w:rPr>
            </w:pPr>
            <w:r>
              <w:rPr>
                <w:rFonts w:ascii="Arial" w:cs="Arial" w:eastAsia="Arial" w:hAnsi="Arial"/>
                <w:sz w:val="16"/>
                <w:szCs w:val="16"/>
                <w:b w:val="1"/>
                <w:bCs w:val="1"/>
                <w:color w:val="auto"/>
              </w:rPr>
              <w:t>Nov 25,</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Nov 26,</w:t>
            </w:r>
          </w:p>
        </w:tc>
        <w:tc>
          <w:tcPr>
            <w:tcW w:w="3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190,356</w:t>
            </w:r>
          </w:p>
        </w:tc>
        <w:tc>
          <w:tcPr>
            <w:tcW w:w="13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195,125</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(4,769)</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3,155</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11,116</w:t>
            </w:r>
          </w:p>
        </w:tc>
        <w:tc>
          <w:tcPr>
            <w:tcW w:w="320" w:type="dxa"/>
            <w:vAlign w:val="bottom"/>
          </w:tcPr>
          <w:p>
            <w:pPr>
              <w:spacing w:after="0"/>
              <w:rPr>
                <w:sz w:val="21"/>
                <w:szCs w:val="21"/>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(7,961)</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(71.6)%</w:t>
            </w:r>
          </w:p>
        </w:tc>
      </w:tr>
      <w:tr>
        <w:trPr>
          <w:trHeight w:val="48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299"/>
              <w:spacing w:after="0"/>
              <w:rPr>
                <w:sz w:val="20"/>
                <w:szCs w:val="20"/>
                <w:color w:val="auto"/>
              </w:rPr>
            </w:pPr>
            <w:r>
              <w:rPr>
                <w:rFonts w:ascii="Arial" w:cs="Arial" w:eastAsia="Arial" w:hAnsi="Arial"/>
                <w:sz w:val="16"/>
                <w:szCs w:val="16"/>
                <w:b w:val="1"/>
                <w:bCs w:val="1"/>
                <w:color w:val="auto"/>
              </w:rPr>
              <w:t>Nov 25,</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Product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Nov 26,</w:t>
            </w:r>
          </w:p>
        </w:tc>
        <w:tc>
          <w:tcPr>
            <w:tcW w:w="32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723</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57</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8.6 %</w:t>
            </w:r>
          </w:p>
        </w:tc>
      </w:tr>
      <w:tr>
        <w:trPr>
          <w:trHeight w:val="26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370</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301</w:t>
            </w:r>
          </w:p>
        </w:tc>
        <w:tc>
          <w:tcPr>
            <w:tcW w:w="32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69</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22.9 %</w:t>
            </w:r>
          </w:p>
        </w:tc>
      </w:tr>
      <w:tr>
        <w:trPr>
          <w:trHeight w:val="273"/>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926</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(107)</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(10.4)%</w:t>
            </w:r>
          </w:p>
        </w:tc>
      </w:tr>
      <w:tr>
        <w:trPr>
          <w:trHeight w:val="240"/>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2,019</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19</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1.0 %</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4"/>
        </w:trPr>
        <w:tc>
          <w:tcPr>
            <w:tcW w:w="3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91,246</w:t>
            </w:r>
          </w:p>
        </w:tc>
        <w:tc>
          <w:tcPr>
            <w:tcW w:w="13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95,046</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(3,800)</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r>
      <w:tr>
        <w:trPr>
          <w:trHeight w:val="534"/>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Nov 25,</w:t>
            </w:r>
          </w:p>
        </w:tc>
        <w:tc>
          <w:tcPr>
            <w:tcW w:w="3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 26,</w:t>
            </w:r>
          </w:p>
        </w:tc>
        <w:tc>
          <w:tcPr>
            <w:tcW w:w="180" w:type="dxa"/>
            <w:vAlign w:val="bottom"/>
          </w:tcPr>
          <w:p>
            <w:pPr>
              <w:spacing w:after="0"/>
              <w:rPr>
                <w:sz w:val="17"/>
                <w:szCs w:val="17"/>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20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2,286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346</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15.1 %</w:t>
            </w:r>
          </w:p>
        </w:tc>
      </w:tr>
      <w:tr>
        <w:trPr>
          <w:trHeight w:val="251"/>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250,757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39"/>
              <w:spacing w:after="0"/>
              <w:rPr>
                <w:sz w:val="20"/>
                <w:szCs w:val="20"/>
                <w:color w:val="auto"/>
              </w:rPr>
            </w:pPr>
            <w:r>
              <w:rPr>
                <w:rFonts w:ascii="Arial" w:cs="Arial" w:eastAsia="Arial" w:hAnsi="Arial"/>
                <w:sz w:val="16"/>
                <w:szCs w:val="16"/>
                <w:color w:val="auto"/>
              </w:rPr>
              <w:t>207,056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43,701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21.1 %</w:t>
            </w:r>
          </w:p>
        </w:tc>
      </w:tr>
      <w:tr>
        <w:trPr>
          <w:trHeight w:val="553"/>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4,330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(104)</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r>
    </w:tbl>
    <w:p>
      <w:pPr>
        <w:spacing w:after="0" w:line="47"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13"/>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22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Motorized net revenues decreased $4.8 million or 2.4% in the first quarter of Fiscal 2018 as compared to the first quarter of Fiscal 2017. This was primarily due to a lower ASP on the mix of units sold.</w:t>
      </w:r>
    </w:p>
    <w:p>
      <w:pPr>
        <w:spacing w:after="0" w:line="169"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Motorized unit deliveries increased by 1.0% in the quarter. The unit growth we have generated has been in our Class A and Class B products. The shift in product mix has been towards Class B products, which have a lower ASP. Though unit deliveries were relatively flat, we have seen an increase in the backlog volumes by 15.1% in the first quarter of Fiscal 2018 due largely to the introduction of new products.</w:t>
      </w:r>
    </w:p>
    <w:p>
      <w:pPr>
        <w:spacing w:after="0" w:line="174"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Motorized segment Adjusted EBITDA decreased $8.0 million or 71.6%. This reduction was due to lower revenues as well as costs associated with the new product line start-up costs, ongoing expenses related to the ramp up of our West Coast production facility and an increase in direct material costs partially offset by a decrease in ERP expenses.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three months ended November 25, 2017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November 26,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Towable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83"/>
        </w:trPr>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319"/>
              <w:spacing w:after="0"/>
              <w:rPr>
                <w:sz w:val="20"/>
                <w:szCs w:val="20"/>
                <w:color w:val="auto"/>
              </w:rPr>
            </w:pPr>
            <w:r>
              <w:rPr>
                <w:rFonts w:ascii="Arial" w:cs="Arial" w:eastAsia="Arial" w:hAnsi="Arial"/>
                <w:sz w:val="16"/>
                <w:szCs w:val="16"/>
                <w:b w:val="1"/>
                <w:bCs w:val="1"/>
                <w:color w:val="auto"/>
              </w:rPr>
              <w:t>Nov 25,</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199"/>
              <w:spacing w:after="0"/>
              <w:rPr>
                <w:sz w:val="20"/>
                <w:szCs w:val="20"/>
                <w:color w:val="auto"/>
              </w:rPr>
            </w:pPr>
            <w:r>
              <w:rPr>
                <w:rFonts w:ascii="Arial" w:cs="Arial" w:eastAsia="Arial" w:hAnsi="Arial"/>
                <w:sz w:val="16"/>
                <w:szCs w:val="16"/>
                <w:b w:val="1"/>
                <w:bCs w:val="1"/>
                <w:color w:val="auto"/>
              </w:rPr>
              <w:t>Nov 26,</w:t>
            </w:r>
          </w:p>
        </w:tc>
        <w:tc>
          <w:tcPr>
            <w:tcW w:w="480" w:type="dxa"/>
            <w:vAlign w:val="bottom"/>
          </w:tcPr>
          <w:p>
            <w:pPr>
              <w:spacing w:after="0"/>
              <w:rPr>
                <w:sz w:val="17"/>
                <w:szCs w:val="17"/>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r>
      <w:tr>
        <w:trPr>
          <w:trHeight w:val="228"/>
        </w:trPr>
        <w:tc>
          <w:tcPr>
            <w:tcW w:w="3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259,665</w:t>
            </w:r>
          </w:p>
        </w:tc>
        <w:tc>
          <w:tcPr>
            <w:tcW w:w="13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50,183</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209,482</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417.4%</w:t>
            </w: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32,256</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3,563</w:t>
            </w:r>
          </w:p>
        </w:tc>
        <w:tc>
          <w:tcPr>
            <w:tcW w:w="480" w:type="dxa"/>
            <w:vAlign w:val="bottom"/>
          </w:tcPr>
          <w:p>
            <w:pPr>
              <w:spacing w:after="0"/>
              <w:rPr>
                <w:sz w:val="21"/>
                <w:szCs w:val="21"/>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28,693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805.3%</w:t>
            </w:r>
          </w:p>
        </w:tc>
      </w:tr>
      <w:tr>
        <w:trPr>
          <w:trHeight w:val="48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319"/>
              <w:spacing w:after="0"/>
              <w:rPr>
                <w:sz w:val="20"/>
                <w:szCs w:val="20"/>
                <w:color w:val="auto"/>
              </w:rPr>
            </w:pPr>
            <w:r>
              <w:rPr>
                <w:rFonts w:ascii="Arial" w:cs="Arial" w:eastAsia="Arial" w:hAnsi="Arial"/>
                <w:sz w:val="16"/>
                <w:szCs w:val="16"/>
                <w:b w:val="1"/>
                <w:bCs w:val="1"/>
                <w:color w:val="auto"/>
              </w:rPr>
              <w:t>Nov 25,</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Product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199"/>
              <w:spacing w:after="0"/>
              <w:rPr>
                <w:sz w:val="20"/>
                <w:szCs w:val="20"/>
                <w:color w:val="auto"/>
              </w:rPr>
            </w:pPr>
            <w:r>
              <w:rPr>
                <w:rFonts w:ascii="Arial" w:cs="Arial" w:eastAsia="Arial" w:hAnsi="Arial"/>
                <w:sz w:val="16"/>
                <w:szCs w:val="16"/>
                <w:b w:val="1"/>
                <w:bCs w:val="1"/>
                <w:color w:val="auto"/>
              </w:rPr>
              <w:t>Nov 26,</w:t>
            </w:r>
          </w:p>
        </w:tc>
        <w:tc>
          <w:tcPr>
            <w:tcW w:w="48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9"/>
              </w:rPr>
              <w:t>Product</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r>
      <w:tr>
        <w:trPr>
          <w:trHeight w:val="23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320" w:type="dxa"/>
            <w:vAlign w:val="bottom"/>
            <w:tcBorders>
              <w:bottom w:val="single" w:sz="8" w:color="auto"/>
            </w:tcBorders>
          </w:tcPr>
          <w:p>
            <w:pPr>
              <w:jc w:val="center"/>
              <w:ind w:right="7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19"/>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5,349</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3,840</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254.5%</w:t>
            </w:r>
          </w:p>
        </w:tc>
      </w:tr>
      <w:tr>
        <w:trPr>
          <w:trHeight w:val="264"/>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3,327</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2,824</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561.4%</w:t>
            </w:r>
          </w:p>
        </w:tc>
      </w:tr>
      <w:tr>
        <w:trPr>
          <w:trHeight w:val="240"/>
        </w:trPr>
        <w:tc>
          <w:tcPr>
            <w:tcW w:w="3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8,676</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4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6,664</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331.2%</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4"/>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30,557</w:t>
            </w: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24,862</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5,695</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22.9%</w:t>
            </w:r>
          </w:p>
        </w:tc>
      </w:tr>
      <w:tr>
        <w:trPr>
          <w:trHeight w:val="534"/>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rPr>
              <w:t>Nov 25,</w:t>
            </w:r>
          </w:p>
        </w:tc>
        <w:tc>
          <w:tcPr>
            <w:tcW w:w="480" w:type="dxa"/>
            <w:vAlign w:val="bottom"/>
          </w:tcPr>
          <w:p>
            <w:pPr>
              <w:spacing w:after="0"/>
              <w:rPr>
                <w:sz w:val="17"/>
                <w:szCs w:val="17"/>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8"/>
              </w:rPr>
              <w:t>Nov 26,</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r>
      <w:tr>
        <w:trPr>
          <w:trHeight w:val="234"/>
        </w:trPr>
        <w:tc>
          <w:tcPr>
            <w:tcW w:w="328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9,955</w:t>
            </w: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6,475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3,480</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53.7%</w:t>
            </w: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341,065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214,178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126,887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59.2%</w:t>
            </w:r>
          </w:p>
        </w:tc>
      </w:tr>
      <w:tr>
        <w:trPr>
          <w:trHeight w:val="553"/>
        </w:trPr>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1"/>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Units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12,050</w:t>
            </w:r>
          </w:p>
        </w:tc>
        <w:tc>
          <w:tcPr>
            <w:tcW w:w="480" w:type="dxa"/>
            <w:vAlign w:val="bottom"/>
          </w:tcPr>
          <w:p>
            <w:pPr>
              <w:spacing w:after="0"/>
              <w:rPr>
                <w:sz w:val="21"/>
                <w:szCs w:val="21"/>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7,118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4,932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160" w:hanging="152"/>
        <w:spacing w:after="0"/>
        <w:tabs>
          <w:tab w:leader="none" w:pos="160" w:val="left"/>
        </w:tabs>
        <w:numPr>
          <w:ilvl w:val="0"/>
          <w:numId w:val="14"/>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14"/>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Towable net revenues increased $209.5 million in the first quarter of Fiscal 2018 as compared to the first quarter of Fiscal 2017. This significant increase was primarily due to the acquisition of Grand Design which added revenues of $195.4 million in the quarter. In addition, Winnebago-branded towable revenues rose $14.0 million or 57.9% in the quarter compared to the first quarter in Fiscal 2017.</w:t>
      </w:r>
    </w:p>
    <w:p>
      <w:pPr>
        <w:spacing w:after="0" w:line="17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Towable unit deliveries grew by 331.2% in the quarter primarily due to the acquisition of Grand Design and also due to Towables growth in excess of recent industry trends. With the addition of Grand Design in the first quarter of Fiscal 2017, our towables market share increased from 1.1% to 6.0% when comparing shipments during the twelve month trailing periods ended October 2016 and October 2017. The addition of Grand Design has also resulted in a higher ASP due to a greater proportion of higher-priced fifth wheel units for the first quarter of Fiscal 2018 compared to the same period in Fiscal 2017. Other strong increases in backlog and the dealer inventory turnover ratio have been influenced by the addition of Grand Design.</w:t>
      </w:r>
    </w:p>
    <w:p>
      <w:pPr>
        <w:spacing w:after="0" w:line="17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Towable segment Adjusted EBITDA increased $28.7 million due to the favorable impact of Grand Design and the organic growth of Winnebago-branded towables. We achieved strong results in our Towables segment. Shipments grew faster than the industry as a result of greater penetration of our new products and further expansion of our distribution base, as well as higher gross profit on new products. In addition to the growth in Towables, profitability has increased due to material efficiencies and the leverage of higher volume on the fixed cost components of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Cash and cash equivalents increased $ 18.5 million during the first three months of Fiscal 2018 and totaled $54.5 million as of November 25, 2017. Significant liquidity events that occurred during the first three months of Fiscal 2018 were:</w:t>
      </w:r>
    </w:p>
    <w:p>
      <w:pPr>
        <w:spacing w:after="0" w:line="14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Generated net income of $18.0 million</w:t>
      </w:r>
    </w:p>
    <w:p>
      <w:pPr>
        <w:spacing w:after="0" w:line="5" w:lineRule="exact"/>
        <w:rPr>
          <w:rFonts w:ascii="Arial" w:cs="Arial" w:eastAsia="Arial" w:hAnsi="Arial"/>
          <w:sz w:val="16"/>
          <w:szCs w:val="16"/>
          <w:color w:val="auto"/>
        </w:rPr>
      </w:pPr>
    </w:p>
    <w:p>
      <w:pPr>
        <w:ind w:left="340" w:right="54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borrowings at November 25, 2017 were $279.8 million, and we have an additional $125.0 million available to borrow under the revolving credit agreement, subject to sufficient borrowing base</w:t>
      </w: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Repayment of $4.3 million of debt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Decrease in receivables, prepaid and other assets of $6.7 million partially offset by a decrease in payables of $1.3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 in inventory of $9.8 million</w:t>
      </w:r>
    </w:p>
    <w:p>
      <w:pPr>
        <w:spacing w:after="0" w:line="194"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As described in Note 9, our Credit Agreement at November 25, 2017 consisted of a $300 million term loan and a $125 million asset-based revolving credit (ABL) agreement (collectively, the Credit Agreement) with JPMorgan Chase.</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41"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April 25, 2016. Subject to market conditions, we have the ability to offer and sell up to $35.0 million of our common stock in one or more offerings pursuant to the Registration Statement. The Registration Statement will be available for three years from its effective date. We currently have no plans to offer and sell the common stock registered under the Registration Statement, however, it does provide another potential source of liquidity to raise capital if we need it, in addition to other alternatives already in place.</w:t>
      </w:r>
    </w:p>
    <w:p>
      <w:pPr>
        <w:spacing w:after="0" w:line="17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Working capital at November 25, 2017 and August 26, 2017 was $156.9 million and $147.0 million, respectively, an increase of $9.9 million. We currently expect cash on hand, funds generated from operations and the borrowing available under our Credit Agreement to be sufficient to cover both short-term and long-term operating requirements. We will continue to invest in our current motorhome facilities and our ERP system as well as expand our Towable facilities.</w:t>
      </w:r>
    </w:p>
    <w:p>
      <w:pPr>
        <w:spacing w:after="0" w:line="17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Share repurchases of $1.4 million in the first three months of Fiscal 2018 were to satisfy tax obligations on employee equity awards as they vested. We continually evaluate if share repurchases reflect a prudent use of our capital and, subject to compliance with our Credit Agreement, we may purchase shares in the remainder of Fiscal 2018. At November 25, 2017 we have $71.1 million remaining on our board repurchase authorization. See Part II, Item 2 of this Form 10-Q.</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Cash provided by operating activities was $29.5 million for the three months ended November 25, 2017 compared to cash used of $0.2 million for the three months ended November 26, 2016. In Fiscal 2018 the combination of net income of $18.0 million and changes in non-cash charges (e.g., amortization of debt issuance costs, depreciation, LIFO, stock-based compensation, deferred income taxes) provided $25.5 million of operating cash. Changes in assets and liabilities (primarily increases in accounts payable and accrued expenses and a decrease in receivables that were partially offset by an increase in inventories) provided $4.0 million of operating cash in the first three months ended November 25, 2017. In the three months ended November 26, 2016, the combination of net income of $11.7 million partially offset by the non-cash reduction of the postretirement health care liability of $12.5 million, as well as other changes in non-cash charges (e.g., depreciation, LIFO, stock-based compensation, deferred income taxes) provided $2.2 million of operating cash. Changes in assets and liabilities (primarily increases in inventories and decreases in accrued expenses that were partially offset by decreases in receivables and increases in income tax liabilities) used $2.4 million of operating cash.</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Cash used in investing activities of $5.3 million for the three months ended November 25, 2017 was due primarily to capital expenditures of $5.4 million. In the three months ended November 26, 2016, cash used in investing activities of $397.5 million was due primarily to the acquisition of Grand Design for which we paid cash of $394.7 million, net of cash acquired, in addition to issuing Winnebago stock with a value of $124.1 million at closing.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Cash used in financing activities of $5.6 million for the three months ended November 25, 2017 was primarily due to payments on the Credit Facility of $4.3 million and $1.4 million for share repurchases. Cash provided by financing activities of $337.6 million for the three months ended November 26, 2016 was primarily due to cash proceeds from the Credit Agreement of $353.0 million, partially offset by $10.8 million for the payment of debt issuance costs, $3.2 million for the payment of dividends and $1.3 million in repurchases of our stock.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4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We describe our significant accounting policies in Note 1, Summary of Significant Accounting Policies, of the Notes to Consolidated Financial Statements included in our Annual Report on Form 10-K for the fiscal year ended August 26, 2017. We discuss our critical accounting estimates in Item 7, Management's Discussion and Analysis of Financial Condition and Results of Operations, in our Annual Report on Form 10-K for the fiscal year ended August 26, 2017. We refer to these disclosures for a detailed explanation of our significant accounting policies and critical accounting estimates. There has been no significant change in our significant accounting policies or critical accounting estimates since the end of Fiscal 2017.</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are exposed to market risks related to fluctuations in interest rates on the outstanding variable rate debt. As of November 25, 2017, we had $279.8 million outstanding under our Term Loan, subject to variable interest rates. This risk is partially mitigated through an interest rate swap contract as detailed below.</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Under terms of the Credit Agreement, we were previously required to maintain interest rate swaps to manage our interest rate exposure related to the variable component of interest cost on the Term Loan. In accordance with this requirement, we entered into an interest swap contract on January 23, 2017, to effectively convert $200.0 million of the Term Loan balance to a fixed rate. The notional amount of the swap is reduced to $170.0 million on December 8, 2017, $120.0 million on December 10, 2018, and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$60.0 million on December 9, 2019. The swap contract expires on December 8, 2020. A hypothetical one percentage point increase in interest rates on the Term Loan would increase our interest expense (after consideration of the interest rate swap) for 2018 by approximately $0.8 million. Due to the floor of 1% on LIBOR for the Term Loan, a 1% decrease could only decrease to the floor for the variable rate, resulting in a decrease in interest expense (after consideration of the interest rate swap) for 2018 of $0.2 million. As discussed in Note 1: Basis of Presentation - Subsequent Events, the requirement to hedge a portion of the Term Loan B floating rate interest exposure was removed through an amendment to the ABL.</w:t>
      </w:r>
    </w:p>
    <w:p>
      <w:pPr>
        <w:spacing w:after="0" w:line="176"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For variable rate debt, interest rate changes generally do not affect the fair value of the debt instrument, but do impact future earnings and cash flows, assuming other factors are held constant.</w:t>
      </w:r>
    </w:p>
    <w:p>
      <w:pPr>
        <w:spacing w:after="0" w:line="15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Derivative instruments are accounted for at fair value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and have been designated for hedge accounting. The fair value of the interest rate swap is based on observable market data (Level 2) and was $0.4 million as of November 25, 2017. The interest rate swap requires us to pay interest at a fixed rate of 1.82% through the December 8, 2020 expiration of the swap. A 1.0% increase in the interest rate would have changed the fair value of the swap as of November 25, 2017 by approximately $3.4 million and a 1.0% decrease would have changed the fair value by $(2.8) million. These increases and decreases would be recorded in OCI and the hedged value on our consolidated balance sheet (currently recorded within other non-current liabilities). While these are our best estimates of the impact of the specified interest rate scenario, actual results could differ from those projected. The sensitivity analysis presented assumes interest rate changes are instantaneous, parallel shifts in the yield curve. In reality, interest rate changes of this magnitude are rarely instantaneous or parallel.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7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are implementing an ERP system which is expected to improve the efficiency of certain financial and related transaction processes. The implementation of an ERP system will likely affect the processes that constitute our internal control over financial reporting and will require testing for effectiveness. As we have completed implementation of certain phases of the ERP, internal controls over financial reporting have been tested for effectiveness with respect to the scope of the phase completed. We concluded, as part of our evaluation described in the above paragraphs, that the implementation of ERP in these circumstances has not materially affected our internal control over financial reporting. The implementation is continuing in a phased approach and will continue to be evaluated for effect on our internal control over financial reporting.</w:t>
      </w:r>
    </w:p>
    <w:p>
      <w:pPr>
        <w:spacing w:after="0" w:line="20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the first quarter of Fiscal 2018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40" w:top="141" w:right="27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214"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10K for the fiscal year ended August 26, 2017.</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first quarter of Fiscal 2018, 31,443 shares were repurchased under the authorization, at an aggregate cost of approximately $1.4 million. All of these shares were repurchased from employees who vested in Winnebago Industries shares during the first quarter of Fiscal 2018 and elected to pay their payroll tax via the value of shares delivered as opposed to cash.</w:t>
      </w:r>
    </w:p>
    <w:p>
      <w:pPr>
        <w:spacing w:after="0" w:line="149" w:lineRule="exact"/>
        <w:rPr>
          <w:sz w:val="20"/>
          <w:szCs w:val="20"/>
          <w:color w:val="auto"/>
        </w:rPr>
      </w:pPr>
    </w:p>
    <w:p>
      <w:pPr>
        <w:ind w:right="840"/>
        <w:spacing w:after="0" w:line="260" w:lineRule="auto"/>
        <w:rPr>
          <w:sz w:val="20"/>
          <w:szCs w:val="20"/>
          <w:color w:val="auto"/>
        </w:rPr>
      </w:pPr>
      <w:r>
        <w:rPr>
          <w:rFonts w:ascii="Arial" w:cs="Arial" w:eastAsia="Arial" w:hAnsi="Arial"/>
          <w:sz w:val="16"/>
          <w:szCs w:val="16"/>
          <w:color w:val="auto"/>
        </w:rPr>
        <w:t>On October 18, 2017 the Board of Directors authorized a share repurchase program in the amount of $70 million. There is no time restriction on this authorization. As of November 25, 2017, there was approximately $71.1 million remaining under these authorizations.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first quarter of Fiscal 2018 were: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08/27/17 - 09/30/17</w:t>
            </w:r>
          </w:p>
        </w:tc>
        <w:tc>
          <w:tcPr>
            <w:tcW w:w="1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1,316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39.50</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1,316</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2,415,000</w:t>
            </w:r>
          </w:p>
        </w:tc>
      </w:tr>
      <w:tr>
        <w:trPr>
          <w:trHeight w:val="260"/>
        </w:trPr>
        <w:tc>
          <w:tcPr>
            <w:tcW w:w="3100" w:type="dxa"/>
            <w:vAlign w:val="bottom"/>
          </w:tcPr>
          <w:p>
            <w:pPr>
              <w:ind w:left="40"/>
              <w:spacing w:after="0"/>
              <w:rPr>
                <w:sz w:val="20"/>
                <w:szCs w:val="20"/>
                <w:color w:val="auto"/>
              </w:rPr>
            </w:pPr>
            <w:r>
              <w:rPr>
                <w:rFonts w:ascii="Arial" w:cs="Arial" w:eastAsia="Arial" w:hAnsi="Arial"/>
                <w:sz w:val="16"/>
                <w:szCs w:val="16"/>
                <w:color w:val="auto"/>
              </w:rPr>
              <w:t>10/01/17 - 10/28/17</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29,847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43.46</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29,847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71,117,000</w:t>
            </w:r>
          </w:p>
        </w:tc>
      </w:tr>
      <w:tr>
        <w:trPr>
          <w:trHeight w:val="273"/>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10/29/17 - 11/25/17</w:t>
            </w:r>
          </w:p>
        </w:tc>
        <w:tc>
          <w:tcPr>
            <w:tcW w:w="1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48.15</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71,104,000</w:t>
            </w:r>
          </w:p>
        </w:tc>
      </w:tr>
      <w:tr>
        <w:trPr>
          <w:trHeight w:val="267"/>
        </w:trPr>
        <w:tc>
          <w:tcPr>
            <w:tcW w:w="3100" w:type="dxa"/>
            <w:vAlign w:val="bottom"/>
          </w:tcPr>
          <w:p>
            <w:pPr>
              <w:ind w:left="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31,443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43.34</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31,443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71,104,000</w:t>
            </w:r>
          </w:p>
        </w:tc>
      </w:tr>
      <w:tr>
        <w:trPr>
          <w:trHeight w:val="20"/>
        </w:trPr>
        <w:tc>
          <w:tcPr>
            <w:tcW w:w="3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Our Credit Agreement contains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25"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1080" w:type="dxa"/>
            <w:vAlign w:val="bottom"/>
            <w:gridSpan w:val="2"/>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31.</w:t>
              </w:r>
              <w:r>
                <w:rPr>
                  <w:rFonts w:ascii="Arial" w:cs="Arial" w:eastAsia="Arial" w:hAnsi="Arial"/>
                  <w:sz w:val="16"/>
                  <w:szCs w:val="16"/>
                  <w:u w:val="single" w:color="auto"/>
                  <w:color w:val="0000FF"/>
                </w:rPr>
                <w:t>1</w:t>
              </w:r>
            </w:hyperlink>
          </w:p>
        </w:tc>
        <w:tc>
          <w:tcPr>
            <w:tcW w:w="9180" w:type="dxa"/>
            <w:vAlign w:val="bottom"/>
          </w:tcPr>
          <w:p>
            <w:pPr>
              <w:ind w:left="340"/>
              <w:spacing w:after="0"/>
              <w:rPr>
                <w:sz w:val="20"/>
                <w:szCs w:val="20"/>
                <w:color w:val="auto"/>
              </w:rPr>
            </w:pPr>
            <w:r>
              <w:rPr>
                <w:rFonts w:ascii="Arial" w:cs="Arial" w:eastAsia="Arial" w:hAnsi="Arial"/>
                <w:sz w:val="16"/>
                <w:szCs w:val="16"/>
                <w:color w:val="auto"/>
              </w:rPr>
              <w:t>Certification by the Chief Executive Officer pursuant to Section 302 of the Sarbanes-Oxley Act of 2002 dated December 21,</w:t>
            </w:r>
          </w:p>
        </w:tc>
      </w:tr>
      <w:tr>
        <w:trPr>
          <w:trHeight w:val="204"/>
        </w:trPr>
        <w:tc>
          <w:tcPr>
            <w:tcW w:w="32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9180" w:type="dxa"/>
            <w:vAlign w:val="bottom"/>
          </w:tcPr>
          <w:p>
            <w:pPr>
              <w:ind w:left="340"/>
              <w:spacing w:after="0"/>
              <w:rPr>
                <w:sz w:val="20"/>
                <w:szCs w:val="20"/>
                <w:color w:val="auto"/>
              </w:rPr>
            </w:pPr>
            <w:r>
              <w:rPr>
                <w:rFonts w:ascii="Arial" w:cs="Arial" w:eastAsia="Arial" w:hAnsi="Arial"/>
                <w:sz w:val="16"/>
                <w:szCs w:val="16"/>
                <w:color w:val="auto"/>
              </w:rPr>
              <w:t>2017</w:t>
            </w:r>
          </w:p>
        </w:tc>
      </w:tr>
      <w:tr>
        <w:trPr>
          <w:trHeight w:val="398"/>
        </w:trPr>
        <w:tc>
          <w:tcPr>
            <w:tcW w:w="1080" w:type="dxa"/>
            <w:vAlign w:val="bottom"/>
            <w:gridSpan w:val="2"/>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31.</w:t>
              </w:r>
              <w:r>
                <w:rPr>
                  <w:rFonts w:ascii="Arial" w:cs="Arial" w:eastAsia="Arial" w:hAnsi="Arial"/>
                  <w:sz w:val="16"/>
                  <w:szCs w:val="16"/>
                  <w:u w:val="single" w:color="auto"/>
                  <w:color w:val="0000FF"/>
                </w:rPr>
                <w:t>2</w:t>
              </w:r>
            </w:hyperlink>
          </w:p>
        </w:tc>
        <w:tc>
          <w:tcPr>
            <w:tcW w:w="9180" w:type="dxa"/>
            <w:vAlign w:val="bottom"/>
          </w:tcPr>
          <w:p>
            <w:pPr>
              <w:ind w:left="340"/>
              <w:spacing w:after="0"/>
              <w:rPr>
                <w:sz w:val="20"/>
                <w:szCs w:val="20"/>
                <w:color w:val="auto"/>
              </w:rPr>
            </w:pPr>
            <w:r>
              <w:rPr>
                <w:rFonts w:ascii="Arial" w:cs="Arial" w:eastAsia="Arial" w:hAnsi="Arial"/>
                <w:sz w:val="16"/>
                <w:szCs w:val="16"/>
                <w:color w:val="auto"/>
              </w:rPr>
              <w:t>Certification by the Chief Financial Officer pursuant to Section 302 of the Sarbanes-Oxley Act of 2002 dated December 21,</w:t>
            </w:r>
          </w:p>
        </w:tc>
      </w:tr>
      <w:tr>
        <w:trPr>
          <w:trHeight w:val="204"/>
        </w:trPr>
        <w:tc>
          <w:tcPr>
            <w:tcW w:w="32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9180" w:type="dxa"/>
            <w:vAlign w:val="bottom"/>
          </w:tcPr>
          <w:p>
            <w:pPr>
              <w:ind w:left="340"/>
              <w:spacing w:after="0"/>
              <w:rPr>
                <w:sz w:val="20"/>
                <w:szCs w:val="20"/>
                <w:color w:val="auto"/>
              </w:rPr>
            </w:pPr>
            <w:r>
              <w:rPr>
                <w:rFonts w:ascii="Arial" w:cs="Arial" w:eastAsia="Arial" w:hAnsi="Arial"/>
                <w:sz w:val="16"/>
                <w:szCs w:val="16"/>
                <w:color w:val="auto"/>
              </w:rPr>
              <w:t>2017</w:t>
            </w:r>
          </w:p>
        </w:tc>
      </w:tr>
      <w:tr>
        <w:trPr>
          <w:trHeight w:val="398"/>
        </w:trPr>
        <w:tc>
          <w:tcPr>
            <w:tcW w:w="1080" w:type="dxa"/>
            <w:vAlign w:val="bottom"/>
            <w:gridSpan w:val="2"/>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32.</w:t>
              </w:r>
              <w:r>
                <w:rPr>
                  <w:rFonts w:ascii="Arial" w:cs="Arial" w:eastAsia="Arial" w:hAnsi="Arial"/>
                  <w:sz w:val="16"/>
                  <w:szCs w:val="16"/>
                  <w:u w:val="single" w:color="auto"/>
                  <w:color w:val="0000FF"/>
                </w:rPr>
                <w:t>1</w:t>
              </w:r>
            </w:hyperlink>
          </w:p>
        </w:tc>
        <w:tc>
          <w:tcPr>
            <w:tcW w:w="9180" w:type="dxa"/>
            <w:vAlign w:val="bottom"/>
          </w:tcPr>
          <w:p>
            <w:pPr>
              <w:ind w:left="340"/>
              <w:spacing w:after="0"/>
              <w:rPr>
                <w:sz w:val="20"/>
                <w:szCs w:val="20"/>
                <w:color w:val="auto"/>
              </w:rPr>
            </w:pPr>
            <w:r>
              <w:rPr>
                <w:rFonts w:ascii="Arial" w:cs="Arial" w:eastAsia="Arial" w:hAnsi="Arial"/>
                <w:sz w:val="16"/>
                <w:szCs w:val="16"/>
                <w:color w:val="auto"/>
              </w:rPr>
              <w:t>Certification by the Chief Executive Officer pursuant to Section 1350, as adopted pursuant to Section 906 of the Sarbanes-</w:t>
            </w:r>
          </w:p>
        </w:tc>
      </w:tr>
      <w:tr>
        <w:trPr>
          <w:trHeight w:val="204"/>
        </w:trPr>
        <w:tc>
          <w:tcPr>
            <w:tcW w:w="32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9180" w:type="dxa"/>
            <w:vAlign w:val="bottom"/>
          </w:tcPr>
          <w:p>
            <w:pPr>
              <w:ind w:left="340"/>
              <w:spacing w:after="0"/>
              <w:rPr>
                <w:sz w:val="20"/>
                <w:szCs w:val="20"/>
                <w:color w:val="auto"/>
              </w:rPr>
            </w:pPr>
            <w:r>
              <w:rPr>
                <w:rFonts w:ascii="Arial" w:cs="Arial" w:eastAsia="Arial" w:hAnsi="Arial"/>
                <w:sz w:val="16"/>
                <w:szCs w:val="16"/>
                <w:color w:val="auto"/>
              </w:rPr>
              <w:t>Oxley Act of 2002 dated December 21, 2017</w:t>
            </w:r>
          </w:p>
        </w:tc>
      </w:tr>
      <w:tr>
        <w:trPr>
          <w:trHeight w:val="398"/>
        </w:trPr>
        <w:tc>
          <w:tcPr>
            <w:tcW w:w="1080" w:type="dxa"/>
            <w:vAlign w:val="bottom"/>
            <w:gridSpan w:val="2"/>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32.</w:t>
              </w:r>
              <w:r>
                <w:rPr>
                  <w:rFonts w:ascii="Arial" w:cs="Arial" w:eastAsia="Arial" w:hAnsi="Arial"/>
                  <w:sz w:val="16"/>
                  <w:szCs w:val="16"/>
                  <w:u w:val="single" w:color="auto"/>
                  <w:color w:val="0000FF"/>
                </w:rPr>
                <w:t>2</w:t>
              </w:r>
            </w:hyperlink>
          </w:p>
        </w:tc>
        <w:tc>
          <w:tcPr>
            <w:tcW w:w="9180" w:type="dxa"/>
            <w:vAlign w:val="bottom"/>
          </w:tcPr>
          <w:p>
            <w:pPr>
              <w:ind w:left="340"/>
              <w:spacing w:after="0"/>
              <w:rPr>
                <w:sz w:val="20"/>
                <w:szCs w:val="20"/>
                <w:color w:val="auto"/>
              </w:rPr>
            </w:pPr>
            <w:r>
              <w:rPr>
                <w:rFonts w:ascii="Arial" w:cs="Arial" w:eastAsia="Arial" w:hAnsi="Arial"/>
                <w:sz w:val="16"/>
                <w:szCs w:val="16"/>
                <w:color w:val="auto"/>
              </w:rPr>
              <w:t>Certification by the Chief Financial Officer pursuant to Section 1350, as adopted pursuant to Section 906 of the Sarbanes-</w:t>
            </w:r>
          </w:p>
        </w:tc>
      </w:tr>
      <w:tr>
        <w:trPr>
          <w:trHeight w:val="204"/>
        </w:trPr>
        <w:tc>
          <w:tcPr>
            <w:tcW w:w="32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9180" w:type="dxa"/>
            <w:vAlign w:val="bottom"/>
          </w:tcPr>
          <w:p>
            <w:pPr>
              <w:ind w:left="340"/>
              <w:spacing w:after="0"/>
              <w:rPr>
                <w:sz w:val="20"/>
                <w:szCs w:val="20"/>
                <w:color w:val="auto"/>
              </w:rPr>
            </w:pPr>
            <w:r>
              <w:rPr>
                <w:rFonts w:ascii="Arial" w:cs="Arial" w:eastAsia="Arial" w:hAnsi="Arial"/>
                <w:sz w:val="16"/>
                <w:szCs w:val="16"/>
                <w:color w:val="auto"/>
              </w:rPr>
              <w:t>Oxley Act of 2002 dated December 21, 2017</w:t>
            </w:r>
          </w:p>
        </w:tc>
      </w:tr>
      <w:tr>
        <w:trPr>
          <w:trHeight w:val="432"/>
        </w:trPr>
        <w:tc>
          <w:tcPr>
            <w:tcW w:w="1080" w:type="dxa"/>
            <w:vAlign w:val="bottom"/>
            <w:gridSpan w:val="2"/>
          </w:tcPr>
          <w:p>
            <w:pPr>
              <w:spacing w:after="0"/>
              <w:rPr>
                <w:sz w:val="20"/>
                <w:szCs w:val="20"/>
                <w:color w:val="auto"/>
              </w:rPr>
            </w:pPr>
            <w:r>
              <w:rPr>
                <w:rFonts w:ascii="Arial" w:cs="Arial" w:eastAsia="Arial" w:hAnsi="Arial"/>
                <w:sz w:val="16"/>
                <w:szCs w:val="16"/>
                <w:color w:val="auto"/>
              </w:rPr>
              <w:t>101.INS*</w:t>
            </w:r>
          </w:p>
        </w:tc>
        <w:tc>
          <w:tcPr>
            <w:tcW w:w="9180" w:type="dxa"/>
            <w:vAlign w:val="bottom"/>
          </w:tcPr>
          <w:p>
            <w:pPr>
              <w:ind w:left="340"/>
              <w:spacing w:after="0"/>
              <w:rPr>
                <w:sz w:val="20"/>
                <w:szCs w:val="20"/>
                <w:color w:val="auto"/>
              </w:rPr>
            </w:pPr>
            <w:r>
              <w:rPr>
                <w:rFonts w:ascii="Arial" w:cs="Arial" w:eastAsia="Arial" w:hAnsi="Arial"/>
                <w:sz w:val="16"/>
                <w:szCs w:val="16"/>
                <w:color w:val="auto"/>
              </w:rPr>
              <w:t>XBRL Instance Document</w:t>
            </w:r>
          </w:p>
        </w:tc>
      </w:tr>
      <w:tr>
        <w:trPr>
          <w:trHeight w:val="594"/>
        </w:trPr>
        <w:tc>
          <w:tcPr>
            <w:tcW w:w="10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9180" w:type="dxa"/>
            <w:vAlign w:val="bottom"/>
          </w:tcPr>
          <w:p>
            <w:pPr>
              <w:ind w:left="340"/>
              <w:spacing w:after="0"/>
              <w:rPr>
                <w:sz w:val="20"/>
                <w:szCs w:val="20"/>
                <w:color w:val="auto"/>
              </w:rPr>
            </w:pPr>
            <w:r>
              <w:rPr>
                <w:rFonts w:ascii="Arial" w:cs="Arial" w:eastAsia="Arial" w:hAnsi="Arial"/>
                <w:sz w:val="16"/>
                <w:szCs w:val="16"/>
                <w:color w:val="auto"/>
              </w:rPr>
              <w:t>XBRL Taxonomy Extension Schema Document</w:t>
            </w:r>
          </w:p>
        </w:tc>
      </w:tr>
      <w:tr>
        <w:trPr>
          <w:trHeight w:val="594"/>
        </w:trPr>
        <w:tc>
          <w:tcPr>
            <w:tcW w:w="10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9180" w:type="dxa"/>
            <w:vAlign w:val="bottom"/>
          </w:tcPr>
          <w:p>
            <w:pPr>
              <w:ind w:left="340"/>
              <w:spacing w:after="0"/>
              <w:rPr>
                <w:sz w:val="20"/>
                <w:szCs w:val="20"/>
                <w:color w:val="auto"/>
              </w:rPr>
            </w:pPr>
            <w:r>
              <w:rPr>
                <w:rFonts w:ascii="Arial" w:cs="Arial" w:eastAsia="Arial" w:hAnsi="Arial"/>
                <w:sz w:val="16"/>
                <w:szCs w:val="16"/>
                <w:color w:val="auto"/>
              </w:rPr>
              <w:t>XBRL Taxonomy Extension Calculation Linkbase Document</w:t>
            </w:r>
          </w:p>
        </w:tc>
      </w:tr>
      <w:tr>
        <w:trPr>
          <w:trHeight w:val="594"/>
        </w:trPr>
        <w:tc>
          <w:tcPr>
            <w:tcW w:w="10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9180" w:type="dxa"/>
            <w:vAlign w:val="bottom"/>
          </w:tcPr>
          <w:p>
            <w:pPr>
              <w:ind w:left="340"/>
              <w:spacing w:after="0"/>
              <w:rPr>
                <w:sz w:val="20"/>
                <w:szCs w:val="20"/>
                <w:color w:val="auto"/>
              </w:rPr>
            </w:pPr>
            <w:r>
              <w:rPr>
                <w:rFonts w:ascii="Arial" w:cs="Arial" w:eastAsia="Arial" w:hAnsi="Arial"/>
                <w:sz w:val="16"/>
                <w:szCs w:val="16"/>
                <w:color w:val="auto"/>
              </w:rPr>
              <w:t>XBRL Taxonomy Extension Definitions Linkbase Document</w:t>
            </w:r>
          </w:p>
        </w:tc>
      </w:tr>
      <w:tr>
        <w:trPr>
          <w:trHeight w:val="594"/>
        </w:trPr>
        <w:tc>
          <w:tcPr>
            <w:tcW w:w="10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9180" w:type="dxa"/>
            <w:vAlign w:val="bottom"/>
          </w:tcPr>
          <w:p>
            <w:pPr>
              <w:ind w:left="340"/>
              <w:spacing w:after="0"/>
              <w:rPr>
                <w:sz w:val="20"/>
                <w:szCs w:val="20"/>
                <w:color w:val="auto"/>
              </w:rPr>
            </w:pPr>
            <w:r>
              <w:rPr>
                <w:rFonts w:ascii="Arial" w:cs="Arial" w:eastAsia="Arial" w:hAnsi="Arial"/>
                <w:sz w:val="16"/>
                <w:szCs w:val="16"/>
                <w:color w:val="auto"/>
              </w:rPr>
              <w:t>XBRL Taxonomy Extension Label Linkbase Document</w:t>
            </w:r>
          </w:p>
        </w:tc>
      </w:tr>
      <w:tr>
        <w:trPr>
          <w:trHeight w:val="594"/>
        </w:trPr>
        <w:tc>
          <w:tcPr>
            <w:tcW w:w="10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9180" w:type="dxa"/>
            <w:vAlign w:val="bottom"/>
          </w:tcPr>
          <w:p>
            <w:pPr>
              <w:ind w:left="34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34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November 25, 2017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ectPr>
          <w:pgSz w:w="11900" w:h="16838" w:orient="portrait"/>
          <w:cols w:equalWidth="0" w:num="1">
            <w:col w:w="11420"/>
          </w:cols>
          <w:pgMar w:left="240" w:top="364"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64"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7420" w:type="dxa"/>
            <w:vAlign w:val="bottom"/>
            <w:gridSpan w:val="2"/>
          </w:tcPr>
          <w:p>
            <w:pPr>
              <w:ind w:left="1640"/>
              <w:spacing w:after="0"/>
              <w:rPr>
                <w:sz w:val="20"/>
                <w:szCs w:val="20"/>
                <w:color w:val="auto"/>
              </w:rPr>
            </w:pPr>
            <w:r>
              <w:rPr>
                <w:rFonts w:ascii="Arial" w:cs="Arial" w:eastAsia="Arial" w:hAnsi="Arial"/>
                <w:sz w:val="16"/>
                <w:szCs w:val="16"/>
                <w:color w:val="auto"/>
              </w:rPr>
              <w:t>WINNEBAGO INDUSTRIES, INC.</w:t>
            </w:r>
          </w:p>
        </w:tc>
      </w:tr>
      <w:tr>
        <w:trPr>
          <w:trHeight w:val="55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200" w:type="dxa"/>
            <w:vAlign w:val="bottom"/>
          </w:tcPr>
          <w:p>
            <w:pPr>
              <w:ind w:left="140"/>
              <w:spacing w:after="0"/>
              <w:rPr>
                <w:sz w:val="20"/>
                <w:szCs w:val="20"/>
                <w:color w:val="auto"/>
              </w:rPr>
            </w:pPr>
            <w:r>
              <w:rPr>
                <w:rFonts w:ascii="Arial" w:cs="Arial" w:eastAsia="Arial" w:hAnsi="Arial"/>
                <w:sz w:val="16"/>
                <w:szCs w:val="16"/>
                <w:color w:val="auto"/>
              </w:rPr>
              <w:t>December 21, 2017</w:t>
            </w:r>
          </w:p>
        </w:tc>
        <w:tc>
          <w:tcPr>
            <w:tcW w:w="7420" w:type="dxa"/>
            <w:vAlign w:val="bottom"/>
            <w:gridSpan w:val="2"/>
          </w:tcPr>
          <w:p>
            <w:pPr>
              <w:ind w:left="16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37"/>
        </w:trPr>
        <w:tc>
          <w:tcPr>
            <w:tcW w:w="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70"/>
        </w:trPr>
        <w:tc>
          <w:tcPr>
            <w:tcW w:w="5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70"/>
        </w:trPr>
        <w:tc>
          <w:tcPr>
            <w:tcW w:w="5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5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200" w:type="dxa"/>
            <w:vAlign w:val="bottom"/>
          </w:tcPr>
          <w:p>
            <w:pPr>
              <w:ind w:left="140"/>
              <w:spacing w:after="0"/>
              <w:rPr>
                <w:sz w:val="20"/>
                <w:szCs w:val="20"/>
                <w:color w:val="auto"/>
              </w:rPr>
            </w:pPr>
            <w:r>
              <w:rPr>
                <w:rFonts w:ascii="Arial" w:cs="Arial" w:eastAsia="Arial" w:hAnsi="Arial"/>
                <w:sz w:val="16"/>
                <w:szCs w:val="16"/>
                <w:color w:val="auto"/>
              </w:rPr>
              <w:t>December 21, 2017</w:t>
            </w:r>
          </w:p>
        </w:tc>
        <w:tc>
          <w:tcPr>
            <w:tcW w:w="7420" w:type="dxa"/>
            <w:vAlign w:val="bottom"/>
            <w:gridSpan w:val="2"/>
          </w:tcPr>
          <w:p>
            <w:pPr>
              <w:ind w:left="16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37"/>
        </w:trPr>
        <w:tc>
          <w:tcPr>
            <w:tcW w:w="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5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Vice President, Chief Financial Officer, Treasurer</w:t>
            </w:r>
          </w:p>
        </w:tc>
      </w:tr>
      <w:tr>
        <w:trPr>
          <w:trHeight w:val="270"/>
        </w:trPr>
        <w:tc>
          <w:tcPr>
            <w:tcW w:w="5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r>
        <w:trPr>
          <w:trHeight w:val="675"/>
        </w:trPr>
        <w:tc>
          <w:tcPr>
            <w:tcW w:w="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27</w:t>
            </w:r>
          </w:p>
        </w:tc>
        <w:tc>
          <w:tcPr>
            <w:tcW w:w="5360" w:type="dxa"/>
            <w:vAlign w:val="bottom"/>
          </w:tcPr>
          <w:p>
            <w:pPr>
              <w:spacing w:after="0"/>
              <w:rPr>
                <w:sz w:val="24"/>
                <w:szCs w:val="24"/>
                <w:color w:val="auto"/>
              </w:rPr>
            </w:pPr>
          </w:p>
        </w:tc>
      </w:tr>
    </w:tbl>
    <w:p>
      <w:pPr>
        <w:sectPr>
          <w:pgSz w:w="11900" w:h="16838" w:orient="portrait"/>
          <w:cols w:equalWidth="0" w:num="1">
            <w:col w:w="11340"/>
          </w:cols>
          <w:pgMar w:left="240" w:top="141" w:right="31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certify that:</w:t>
      </w:r>
    </w:p>
    <w:p>
      <w:pPr>
        <w:spacing w:after="0" w:line="8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660" w:right="80" w:hanging="328"/>
        <w:spacing w:after="0" w:line="253"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21,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20"/>
          </w:cols>
          <w:pgMar w:left="240" w:top="630"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certify that:</w:t>
      </w:r>
    </w:p>
    <w:p>
      <w:pPr>
        <w:spacing w:after="0" w:line="8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660" w:right="8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21,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6"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November 25, 2017, I, Michael J. Happe,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ind w:left="660" w:right="40" w:hanging="328"/>
        <w:spacing w:after="0" w:line="25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November 25, 2017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21,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00"/>
          </w:cols>
          <w:pgMar w:left="240" w:top="630" w:right="25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November 25, 2017, I, Bryan L. Hughes,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ind w:left="660" w:hanging="328"/>
        <w:spacing w:after="0" w:line="25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November 25, 2017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21,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2019-12-29T02:15:20Z</dcterms:created>
  <dcterms:modified xsi:type="dcterms:W3CDTF">2019-12-29T02:15:20Z</dcterms:modified>
</cp:coreProperties>
</file>