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224155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June 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227965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460" w:type="dxa"/>
        <w:tblCellMar>
          <w:top w:w="0" w:type="dxa"/>
          <w:left w:w="0" w:type="dxa"/>
          <w:bottom w:w="0" w:type="dxa"/>
          <w:right w:w="0" w:type="dxa"/>
        </w:tblCellMar>
      </w:tblPr>
      <w:tr>
        <w:trPr>
          <w:trHeight w:val="262"/>
        </w:trPr>
        <w:tc>
          <w:tcPr>
            <w:tcW w:w="3580" w:type="dxa"/>
            <w:vAlign w:val="bottom"/>
          </w:tcPr>
          <w:p>
            <w:pPr>
              <w:jc w:val="center"/>
              <w:ind w:right="584"/>
              <w:spacing w:after="0"/>
              <w:rPr>
                <w:sz w:val="20"/>
                <w:szCs w:val="20"/>
                <w:color w:val="auto"/>
              </w:rPr>
            </w:pPr>
            <w:r>
              <w:rPr>
                <w:rFonts w:ascii="Arial" w:cs="Arial" w:eastAsia="Arial" w:hAnsi="Arial"/>
                <w:sz w:val="22"/>
                <w:szCs w:val="22"/>
                <w:b w:val="1"/>
                <w:bCs w:val="1"/>
                <w:color w:val="auto"/>
                <w:w w:val="93"/>
              </w:rPr>
              <w:t>Iowa</w:t>
            </w:r>
          </w:p>
        </w:tc>
        <w:tc>
          <w:tcPr>
            <w:tcW w:w="3740" w:type="dxa"/>
            <w:vAlign w:val="bottom"/>
          </w:tcPr>
          <w:p>
            <w:pPr>
              <w:jc w:val="right"/>
              <w:ind w:right="1502"/>
              <w:spacing w:after="0"/>
              <w:rPr>
                <w:sz w:val="20"/>
                <w:szCs w:val="20"/>
                <w:color w:val="auto"/>
              </w:rPr>
            </w:pPr>
            <w:r>
              <w:rPr>
                <w:rFonts w:ascii="Arial" w:cs="Arial" w:eastAsia="Arial" w:hAnsi="Arial"/>
                <w:sz w:val="22"/>
                <w:szCs w:val="22"/>
                <w:b w:val="1"/>
                <w:bCs w:val="1"/>
                <w:color w:val="auto"/>
              </w:rPr>
              <w:t>001-06403</w:t>
            </w:r>
          </w:p>
        </w:tc>
        <w:tc>
          <w:tcPr>
            <w:tcW w:w="2380" w:type="dxa"/>
            <w:vAlign w:val="bottom"/>
          </w:tcPr>
          <w:p>
            <w:pPr>
              <w:jc w:val="right"/>
              <w:ind w:right="24"/>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580" w:type="dxa"/>
            <w:vAlign w:val="bottom"/>
          </w:tcPr>
          <w:p>
            <w:pPr>
              <w:jc w:val="center"/>
              <w:ind w:right="604"/>
              <w:spacing w:after="0"/>
              <w:rPr>
                <w:sz w:val="20"/>
                <w:szCs w:val="20"/>
                <w:color w:val="auto"/>
              </w:rPr>
            </w:pPr>
            <w:r>
              <w:rPr>
                <w:rFonts w:ascii="Arial" w:cs="Arial" w:eastAsia="Arial" w:hAnsi="Arial"/>
                <w:sz w:val="18"/>
                <w:szCs w:val="18"/>
                <w:color w:val="auto"/>
                <w:w w:val="89"/>
              </w:rPr>
              <w:t>(State or other jurisdiction</w:t>
            </w:r>
          </w:p>
        </w:tc>
        <w:tc>
          <w:tcPr>
            <w:tcW w:w="3740" w:type="dxa"/>
            <w:vAlign w:val="bottom"/>
          </w:tcPr>
          <w:p>
            <w:pPr>
              <w:jc w:val="center"/>
              <w:ind w:right="302"/>
              <w:spacing w:after="0"/>
              <w:rPr>
                <w:sz w:val="20"/>
                <w:szCs w:val="20"/>
                <w:color w:val="auto"/>
              </w:rPr>
            </w:pPr>
            <w:r>
              <w:rPr>
                <w:rFonts w:ascii="Arial" w:cs="Arial" w:eastAsia="Arial" w:hAnsi="Arial"/>
                <w:sz w:val="18"/>
                <w:szCs w:val="18"/>
                <w:color w:val="auto"/>
                <w:w w:val="90"/>
              </w:rPr>
              <w:t>(Commission File Number)</w:t>
            </w: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0"/>
              </w:rPr>
              <w:t>(IRS Employer</w:t>
            </w:r>
          </w:p>
        </w:tc>
      </w:tr>
      <w:tr>
        <w:trPr>
          <w:trHeight w:val="222"/>
        </w:trPr>
        <w:tc>
          <w:tcPr>
            <w:tcW w:w="3580" w:type="dxa"/>
            <w:vAlign w:val="bottom"/>
          </w:tcPr>
          <w:p>
            <w:pPr>
              <w:jc w:val="center"/>
              <w:ind w:right="604"/>
              <w:spacing w:after="0"/>
              <w:rPr>
                <w:sz w:val="20"/>
                <w:szCs w:val="20"/>
                <w:color w:val="auto"/>
              </w:rPr>
            </w:pPr>
            <w:r>
              <w:rPr>
                <w:rFonts w:ascii="Arial" w:cs="Arial" w:eastAsia="Arial" w:hAnsi="Arial"/>
                <w:sz w:val="18"/>
                <w:szCs w:val="18"/>
                <w:color w:val="auto"/>
                <w:w w:val="92"/>
              </w:rPr>
              <w:t>of incorporation)</w:t>
            </w:r>
          </w:p>
        </w:tc>
        <w:tc>
          <w:tcPr>
            <w:tcW w:w="3740" w:type="dxa"/>
            <w:vAlign w:val="bottom"/>
          </w:tcPr>
          <w:p>
            <w:pPr>
              <w:spacing w:after="0"/>
              <w:rPr>
                <w:sz w:val="19"/>
                <w:szCs w:val="19"/>
                <w:color w:val="auto"/>
              </w:rPr>
            </w:pP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2"/>
              </w:rPr>
              <w:t>Identification No.)</w:t>
            </w:r>
          </w:p>
        </w:tc>
      </w:tr>
      <w:tr>
        <w:trPr>
          <w:trHeight w:val="480"/>
        </w:trPr>
        <w:tc>
          <w:tcPr>
            <w:tcW w:w="3580" w:type="dxa"/>
            <w:vAlign w:val="bottom"/>
          </w:tcPr>
          <w:p>
            <w:pPr>
              <w:jc w:val="center"/>
              <w:ind w:right="604"/>
              <w:spacing w:after="0"/>
              <w:rPr>
                <w:sz w:val="20"/>
                <w:szCs w:val="20"/>
                <w:color w:val="auto"/>
              </w:rPr>
            </w:pPr>
            <w:r>
              <w:rPr>
                <w:rFonts w:ascii="Arial" w:cs="Arial" w:eastAsia="Arial" w:hAnsi="Arial"/>
                <w:sz w:val="22"/>
                <w:szCs w:val="22"/>
                <w:b w:val="1"/>
                <w:bCs w:val="1"/>
                <w:color w:val="auto"/>
                <w:w w:val="89"/>
              </w:rPr>
              <w:t>P.O. Box 152, Forest City, Iowa</w:t>
            </w:r>
          </w:p>
        </w:tc>
        <w:tc>
          <w:tcPr>
            <w:tcW w:w="3740" w:type="dxa"/>
            <w:vAlign w:val="bottom"/>
          </w:tcPr>
          <w:p>
            <w:pPr>
              <w:spacing w:after="0"/>
              <w:rPr>
                <w:sz w:val="24"/>
                <w:szCs w:val="24"/>
                <w:color w:val="auto"/>
              </w:rPr>
            </w:pPr>
          </w:p>
        </w:tc>
        <w:tc>
          <w:tcPr>
            <w:tcW w:w="2380" w:type="dxa"/>
            <w:vAlign w:val="bottom"/>
          </w:tcPr>
          <w:p>
            <w:pPr>
              <w:jc w:val="right"/>
              <w:ind w:right="284"/>
              <w:spacing w:after="0"/>
              <w:rPr>
                <w:sz w:val="20"/>
                <w:szCs w:val="20"/>
                <w:color w:val="auto"/>
              </w:rPr>
            </w:pPr>
            <w:r>
              <w:rPr>
                <w:rFonts w:ascii="Arial" w:cs="Arial" w:eastAsia="Arial" w:hAnsi="Arial"/>
                <w:sz w:val="22"/>
                <w:szCs w:val="22"/>
                <w:b w:val="1"/>
                <w:bCs w:val="1"/>
                <w:color w:val="auto"/>
              </w:rPr>
              <w:t>50436</w:t>
            </w:r>
          </w:p>
        </w:tc>
      </w:tr>
      <w:tr>
        <w:trPr>
          <w:trHeight w:val="222"/>
        </w:trPr>
        <w:tc>
          <w:tcPr>
            <w:tcW w:w="3580" w:type="dxa"/>
            <w:vAlign w:val="bottom"/>
          </w:tcPr>
          <w:p>
            <w:pPr>
              <w:jc w:val="center"/>
              <w:ind w:right="584"/>
              <w:spacing w:after="0"/>
              <w:rPr>
                <w:sz w:val="20"/>
                <w:szCs w:val="20"/>
                <w:color w:val="auto"/>
              </w:rPr>
            </w:pPr>
            <w:r>
              <w:rPr>
                <w:rFonts w:ascii="Arial" w:cs="Arial" w:eastAsia="Arial" w:hAnsi="Arial"/>
                <w:sz w:val="18"/>
                <w:szCs w:val="18"/>
                <w:color w:val="auto"/>
                <w:w w:val="90"/>
              </w:rPr>
              <w:t>(Address of principal executive offices)</w:t>
            </w:r>
          </w:p>
        </w:tc>
        <w:tc>
          <w:tcPr>
            <w:tcW w:w="3740" w:type="dxa"/>
            <w:vAlign w:val="bottom"/>
          </w:tcPr>
          <w:p>
            <w:pPr>
              <w:spacing w:after="0"/>
              <w:rPr>
                <w:sz w:val="19"/>
                <w:szCs w:val="19"/>
                <w:color w:val="auto"/>
              </w:rPr>
            </w:pP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1"/>
              </w:rPr>
              <w:t>(Zip Code)</w:t>
            </w:r>
          </w:p>
        </w:tc>
      </w:tr>
    </w:tbl>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Registrant’s telephone number, including area code 641-585-3535</w:t>
      </w:r>
    </w:p>
    <w:p>
      <w:pPr>
        <w:spacing w:after="0" w:line="233" w:lineRule="exact"/>
        <w:rPr>
          <w:sz w:val="24"/>
          <w:szCs w:val="24"/>
          <w:color w:val="auto"/>
        </w:rPr>
      </w:pPr>
    </w:p>
    <w:p>
      <w:pPr>
        <w:ind w:left="2140"/>
        <w:spacing w:after="0"/>
        <w:rPr>
          <w:sz w:val="20"/>
          <w:szCs w:val="20"/>
          <w:color w:val="auto"/>
        </w:rPr>
      </w:pPr>
      <w:r>
        <w:rPr>
          <w:rFonts w:ascii="Arial" w:cs="Arial" w:eastAsia="Arial" w:hAnsi="Arial"/>
          <w:sz w:val="22"/>
          <w:szCs w:val="22"/>
          <w:color w:val="auto"/>
        </w:rPr>
        <w:t>__________________________________________________________________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222885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200" w:lineRule="exact"/>
        <w:rPr>
          <w:sz w:val="24"/>
          <w:szCs w:val="24"/>
          <w:color w:val="auto"/>
        </w:rPr>
      </w:pPr>
    </w:p>
    <w:p>
      <w:pPr>
        <w:ind w:left="800" w:hanging="792"/>
        <w:spacing w:after="0"/>
        <w:tabs>
          <w:tab w:leader="none" w:pos="800"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b w:val="1"/>
          <w:bCs w:val="1"/>
          <w:color w:val="auto"/>
        </w:rPr>
      </w:pPr>
    </w:p>
    <w:p>
      <w:pPr>
        <w:ind w:left="800" w:hanging="792"/>
        <w:spacing w:after="0"/>
        <w:tabs>
          <w:tab w:leader="none" w:pos="8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800" w:hanging="792"/>
        <w:spacing w:after="0"/>
        <w:tabs>
          <w:tab w:leader="none" w:pos="8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800" w:hanging="792"/>
        <w:spacing w:after="0"/>
        <w:tabs>
          <w:tab w:leader="none" w:pos="8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595630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2.05 Costs Associated with Exit or Disposal Activities.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25" w:lineRule="exact"/>
        <w:rPr>
          <w:sz w:val="24"/>
          <w:szCs w:val="24"/>
          <w:color w:val="auto"/>
        </w:rPr>
      </w:pPr>
    </w:p>
    <w:p>
      <w:pPr>
        <w:jc w:val="both"/>
        <w:ind w:left="1140"/>
        <w:spacing w:after="0" w:line="298" w:lineRule="auto"/>
        <w:rPr>
          <w:sz w:val="20"/>
          <w:szCs w:val="20"/>
          <w:color w:val="auto"/>
        </w:rPr>
      </w:pPr>
      <w:r>
        <w:rPr>
          <w:rFonts w:ascii="Arial" w:cs="Arial" w:eastAsia="Arial" w:hAnsi="Arial"/>
          <w:sz w:val="16"/>
          <w:szCs w:val="16"/>
          <w:color w:val="auto"/>
        </w:rPr>
        <w:t>On June 9, 2009, the Board of Directors of Winnebago Industries, Inc. (the “Company”) approved a strategic manufacturing consolidation decision to close the Company’s fiberglass manufacturing facility in Hampton, Iowa, which currently manufactures fiberglass components for Company’s motor home products. The Company notified affected employees of this decision on June 11, 2009. A press release was issued by the Company on June 11, 2009, which is attached hereto as Exhibit 99.1 and incorporated herein by reference.</w:t>
      </w:r>
    </w:p>
    <w:p>
      <w:pPr>
        <w:spacing w:after="0" w:line="167" w:lineRule="exact"/>
        <w:rPr>
          <w:sz w:val="24"/>
          <w:szCs w:val="24"/>
          <w:color w:val="auto"/>
        </w:rPr>
      </w:pPr>
    </w:p>
    <w:p>
      <w:pPr>
        <w:jc w:val="both"/>
        <w:ind w:left="1140"/>
        <w:spacing w:after="0" w:line="294" w:lineRule="auto"/>
        <w:rPr>
          <w:sz w:val="20"/>
          <w:szCs w:val="20"/>
          <w:color w:val="auto"/>
        </w:rPr>
      </w:pPr>
      <w:r>
        <w:rPr>
          <w:rFonts w:ascii="Arial" w:cs="Arial" w:eastAsia="Arial" w:hAnsi="Arial"/>
          <w:sz w:val="16"/>
          <w:szCs w:val="16"/>
          <w:color w:val="auto"/>
        </w:rPr>
        <w:t>The capacity reductions are expected to better position the Company to more closely match its manufacturing capabilities with current market demand. The relocation of a majority of the Hampton manufacturing capacity to the Company’s Forest City facility is expected to occur throughout the Company’s fiscal fourth quarter, ending August 29, 2009. As a result of the facility closure, the Company expects to incur a non-cash impairment charge of approximately $1.4 to $2.4 million on the facility in the company’s fourth fiscal quarter. In addition, other associated out of pocket costs with the idling of the facility are estimated to be approximately $600,000.</w:t>
      </w:r>
    </w:p>
    <w:p>
      <w:pPr>
        <w:spacing w:after="0" w:line="15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4"/>
          <w:szCs w:val="24"/>
          <w:color w:val="auto"/>
        </w:rPr>
      </w:pPr>
    </w:p>
    <w:p>
      <w:pPr>
        <w:ind w:left="1520"/>
        <w:spacing w:after="0"/>
        <w:tabs>
          <w:tab w:leader="none" w:pos="60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ectPr>
          <w:pgSz w:w="11900" w:h="16866" w:orient="portrait"/>
          <w:cols w:equalWidth="0" w:num="1">
            <w:col w:w="11420"/>
          </w:cols>
          <w:pgMar w:left="240" w:top="786" w:right="239" w:bottom="0" w:gutter="0" w:footer="0" w:header="0"/>
        </w:sectPr>
      </w:pPr>
    </w:p>
    <w:bookmarkStart w:id="1" w:name="page2"/>
    <w:bookmarkEnd w:id="1"/>
    <w:p>
      <w:pPr>
        <w:ind w:left="1500"/>
        <w:spacing w:after="0"/>
        <w:rPr>
          <w:sz w:val="20"/>
          <w:szCs w:val="20"/>
          <w:color w:val="auto"/>
        </w:rPr>
      </w:pPr>
      <w:r>
        <w:rPr>
          <w:rFonts w:ascii="Arial" w:cs="Arial" w:eastAsia="Arial" w:hAnsi="Arial"/>
          <w:sz w:val="18"/>
          <w:szCs w:val="18"/>
          <w:color w:val="auto"/>
        </w:rPr>
        <w:t>NUMBER</w:t>
      </w:r>
    </w:p>
    <w:p>
      <w:pPr>
        <w:spacing w:after="0" w:line="225" w:lineRule="exact"/>
        <w:rPr>
          <w:sz w:val="20"/>
          <w:szCs w:val="20"/>
          <w:color w:val="auto"/>
        </w:rPr>
      </w:pPr>
    </w:p>
    <w:p>
      <w:pPr>
        <w:ind w:left="2460" w:right="560" w:hanging="727"/>
        <w:spacing w:after="0" w:line="332" w:lineRule="auto"/>
        <w:tabs>
          <w:tab w:leader="none" w:pos="2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Winnebago Industries, Inc., dated June 11, 2009, Announcing Decision to Close Hampton Fiberglass Facility and Third Quarter Fiscal 2009 Financial Results Conference Call to be Held on June 18, 2009.</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Date: June 11, 2009</w:t>
            </w:r>
          </w:p>
        </w:tc>
        <w:tc>
          <w:tcPr>
            <w:tcW w:w="7320" w:type="dxa"/>
            <w:vAlign w:val="bottom"/>
            <w:gridSpan w:val="2"/>
          </w:tcPr>
          <w:p>
            <w:pPr>
              <w:ind w:left="1540"/>
              <w:spacing w:after="0"/>
              <w:rPr>
                <w:sz w:val="20"/>
                <w:szCs w:val="20"/>
                <w:color w:val="auto"/>
              </w:rPr>
            </w:pPr>
            <w:r>
              <w:rPr>
                <w:rFonts w:ascii="Arial" w:cs="Arial" w:eastAsia="Arial" w:hAnsi="Arial"/>
                <w:sz w:val="18"/>
                <w:szCs w:val="18"/>
                <w:color w:val="auto"/>
              </w:rPr>
              <w:t>WINNEBAGO INDUSTRIES, INC.</w:t>
            </w:r>
          </w:p>
        </w:tc>
        <w:tc>
          <w:tcPr>
            <w:tcW w:w="1140" w:type="dxa"/>
            <w:vAlign w:val="bottom"/>
          </w:tcPr>
          <w:p>
            <w:pPr>
              <w:spacing w:after="0"/>
              <w:rPr>
                <w:sz w:val="19"/>
                <w:szCs w:val="19"/>
                <w:color w:val="auto"/>
              </w:rPr>
            </w:pPr>
          </w:p>
        </w:tc>
      </w:tr>
      <w:tr>
        <w:trPr>
          <w:trHeight w:val="378"/>
        </w:trPr>
        <w:tc>
          <w:tcPr>
            <w:tcW w:w="2960" w:type="dxa"/>
            <w:vAlign w:val="bottom"/>
          </w:tcPr>
          <w:p>
            <w:pPr>
              <w:spacing w:after="0"/>
              <w:rPr>
                <w:sz w:val="24"/>
                <w:szCs w:val="24"/>
                <w:color w:val="auto"/>
              </w:rPr>
            </w:pPr>
          </w:p>
        </w:tc>
        <w:tc>
          <w:tcPr>
            <w:tcW w:w="2360" w:type="dxa"/>
            <w:vAlign w:val="bottom"/>
          </w:tcPr>
          <w:p>
            <w:pPr>
              <w:ind w:left="15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c>
          <w:tcPr>
            <w:tcW w:w="1140" w:type="dxa"/>
            <w:vAlign w:val="bottom"/>
          </w:tcPr>
          <w:p>
            <w:pPr>
              <w:spacing w:after="0"/>
              <w:rPr>
                <w:sz w:val="24"/>
                <w:szCs w:val="24"/>
                <w:color w:val="auto"/>
              </w:rPr>
            </w:pPr>
          </w:p>
        </w:tc>
      </w:tr>
      <w:tr>
        <w:trPr>
          <w:trHeight w:val="190"/>
        </w:trPr>
        <w:tc>
          <w:tcPr>
            <w:tcW w:w="2960" w:type="dxa"/>
            <w:vAlign w:val="bottom"/>
          </w:tcPr>
          <w:p>
            <w:pPr>
              <w:spacing w:after="0"/>
              <w:rPr>
                <w:sz w:val="16"/>
                <w:szCs w:val="16"/>
                <w:color w:val="auto"/>
              </w:rPr>
            </w:pPr>
          </w:p>
        </w:tc>
        <w:tc>
          <w:tcPr>
            <w:tcW w:w="2360" w:type="dxa"/>
            <w:vAlign w:val="bottom"/>
          </w:tcPr>
          <w:p>
            <w:pPr>
              <w:ind w:left="1540"/>
              <w:spacing w:after="0" w:line="190"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0" w:lineRule="exact"/>
              <w:rPr>
                <w:sz w:val="20"/>
                <w:szCs w:val="20"/>
                <w:color w:val="auto"/>
              </w:rPr>
            </w:pPr>
            <w:r>
              <w:rPr>
                <w:rFonts w:ascii="Arial" w:cs="Arial" w:eastAsia="Arial" w:hAnsi="Arial"/>
                <w:sz w:val="18"/>
                <w:szCs w:val="18"/>
                <w:color w:val="auto"/>
              </w:rPr>
              <w:t>Robert J. Olson</w:t>
            </w:r>
          </w:p>
        </w:tc>
        <w:tc>
          <w:tcPr>
            <w:tcW w:w="1140" w:type="dxa"/>
            <w:vAlign w:val="bottom"/>
          </w:tcPr>
          <w:p>
            <w:pPr>
              <w:spacing w:after="0"/>
              <w:rPr>
                <w:sz w:val="16"/>
                <w:szCs w:val="16"/>
                <w:color w:val="auto"/>
              </w:rPr>
            </w:pPr>
          </w:p>
        </w:tc>
      </w:tr>
      <w:tr>
        <w:trPr>
          <w:trHeight w:val="230"/>
        </w:trPr>
        <w:tc>
          <w:tcPr>
            <w:tcW w:w="2960" w:type="dxa"/>
            <w:vAlign w:val="bottom"/>
          </w:tcPr>
          <w:p>
            <w:pPr>
              <w:spacing w:after="0"/>
              <w:rPr>
                <w:sz w:val="19"/>
                <w:szCs w:val="19"/>
                <w:color w:val="auto"/>
              </w:rPr>
            </w:pPr>
          </w:p>
        </w:tc>
        <w:tc>
          <w:tcPr>
            <w:tcW w:w="2360" w:type="dxa"/>
            <w:vAlign w:val="bottom"/>
          </w:tcPr>
          <w:p>
            <w:pPr>
              <w:ind w:left="154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Chairman of the Board, Chief Executive</w:t>
            </w:r>
          </w:p>
        </w:tc>
        <w:tc>
          <w:tcPr>
            <w:tcW w:w="1140" w:type="dxa"/>
            <w:vAlign w:val="bottom"/>
          </w:tcPr>
          <w:p>
            <w:pPr>
              <w:spacing w:after="0"/>
              <w:rPr>
                <w:sz w:val="19"/>
                <w:szCs w:val="19"/>
                <w:color w:val="auto"/>
              </w:rPr>
            </w:pPr>
          </w:p>
        </w:tc>
      </w:tr>
      <w:tr>
        <w:trPr>
          <w:trHeight w:val="222"/>
        </w:trPr>
        <w:tc>
          <w:tcPr>
            <w:tcW w:w="29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Officer and President</w:t>
            </w:r>
          </w:p>
        </w:tc>
        <w:tc>
          <w:tcPr>
            <w:tcW w:w="1140" w:type="dxa"/>
            <w:vAlign w:val="bottom"/>
          </w:tcPr>
          <w:p>
            <w:pPr>
              <w:spacing w:after="0"/>
              <w:rPr>
                <w:sz w:val="19"/>
                <w:szCs w:val="19"/>
                <w:color w:val="auto"/>
              </w:rPr>
            </w:pPr>
          </w:p>
        </w:tc>
      </w:tr>
      <w:tr>
        <w:trPr>
          <w:trHeight w:val="1025"/>
        </w:trPr>
        <w:tc>
          <w:tcPr>
            <w:tcW w:w="29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Contact: Sheila Davis – 641-585-6803 – </w:t>
      </w:r>
      <w:r>
        <w:rPr>
          <w:rFonts w:ascii="Arial" w:cs="Arial" w:eastAsia="Arial" w:hAnsi="Arial"/>
          <w:sz w:val="18"/>
          <w:szCs w:val="18"/>
          <w:u w:val="single" w:color="auto"/>
          <w:color w:val="auto"/>
        </w:rPr>
        <w:t>sdavis@winnebagoind.com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TO CLOSE HAMPTON FIBERGLASS FACILITY</w:t>
      </w:r>
    </w:p>
    <w:p>
      <w:pPr>
        <w:spacing w:after="0" w:line="23" w:lineRule="exact"/>
        <w:rPr>
          <w:sz w:val="20"/>
          <w:szCs w:val="20"/>
          <w:color w:val="auto"/>
        </w:rPr>
      </w:pPr>
    </w:p>
    <w:p>
      <w:pPr>
        <w:ind w:left="4880" w:right="3100" w:hanging="1292"/>
        <w:spacing w:after="0" w:line="313" w:lineRule="auto"/>
        <w:tabs>
          <w:tab w:leader="none" w:pos="375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Third Quarter Fiscal 2008 Financial Results Conference Call to be held on June 18, 2009 –</w:t>
      </w:r>
    </w:p>
    <w:p>
      <w:pPr>
        <w:spacing w:after="0" w:line="15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FOREST CITY, IOWA, June 11, 2009 – Winnebago Industries, Inc. (NYSE:WGO) today announced the decision to close the Company’s Hampton, Iowa fiberglass manufacturing facility. The Hampton facility primarily manufactures fiberglass components for Winnebago Industries’ motor home products. The majority of the production capabilities for fiberglass components will be relocated to the Company’s Forest City facilities throughout the Company’s fiscal fourth quarter, ending August 29, 2009. The relocation will not affect the Company’s customers or product offerings.</w:t>
      </w:r>
    </w:p>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Current market conditions continue to be challenging, necessitating further capacity reductions. The Company believes these actions will better position it for a business environment that it expects will continue to be challenging in the near future.</w:t>
      </w:r>
    </w:p>
    <w:p>
      <w:pPr>
        <w:spacing w:after="0" w:line="18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decision to close the Hampton facility has been very difficult,” said Winnebago Industries’ Chairman, CEO and President Bob Olson. “Unfortunately, it has become necessary to decrease our manufacturing footprint to reduce overhead expenses for the Company. It is particularly difficult to lose valued employees, however, the wholesale and retail market for the Company’s motor homes continues to be very challenging and it is important to down-size to market demand.”</w:t>
      </w:r>
    </w:p>
    <w:p>
      <w:pPr>
        <w:spacing w:after="0" w:line="161"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As a result of the facility closure, the Company expects to incur a non-cash impairment charge of $1.4 to $2.4 million on the facility in the Company’s fourth fiscal quarter. In addition, other associated out of pocket costs with the idling of the facility are estimated to be approximately $600,000. The Company will continue to evaluate the need for additional right-sizing measures in accordance with market demand.</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Winnebago Industries’ management met with its Hampton employees today and will help coordinate employee support from state, regional and local agencies in an effort to assist with job placement, training and various other services and benefits available to dislocated workers. An estimated 40 salaried and hourly employees will be impacted by the facility closure.</w:t>
      </w:r>
    </w:p>
    <w:p>
      <w:pPr>
        <w:spacing w:after="0" w:line="194"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Olson continued, “Although the current economic environment is extremely challenging, we continue to believe we are in a strong financial position with sufficient cash and investment balances, no long-term debt and with the benefit of a respected brand name known for its quality products.”</w:t>
      </w:r>
    </w:p>
    <w:p>
      <w:pPr>
        <w:spacing w:after="0" w:line="13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Winnebago Industries will host a conference call on Thursday, June 18, 2009 at 9 a.m. Central Time (CT) to discuss the financial results for its third quarter of fiscal 2009 ended May 30, 2009. The Company will release its financial results on June 18, 2009 at 6:00 a.m. CT.</w:t>
      </w:r>
    </w:p>
    <w:p>
      <w:pPr>
        <w:spacing w:after="0" w:line="18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 xml:space="preserve">Winnebago Industries’ conference call may be heard live via the Company’s website,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xml:space="preserve">. The event will be archived and available for replay for the next 90 days. To access the replay, click on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 cast: either Windows Media Player or RealPlayer and at least a 28.8 Kbps connection to the Internet. The Windows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Player software is downloadable free at: </w:t>
      </w: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the RealPlayer software is downloadable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free at: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Winnebago Industries, Inc. is the nation’s top-selling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0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interest rates and availability of credit, low consumer confidence, availability and price of fuel, a further slowdown in the economy, availability of chassis and other key component parts, sales order cancellations, slower than anticipated sales of new or existing products, new product introductions by competitors, the effect of global tensions,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1432560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2019-12-10T03:52:24Z</dcterms:created>
  <dcterms:modified xsi:type="dcterms:W3CDTF">2019-12-10T03:52:24Z</dcterms:modified>
</cp:coreProperties>
</file>