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10-Q</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39" w:lineRule="exact"/>
        <w:rPr>
          <w:sz w:val="24"/>
          <w:szCs w:val="24"/>
          <w:color w:val="auto"/>
        </w:rPr>
      </w:pPr>
    </w:p>
    <w:p>
      <w:pPr>
        <w:ind w:left="580" w:right="300" w:hanging="572"/>
        <w:spacing w:after="0" w:line="256" w:lineRule="auto"/>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November 28, 2009</w:t>
      </w:r>
    </w:p>
    <w:p>
      <w:pPr>
        <w:spacing w:after="0" w:line="139"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or</w:t>
      </w:r>
    </w:p>
    <w:p>
      <w:pPr>
        <w:spacing w:after="0" w:line="133" w:lineRule="exact"/>
        <w:rPr>
          <w:sz w:val="24"/>
          <w:szCs w:val="24"/>
          <w:color w:val="auto"/>
        </w:rPr>
      </w:pPr>
    </w:p>
    <w:p>
      <w:pPr>
        <w:ind w:left="580" w:right="280" w:hanging="572"/>
        <w:spacing w:after="0" w:line="256" w:lineRule="auto"/>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1" w:lineRule="exact"/>
        <w:rPr>
          <w:sz w:val="24"/>
          <w:szCs w:val="24"/>
          <w:color w:val="auto"/>
        </w:rPr>
      </w:pPr>
    </w:p>
    <w:p>
      <w:pPr>
        <w:spacing w:after="0"/>
        <w:rPr>
          <w:sz w:val="20"/>
          <w:szCs w:val="20"/>
          <w:color w:val="auto"/>
        </w:rPr>
      </w:pPr>
      <w:r>
        <w:rPr>
          <w:rFonts w:ascii="Arial" w:cs="Arial" w:eastAsia="Arial" w:hAnsi="Arial"/>
          <w:sz w:val="22"/>
          <w:szCs w:val="22"/>
          <w:color w:val="auto"/>
        </w:rPr>
        <w:t>For the transition period from ______________________________ to _______________</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4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620" w:type="dxa"/>
            <w:vAlign w:val="bottom"/>
          </w:tcPr>
          <w:p>
            <w:pPr>
              <w:jc w:val="center"/>
              <w:ind w:left="142"/>
              <w:spacing w:after="0"/>
              <w:rPr>
                <w:sz w:val="20"/>
                <w:szCs w:val="20"/>
                <w:color w:val="auto"/>
              </w:rPr>
            </w:pPr>
            <w:r>
              <w:rPr>
                <w:rFonts w:ascii="Arial" w:cs="Arial" w:eastAsia="Arial" w:hAnsi="Arial"/>
                <w:sz w:val="22"/>
                <w:szCs w:val="22"/>
                <w:color w:val="auto"/>
                <w:w w:val="90"/>
              </w:rPr>
              <w:t>Iowa</w:t>
            </w:r>
          </w:p>
        </w:tc>
        <w:tc>
          <w:tcPr>
            <w:tcW w:w="2020" w:type="dxa"/>
            <w:vAlign w:val="bottom"/>
          </w:tcPr>
          <w:p>
            <w:pPr>
              <w:jc w:val="right"/>
              <w:ind w:right="24"/>
              <w:spacing w:after="0"/>
              <w:rPr>
                <w:sz w:val="20"/>
                <w:szCs w:val="20"/>
                <w:color w:val="auto"/>
              </w:rPr>
            </w:pPr>
            <w:r>
              <w:rPr>
                <w:rFonts w:ascii="Arial" w:cs="Arial" w:eastAsia="Arial" w:hAnsi="Arial"/>
                <w:sz w:val="22"/>
                <w:szCs w:val="22"/>
                <w:color w:val="auto"/>
              </w:rPr>
              <w:t>42-0802678</w:t>
            </w:r>
          </w:p>
        </w:tc>
      </w:tr>
      <w:tr>
        <w:trPr>
          <w:trHeight w:val="216"/>
        </w:trPr>
        <w:tc>
          <w:tcPr>
            <w:tcW w:w="6620" w:type="dxa"/>
            <w:vAlign w:val="bottom"/>
          </w:tcPr>
          <w:p>
            <w:pPr>
              <w:jc w:val="center"/>
              <w:ind w:left="162"/>
              <w:spacing w:after="0"/>
              <w:rPr>
                <w:sz w:val="20"/>
                <w:szCs w:val="20"/>
                <w:color w:val="auto"/>
              </w:rPr>
            </w:pPr>
            <w:r>
              <w:rPr>
                <w:rFonts w:ascii="Arial" w:cs="Arial" w:eastAsia="Arial" w:hAnsi="Arial"/>
                <w:sz w:val="18"/>
                <w:szCs w:val="18"/>
                <w:color w:val="auto"/>
                <w:w w:val="90"/>
              </w:rPr>
              <w:t>(State or other jurisdiction of</w:t>
            </w:r>
          </w:p>
        </w:tc>
        <w:tc>
          <w:tcPr>
            <w:tcW w:w="2020" w:type="dxa"/>
            <w:vAlign w:val="bottom"/>
          </w:tcPr>
          <w:p>
            <w:pPr>
              <w:jc w:val="center"/>
              <w:ind w:left="644"/>
              <w:spacing w:after="0"/>
              <w:rPr>
                <w:sz w:val="20"/>
                <w:szCs w:val="20"/>
                <w:color w:val="auto"/>
              </w:rPr>
            </w:pPr>
            <w:r>
              <w:rPr>
                <w:rFonts w:ascii="Arial" w:cs="Arial" w:eastAsia="Arial" w:hAnsi="Arial"/>
                <w:sz w:val="18"/>
                <w:szCs w:val="18"/>
                <w:color w:val="auto"/>
                <w:w w:val="90"/>
              </w:rPr>
              <w:t>(I.R.S. Employer</w:t>
            </w:r>
          </w:p>
        </w:tc>
      </w:tr>
      <w:tr>
        <w:trPr>
          <w:trHeight w:val="222"/>
        </w:trPr>
        <w:tc>
          <w:tcPr>
            <w:tcW w:w="6620" w:type="dxa"/>
            <w:vAlign w:val="bottom"/>
          </w:tcPr>
          <w:p>
            <w:pPr>
              <w:jc w:val="center"/>
              <w:ind w:left="142"/>
              <w:spacing w:after="0"/>
              <w:rPr>
                <w:sz w:val="20"/>
                <w:szCs w:val="20"/>
                <w:color w:val="auto"/>
              </w:rPr>
            </w:pPr>
            <w:r>
              <w:rPr>
                <w:rFonts w:ascii="Arial" w:cs="Arial" w:eastAsia="Arial" w:hAnsi="Arial"/>
                <w:sz w:val="18"/>
                <w:szCs w:val="18"/>
                <w:color w:val="auto"/>
                <w:w w:val="89"/>
              </w:rPr>
              <w:t>incorporation or organization)</w:t>
            </w:r>
          </w:p>
        </w:tc>
        <w:tc>
          <w:tcPr>
            <w:tcW w:w="2020" w:type="dxa"/>
            <w:vAlign w:val="bottom"/>
          </w:tcPr>
          <w:p>
            <w:pPr>
              <w:jc w:val="center"/>
              <w:ind w:left="62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6620" w:type="dxa"/>
            <w:vAlign w:val="bottom"/>
          </w:tcPr>
          <w:p>
            <w:pPr>
              <w:jc w:val="center"/>
              <w:ind w:left="142"/>
              <w:spacing w:after="0"/>
              <w:rPr>
                <w:sz w:val="20"/>
                <w:szCs w:val="20"/>
                <w:color w:val="auto"/>
              </w:rPr>
            </w:pPr>
            <w:r>
              <w:rPr>
                <w:rFonts w:ascii="Arial" w:cs="Arial" w:eastAsia="Arial" w:hAnsi="Arial"/>
                <w:sz w:val="22"/>
                <w:szCs w:val="22"/>
                <w:color w:val="auto"/>
                <w:w w:val="88"/>
              </w:rPr>
              <w:t>P.O. Box 152, Forest City, Iowa</w:t>
            </w:r>
          </w:p>
        </w:tc>
        <w:tc>
          <w:tcPr>
            <w:tcW w:w="202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6620" w:type="dxa"/>
            <w:vAlign w:val="bottom"/>
          </w:tcPr>
          <w:p>
            <w:pPr>
              <w:jc w:val="center"/>
              <w:ind w:left="142"/>
              <w:spacing w:after="0"/>
              <w:rPr>
                <w:sz w:val="20"/>
                <w:szCs w:val="20"/>
                <w:color w:val="auto"/>
              </w:rPr>
            </w:pPr>
            <w:r>
              <w:rPr>
                <w:rFonts w:ascii="Arial" w:cs="Arial" w:eastAsia="Arial" w:hAnsi="Arial"/>
                <w:sz w:val="18"/>
                <w:szCs w:val="18"/>
                <w:color w:val="auto"/>
                <w:w w:val="89"/>
              </w:rPr>
              <w:t>(Address of Principal executive offices)</w:t>
            </w:r>
          </w:p>
        </w:tc>
        <w:tc>
          <w:tcPr>
            <w:tcW w:w="2020" w:type="dxa"/>
            <w:vAlign w:val="bottom"/>
          </w:tcPr>
          <w:p>
            <w:pPr>
              <w:jc w:val="center"/>
              <w:ind w:left="624"/>
              <w:spacing w:after="0"/>
              <w:rPr>
                <w:sz w:val="20"/>
                <w:szCs w:val="20"/>
                <w:color w:val="auto"/>
              </w:rPr>
            </w:pPr>
            <w:r>
              <w:rPr>
                <w:rFonts w:ascii="Arial" w:cs="Arial" w:eastAsia="Arial" w:hAnsi="Arial"/>
                <w:sz w:val="18"/>
                <w:szCs w:val="18"/>
                <w:color w:val="auto"/>
                <w:w w:val="91"/>
              </w:rPr>
              <w:t>(Zip Code)</w:t>
            </w:r>
          </w:p>
        </w:tc>
      </w:tr>
      <w:tr>
        <w:trPr>
          <w:trHeight w:val="471"/>
        </w:trPr>
        <w:tc>
          <w:tcPr>
            <w:tcW w:w="6620" w:type="dxa"/>
            <w:vAlign w:val="bottom"/>
          </w:tcPr>
          <w:p>
            <w:pPr>
              <w:spacing w:after="0"/>
              <w:rPr>
                <w:sz w:val="20"/>
                <w:szCs w:val="20"/>
                <w:color w:val="auto"/>
              </w:rPr>
            </w:pPr>
            <w:r>
              <w:rPr>
                <w:rFonts w:ascii="Arial" w:cs="Arial" w:eastAsia="Arial" w:hAnsi="Arial"/>
                <w:sz w:val="22"/>
                <w:szCs w:val="22"/>
                <w:color w:val="auto"/>
                <w:w w:val="99"/>
              </w:rPr>
              <w:t>Registrant’s telephone number, including area code: (641) 585-3535</w:t>
            </w:r>
          </w:p>
        </w:tc>
        <w:tc>
          <w:tcPr>
            <w:tcW w:w="2020" w:type="dxa"/>
            <w:vAlign w:val="bottom"/>
          </w:tcPr>
          <w:p>
            <w:pPr>
              <w:spacing w:after="0"/>
              <w:rPr>
                <w:sz w:val="24"/>
                <w:szCs w:val="24"/>
                <w:color w:val="auto"/>
              </w:rPr>
            </w:pPr>
          </w:p>
        </w:tc>
      </w:tr>
    </w:tbl>
    <w:p>
      <w:pPr>
        <w:spacing w:after="0" w:line="185" w:lineRule="exact"/>
        <w:rPr>
          <w:sz w:val="24"/>
          <w:szCs w:val="24"/>
          <w:color w:val="auto"/>
        </w:rPr>
      </w:pPr>
    </w:p>
    <w:p>
      <w:pPr>
        <w:ind w:right="220"/>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7" w:lineRule="exact"/>
        <w:rPr>
          <w:sz w:val="24"/>
          <w:szCs w:val="24"/>
          <w:color w:val="auto"/>
        </w:rPr>
      </w:pPr>
    </w:p>
    <w:p>
      <w:pPr>
        <w:spacing w:after="0" w:line="297" w:lineRule="auto"/>
        <w:rPr>
          <w:sz w:val="20"/>
          <w:szCs w:val="20"/>
          <w:color w:val="auto"/>
        </w:rPr>
      </w:pPr>
      <w:r>
        <w:rPr>
          <w:rFonts w:ascii="Arial" w:cs="Arial" w:eastAsia="Arial" w:hAnsi="Arial"/>
          <w:sz w:val="19"/>
          <w:szCs w:val="19"/>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34" w:lineRule="exact"/>
        <w:rPr>
          <w:sz w:val="24"/>
          <w:szCs w:val="24"/>
          <w:color w:val="auto"/>
        </w:rPr>
      </w:pPr>
    </w:p>
    <w:p>
      <w:pPr>
        <w:jc w:val="both"/>
        <w:ind w:right="30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tabs>
          <w:tab w:leader="none" w:pos="2860" w:val="left"/>
          <w:tab w:leader="none" w:pos="5140" w:val="left"/>
          <w:tab w:leader="none" w:pos="7880" w:val="left"/>
        </w:tabs>
        <w:rPr>
          <w:sz w:val="20"/>
          <w:szCs w:val="20"/>
          <w:color w:val="auto"/>
        </w:rPr>
      </w:pPr>
      <w:r>
        <w:rPr>
          <w:rFonts w:ascii="Arial" w:cs="Arial" w:eastAsia="Arial" w:hAnsi="Arial"/>
          <w:sz w:val="22"/>
          <w:szCs w:val="22"/>
          <w:color w:val="auto"/>
        </w:rPr>
        <w:t>Large accelerated filer o</w:t>
      </w:r>
      <w:r>
        <w:rPr>
          <w:sz w:val="20"/>
          <w:szCs w:val="20"/>
          <w:color w:val="auto"/>
        </w:rPr>
        <w:tab/>
      </w:r>
      <w:r>
        <w:rPr>
          <w:rFonts w:ascii="Arial" w:cs="Arial" w:eastAsia="Arial" w:hAnsi="Arial"/>
          <w:sz w:val="22"/>
          <w:szCs w:val="22"/>
          <w:color w:val="auto"/>
        </w:rPr>
        <w:t>Accelerated filer x</w:t>
      </w:r>
      <w:r>
        <w:rPr>
          <w:sz w:val="20"/>
          <w:szCs w:val="20"/>
          <w:color w:val="auto"/>
        </w:rPr>
        <w:tab/>
      </w:r>
      <w:r>
        <w:rPr>
          <w:rFonts w:ascii="Arial" w:cs="Arial" w:eastAsia="Arial" w:hAnsi="Arial"/>
          <w:sz w:val="22"/>
          <w:szCs w:val="22"/>
          <w:color w:val="auto"/>
        </w:rPr>
        <w:t>Non-accelerated filer o</w:t>
      </w:r>
      <w:r>
        <w:rPr>
          <w:sz w:val="20"/>
          <w:szCs w:val="20"/>
          <w:color w:val="auto"/>
        </w:rPr>
        <w:tab/>
      </w:r>
      <w:r>
        <w:rPr>
          <w:rFonts w:ascii="Arial" w:cs="Arial" w:eastAsia="Arial" w:hAnsi="Arial"/>
          <w:sz w:val="19"/>
          <w:szCs w:val="19"/>
          <w:color w:val="auto"/>
        </w:rPr>
        <w:t>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a shell company (as defined in Rule 12b-2 of the Exchange Act). Yes o  No x.</w:t>
      </w: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The number of shares of common stock, par value $0.50 per share, outstanding December 29, 2009 was 29,074,827.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39" w:right="2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00" w:type="dxa"/>
            <w:vAlign w:val="bottom"/>
            <w:gridSpan w:val="5"/>
          </w:tcPr>
          <w:p>
            <w:pPr>
              <w:jc w:val="center"/>
              <w:ind w:right="1880"/>
              <w:spacing w:after="0"/>
              <w:rPr>
                <w:sz w:val="20"/>
                <w:szCs w:val="20"/>
                <w:color w:val="auto"/>
              </w:rPr>
            </w:pPr>
            <w:r>
              <w:rPr>
                <w:rFonts w:ascii="Arial" w:cs="Arial" w:eastAsia="Arial" w:hAnsi="Arial"/>
                <w:sz w:val="18"/>
                <w:szCs w:val="18"/>
                <w:b w:val="1"/>
                <w:bCs w:val="1"/>
                <w:color w:val="auto"/>
                <w:w w:val="98"/>
              </w:rPr>
              <w:t>WINNEBAGO INDUSTRIES, INC.</w:t>
            </w: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2"/>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60" w:type="dxa"/>
            <w:vAlign w:val="bottom"/>
            <w:gridSpan w:val="6"/>
          </w:tcPr>
          <w:p>
            <w:pPr>
              <w:jc w:val="center"/>
              <w:ind w:right="1820"/>
              <w:spacing w:after="0"/>
              <w:rPr>
                <w:sz w:val="20"/>
                <w:szCs w:val="20"/>
                <w:color w:val="auto"/>
              </w:rPr>
            </w:pPr>
            <w:r>
              <w:rPr>
                <w:rFonts w:ascii="Arial" w:cs="Arial" w:eastAsia="Arial" w:hAnsi="Arial"/>
                <w:sz w:val="18"/>
                <w:szCs w:val="18"/>
                <w:b w:val="1"/>
                <w:bCs w:val="1"/>
                <w:color w:val="auto"/>
                <w:w w:val="97"/>
              </w:rPr>
              <w:t>INDEX TO REPORT ON FORM 10-Q</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7"/>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60" w:type="dxa"/>
            <w:vAlign w:val="bottom"/>
            <w:gridSpan w:val="3"/>
          </w:tcPr>
          <w:p>
            <w:pPr>
              <w:ind w:left="1320"/>
              <w:spacing w:after="0"/>
              <w:rPr>
                <w:sz w:val="20"/>
                <w:szCs w:val="20"/>
                <w:color w:val="auto"/>
              </w:rPr>
            </w:pPr>
            <w:r>
              <w:rPr>
                <w:rFonts w:ascii="Arial" w:cs="Arial" w:eastAsia="Arial" w:hAnsi="Arial"/>
                <w:sz w:val="18"/>
                <w:szCs w:val="18"/>
                <w:color w:val="auto"/>
              </w:rPr>
              <w:t>Page Number</w:t>
            </w:r>
          </w:p>
        </w:tc>
      </w:tr>
      <w:tr>
        <w:trPr>
          <w:trHeight w:val="345"/>
        </w:trPr>
        <w:tc>
          <w:tcPr>
            <w:tcW w:w="13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320" w:type="dxa"/>
            <w:vAlign w:val="bottom"/>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ITEM 1.</w:t>
              </w:r>
            </w:hyperlink>
          </w:p>
        </w:tc>
        <w:tc>
          <w:tcPr>
            <w:tcW w:w="720" w:type="dxa"/>
            <w:vAlign w:val="bottom"/>
            <w:gridSpan w:val="3"/>
          </w:tcPr>
          <w:p>
            <w:pPr>
              <w:spacing w:after="0"/>
              <w:rPr>
                <w:sz w:val="24"/>
                <w:szCs w:val="24"/>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140" w:type="dxa"/>
            <w:vAlign w:val="bottom"/>
            <w:gridSpan w:val="10"/>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Statements of Operations</w:t>
              </w:r>
            </w:hyperlink>
          </w:p>
        </w:tc>
        <w:tc>
          <w:tcPr>
            <w:tcW w:w="2280" w:type="dxa"/>
            <w:vAlign w:val="bottom"/>
            <w:gridSpan w:val="2"/>
          </w:tcPr>
          <w:p>
            <w:pPr>
              <w:jc w:val="center"/>
              <w:ind w:left="1232"/>
              <w:spacing w:after="0" w:line="196" w:lineRule="exact"/>
              <w:rPr>
                <w:sz w:val="20"/>
                <w:szCs w:val="20"/>
                <w:color w:val="auto"/>
              </w:rPr>
            </w:pPr>
            <w:r>
              <w:rPr>
                <w:rFonts w:ascii="Arial" w:cs="Arial" w:eastAsia="Arial" w:hAnsi="Arial"/>
                <w:sz w:val="18"/>
                <w:szCs w:val="18"/>
                <w:color w:val="auto"/>
                <w:w w:val="79"/>
              </w:rPr>
              <w:t>1</w:t>
            </w:r>
          </w:p>
        </w:tc>
        <w:tc>
          <w:tcPr>
            <w:tcW w:w="18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Unaudited Balance Sheets</w:t>
              </w:r>
            </w:hyperlink>
          </w:p>
        </w:tc>
        <w:tc>
          <w:tcPr>
            <w:tcW w:w="660" w:type="dxa"/>
            <w:vAlign w:val="bottom"/>
            <w:tcBorders>
              <w:top w:val="single" w:sz="8" w:color="0000EE"/>
            </w:tcBorders>
          </w:tcPr>
          <w:p>
            <w:pPr>
              <w:spacing w:after="0"/>
              <w:rPr>
                <w:sz w:val="17"/>
                <w:szCs w:val="17"/>
                <w:color w:val="auto"/>
              </w:rPr>
            </w:pPr>
          </w:p>
        </w:tc>
        <w:tc>
          <w:tcPr>
            <w:tcW w:w="4760" w:type="dxa"/>
            <w:vAlign w:val="bottom"/>
            <w:gridSpan w:val="6"/>
          </w:tcPr>
          <w:p>
            <w:pPr>
              <w:spacing w:after="0"/>
              <w:rPr>
                <w:sz w:val="17"/>
                <w:szCs w:val="17"/>
                <w:color w:val="auto"/>
              </w:rPr>
            </w:pPr>
          </w:p>
        </w:tc>
        <w:tc>
          <w:tcPr>
            <w:tcW w:w="2280" w:type="dxa"/>
            <w:vAlign w:val="bottom"/>
            <w:gridSpan w:val="2"/>
          </w:tcPr>
          <w:p>
            <w:pPr>
              <w:jc w:val="center"/>
              <w:ind w:left="1232"/>
              <w:spacing w:after="0" w:line="196" w:lineRule="exact"/>
              <w:rPr>
                <w:sz w:val="20"/>
                <w:szCs w:val="20"/>
                <w:color w:val="auto"/>
              </w:rPr>
            </w:pPr>
            <w:r>
              <w:rPr>
                <w:rFonts w:ascii="Arial" w:cs="Arial" w:eastAsia="Arial" w:hAnsi="Arial"/>
                <w:sz w:val="18"/>
                <w:szCs w:val="18"/>
                <w:color w:val="auto"/>
                <w:w w:val="79"/>
              </w:rPr>
              <w:t>2</w:t>
            </w:r>
          </w:p>
        </w:tc>
        <w:tc>
          <w:tcPr>
            <w:tcW w:w="18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Statements of Cash Flows</w:t>
              </w:r>
            </w:hyperlink>
          </w:p>
        </w:tc>
        <w:tc>
          <w:tcPr>
            <w:tcW w:w="2280" w:type="dxa"/>
            <w:vAlign w:val="bottom"/>
            <w:gridSpan w:val="2"/>
          </w:tcPr>
          <w:p>
            <w:pPr>
              <w:jc w:val="center"/>
              <w:ind w:left="1232"/>
              <w:spacing w:after="0" w:line="196" w:lineRule="exact"/>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Unaudited Notes to Condensed Financial Statements</w:t>
              </w:r>
            </w:hyperlink>
          </w:p>
        </w:tc>
        <w:tc>
          <w:tcPr>
            <w:tcW w:w="3600" w:type="dxa"/>
            <w:vAlign w:val="bottom"/>
            <w:gridSpan w:val="4"/>
          </w:tcPr>
          <w:p>
            <w:pPr>
              <w:spacing w:after="0"/>
              <w:rPr>
                <w:sz w:val="17"/>
                <w:szCs w:val="17"/>
                <w:color w:val="auto"/>
              </w:rPr>
            </w:pPr>
          </w:p>
        </w:tc>
        <w:tc>
          <w:tcPr>
            <w:tcW w:w="2280" w:type="dxa"/>
            <w:vAlign w:val="bottom"/>
            <w:gridSpan w:val="2"/>
          </w:tcPr>
          <w:p>
            <w:pPr>
              <w:jc w:val="center"/>
              <w:ind w:left="1232"/>
              <w:spacing w:after="0" w:line="196" w:lineRule="exact"/>
              <w:rPr>
                <w:sz w:val="20"/>
                <w:szCs w:val="20"/>
                <w:color w:val="auto"/>
              </w:rPr>
            </w:pPr>
            <w:r>
              <w:rPr>
                <w:rFonts w:ascii="Arial" w:cs="Arial" w:eastAsia="Arial" w:hAnsi="Arial"/>
                <w:sz w:val="18"/>
                <w:szCs w:val="18"/>
                <w:color w:val="auto"/>
                <w:w w:val="79"/>
              </w:rPr>
              <w:t>4</w:t>
            </w:r>
          </w:p>
        </w:tc>
        <w:tc>
          <w:tcPr>
            <w:tcW w:w="180" w:type="dxa"/>
            <w:vAlign w:val="bottom"/>
          </w:tcPr>
          <w:p>
            <w:pPr>
              <w:spacing w:after="0"/>
              <w:rPr>
                <w:sz w:val="17"/>
                <w:szCs w:val="17"/>
                <w:color w:val="auto"/>
              </w:rPr>
            </w:pPr>
          </w:p>
        </w:tc>
      </w:tr>
      <w:tr>
        <w:trPr>
          <w:trHeight w:val="365"/>
        </w:trPr>
        <w:tc>
          <w:tcPr>
            <w:tcW w:w="660" w:type="dxa"/>
            <w:vAlign w:val="bottom"/>
            <w:gridSpan w:val="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ITEM 2.</w:t>
              </w:r>
            </w:hyperlink>
          </w:p>
        </w:tc>
        <w:tc>
          <w:tcPr>
            <w:tcW w:w="720" w:type="dxa"/>
            <w:vAlign w:val="bottom"/>
            <w:gridSpan w:val="3"/>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10</w:t>
            </w:r>
          </w:p>
        </w:tc>
        <w:tc>
          <w:tcPr>
            <w:tcW w:w="180" w:type="dxa"/>
            <w:vAlign w:val="bottom"/>
          </w:tcPr>
          <w:p>
            <w:pPr>
              <w:spacing w:after="0"/>
              <w:rPr>
                <w:sz w:val="24"/>
                <w:szCs w:val="24"/>
                <w:color w:val="auto"/>
              </w:rPr>
            </w:pPr>
          </w:p>
        </w:tc>
      </w:tr>
      <w:tr>
        <w:trPr>
          <w:trHeight w:val="345"/>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720" w:type="dxa"/>
            <w:vAlign w:val="bottom"/>
            <w:gridSpan w:val="3"/>
          </w:tcPr>
          <w:p>
            <w:pPr>
              <w:spacing w:after="0"/>
              <w:rPr>
                <w:sz w:val="24"/>
                <w:szCs w:val="24"/>
                <w:color w:val="auto"/>
              </w:rPr>
            </w:pP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16</w:t>
            </w:r>
          </w:p>
        </w:tc>
        <w:tc>
          <w:tcPr>
            <w:tcW w:w="180" w:type="dxa"/>
            <w:vAlign w:val="bottom"/>
          </w:tcPr>
          <w:p>
            <w:pPr>
              <w:spacing w:after="0"/>
              <w:rPr>
                <w:sz w:val="24"/>
                <w:szCs w:val="24"/>
                <w:color w:val="auto"/>
              </w:rPr>
            </w:pPr>
          </w:p>
        </w:tc>
      </w:tr>
      <w:tr>
        <w:trPr>
          <w:trHeight w:val="325"/>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720" w:type="dxa"/>
            <w:vAlign w:val="bottom"/>
            <w:gridSpan w:val="3"/>
          </w:tcPr>
          <w:p>
            <w:pPr>
              <w:spacing w:after="0"/>
              <w:rPr>
                <w:sz w:val="24"/>
                <w:szCs w:val="24"/>
                <w:color w:val="auto"/>
              </w:rPr>
            </w:pP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Controls and Procedures</w:t>
              </w:r>
            </w:hyperlink>
          </w:p>
        </w:tc>
        <w:tc>
          <w:tcPr>
            <w:tcW w:w="5880" w:type="dxa"/>
            <w:vAlign w:val="bottom"/>
            <w:gridSpan w:val="9"/>
          </w:tcPr>
          <w:p>
            <w:pPr>
              <w:spacing w:after="0"/>
              <w:rPr>
                <w:sz w:val="24"/>
                <w:szCs w:val="24"/>
                <w:color w:val="auto"/>
              </w:rPr>
            </w:pPr>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17</w:t>
            </w:r>
          </w:p>
        </w:tc>
        <w:tc>
          <w:tcPr>
            <w:tcW w:w="180" w:type="dxa"/>
            <w:vAlign w:val="bottom"/>
          </w:tcPr>
          <w:p>
            <w:pPr>
              <w:spacing w:after="0"/>
              <w:rPr>
                <w:sz w:val="24"/>
                <w:szCs w:val="24"/>
                <w:color w:val="auto"/>
              </w:rPr>
            </w:pPr>
          </w:p>
        </w:tc>
      </w:tr>
      <w:tr>
        <w:trPr>
          <w:trHeight w:val="345"/>
        </w:trPr>
        <w:tc>
          <w:tcPr>
            <w:tcW w:w="700" w:type="dxa"/>
            <w:vAlign w:val="bottom"/>
            <w:gridSpan w:val="3"/>
          </w:tcPr>
          <w:p>
            <w:pPr>
              <w:spacing w:after="0"/>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PART II.</w:t>
              </w:r>
            </w:hyperlink>
          </w:p>
        </w:tc>
        <w:tc>
          <w:tcPr>
            <w:tcW w:w="680" w:type="dxa"/>
            <w:vAlign w:val="bottom"/>
            <w:gridSpan w:val="2"/>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17</w:t>
            </w:r>
          </w:p>
        </w:tc>
        <w:tc>
          <w:tcPr>
            <w:tcW w:w="180" w:type="dxa"/>
            <w:vAlign w:val="bottom"/>
          </w:tcPr>
          <w:p>
            <w:pPr>
              <w:spacing w:after="0"/>
              <w:rPr>
                <w:sz w:val="24"/>
                <w:szCs w:val="24"/>
                <w:color w:val="auto"/>
              </w:rPr>
            </w:pPr>
          </w:p>
        </w:tc>
      </w:tr>
      <w:tr>
        <w:trPr>
          <w:trHeight w:val="345"/>
        </w:trPr>
        <w:tc>
          <w:tcPr>
            <w:tcW w:w="66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40" w:type="dxa"/>
            <w:vAlign w:val="bottom"/>
            <w:tcBorders>
              <w:top w:val="single" w:sz="8" w:color="0000EE"/>
            </w:tcBorders>
          </w:tcPr>
          <w:p>
            <w:pPr>
              <w:spacing w:after="0"/>
              <w:rPr>
                <w:sz w:val="24"/>
                <w:szCs w:val="24"/>
                <w:color w:val="auto"/>
              </w:rPr>
            </w:pPr>
          </w:p>
        </w:tc>
        <w:tc>
          <w:tcPr>
            <w:tcW w:w="680" w:type="dxa"/>
            <w:vAlign w:val="bottom"/>
            <w:gridSpan w:val="2"/>
          </w:tcPr>
          <w:p>
            <w:pPr>
              <w:spacing w:after="0"/>
              <w:rPr>
                <w:sz w:val="24"/>
                <w:szCs w:val="24"/>
                <w:color w:val="auto"/>
              </w:rPr>
            </w:pP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780" w:type="dxa"/>
            <w:vAlign w:val="bottom"/>
            <w:gridSpan w:val="8"/>
          </w:tcPr>
          <w:p>
            <w:pPr>
              <w:spacing w:after="0"/>
              <w:rPr>
                <w:sz w:val="24"/>
                <w:szCs w:val="24"/>
                <w:color w:val="auto"/>
              </w:rPr>
            </w:pPr>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17</w:t>
            </w:r>
          </w:p>
        </w:tc>
        <w:tc>
          <w:tcPr>
            <w:tcW w:w="180" w:type="dxa"/>
            <w:vAlign w:val="bottom"/>
          </w:tcPr>
          <w:p>
            <w:pPr>
              <w:spacing w:after="0"/>
              <w:rPr>
                <w:sz w:val="24"/>
                <w:szCs w:val="24"/>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780" w:type="dxa"/>
            <w:vAlign w:val="bottom"/>
            <w:gridSpan w:val="4"/>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ITEM 1A.</w:t>
              </w:r>
            </w:hyperlink>
          </w:p>
        </w:tc>
        <w:tc>
          <w:tcPr>
            <w:tcW w:w="600" w:type="dxa"/>
            <w:vAlign w:val="bottom"/>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17</w:t>
            </w:r>
          </w:p>
        </w:tc>
        <w:tc>
          <w:tcPr>
            <w:tcW w:w="180" w:type="dxa"/>
            <w:vAlign w:val="bottom"/>
          </w:tcPr>
          <w:p>
            <w:pPr>
              <w:spacing w:after="0"/>
              <w:rPr>
                <w:sz w:val="24"/>
                <w:szCs w:val="24"/>
                <w:color w:val="auto"/>
              </w:rPr>
            </w:pPr>
          </w:p>
        </w:tc>
      </w:tr>
      <w:tr>
        <w:trPr>
          <w:trHeight w:val="20"/>
        </w:trPr>
        <w:tc>
          <w:tcPr>
            <w:tcW w:w="78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660" w:type="dxa"/>
            <w:vAlign w:val="bottom"/>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12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18</w:t>
            </w:r>
          </w:p>
        </w:tc>
        <w:tc>
          <w:tcPr>
            <w:tcW w:w="180" w:type="dxa"/>
            <w:vAlign w:val="bottom"/>
          </w:tcPr>
          <w:p>
            <w:pPr>
              <w:spacing w:after="0"/>
              <w:rPr>
                <w:sz w:val="24"/>
                <w:szCs w:val="24"/>
                <w:color w:val="auto"/>
              </w:rPr>
            </w:pPr>
          </w:p>
        </w:tc>
      </w:tr>
      <w:tr>
        <w:trPr>
          <w:trHeight w:val="345"/>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72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Exhibits</w:t>
              </w:r>
            </w:hyperlink>
          </w:p>
        </w:tc>
        <w:tc>
          <w:tcPr>
            <w:tcW w:w="3640" w:type="dxa"/>
            <w:vAlign w:val="bottom"/>
            <w:tcBorders>
              <w:top w:val="single" w:sz="8" w:color="0000EE"/>
            </w:tcBorders>
            <w:gridSpan w:val="12"/>
          </w:tcPr>
          <w:p>
            <w:pPr>
              <w:spacing w:after="0"/>
              <w:rPr>
                <w:sz w:val="24"/>
                <w:szCs w:val="24"/>
                <w:color w:val="auto"/>
              </w:rPr>
            </w:pPr>
          </w:p>
        </w:tc>
        <w:tc>
          <w:tcPr>
            <w:tcW w:w="3380" w:type="dxa"/>
            <w:vAlign w:val="bottom"/>
            <w:gridSpan w:val="3"/>
          </w:tcPr>
          <w:p>
            <w:pPr>
              <w:spacing w:after="0"/>
              <w:rPr>
                <w:sz w:val="24"/>
                <w:szCs w:val="24"/>
                <w:color w:val="auto"/>
              </w:rPr>
            </w:pPr>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18</w:t>
            </w:r>
          </w:p>
        </w:tc>
        <w:tc>
          <w:tcPr>
            <w:tcW w:w="180" w:type="dxa"/>
            <w:vAlign w:val="bottom"/>
          </w:tcPr>
          <w:p>
            <w:pPr>
              <w:spacing w:after="0"/>
              <w:rPr>
                <w:sz w:val="24"/>
                <w:szCs w:val="24"/>
                <w:color w:val="auto"/>
              </w:rPr>
            </w:pPr>
          </w:p>
        </w:tc>
      </w:tr>
      <w:tr>
        <w:trPr>
          <w:trHeight w:val="345"/>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19</w:t>
            </w:r>
          </w:p>
        </w:tc>
        <w:tc>
          <w:tcPr>
            <w:tcW w:w="18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5"/>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20" w:type="dxa"/>
            <w:vAlign w:val="bottom"/>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 Index</w:t>
              </w:r>
            </w:hyperlink>
          </w:p>
        </w:tc>
        <w:tc>
          <w:tcPr>
            <w:tcW w:w="2280" w:type="dxa"/>
            <w:vAlign w:val="bottom"/>
            <w:gridSpan w:val="2"/>
          </w:tcPr>
          <w:p>
            <w:pPr>
              <w:jc w:val="center"/>
              <w:ind w:left="1232"/>
              <w:spacing w:after="0"/>
              <w:rPr>
                <w:sz w:val="20"/>
                <w:szCs w:val="20"/>
                <w:color w:val="auto"/>
              </w:rPr>
            </w:pPr>
            <w:r>
              <w:rPr>
                <w:rFonts w:ascii="Arial" w:cs="Arial" w:eastAsia="Arial" w:hAnsi="Arial"/>
                <w:sz w:val="18"/>
                <w:szCs w:val="18"/>
                <w:color w:val="auto"/>
                <w:w w:val="79"/>
              </w:rPr>
              <w:t>20</w:t>
            </w:r>
          </w:p>
        </w:tc>
        <w:tc>
          <w:tcPr>
            <w:tcW w:w="180" w:type="dxa"/>
            <w:vAlign w:val="bottom"/>
          </w:tcPr>
          <w:p>
            <w:pPr>
              <w:spacing w:after="0"/>
              <w:rPr>
                <w:sz w:val="24"/>
                <w:szCs w:val="24"/>
                <w:color w:val="auto"/>
              </w:rPr>
            </w:pPr>
          </w:p>
        </w:tc>
      </w:tr>
      <w:tr>
        <w:trPr>
          <w:trHeight w:val="395"/>
        </w:trPr>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8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1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6420" w:type="dxa"/>
            <w:vAlign w:val="bottom"/>
          </w:tcPr>
          <w:p>
            <w:pPr>
              <w:ind w:left="20"/>
              <w:spacing w:after="0"/>
              <w:rPr>
                <w:sz w:val="20"/>
                <w:szCs w:val="20"/>
                <w:color w:val="auto"/>
              </w:rPr>
            </w:pPr>
            <w:r>
              <w:rPr>
                <w:rFonts w:ascii="Arial" w:cs="Arial" w:eastAsia="Arial" w:hAnsi="Arial"/>
                <w:sz w:val="22"/>
                <w:szCs w:val="22"/>
                <w:b w:val="1"/>
                <w:bCs w:val="1"/>
                <w:color w:val="auto"/>
              </w:rPr>
              <w:t>FINANCIAL INFORMATION</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6420" w:type="dxa"/>
            <w:vAlign w:val="bottom"/>
          </w:tcPr>
          <w:p>
            <w:pPr>
              <w:ind w:left="20"/>
              <w:spacing w:after="0"/>
              <w:rPr>
                <w:sz w:val="20"/>
                <w:szCs w:val="20"/>
                <w:color w:val="auto"/>
              </w:rPr>
            </w:pPr>
            <w:r>
              <w:rPr>
                <w:rFonts w:ascii="Arial" w:cs="Arial" w:eastAsia="Arial" w:hAnsi="Arial"/>
                <w:sz w:val="22"/>
                <w:szCs w:val="22"/>
                <w:b w:val="1"/>
                <w:bCs w:val="1"/>
                <w:color w:val="auto"/>
              </w:rPr>
              <w:t>Financial Statements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Winnebago Industries, Inc.</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Unaudited Statements of Operations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right"/>
              <w:ind w:right="1293"/>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1"/>
              </w:rPr>
              <w:t>November 28, 2009</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1"/>
              </w:rPr>
              <w:t>November 29, 2008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642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81,017</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8"/>
              </w:rPr>
              <w:t>Cost of goods sold</w:t>
            </w:r>
          </w:p>
        </w:tc>
        <w:tc>
          <w:tcPr>
            <w:tcW w:w="6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80,493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78,292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Gross profit (deficit)</w:t>
            </w:r>
          </w:p>
        </w:tc>
        <w:tc>
          <w:tcPr>
            <w:tcW w:w="180" w:type="dxa"/>
            <w:vAlign w:val="bottom"/>
            <w:tcBorders>
              <w:bottom w:val="single" w:sz="8" w:color="auto"/>
            </w:tcBorders>
            <w:shd w:val="clear" w:color="auto" w:fill="D6F3E8"/>
          </w:tcPr>
          <w:p>
            <w:pPr>
              <w:spacing w:after="0"/>
              <w:rPr>
                <w:sz w:val="18"/>
                <w:szCs w:val="18"/>
                <w:color w:val="auto"/>
              </w:rPr>
            </w:pPr>
          </w:p>
        </w:tc>
        <w:tc>
          <w:tcPr>
            <w:tcW w:w="164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524</w:t>
            </w:r>
          </w:p>
        </w:tc>
        <w:tc>
          <w:tcPr>
            <w:tcW w:w="30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(8,894)</w:t>
            </w:r>
          </w:p>
        </w:tc>
        <w:tc>
          <w:tcPr>
            <w:tcW w:w="0" w:type="dxa"/>
            <w:vAlign w:val="bottom"/>
          </w:tcPr>
          <w:p>
            <w:pPr>
              <w:spacing w:after="0"/>
              <w:rPr>
                <w:sz w:val="1"/>
                <w:szCs w:val="1"/>
                <w:color w:val="auto"/>
              </w:rPr>
            </w:pPr>
          </w:p>
        </w:tc>
      </w:tr>
      <w:tr>
        <w:trPr>
          <w:trHeight w:val="357"/>
        </w:trPr>
        <w:tc>
          <w:tcPr>
            <w:tcW w:w="7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Selling</w:t>
            </w:r>
          </w:p>
        </w:tc>
        <w:tc>
          <w:tcPr>
            <w:tcW w:w="64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3,229</w:t>
            </w:r>
          </w:p>
        </w:tc>
        <w:tc>
          <w:tcPr>
            <w:tcW w:w="300" w:type="dxa"/>
            <w:vAlign w:val="bottom"/>
            <w:shd w:val="clear" w:color="auto" w:fill="D6F3E8"/>
          </w:tcPr>
          <w:p>
            <w:pPr>
              <w:spacing w:after="0"/>
              <w:rPr>
                <w:sz w:val="18"/>
                <w:szCs w:val="18"/>
                <w:color w:val="auto"/>
              </w:rPr>
            </w:pPr>
          </w:p>
        </w:tc>
        <w:tc>
          <w:tcPr>
            <w:tcW w:w="152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3,272</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D6F3E8"/>
          </w:tcPr>
          <w:p>
            <w:pPr>
              <w:spacing w:after="0"/>
              <w:rPr>
                <w:sz w:val="18"/>
                <w:szCs w:val="18"/>
                <w:color w:val="auto"/>
              </w:rPr>
            </w:pPr>
          </w:p>
        </w:tc>
        <w:tc>
          <w:tcPr>
            <w:tcW w:w="1640" w:type="dxa"/>
            <w:vAlign w:val="bottom"/>
            <w:tcBorders>
              <w:bottom w:val="single" w:sz="8" w:color="auto"/>
            </w:tcBorders>
            <w:shd w:val="clear" w:color="auto" w:fill="D6F3E8"/>
          </w:tcPr>
          <w:p>
            <w:pPr>
              <w:jc w:val="right"/>
              <w:ind w:right="114"/>
              <w:spacing w:after="0"/>
              <w:rPr>
                <w:sz w:val="20"/>
                <w:szCs w:val="20"/>
                <w:color w:val="auto"/>
              </w:rPr>
            </w:pPr>
            <w:r>
              <w:rPr>
                <w:rFonts w:ascii="Arial" w:cs="Arial" w:eastAsia="Arial" w:hAnsi="Arial"/>
                <w:sz w:val="18"/>
                <w:szCs w:val="18"/>
                <w:color w:val="auto"/>
              </w:rPr>
              <w:t>6,501</w:t>
            </w:r>
          </w:p>
        </w:tc>
        <w:tc>
          <w:tcPr>
            <w:tcW w:w="30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7,996</w:t>
            </w:r>
          </w:p>
        </w:tc>
        <w:tc>
          <w:tcPr>
            <w:tcW w:w="0" w:type="dxa"/>
            <w:vAlign w:val="bottom"/>
          </w:tcPr>
          <w:p>
            <w:pPr>
              <w:spacing w:after="0"/>
              <w:rPr>
                <w:sz w:val="1"/>
                <w:szCs w:val="1"/>
                <w:color w:val="auto"/>
              </w:rPr>
            </w:pPr>
          </w:p>
        </w:tc>
      </w:tr>
      <w:tr>
        <w:trPr>
          <w:trHeight w:val="356"/>
        </w:trPr>
        <w:tc>
          <w:tcPr>
            <w:tcW w:w="13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6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(5,977)</w:t>
            </w:r>
          </w:p>
        </w:tc>
        <w:tc>
          <w:tcPr>
            <w:tcW w:w="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Financial (expense) income</w:t>
            </w:r>
          </w:p>
        </w:tc>
        <w:tc>
          <w:tcPr>
            <w:tcW w:w="180" w:type="dxa"/>
            <w:vAlign w:val="bottom"/>
            <w:tcBorders>
              <w:bottom w:val="single" w:sz="8" w:color="auto"/>
            </w:tcBorders>
            <w:shd w:val="clear" w:color="auto" w:fill="D6F3E8"/>
          </w:tcPr>
          <w:p>
            <w:pPr>
              <w:spacing w:after="0"/>
              <w:rPr>
                <w:sz w:val="18"/>
                <w:szCs w:val="18"/>
                <w:color w:val="auto"/>
              </w:rPr>
            </w:pPr>
          </w:p>
        </w:tc>
        <w:tc>
          <w:tcPr>
            <w:tcW w:w="1640" w:type="dxa"/>
            <w:vAlign w:val="bottom"/>
            <w:tcBorders>
              <w:bottom w:val="single" w:sz="8" w:color="auto"/>
            </w:tcBorders>
            <w:shd w:val="clear" w:color="auto" w:fill="D6F3E8"/>
          </w:tcPr>
          <w:p>
            <w:pPr>
              <w:jc w:val="right"/>
              <w:ind w:right="54"/>
              <w:spacing w:after="0"/>
              <w:rPr>
                <w:sz w:val="20"/>
                <w:szCs w:val="20"/>
                <w:color w:val="auto"/>
              </w:rPr>
            </w:pPr>
            <w:r>
              <w:rPr>
                <w:rFonts w:ascii="Arial" w:cs="Arial" w:eastAsia="Arial" w:hAnsi="Arial"/>
                <w:sz w:val="18"/>
                <w:szCs w:val="18"/>
                <w:color w:val="auto"/>
              </w:rPr>
              <w:t>(233)</w:t>
            </w:r>
          </w:p>
        </w:tc>
        <w:tc>
          <w:tcPr>
            <w:tcW w:w="30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640" w:type="dxa"/>
            <w:vAlign w:val="bottom"/>
          </w:tcPr>
          <w:p>
            <w:pPr>
              <w:jc w:val="right"/>
              <w:ind w:right="54"/>
              <w:spacing w:after="0"/>
              <w:rPr>
                <w:sz w:val="20"/>
                <w:szCs w:val="20"/>
                <w:color w:val="auto"/>
              </w:rPr>
            </w:pPr>
            <w:r>
              <w:rPr>
                <w:rFonts w:ascii="Arial" w:cs="Arial" w:eastAsia="Arial" w:hAnsi="Arial"/>
                <w:sz w:val="18"/>
                <w:szCs w:val="18"/>
                <w:color w:val="auto"/>
              </w:rPr>
              <w:t>(6,210)</w:t>
            </w: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Benefit for taxes</w:t>
            </w:r>
          </w:p>
        </w:tc>
        <w:tc>
          <w:tcPr>
            <w:tcW w:w="642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1640" w:type="dxa"/>
            <w:vAlign w:val="bottom"/>
            <w:tcBorders>
              <w:bottom w:val="single" w:sz="8" w:color="auto"/>
            </w:tcBorders>
            <w:shd w:val="clear" w:color="auto" w:fill="D6F3E8"/>
          </w:tcPr>
          <w:p>
            <w:pPr>
              <w:jc w:val="right"/>
              <w:ind w:right="54"/>
              <w:spacing w:after="0"/>
              <w:rPr>
                <w:sz w:val="20"/>
                <w:szCs w:val="20"/>
                <w:color w:val="auto"/>
              </w:rPr>
            </w:pPr>
            <w:r>
              <w:rPr>
                <w:rFonts w:ascii="Arial" w:cs="Arial" w:eastAsia="Arial" w:hAnsi="Arial"/>
                <w:sz w:val="18"/>
                <w:szCs w:val="18"/>
                <w:color w:val="auto"/>
              </w:rPr>
              <w:t>(4,866)</w:t>
            </w:r>
          </w:p>
        </w:tc>
        <w:tc>
          <w:tcPr>
            <w:tcW w:w="30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Net loss</w:t>
            </w:r>
          </w:p>
        </w:tc>
        <w:tc>
          <w:tcPr>
            <w:tcW w:w="6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(1,344)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0"/>
        </w:trPr>
        <w:tc>
          <w:tcPr>
            <w:tcW w:w="778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77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Loss per common share:</w:t>
            </w:r>
          </w:p>
        </w:tc>
        <w:tc>
          <w:tcPr>
            <w:tcW w:w="180" w:type="dxa"/>
            <w:vAlign w:val="bottom"/>
            <w:shd w:val="clear" w:color="auto" w:fill="D6F3E8"/>
          </w:tcPr>
          <w:p>
            <w:pPr>
              <w:spacing w:after="0"/>
              <w:rPr>
                <w:sz w:val="18"/>
                <w:szCs w:val="18"/>
                <w:color w:val="auto"/>
              </w:rPr>
            </w:pPr>
          </w:p>
        </w:tc>
        <w:tc>
          <w:tcPr>
            <w:tcW w:w="16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5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Basic</w:t>
            </w:r>
          </w:p>
        </w:tc>
        <w:tc>
          <w:tcPr>
            <w:tcW w:w="64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(0.05)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Borders>
              <w:bottom w:val="single" w:sz="8" w:color="D6F3E8"/>
            </w:tcBorders>
            <w:shd w:val="clear" w:color="auto" w:fill="D6F3E8"/>
          </w:tcPr>
          <w:p>
            <w:pPr>
              <w:ind w:left="140"/>
              <w:spacing w:after="0" w:line="196" w:lineRule="exact"/>
              <w:rPr>
                <w:sz w:val="20"/>
                <w:szCs w:val="20"/>
                <w:color w:val="auto"/>
              </w:rPr>
            </w:pPr>
            <w:r>
              <w:rPr>
                <w:rFonts w:ascii="Arial" w:cs="Arial" w:eastAsia="Arial" w:hAnsi="Arial"/>
                <w:sz w:val="18"/>
                <w:szCs w:val="18"/>
                <w:color w:val="auto"/>
              </w:rPr>
              <w:t>Diluted</w:t>
            </w:r>
          </w:p>
        </w:tc>
        <w:tc>
          <w:tcPr>
            <w:tcW w:w="6420" w:type="dxa"/>
            <w:vAlign w:val="bottom"/>
            <w:tcBorders>
              <w:bottom w:val="single" w:sz="8" w:color="D6F3E8"/>
            </w:tcBorders>
            <w:shd w:val="clear" w:color="auto" w:fill="D6F3E8"/>
          </w:tcPr>
          <w:p>
            <w:pPr>
              <w:spacing w:after="0"/>
              <w:rPr>
                <w:sz w:val="20"/>
                <w:szCs w:val="20"/>
                <w:color w:val="auto"/>
              </w:rPr>
            </w:pPr>
          </w:p>
        </w:tc>
        <w:tc>
          <w:tcPr>
            <w:tcW w:w="18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D6F3E8"/>
          </w:tcPr>
          <w:p>
            <w:pPr>
              <w:jc w:val="right"/>
              <w:ind w:right="54"/>
              <w:spacing w:after="0" w:line="196" w:lineRule="exact"/>
              <w:rPr>
                <w:sz w:val="20"/>
                <w:szCs w:val="20"/>
                <w:color w:val="auto"/>
              </w:rPr>
            </w:pPr>
            <w:r>
              <w:rPr>
                <w:rFonts w:ascii="Arial" w:cs="Arial" w:eastAsia="Arial" w:hAnsi="Arial"/>
                <w:sz w:val="18"/>
                <w:szCs w:val="18"/>
                <w:color w:val="auto"/>
              </w:rPr>
              <w:t>(0.05)</w:t>
            </w:r>
          </w:p>
        </w:tc>
        <w:tc>
          <w:tcPr>
            <w:tcW w:w="30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344"/>
        </w:trPr>
        <w:tc>
          <w:tcPr>
            <w:tcW w:w="778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64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29,073</w:t>
            </w:r>
          </w:p>
        </w:tc>
        <w:tc>
          <w:tcPr>
            <w:tcW w:w="300" w:type="dxa"/>
            <w:vAlign w:val="bottom"/>
            <w:shd w:val="clear" w:color="auto" w:fill="D6F3E8"/>
          </w:tcPr>
          <w:p>
            <w:pPr>
              <w:spacing w:after="0"/>
              <w:rPr>
                <w:sz w:val="18"/>
                <w:szCs w:val="18"/>
                <w:color w:val="auto"/>
              </w:rPr>
            </w:pPr>
          </w:p>
        </w:tc>
        <w:tc>
          <w:tcPr>
            <w:tcW w:w="152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6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14"/>
              <w:spacing w:after="0"/>
              <w:rPr>
                <w:sz w:val="20"/>
                <w:szCs w:val="20"/>
                <w:color w:val="auto"/>
              </w:rPr>
            </w:pPr>
            <w:r>
              <w:rPr>
                <w:rFonts w:ascii="Arial" w:cs="Arial" w:eastAsia="Arial" w:hAnsi="Arial"/>
                <w:sz w:val="18"/>
                <w:szCs w:val="18"/>
                <w:color w:val="auto"/>
              </w:rPr>
              <w:t>29,086</w:t>
            </w:r>
          </w:p>
        </w:tc>
        <w:tc>
          <w:tcPr>
            <w:tcW w:w="300" w:type="dxa"/>
            <w:vAlign w:val="bottom"/>
          </w:tcPr>
          <w:p>
            <w:pPr>
              <w:spacing w:after="0"/>
              <w:rPr>
                <w:sz w:val="19"/>
                <w:szCs w:val="19"/>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7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Dividends paid per common share</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6F3E8"/>
          </w:tcPr>
          <w:p>
            <w:pPr>
              <w:jc w:val="right"/>
              <w:ind w:right="114"/>
              <w:spacing w:after="0"/>
              <w:rPr>
                <w:sz w:val="20"/>
                <w:szCs w:val="20"/>
                <w:color w:val="auto"/>
              </w:rPr>
            </w:pPr>
            <w:r>
              <w:rPr>
                <w:rFonts w:ascii="Arial" w:cs="Arial" w:eastAsia="Arial" w:hAnsi="Arial"/>
                <w:sz w:val="18"/>
                <w:szCs w:val="18"/>
                <w:color w:val="auto"/>
              </w:rPr>
              <w:t>—</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333"/>
              <w:spacing w:after="0"/>
              <w:rPr>
                <w:sz w:val="20"/>
                <w:szCs w:val="20"/>
                <w:color w:val="auto"/>
              </w:rPr>
            </w:pPr>
            <w:r>
              <w:rPr>
                <w:rFonts w:ascii="Arial" w:cs="Arial" w:eastAsia="Arial" w:hAnsi="Arial"/>
                <w:sz w:val="14"/>
                <w:szCs w:val="14"/>
                <w:b w:val="1"/>
                <w:bCs w:val="1"/>
                <w:color w:val="auto"/>
                <w:w w:val="93"/>
              </w:rPr>
              <w:t>November 28,</w:t>
            </w:r>
          </w:p>
        </w:tc>
        <w:tc>
          <w:tcPr>
            <w:tcW w:w="360" w:type="dxa"/>
            <w:vAlign w:val="bottom"/>
          </w:tcPr>
          <w:p>
            <w:pPr>
              <w:spacing w:after="0"/>
              <w:rPr>
                <w:sz w:val="14"/>
                <w:szCs w:val="14"/>
                <w:color w:val="auto"/>
              </w:rPr>
            </w:pPr>
          </w:p>
        </w:tc>
        <w:tc>
          <w:tcPr>
            <w:tcW w:w="1140" w:type="dxa"/>
            <w:vAlign w:val="bottom"/>
          </w:tcPr>
          <w:p>
            <w:pPr>
              <w:jc w:val="right"/>
              <w:ind w:right="333"/>
              <w:spacing w:after="0"/>
              <w:rPr>
                <w:sz w:val="20"/>
                <w:szCs w:val="20"/>
                <w:color w:val="auto"/>
              </w:rPr>
            </w:pPr>
            <w:r>
              <w:rPr>
                <w:rFonts w:ascii="Arial" w:cs="Arial" w:eastAsia="Arial" w:hAnsi="Arial"/>
                <w:sz w:val="14"/>
                <w:szCs w:val="14"/>
                <w:b w:val="1"/>
                <w:bCs w:val="1"/>
                <w:color w:val="auto"/>
                <w:w w:val="97"/>
              </w:rPr>
              <w:t>August 29,</w:t>
            </w:r>
          </w:p>
        </w:tc>
        <w:tc>
          <w:tcPr>
            <w:tcW w:w="0" w:type="dxa"/>
            <w:vAlign w:val="bottom"/>
          </w:tcPr>
          <w:p>
            <w:pPr>
              <w:spacing w:after="0"/>
              <w:rPr>
                <w:sz w:val="1"/>
                <w:szCs w:val="1"/>
                <w:color w:val="auto"/>
              </w:rPr>
            </w:pPr>
          </w:p>
        </w:tc>
      </w:tr>
      <w:tr>
        <w:trPr>
          <w:trHeight w:val="168"/>
        </w:trPr>
        <w:tc>
          <w:tcPr>
            <w:tcW w:w="8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29,205</w:t>
            </w:r>
          </w:p>
        </w:tc>
        <w:tc>
          <w:tcPr>
            <w:tcW w:w="3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13,700</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less allowance for doubtful accounts ($133 and $185, respectively)</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11,963</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51,079</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3,351</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22,140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93"/>
              <w:spacing w:after="0"/>
              <w:rPr>
                <w:sz w:val="20"/>
                <w:szCs w:val="20"/>
                <w:color w:val="auto"/>
              </w:rPr>
            </w:pPr>
            <w:r>
              <w:rPr>
                <w:rFonts w:ascii="Arial" w:cs="Arial" w:eastAsia="Arial" w:hAnsi="Arial"/>
                <w:sz w:val="18"/>
                <w:szCs w:val="18"/>
                <w:color w:val="auto"/>
              </w:rPr>
              <w:t>131,438</w:t>
            </w:r>
          </w:p>
        </w:tc>
        <w:tc>
          <w:tcPr>
            <w:tcW w:w="3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129,414</w:t>
            </w:r>
          </w:p>
        </w:tc>
        <w:tc>
          <w:tcPr>
            <w:tcW w:w="0" w:type="dxa"/>
            <w:vAlign w:val="bottom"/>
          </w:tcPr>
          <w:p>
            <w:pPr>
              <w:spacing w:after="0"/>
              <w:rPr>
                <w:sz w:val="1"/>
                <w:szCs w:val="1"/>
                <w:color w:val="auto"/>
              </w:rPr>
            </w:pPr>
          </w:p>
        </w:tc>
      </w:tr>
      <w:tr>
        <w:trPr>
          <w:trHeight w:val="356"/>
        </w:trPr>
        <w:tc>
          <w:tcPr>
            <w:tcW w:w="84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24"/>
                <w:szCs w:val="24"/>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26,826</w:t>
            </w:r>
          </w:p>
        </w:tc>
        <w:tc>
          <w:tcPr>
            <w:tcW w:w="3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Assets held for sale</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6,515</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19,806</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22,752</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22,451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16,069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14,252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6F3E8"/>
          </w:tcPr>
          <w:p>
            <w:pPr>
              <w:jc w:val="right"/>
              <w:ind w:right="93"/>
              <w:spacing w:after="0"/>
              <w:rPr>
                <w:sz w:val="20"/>
                <w:szCs w:val="20"/>
                <w:color w:val="auto"/>
              </w:rPr>
            </w:pPr>
            <w:r>
              <w:rPr>
                <w:rFonts w:ascii="Arial" w:cs="Arial" w:eastAsia="Arial" w:hAnsi="Arial"/>
                <w:sz w:val="18"/>
                <w:szCs w:val="18"/>
                <w:color w:val="auto"/>
              </w:rPr>
              <w:t>223,406</w:t>
            </w:r>
          </w:p>
        </w:tc>
        <w:tc>
          <w:tcPr>
            <w:tcW w:w="36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220,466</w:t>
            </w:r>
          </w:p>
        </w:tc>
        <w:tc>
          <w:tcPr>
            <w:tcW w:w="0" w:type="dxa"/>
            <w:vAlign w:val="bottom"/>
          </w:tcPr>
          <w:p>
            <w:pPr>
              <w:spacing w:after="0"/>
              <w:rPr>
                <w:sz w:val="1"/>
                <w:szCs w:val="1"/>
                <w:color w:val="auto"/>
              </w:rPr>
            </w:pPr>
          </w:p>
        </w:tc>
      </w:tr>
      <w:tr>
        <w:trPr>
          <w:trHeight w:val="34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14,308</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Short-term ARS borrowings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9,100</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313</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10,523</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Product warranties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6,180</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Self-insurance</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5,689</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Accrued loss on repurchases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1,199</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Promotional</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2,058</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93"/>
              <w:spacing w:after="0"/>
              <w:rPr>
                <w:sz w:val="20"/>
                <w:szCs w:val="20"/>
                <w:color w:val="auto"/>
              </w:rPr>
            </w:pPr>
            <w:r>
              <w:rPr>
                <w:rFonts w:ascii="Arial" w:cs="Arial" w:eastAsia="Arial" w:hAnsi="Arial"/>
                <w:sz w:val="18"/>
                <w:szCs w:val="18"/>
                <w:color w:val="auto"/>
              </w:rPr>
              <w:t>4,699</w:t>
            </w:r>
          </w:p>
        </w:tc>
        <w:tc>
          <w:tcPr>
            <w:tcW w:w="3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54,069</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49,954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Unrecognized tax benefits</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8,984</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Postretirement health care and deferred compensation benefits</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93"/>
              <w:spacing w:after="0"/>
              <w:rPr>
                <w:sz w:val="20"/>
                <w:szCs w:val="20"/>
                <w:color w:val="auto"/>
              </w:rPr>
            </w:pPr>
            <w:r>
              <w:rPr>
                <w:rFonts w:ascii="Arial" w:cs="Arial" w:eastAsia="Arial" w:hAnsi="Arial"/>
                <w:sz w:val="18"/>
                <w:szCs w:val="18"/>
                <w:color w:val="auto"/>
              </w:rPr>
              <w:t>70,143</w:t>
            </w:r>
          </w:p>
        </w:tc>
        <w:tc>
          <w:tcPr>
            <w:tcW w:w="3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69,169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79,127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78,181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Contingent liabilities and commitments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25,888</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29,499</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93"/>
              <w:spacing w:after="0"/>
              <w:rPr>
                <w:sz w:val="20"/>
                <w:szCs w:val="20"/>
                <w:color w:val="auto"/>
              </w:rPr>
            </w:pPr>
            <w:r>
              <w:rPr>
                <w:rFonts w:ascii="Arial" w:cs="Arial" w:eastAsia="Arial" w:hAnsi="Arial"/>
                <w:sz w:val="18"/>
                <w:szCs w:val="18"/>
                <w:color w:val="auto"/>
              </w:rPr>
              <w:t>409,084</w:t>
            </w:r>
          </w:p>
        </w:tc>
        <w:tc>
          <w:tcPr>
            <w:tcW w:w="360" w:type="dxa"/>
            <w:vAlign w:val="bottom"/>
            <w:shd w:val="clear" w:color="auto" w:fill="D6F3E8"/>
          </w:tcPr>
          <w:p>
            <w:pPr>
              <w:spacing w:after="0"/>
              <w:rPr>
                <w:sz w:val="18"/>
                <w:szCs w:val="18"/>
                <w:color w:val="auto"/>
              </w:rPr>
            </w:pPr>
          </w:p>
        </w:tc>
        <w:tc>
          <w:tcPr>
            <w:tcW w:w="1140" w:type="dxa"/>
            <w:vAlign w:val="bottom"/>
            <w:shd w:val="clear" w:color="auto" w:fill="D6F3E8"/>
          </w:tcPr>
          <w:p>
            <w:pPr>
              <w:jc w:val="right"/>
              <w:ind w:right="13"/>
              <w:spacing w:after="0"/>
              <w:rPr>
                <w:sz w:val="20"/>
                <w:szCs w:val="20"/>
                <w:color w:val="auto"/>
              </w:rPr>
            </w:pPr>
            <w:r>
              <w:rPr>
                <w:rFonts w:ascii="Arial" w:cs="Arial" w:eastAsia="Arial" w:hAnsi="Arial"/>
                <w:sz w:val="18"/>
                <w:szCs w:val="18"/>
                <w:color w:val="auto"/>
              </w:rPr>
              <w:t>410,428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8"/>
                <w:szCs w:val="18"/>
                <w:color w:val="auto"/>
              </w:rPr>
            </w:pPr>
          </w:p>
        </w:tc>
        <w:tc>
          <w:tcPr>
            <w:tcW w:w="1300" w:type="dxa"/>
            <w:vAlign w:val="bottom"/>
          </w:tcPr>
          <w:p>
            <w:pPr>
              <w:jc w:val="right"/>
              <w:ind w:right="93"/>
              <w:spacing w:after="0"/>
              <w:rPr>
                <w:sz w:val="20"/>
                <w:szCs w:val="20"/>
                <w:color w:val="auto"/>
              </w:rPr>
            </w:pPr>
            <w:r>
              <w:rPr>
                <w:rFonts w:ascii="Arial" w:cs="Arial" w:eastAsia="Arial" w:hAnsi="Arial"/>
                <w:sz w:val="18"/>
                <w:szCs w:val="18"/>
                <w:color w:val="auto"/>
              </w:rPr>
              <w:t>6,158</w:t>
            </w:r>
          </w:p>
        </w:tc>
        <w:tc>
          <w:tcPr>
            <w:tcW w:w="360" w:type="dxa"/>
            <w:vAlign w:val="bottom"/>
          </w:tcPr>
          <w:p>
            <w:pPr>
              <w:spacing w:after="0"/>
              <w:rPr>
                <w:sz w:val="18"/>
                <w:szCs w:val="18"/>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Treasury stock, at cost (22,702 and 22,690 shares, respectively)</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33"/>
              <w:spacing w:after="0"/>
              <w:rPr>
                <w:sz w:val="20"/>
                <w:szCs w:val="20"/>
                <w:color w:val="auto"/>
              </w:rPr>
            </w:pPr>
            <w:r>
              <w:rPr>
                <w:rFonts w:ascii="Arial" w:cs="Arial" w:eastAsia="Arial" w:hAnsi="Arial"/>
                <w:sz w:val="18"/>
                <w:szCs w:val="18"/>
                <w:color w:val="auto"/>
              </w:rPr>
              <w:t>(380,419)</w:t>
            </w:r>
          </w:p>
        </w:tc>
        <w:tc>
          <w:tcPr>
            <w:tcW w:w="36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(380,251)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90,210</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92,331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6F3E8"/>
          </w:tcPr>
          <w:p>
            <w:pPr>
              <w:jc w:val="right"/>
              <w:ind w:right="93"/>
              <w:spacing w:after="0"/>
              <w:rPr>
                <w:sz w:val="20"/>
                <w:szCs w:val="20"/>
                <w:color w:val="auto"/>
              </w:rPr>
            </w:pPr>
            <w:r>
              <w:rPr>
                <w:rFonts w:ascii="Arial" w:cs="Arial" w:eastAsia="Arial" w:hAnsi="Arial"/>
                <w:sz w:val="18"/>
                <w:szCs w:val="18"/>
                <w:color w:val="auto"/>
              </w:rPr>
              <w:t>223,406</w:t>
            </w:r>
          </w:p>
        </w:tc>
        <w:tc>
          <w:tcPr>
            <w:tcW w:w="36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6F3E8"/>
          </w:tcPr>
          <w:p>
            <w:pPr>
              <w:jc w:val="right"/>
              <w:ind w:right="13"/>
              <w:spacing w:after="0"/>
              <w:rPr>
                <w:sz w:val="20"/>
                <w:szCs w:val="20"/>
                <w:color w:val="auto"/>
              </w:rPr>
            </w:pPr>
            <w:r>
              <w:rPr>
                <w:rFonts w:ascii="Arial" w:cs="Arial" w:eastAsia="Arial" w:hAnsi="Arial"/>
                <w:sz w:val="18"/>
                <w:szCs w:val="18"/>
                <w:color w:val="auto"/>
              </w:rPr>
              <w:t>220,466</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Quarter Ended</w:t>
            </w:r>
          </w:p>
        </w:tc>
      </w:tr>
      <w:tr>
        <w:trPr>
          <w:trHeight w:val="136"/>
        </w:trPr>
        <w:tc>
          <w:tcPr>
            <w:tcW w:w="8460" w:type="dxa"/>
            <w:vAlign w:val="bottom"/>
          </w:tcPr>
          <w:p>
            <w:pPr>
              <w:spacing w:after="0"/>
              <w:rPr>
                <w:sz w:val="11"/>
                <w:szCs w:val="11"/>
                <w:color w:val="auto"/>
              </w:rPr>
            </w:pPr>
          </w:p>
        </w:tc>
        <w:tc>
          <w:tcPr>
            <w:tcW w:w="1040" w:type="dxa"/>
            <w:vAlign w:val="bottom"/>
          </w:tcPr>
          <w:p>
            <w:pPr>
              <w:jc w:val="center"/>
              <w:ind w:left="172"/>
              <w:spacing w:after="0" w:line="136" w:lineRule="exact"/>
              <w:rPr>
                <w:sz w:val="20"/>
                <w:szCs w:val="20"/>
                <w:color w:val="auto"/>
              </w:rPr>
            </w:pPr>
            <w:r>
              <w:rPr>
                <w:rFonts w:ascii="Arial" w:cs="Arial" w:eastAsia="Arial" w:hAnsi="Arial"/>
                <w:sz w:val="14"/>
                <w:szCs w:val="14"/>
                <w:b w:val="1"/>
                <w:bCs w:val="1"/>
                <w:color w:val="auto"/>
                <w:w w:val="87"/>
              </w:rPr>
              <w:t>November 28,</w:t>
            </w:r>
          </w:p>
        </w:tc>
        <w:tc>
          <w:tcPr>
            <w:tcW w:w="1920" w:type="dxa"/>
            <w:vAlign w:val="bottom"/>
          </w:tcPr>
          <w:p>
            <w:pPr>
              <w:jc w:val="center"/>
              <w:ind w:left="392"/>
              <w:spacing w:after="0" w:line="136" w:lineRule="exact"/>
              <w:rPr>
                <w:sz w:val="20"/>
                <w:szCs w:val="20"/>
                <w:color w:val="auto"/>
              </w:rPr>
            </w:pPr>
            <w:r>
              <w:rPr>
                <w:rFonts w:ascii="Arial" w:cs="Arial" w:eastAsia="Arial" w:hAnsi="Arial"/>
                <w:sz w:val="14"/>
                <w:szCs w:val="14"/>
                <w:b w:val="1"/>
                <w:bCs w:val="1"/>
                <w:color w:val="auto"/>
                <w:w w:val="89"/>
              </w:rPr>
              <w:t>November 29,</w:t>
            </w:r>
          </w:p>
        </w:tc>
      </w:tr>
      <w:tr>
        <w:trPr>
          <w:trHeight w:val="168"/>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19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2008</w:t>
            </w:r>
          </w:p>
        </w:tc>
      </w:tr>
    </w:tbl>
    <w:p>
      <w:pPr>
        <w:spacing w:after="0" w:line="14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Depreciation</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right="2900"/>
        <w:spacing w:after="0" w:line="250" w:lineRule="auto"/>
        <w:rPr>
          <w:sz w:val="20"/>
          <w:szCs w:val="20"/>
          <w:color w:val="auto"/>
        </w:rPr>
      </w:pPr>
      <w:r>
        <w:rPr>
          <w:rFonts w:ascii="Arial" w:cs="Arial" w:eastAsia="Arial" w:hAnsi="Arial"/>
          <w:sz w:val="18"/>
          <w:szCs w:val="18"/>
          <w:color w:val="auto"/>
        </w:rPr>
        <w:t>Postretirement benefit income and deferred compensation expense (Reduction) provision for doubtful accounts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Increase in cash surrender value of life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Gain on disposal of property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 in assets and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Receivables and prepaid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taxes receivable and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Postretirement and deferred 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Proceeds from the sale or maturity of investments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Proceeds from the sale of property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provided by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Payments for purchase of common stock</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Payments of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used in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beginning of period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disclosure: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financial statements.</w:t>
      </w:r>
    </w:p>
    <w:p>
      <w:pPr>
        <w:spacing w:after="0" w:line="225" w:lineRule="exact"/>
        <w:rPr>
          <w:sz w:val="20"/>
          <w:szCs w:val="20"/>
          <w:color w:val="auto"/>
        </w:rPr>
      </w:pPr>
    </w:p>
    <w:p>
      <w:pPr>
        <w:jc w:val="right"/>
        <w:ind w:right="1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(9,596)</w:t>
            </w:r>
          </w:p>
        </w:tc>
      </w:tr>
      <w:tr>
        <w:trPr>
          <w:trHeight w:val="426"/>
        </w:trPr>
        <w:tc>
          <w:tcPr>
            <w:tcW w:w="44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1,684</w:t>
            </w:r>
          </w:p>
        </w:tc>
        <w:tc>
          <w:tcPr>
            <w:tcW w:w="5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2,137</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164</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288</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323</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508</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440" w:type="dxa"/>
            <w:vAlign w:val="bottom"/>
          </w:tcPr>
          <w:p>
            <w:pPr>
              <w:spacing w:after="0"/>
              <w:rPr>
                <w:sz w:val="19"/>
                <w:szCs w:val="19"/>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426"/>
        </w:trPr>
        <w:tc>
          <w:tcPr>
            <w:tcW w:w="4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(4,229)</w:t>
            </w:r>
          </w:p>
        </w:tc>
        <w:tc>
          <w:tcPr>
            <w:tcW w:w="5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27,302</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(449)</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4,704</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(4,887)</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(4,510)</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4,055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(5,951)</w:t>
            </w:r>
          </w:p>
        </w:tc>
      </w:tr>
      <w:tr>
        <w:trPr>
          <w:trHeight w:val="223"/>
        </w:trPr>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(837)</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r>
      <w:tr>
        <w:trPr>
          <w:trHeight w:val="211"/>
        </w:trPr>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(5,857)</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12,866</w:t>
            </w:r>
          </w:p>
        </w:tc>
      </w:tr>
      <w:tr>
        <w:trPr>
          <w:trHeight w:val="566"/>
        </w:trPr>
        <w:tc>
          <w:tcPr>
            <w:tcW w:w="44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3,100</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(689)</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87</w:t>
            </w:r>
          </w:p>
        </w:tc>
      </w:tr>
      <w:tr>
        <w:trPr>
          <w:trHeight w:val="223"/>
        </w:trPr>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(464)</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r>
      <w:tr>
        <w:trPr>
          <w:trHeight w:val="211"/>
        </w:trPr>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(929)</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1,699</w:t>
            </w:r>
          </w:p>
        </w:tc>
      </w:tr>
      <w:tr>
        <w:trPr>
          <w:trHeight w:val="566"/>
        </w:trPr>
        <w:tc>
          <w:tcPr>
            <w:tcW w:w="4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(249)</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(3,489)</w:t>
            </w:r>
          </w:p>
        </w:tc>
      </w:tr>
      <w:tr>
        <w:trPr>
          <w:trHeight w:val="216"/>
        </w:trPr>
        <w:tc>
          <w:tcPr>
            <w:tcW w:w="440" w:type="dxa"/>
            <w:vAlign w:val="bottom"/>
          </w:tcPr>
          <w:p>
            <w:pPr>
              <w:spacing w:after="0"/>
              <w:rPr>
                <w:sz w:val="18"/>
                <w:szCs w:val="18"/>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1"/>
        </w:trPr>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(575)</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w:t>
            </w:r>
          </w:p>
        </w:tc>
      </w:tr>
      <w:tr>
        <w:trPr>
          <w:trHeight w:val="350"/>
        </w:trPr>
        <w:tc>
          <w:tcPr>
            <w:tcW w:w="44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(7,361)</w:t>
            </w:r>
          </w:p>
        </w:tc>
        <w:tc>
          <w:tcPr>
            <w:tcW w:w="58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10,914</w:t>
            </w:r>
          </w:p>
        </w:tc>
      </w:tr>
      <w:tr>
        <w:trPr>
          <w:trHeight w:val="223"/>
        </w:trPr>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36,566</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17,851</w:t>
            </w:r>
          </w:p>
        </w:tc>
      </w:tr>
      <w:tr>
        <w:trPr>
          <w:trHeight w:val="211"/>
        </w:trPr>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29,205</w:t>
            </w: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28,765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60"/>
        </w:trPr>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w:t>
            </w:r>
          </w:p>
        </w:tc>
        <w:tc>
          <w:tcPr>
            <w:tcW w:w="5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40" w:space="720"/>
            <w:col w:w="2960"/>
          </w:cols>
          <w:pgMar w:left="240" w:top="13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Notes to Condensed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“we,” “our” and “us” are used interchangeably to refer to Winnebago Industries,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our opinion, the accompanying unaudited condensed financial statements contain all adjustments, consisting of normal recurring accruals, necessary to present fairly the financial position as of November 28, 2009 and the results of operations and cash flows for the first quarters of Fiscal 2010 and 2009. The statement of operations for the first quarter of Fiscal 2010 is not necessarily indicative of the results to be expected for the full year. The balance sheet data as of August 29, 2009 was derived from audited financial statements, but does not include all of the information and footnotes required by generally accepted accounting principles (GAAP) for complete financial statements. These interim financial statements should be read in conjunction with the audited financial statements and notes thereto appearing in our Annual Report to Shareholders for the year ended August 29, 2009.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June 2009, the Financial Accounting Standards Board (FASB) issued Statement of Financial Accounting Standards (FAS) No. 168, “The FASB Accounting Standards Codification and the Hierarchy of Generally Accepted Accounting Principles — a replacement of FAS 162.” The new standard establishes only two levels of U.S. GAAP, authoritative and nonauthoritative. The FASB Accounting Standards Codification (ASC) became the single source of authoritative, nongovernmental U.S. GAAP, except for rules and interpretive releases of the Securities and Exchange Commission (SEC), which will continue to be sources of authoritative U.S. GAAP for SEC registrants. All other nongrandfathered, non-SEC accounting literature not included in the ASC became nonauthoritative upon adoption. The new guidance became effective for our first quarter of Fiscal 2010. Since the new standard did not change U.S. GAAP, there was no change to our Condensed Financial Statements other than to update all references to U.S. GAAP to be in conformity with the ASC.</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On June 16, 2008, FASB issued ASC 260-10-45-61A, </w:t>
      </w:r>
      <w:r>
        <w:rPr>
          <w:rFonts w:ascii="Arial" w:cs="Arial" w:eastAsia="Arial" w:hAnsi="Arial"/>
          <w:sz w:val="16"/>
          <w:szCs w:val="16"/>
          <w:i w:val="1"/>
          <w:iCs w:val="1"/>
          <w:color w:val="auto"/>
        </w:rPr>
        <w:t>Determining Whether Instruments Granted in Share-Based Payment Transactions Are Participating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w:t>
      </w:r>
      <w:r>
        <w:rPr>
          <w:rFonts w:ascii="Arial" w:cs="Arial" w:eastAsia="Arial" w:hAnsi="Arial"/>
          <w:sz w:val="16"/>
          <w:szCs w:val="16"/>
          <w:color w:val="auto"/>
        </w:rPr>
        <w:t>This authoritative guidance provides that before the completion of an award’s requisite service period, all outstanding awards that contain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nonforfeitable dividends in undistributed earnings with common stock are participating securities and shall be included in the computation of EPS. The guidance became effective for fiscal years beginning after December 15, 2008, and interim periods within those years, we adopted this guidance during our first quarter of Fiscal 2010. We have determined that there is no impact to our calculation and presentation of EPS.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31"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The fair value hierarchy, as is illustrated in the table below, requires the use of</w:t>
      </w:r>
      <w:r>
        <w:rPr>
          <w:rFonts w:ascii="Arial" w:cs="Arial" w:eastAsia="Arial" w:hAnsi="Arial"/>
          <w:sz w:val="16"/>
          <w:szCs w:val="16"/>
          <w:i w:val="1"/>
          <w:iCs w:val="1"/>
          <w:color w:val="auto"/>
        </w:rPr>
        <w:t xml:space="preserve"> </w:t>
      </w:r>
      <w:r>
        <w:rPr>
          <w:rFonts w:ascii="Arial" w:cs="Arial" w:eastAsia="Arial" w:hAnsi="Arial"/>
          <w:sz w:val="16"/>
          <w:szCs w:val="16"/>
          <w:color w:val="auto"/>
        </w:rPr>
        <w:t>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The following table sets forth by level within the fair value hierarchy, our financial assets and liabilities that were accounted for at fair value on a recurring basis at November 28, 2009, according to the valuation techniques we used to determine their fair values: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780" w:type="dxa"/>
            <w:vAlign w:val="bottom"/>
            <w:tcBorders>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Fair Value Measurements Using Inputs Considered As</w:t>
            </w:r>
          </w:p>
        </w:tc>
      </w:tr>
      <w:tr>
        <w:trPr>
          <w:trHeight w:val="136"/>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8"/>
              </w:rPr>
              <w:t>Level 2</w:t>
            </w:r>
          </w:p>
        </w:tc>
        <w:tc>
          <w:tcPr>
            <w:tcW w:w="16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267"/>
              <w:spacing w:after="0" w:line="149" w:lineRule="exact"/>
              <w:rPr>
                <w:sz w:val="20"/>
                <w:szCs w:val="20"/>
                <w:color w:val="auto"/>
              </w:rPr>
            </w:pPr>
            <w:r>
              <w:rPr>
                <w:rFonts w:ascii="Arial" w:cs="Arial" w:eastAsia="Arial" w:hAnsi="Arial"/>
                <w:sz w:val="14"/>
                <w:szCs w:val="14"/>
                <w:b w:val="1"/>
                <w:bCs w:val="1"/>
                <w:color w:val="auto"/>
                <w:w w:val="88"/>
              </w:rPr>
              <w:t>Level 1</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Level 3</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jc w:val="center"/>
              <w:ind w:right="241"/>
              <w:spacing w:after="0" w:line="149" w:lineRule="exact"/>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247"/>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7"/>
              </w:rPr>
              <w:t>November 28,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jc w:val="center"/>
              <w:ind w:right="267"/>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68"/>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220" w:type="dxa"/>
            <w:vAlign w:val="bottom"/>
          </w:tcPr>
          <w:p>
            <w:pPr>
              <w:jc w:val="center"/>
              <w:ind w:right="241"/>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267"/>
              <w:spacing w:after="0"/>
              <w:rPr>
                <w:sz w:val="20"/>
                <w:szCs w:val="20"/>
                <w:color w:val="auto"/>
              </w:rPr>
            </w:pPr>
            <w:r>
              <w:rPr>
                <w:rFonts w:ascii="Arial" w:cs="Arial" w:eastAsia="Arial" w:hAnsi="Arial"/>
                <w:sz w:val="14"/>
                <w:szCs w:val="14"/>
                <w:b w:val="1"/>
                <w:bCs w:val="1"/>
                <w:color w:val="auto"/>
                <w:w w:val="84"/>
              </w:rPr>
              <w:t>Identical Assets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0"/>
              </w:rPr>
              <w:t>Inputs</w:t>
            </w:r>
          </w:p>
        </w:tc>
      </w:tr>
      <w:tr>
        <w:trPr>
          <w:trHeight w:val="216"/>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auto"/>
            </w:tcBorders>
            <w:shd w:val="clear" w:color="auto" w:fill="D6F3E8"/>
          </w:tcPr>
          <w:p>
            <w:pPr>
              <w:spacing w:after="0"/>
              <w:rPr>
                <w:sz w:val="18"/>
                <w:szCs w:val="18"/>
                <w:color w:val="auto"/>
              </w:rPr>
            </w:pPr>
          </w:p>
        </w:tc>
        <w:tc>
          <w:tcPr>
            <w:tcW w:w="1220" w:type="dxa"/>
            <w:vAlign w:val="bottom"/>
            <w:tcBorders>
              <w:top w:val="single" w:sz="8" w:color="auto"/>
            </w:tcBorders>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560" w:type="dxa"/>
            <w:vAlign w:val="bottom"/>
            <w:tcBorders>
              <w:top w:val="single" w:sz="8" w:color="auto"/>
            </w:tcBorders>
            <w:shd w:val="clear" w:color="auto" w:fill="D6F3E8"/>
          </w:tcPr>
          <w:p>
            <w:pPr>
              <w:spacing w:after="0"/>
              <w:rPr>
                <w:sz w:val="18"/>
                <w:szCs w:val="18"/>
                <w:color w:val="auto"/>
              </w:rPr>
            </w:pPr>
          </w:p>
        </w:tc>
        <w:tc>
          <w:tcPr>
            <w:tcW w:w="1580" w:type="dxa"/>
            <w:vAlign w:val="bottom"/>
            <w:tcBorders>
              <w:top w:val="single" w:sz="8" w:color="auto"/>
            </w:tcBorders>
            <w:shd w:val="clear" w:color="auto" w:fill="D6F3E8"/>
          </w:tcPr>
          <w:p>
            <w:pPr>
              <w:spacing w:after="0"/>
              <w:rPr>
                <w:sz w:val="18"/>
                <w:szCs w:val="18"/>
                <w:color w:val="auto"/>
              </w:rPr>
            </w:pPr>
          </w:p>
        </w:tc>
        <w:tc>
          <w:tcPr>
            <w:tcW w:w="1640" w:type="dxa"/>
            <w:vAlign w:val="bottom"/>
            <w:tcBorders>
              <w:top w:val="single" w:sz="8" w:color="auto"/>
            </w:tcBorders>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1"/>
              <w:spacing w:after="0"/>
              <w:rPr>
                <w:sz w:val="20"/>
                <w:szCs w:val="20"/>
                <w:color w:val="auto"/>
              </w:rPr>
            </w:pPr>
            <w:r>
              <w:rPr>
                <w:rFonts w:ascii="Arial" w:cs="Arial" w:eastAsia="Arial" w:hAnsi="Arial"/>
                <w:sz w:val="18"/>
                <w:szCs w:val="18"/>
                <w:color w:val="auto"/>
              </w:rPr>
              <w:t>29,205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87"/>
              <w:spacing w:after="0"/>
              <w:rPr>
                <w:sz w:val="20"/>
                <w:szCs w:val="20"/>
                <w:color w:val="auto"/>
              </w:rPr>
            </w:pPr>
            <w:r>
              <w:rPr>
                <w:rFonts w:ascii="Arial" w:cs="Arial" w:eastAsia="Arial" w:hAnsi="Arial"/>
                <w:sz w:val="18"/>
                <w:szCs w:val="18"/>
                <w:color w:val="auto"/>
              </w:rPr>
              <w:t>29,205</w:t>
            </w:r>
          </w:p>
        </w:tc>
        <w:tc>
          <w:tcPr>
            <w:tcW w:w="1580" w:type="dxa"/>
            <w:vAlign w:val="bottom"/>
          </w:tcPr>
          <w:p>
            <w:pPr>
              <w:jc w:val="right"/>
              <w:ind w:right="1247"/>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0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Short-term investments (includes Put Rights)</w:t>
            </w:r>
          </w:p>
        </w:tc>
        <w:tc>
          <w:tcPr>
            <w:tcW w:w="9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13,700</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60" w:type="dxa"/>
            <w:vAlign w:val="bottom"/>
            <w:shd w:val="clear" w:color="auto" w:fill="D6F3E8"/>
          </w:tcPr>
          <w:p>
            <w:pPr>
              <w:spacing w:after="0"/>
              <w:rPr>
                <w:sz w:val="18"/>
                <w:szCs w:val="18"/>
                <w:color w:val="auto"/>
              </w:rPr>
            </w:pPr>
          </w:p>
        </w:tc>
        <w:tc>
          <w:tcPr>
            <w:tcW w:w="1580" w:type="dxa"/>
            <w:vAlign w:val="bottom"/>
            <w:shd w:val="clear" w:color="auto" w:fill="D6F3E8"/>
          </w:tcPr>
          <w:p>
            <w:pPr>
              <w:jc w:val="right"/>
              <w:ind w:right="107"/>
              <w:spacing w:after="0"/>
              <w:rPr>
                <w:sz w:val="20"/>
                <w:szCs w:val="20"/>
                <w:color w:val="auto"/>
              </w:rPr>
            </w:pPr>
            <w:r>
              <w:rPr>
                <w:rFonts w:ascii="Arial" w:cs="Arial" w:eastAsia="Arial" w:hAnsi="Arial"/>
                <w:sz w:val="18"/>
                <w:szCs w:val="18"/>
                <w:color w:val="auto"/>
              </w:rPr>
              <w:t>200</w:t>
            </w:r>
          </w:p>
        </w:tc>
        <w:tc>
          <w:tcPr>
            <w:tcW w:w="1640" w:type="dxa"/>
            <w:vAlign w:val="bottom"/>
            <w:shd w:val="clear" w:color="auto" w:fill="D6F3E8"/>
          </w:tcPr>
          <w:p>
            <w:pPr>
              <w:jc w:val="right"/>
              <w:ind w:right="44"/>
              <w:spacing w:after="0"/>
              <w:rPr>
                <w:sz w:val="20"/>
                <w:szCs w:val="20"/>
                <w:color w:val="auto"/>
              </w:rPr>
            </w:pPr>
            <w:r>
              <w:rPr>
                <w:rFonts w:ascii="Arial" w:cs="Arial" w:eastAsia="Arial" w:hAnsi="Arial"/>
                <w:sz w:val="18"/>
                <w:szCs w:val="18"/>
                <w:color w:val="auto"/>
              </w:rPr>
              <w:t>13,500</w:t>
            </w: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Long-term investments</w:t>
            </w:r>
          </w:p>
        </w:tc>
        <w:tc>
          <w:tcPr>
            <w:tcW w:w="940" w:type="dxa"/>
            <w:vAlign w:val="bottom"/>
          </w:tcPr>
          <w:p>
            <w:pPr>
              <w:spacing w:after="0"/>
              <w:rPr>
                <w:sz w:val="18"/>
                <w:szCs w:val="18"/>
                <w:color w:val="auto"/>
              </w:rPr>
            </w:pPr>
          </w:p>
        </w:tc>
        <w:tc>
          <w:tcPr>
            <w:tcW w:w="1220" w:type="dxa"/>
            <w:vAlign w:val="bottom"/>
          </w:tcPr>
          <w:p>
            <w:pPr>
              <w:jc w:val="right"/>
              <w:ind w:right="101"/>
              <w:spacing w:after="0"/>
              <w:rPr>
                <w:sz w:val="20"/>
                <w:szCs w:val="20"/>
                <w:color w:val="auto"/>
              </w:rPr>
            </w:pPr>
            <w:r>
              <w:rPr>
                <w:rFonts w:ascii="Arial" w:cs="Arial" w:eastAsia="Arial" w:hAnsi="Arial"/>
                <w:sz w:val="18"/>
                <w:szCs w:val="18"/>
                <w:color w:val="auto"/>
              </w:rPr>
              <w:t>19,806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jc w:val="right"/>
              <w:ind w:right="44"/>
              <w:spacing w:after="0"/>
              <w:rPr>
                <w:sz w:val="20"/>
                <w:szCs w:val="20"/>
                <w:color w:val="auto"/>
              </w:rPr>
            </w:pPr>
            <w:r>
              <w:rPr>
                <w:rFonts w:ascii="Arial" w:cs="Arial" w:eastAsia="Arial" w:hAnsi="Arial"/>
                <w:sz w:val="18"/>
                <w:szCs w:val="18"/>
                <w:color w:val="auto"/>
              </w:rPr>
              <w:t>19,806</w:t>
            </w:r>
          </w:p>
        </w:tc>
      </w:tr>
      <w:tr>
        <w:trPr>
          <w:trHeight w:val="216"/>
        </w:trPr>
        <w:tc>
          <w:tcPr>
            <w:tcW w:w="20" w:type="dxa"/>
            <w:vAlign w:val="bottom"/>
          </w:tcPr>
          <w:p>
            <w:pPr>
              <w:spacing w:after="0"/>
              <w:rPr>
                <w:sz w:val="18"/>
                <w:szCs w:val="18"/>
                <w:color w:val="auto"/>
              </w:rPr>
            </w:pPr>
          </w:p>
        </w:tc>
        <w:tc>
          <w:tcPr>
            <w:tcW w:w="41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Assets that fund deferred compensation</w:t>
            </w:r>
          </w:p>
        </w:tc>
        <w:tc>
          <w:tcPr>
            <w:tcW w:w="9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11,541</w:t>
            </w: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60" w:type="dxa"/>
            <w:vAlign w:val="bottom"/>
            <w:shd w:val="clear" w:color="auto" w:fill="D6F3E8"/>
          </w:tcPr>
          <w:p>
            <w:pPr>
              <w:jc w:val="right"/>
              <w:ind w:right="87"/>
              <w:spacing w:after="0"/>
              <w:rPr>
                <w:sz w:val="20"/>
                <w:szCs w:val="20"/>
                <w:color w:val="auto"/>
              </w:rPr>
            </w:pPr>
            <w:r>
              <w:rPr>
                <w:rFonts w:ascii="Arial" w:cs="Arial" w:eastAsia="Arial" w:hAnsi="Arial"/>
                <w:sz w:val="18"/>
                <w:szCs w:val="18"/>
                <w:color w:val="auto"/>
              </w:rPr>
              <w:t>11,541</w:t>
            </w:r>
          </w:p>
        </w:tc>
        <w:tc>
          <w:tcPr>
            <w:tcW w:w="1580" w:type="dxa"/>
            <w:vAlign w:val="bottom"/>
            <w:shd w:val="clear" w:color="auto" w:fill="D6F3E8"/>
          </w:tcPr>
          <w:p>
            <w:pPr>
              <w:spacing w:after="0"/>
              <w:rPr>
                <w:sz w:val="18"/>
                <w:szCs w:val="18"/>
                <w:color w:val="auto"/>
              </w:rPr>
            </w:pPr>
          </w:p>
        </w:tc>
        <w:tc>
          <w:tcPr>
            <w:tcW w:w="1640" w:type="dxa"/>
            <w:vAlign w:val="bottom"/>
            <w:shd w:val="clear" w:color="auto" w:fill="D6F3E8"/>
          </w:tcPr>
          <w:p>
            <w:pPr>
              <w:spacing w:after="0"/>
              <w:rPr>
                <w:sz w:val="18"/>
                <w:szCs w:val="18"/>
                <w:color w:val="auto"/>
              </w:rPr>
            </w:pPr>
          </w:p>
        </w:tc>
      </w:tr>
    </w:tbl>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277"/>
              <w:spacing w:after="0"/>
              <w:rPr>
                <w:sz w:val="20"/>
                <w:szCs w:val="20"/>
                <w:color w:val="auto"/>
              </w:rPr>
            </w:pPr>
            <w:r>
              <w:rPr>
                <w:rFonts w:ascii="Arial" w:cs="Arial" w:eastAsia="Arial" w:hAnsi="Arial"/>
                <w:sz w:val="14"/>
                <w:szCs w:val="14"/>
                <w:b w:val="1"/>
                <w:bCs w:val="1"/>
                <w:color w:val="auto"/>
                <w:w w:val="91"/>
              </w:rPr>
              <w:t>November 28,</w:t>
            </w:r>
          </w:p>
        </w:tc>
      </w:tr>
      <w:tr>
        <w:trPr>
          <w:trHeight w:val="182"/>
        </w:trPr>
        <w:tc>
          <w:tcPr>
            <w:tcW w:w="6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2009</w:t>
            </w:r>
          </w:p>
        </w:tc>
      </w:tr>
      <w:tr>
        <w:trPr>
          <w:trHeight w:val="216"/>
        </w:trPr>
        <w:tc>
          <w:tcPr>
            <w:tcW w:w="20" w:type="dxa"/>
            <w:vAlign w:val="bottom"/>
          </w:tcPr>
          <w:p>
            <w:pPr>
              <w:spacing w:after="0"/>
              <w:rPr>
                <w:sz w:val="18"/>
                <w:szCs w:val="18"/>
                <w:color w:val="auto"/>
              </w:rPr>
            </w:pPr>
          </w:p>
        </w:tc>
        <w:tc>
          <w:tcPr>
            <w:tcW w:w="660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33,294</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Net realized loss included in earnings</w:t>
            </w:r>
          </w:p>
        </w:tc>
        <w:tc>
          <w:tcPr>
            <w:tcW w:w="140" w:type="dxa"/>
            <w:vAlign w:val="bottom"/>
          </w:tcPr>
          <w:p>
            <w:pPr>
              <w:spacing w:after="0"/>
              <w:rPr>
                <w:sz w:val="18"/>
                <w:szCs w:val="18"/>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D6F3E8"/>
          </w:tcPr>
          <w:p>
            <w:pPr>
              <w:spacing w:after="0"/>
              <w:rPr>
                <w:sz w:val="20"/>
                <w:szCs w:val="20"/>
                <w:color w:val="auto"/>
              </w:rPr>
            </w:pPr>
            <w:r>
              <w:rPr>
                <w:rFonts w:ascii="Arial" w:cs="Arial" w:eastAsia="Arial" w:hAnsi="Arial"/>
                <w:sz w:val="18"/>
                <w:szCs w:val="18"/>
                <w:color w:val="auto"/>
              </w:rPr>
              <w:t>Net change included in other comprehensive income</w:t>
            </w:r>
          </w:p>
        </w:tc>
        <w:tc>
          <w:tcPr>
            <w:tcW w:w="140" w:type="dxa"/>
            <w:vAlign w:val="bottom"/>
            <w:shd w:val="clear" w:color="auto" w:fill="D6F3E8"/>
          </w:tcPr>
          <w:p>
            <w:pPr>
              <w:spacing w:after="0"/>
              <w:rPr>
                <w:sz w:val="18"/>
                <w:szCs w:val="18"/>
                <w:color w:val="auto"/>
              </w:rPr>
            </w:pPr>
          </w:p>
        </w:tc>
        <w:tc>
          <w:tcPr>
            <w:tcW w:w="1220" w:type="dxa"/>
            <w:vAlign w:val="bottom"/>
            <w:shd w:val="clear" w:color="auto" w:fill="D6F3E8"/>
          </w:tcPr>
          <w:p>
            <w:pPr>
              <w:jc w:val="right"/>
              <w:ind w:right="77"/>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Purchases, sales and settlements, net</w:t>
            </w:r>
          </w:p>
        </w:tc>
        <w:tc>
          <w:tcPr>
            <w:tcW w:w="140" w:type="dxa"/>
            <w:vAlign w:val="bottom"/>
          </w:tcPr>
          <w:p>
            <w:pPr>
              <w:spacing w:after="0"/>
              <w:rPr>
                <w:sz w:val="18"/>
                <w:szCs w:val="18"/>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Transfers out of Level 3</w:t>
            </w:r>
          </w:p>
        </w:tc>
        <w:tc>
          <w:tcPr>
            <w:tcW w:w="140" w:type="dxa"/>
            <w:vAlign w:val="bottom"/>
            <w:tcBorders>
              <w:bottom w:val="single" w:sz="8" w:color="auto"/>
            </w:tcBorders>
            <w:shd w:val="clear" w:color="auto" w:fill="D6F3E8"/>
          </w:tcPr>
          <w:p>
            <w:pPr>
              <w:spacing w:after="0"/>
              <w:rPr>
                <w:sz w:val="18"/>
                <w:szCs w:val="18"/>
                <w:color w:val="auto"/>
              </w:rPr>
            </w:pPr>
          </w:p>
        </w:tc>
        <w:tc>
          <w:tcPr>
            <w:tcW w:w="1220" w:type="dxa"/>
            <w:vAlign w:val="bottom"/>
            <w:tcBorders>
              <w:bottom w:val="single" w:sz="8" w:color="auto"/>
            </w:tcBorders>
            <w:shd w:val="clear" w:color="auto" w:fill="D6F3E8"/>
          </w:tcPr>
          <w:p>
            <w:pPr>
              <w:jc w:val="right"/>
              <w:ind w:right="17"/>
              <w:spacing w:after="0"/>
              <w:rPr>
                <w:sz w:val="20"/>
                <w:szCs w:val="20"/>
                <w:color w:val="auto"/>
              </w:rPr>
            </w:pPr>
            <w:r>
              <w:rPr>
                <w:rFonts w:ascii="Arial" w:cs="Arial" w:eastAsia="Arial" w:hAnsi="Arial"/>
                <w:sz w:val="18"/>
                <w:szCs w:val="18"/>
                <w:color w:val="auto"/>
              </w:rPr>
              <w:t>(200)</w:t>
            </w:r>
          </w:p>
        </w:tc>
      </w:tr>
      <w:tr>
        <w:trPr>
          <w:trHeight w:val="210"/>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Balances at November 28, 2009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33,306</w:t>
            </w: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The carrying value of cash equivalents approximates fair value as maturities are less than three months. Our cash equivalents are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traded in an active market with no restrictions and are classified as Level 1.</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Long and Short-term Investments. </w:t>
      </w:r>
      <w:r>
        <w:rPr>
          <w:rFonts w:ascii="Arial" w:cs="Arial" w:eastAsia="Arial" w:hAnsi="Arial"/>
          <w:sz w:val="16"/>
          <w:szCs w:val="16"/>
          <w:color w:val="auto"/>
        </w:rPr>
        <w:t>Our debt securities are comprised of ARS and Put Rights (as defined and described in Note 4). Our long-term ARS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and most of our short-term ARS related investments are classified as Level 3 as quoted prices were unavailable due to events described in Note 4. Due to limited market information, we utilized a discounted cash flow (“DCF”) model to derive an estimate of fair value at November 28, 2009.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A portion of our short-term ARS portfolio is classified as Level 2 as they are also in a nonactive market but inputs other than quoted prices were observable and used to value the securities.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Marketable Equity Securities</w:t>
      </w:r>
      <w:r>
        <w:rPr>
          <w:rFonts w:ascii="Arial" w:cs="Arial" w:eastAsia="Arial" w:hAnsi="Arial"/>
          <w:sz w:val="18"/>
          <w:szCs w:val="18"/>
          <w:color w:val="auto"/>
        </w:rPr>
        <w:t>. Our marketable equity securities are measured at fair value using quoted market prices and primarily consist of equity-based mutual</w:t>
      </w:r>
      <w:r>
        <w:rPr>
          <w:rFonts w:ascii="Arial" w:cs="Arial" w:eastAsia="Arial" w:hAnsi="Arial"/>
          <w:sz w:val="18"/>
          <w:szCs w:val="18"/>
          <w:i w:val="1"/>
          <w:iCs w:val="1"/>
          <w:color w:val="auto"/>
        </w:rPr>
        <w:t xml:space="preserve"> </w:t>
      </w:r>
      <w:r>
        <w:rPr>
          <w:rFonts w:ascii="Arial" w:cs="Arial" w:eastAsia="Arial" w:hAnsi="Arial"/>
          <w:sz w:val="18"/>
          <w:szCs w:val="18"/>
          <w:color w:val="auto"/>
        </w:rPr>
        <w:t>funds. They are classified as Level 1 as they are traded in an active market for which closing stock prices are readily available. These securities fund the deferred compensation program and are presented as other assets in the accompanying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or “trading securities” in accordance with ASC Topic 320, </w:t>
      </w:r>
      <w:r>
        <w:rPr>
          <w:rFonts w:ascii="Arial" w:cs="Arial" w:eastAsia="Arial" w:hAnsi="Arial"/>
          <w:sz w:val="16"/>
          <w:szCs w:val="16"/>
          <w:i w:val="1"/>
          <w:iCs w:val="1"/>
          <w:color w:val="auto"/>
        </w:rPr>
        <w:t>Investments-Debt and Equity Securities</w:t>
      </w:r>
      <w:r>
        <w:rPr>
          <w:rFonts w:ascii="Arial" w:cs="Arial" w:eastAsia="Arial" w:hAnsi="Arial"/>
          <w:sz w:val="16"/>
          <w:szCs w:val="16"/>
          <w:color w:val="auto"/>
        </w:rPr>
        <w:t>. At November 28, 2009, we held $33.7 million (par value) of investments comprised of tax-exempt auction rate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(ARS), which are variable-rate debt securities and have a long-term maturity with the interest rate being reset through Dutch auctions.</w:t>
      </w:r>
    </w:p>
    <w:p>
      <w:pPr>
        <w:spacing w:after="0" w:line="16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As of the date of this report, we have continued to receive interest payments on the ARS in accordance with their terms. We believe we will ultimately be able to liquidate our ARS related investments without significant loss primarily due to the collateral securing our ARS and the legal settlement agreement we previously entered into with UBS AG (“UBS”). Our UBS settlement allows for a portion of our ARS to be redeemed at par as early as June 30, 2010. However, the remaining portfolio could take until final maturity of the ARS (up to 25 years) to realize the par value of our investments. Due to the changes and uncertainty in the ARS market, we believe the recovery period for these investments is likely to be longer than 12 months and as a result, we have classified these investments as long-term as of November 28, 2009. Our short-term ARS investments of $13.5 million relate to the UBS portion of our portfolio including the rights to sell them (the “Put Rights”) at par value at any time during a two-year sale period beginning June 30, 2010. In addition, short-term ARS investments of $200,000 not part of the UBS portfolio were redeemed by the issuer at par in December 2009.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terms of the UBS settlement agreement also allowed us to borrow on a portion of our portfolio at “no net cost” and as a result, we borrowed $9.1 million under this arrangement, which is presented as short-term ARS borrowings on our balance sheet. We have the ability to maintain the “no net cost” loans until the securities are liquidated or they reach the June 2010 put date.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November 28, 2009, there was insufficient observable ARS market information available to determine the fair value of our ARS investments, including the Put Rights. We recorded a temporary impairment of $194,000 related to our long-term ARS investments of $20.0 million (par value) that were not part of the UBS settlement as of November 28,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40" w:type="dxa"/>
            <w:vAlign w:val="bottom"/>
          </w:tcPr>
          <w:p>
            <w:pPr>
              <w:spacing w:after="0"/>
              <w:rPr>
                <w:sz w:val="14"/>
                <w:szCs w:val="14"/>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November 28, 2009</w:t>
            </w: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3"/>
              </w:rPr>
              <w:t>August 29, 2009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6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24,381</w:t>
            </w:r>
          </w:p>
        </w:tc>
        <w:tc>
          <w:tcPr>
            <w:tcW w:w="3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15"/>
              <w:spacing w:after="0"/>
              <w:rPr>
                <w:sz w:val="20"/>
                <w:szCs w:val="20"/>
                <w:color w:val="auto"/>
              </w:rPr>
            </w:pPr>
            <w:r>
              <w:rPr>
                <w:rFonts w:ascii="Arial" w:cs="Arial" w:eastAsia="Arial" w:hAnsi="Arial"/>
                <w:sz w:val="18"/>
                <w:szCs w:val="18"/>
                <w:color w:val="auto"/>
              </w:rPr>
              <w:t>18,709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Work-in-process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27,309</w:t>
            </w:r>
          </w:p>
        </w:tc>
        <w:tc>
          <w:tcPr>
            <w:tcW w:w="3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24,982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4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ind w:right="95"/>
              <w:spacing w:after="0"/>
              <w:rPr>
                <w:sz w:val="20"/>
                <w:szCs w:val="20"/>
                <w:color w:val="auto"/>
              </w:rPr>
            </w:pPr>
            <w:r>
              <w:rPr>
                <w:rFonts w:ascii="Arial" w:cs="Arial" w:eastAsia="Arial" w:hAnsi="Arial"/>
                <w:sz w:val="18"/>
                <w:szCs w:val="18"/>
                <w:color w:val="auto"/>
              </w:rPr>
              <w:t>30,020</w:t>
            </w:r>
          </w:p>
        </w:tc>
        <w:tc>
          <w:tcPr>
            <w:tcW w:w="300" w:type="dxa"/>
            <w:vAlign w:val="bottom"/>
            <w:tcBorders>
              <w:bottom w:val="single" w:sz="8" w:color="auto"/>
            </w:tcBorders>
            <w:shd w:val="clear" w:color="auto" w:fill="D6F3E8"/>
          </w:tcPr>
          <w:p>
            <w:pPr>
              <w:spacing w:after="0"/>
              <w:rPr>
                <w:sz w:val="18"/>
                <w:szCs w:val="18"/>
                <w:color w:val="auto"/>
              </w:rPr>
            </w:pPr>
          </w:p>
        </w:tc>
        <w:tc>
          <w:tcPr>
            <w:tcW w:w="1420" w:type="dxa"/>
            <w:vAlign w:val="bottom"/>
            <w:tcBorders>
              <w:bottom w:val="single" w:sz="8" w:color="auto"/>
            </w:tcBorders>
            <w:shd w:val="clear" w:color="auto" w:fill="D6F3E8"/>
          </w:tcPr>
          <w:p>
            <w:pPr>
              <w:jc w:val="right"/>
              <w:ind w:right="15"/>
              <w:spacing w:after="0"/>
              <w:rPr>
                <w:sz w:val="20"/>
                <w:szCs w:val="20"/>
                <w:color w:val="auto"/>
              </w:rPr>
            </w:pPr>
            <w:r>
              <w:rPr>
                <w:rFonts w:ascii="Arial" w:cs="Arial" w:eastAsia="Arial" w:hAnsi="Arial"/>
                <w:sz w:val="18"/>
                <w:szCs w:val="18"/>
                <w:color w:val="auto"/>
              </w:rPr>
              <w:t>33,505</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81,710</w:t>
            </w:r>
          </w:p>
        </w:tc>
        <w:tc>
          <w:tcPr>
            <w:tcW w:w="3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77,196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LIFO reserve</w:t>
            </w:r>
          </w:p>
        </w:tc>
        <w:tc>
          <w:tcPr>
            <w:tcW w:w="14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520" w:type="dxa"/>
            <w:vAlign w:val="bottom"/>
            <w:tcBorders>
              <w:bottom w:val="single" w:sz="8" w:color="auto"/>
            </w:tcBorders>
            <w:shd w:val="clear" w:color="auto" w:fill="D6F3E8"/>
          </w:tcPr>
          <w:p>
            <w:pPr>
              <w:jc w:val="right"/>
              <w:ind w:right="35"/>
              <w:spacing w:after="0"/>
              <w:rPr>
                <w:sz w:val="20"/>
                <w:szCs w:val="20"/>
                <w:color w:val="auto"/>
              </w:rPr>
            </w:pPr>
            <w:r>
              <w:rPr>
                <w:rFonts w:ascii="Arial" w:cs="Arial" w:eastAsia="Arial" w:hAnsi="Arial"/>
                <w:sz w:val="18"/>
                <w:szCs w:val="18"/>
                <w:color w:val="auto"/>
              </w:rPr>
              <w:t>(30,631)</w:t>
            </w:r>
          </w:p>
        </w:tc>
        <w:tc>
          <w:tcPr>
            <w:tcW w:w="300" w:type="dxa"/>
            <w:vAlign w:val="bottom"/>
            <w:tcBorders>
              <w:bottom w:val="single" w:sz="8" w:color="auto"/>
            </w:tcBorders>
            <w:shd w:val="clear" w:color="auto" w:fill="D6F3E8"/>
          </w:tcPr>
          <w:p>
            <w:pPr>
              <w:spacing w:after="0"/>
              <w:rPr>
                <w:sz w:val="18"/>
                <w:szCs w:val="18"/>
                <w:color w:val="auto"/>
              </w:rPr>
            </w:pPr>
          </w:p>
        </w:tc>
        <w:tc>
          <w:tcPr>
            <w:tcW w:w="14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(30,346)</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inventories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51,709</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46,850</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6: Property, Plant and Equipment</w:t>
            </w: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420" w:type="dxa"/>
            <w:vAlign w:val="bottom"/>
            <w:gridSpan w:val="3"/>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6"/>
          </w:tcPr>
          <w:p>
            <w:pPr>
              <w:spacing w:after="0"/>
              <w:rPr>
                <w:sz w:val="20"/>
                <w:szCs w:val="20"/>
                <w:color w:val="auto"/>
              </w:rPr>
            </w:pPr>
            <w:r>
              <w:rPr>
                <w:rFonts w:ascii="Arial" w:cs="Arial" w:eastAsia="Arial" w:hAnsi="Arial"/>
                <w:sz w:val="18"/>
                <w:szCs w:val="18"/>
                <w:color w:val="auto"/>
                <w:w w:val="97"/>
              </w:rPr>
              <w:t>Property, plant and equipment is stated at cost, net of accumulated depreciation and consists of the following:</w:t>
            </w: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40" w:type="dxa"/>
            <w:vAlign w:val="bottom"/>
          </w:tcPr>
          <w:p>
            <w:pPr>
              <w:spacing w:after="0"/>
              <w:rPr>
                <w:sz w:val="24"/>
                <w:szCs w:val="24"/>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November 28, 2009</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3"/>
              </w:rPr>
              <w:t>August 29, 2009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D6F3E8"/>
          </w:tcPr>
          <w:p>
            <w:pPr>
              <w:spacing w:after="0"/>
              <w:rPr>
                <w:sz w:val="20"/>
                <w:szCs w:val="20"/>
                <w:color w:val="auto"/>
              </w:rPr>
            </w:pPr>
            <w:r>
              <w:rPr>
                <w:rFonts w:ascii="Arial" w:cs="Arial" w:eastAsia="Arial" w:hAnsi="Arial"/>
                <w:sz w:val="18"/>
                <w:szCs w:val="18"/>
                <w:color w:val="auto"/>
              </w:rPr>
              <w:t>Land</w:t>
            </w:r>
          </w:p>
        </w:tc>
        <w:tc>
          <w:tcPr>
            <w:tcW w:w="16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772</w:t>
            </w:r>
          </w:p>
        </w:tc>
        <w:tc>
          <w:tcPr>
            <w:tcW w:w="30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D6F3E8"/>
          </w:tcPr>
          <w:p>
            <w:pPr>
              <w:jc w:val="right"/>
              <w:ind w:right="15"/>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Buildings</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95"/>
              <w:spacing w:after="0"/>
              <w:rPr>
                <w:sz w:val="20"/>
                <w:szCs w:val="20"/>
                <w:color w:val="auto"/>
              </w:rPr>
            </w:pPr>
            <w:r>
              <w:rPr>
                <w:rFonts w:ascii="Arial" w:cs="Arial" w:eastAsia="Arial" w:hAnsi="Arial"/>
                <w:sz w:val="18"/>
                <w:szCs w:val="18"/>
                <w:color w:val="auto"/>
              </w:rPr>
              <w:t>49,323</w:t>
            </w:r>
          </w:p>
        </w:tc>
        <w:tc>
          <w:tcPr>
            <w:tcW w:w="300" w:type="dxa"/>
            <w:vAlign w:val="bottom"/>
          </w:tcPr>
          <w:p>
            <w:pPr>
              <w:spacing w:after="0"/>
              <w:rPr>
                <w:sz w:val="18"/>
                <w:szCs w:val="18"/>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49,220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D6F3E8"/>
          </w:tcPr>
          <w:p>
            <w:pPr>
              <w:spacing w:after="0"/>
              <w:rPr>
                <w:sz w:val="20"/>
                <w:szCs w:val="20"/>
                <w:color w:val="auto"/>
              </w:rPr>
            </w:pPr>
            <w:r>
              <w:rPr>
                <w:rFonts w:ascii="Arial" w:cs="Arial" w:eastAsia="Arial" w:hAnsi="Arial"/>
                <w:sz w:val="18"/>
                <w:szCs w:val="18"/>
                <w:color w:val="auto"/>
              </w:rPr>
              <w:t>Machinery and equipment</w:t>
            </w:r>
          </w:p>
        </w:tc>
        <w:tc>
          <w:tcPr>
            <w:tcW w:w="14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92,349</w:t>
            </w:r>
          </w:p>
        </w:tc>
        <w:tc>
          <w:tcPr>
            <w:tcW w:w="300" w:type="dxa"/>
            <w:vAlign w:val="bottom"/>
            <w:shd w:val="clear" w:color="auto" w:fill="D6F3E8"/>
          </w:tcPr>
          <w:p>
            <w:pPr>
              <w:spacing w:after="0"/>
              <w:rPr>
                <w:sz w:val="18"/>
                <w:szCs w:val="18"/>
                <w:color w:val="auto"/>
              </w:rPr>
            </w:pPr>
          </w:p>
        </w:tc>
        <w:tc>
          <w:tcPr>
            <w:tcW w:w="1420" w:type="dxa"/>
            <w:vAlign w:val="bottom"/>
            <w:shd w:val="clear" w:color="auto" w:fill="D6F3E8"/>
          </w:tcPr>
          <w:p>
            <w:pPr>
              <w:jc w:val="right"/>
              <w:ind w:right="15"/>
              <w:spacing w:after="0"/>
              <w:rPr>
                <w:sz w:val="20"/>
                <w:szCs w:val="20"/>
                <w:color w:val="auto"/>
              </w:rPr>
            </w:pPr>
            <w:r>
              <w:rPr>
                <w:rFonts w:ascii="Arial" w:cs="Arial" w:eastAsia="Arial" w:hAnsi="Arial"/>
                <w:sz w:val="18"/>
                <w:szCs w:val="18"/>
                <w:color w:val="auto"/>
              </w:rPr>
              <w:t>92,625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Transportation</w:t>
            </w: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3,368</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D6F3E8"/>
          </w:tcPr>
          <w:p>
            <w:pPr>
              <w:spacing w:after="0"/>
              <w:rPr>
                <w:sz w:val="18"/>
                <w:szCs w:val="18"/>
                <w:color w:val="auto"/>
              </w:rPr>
            </w:pPr>
          </w:p>
        </w:tc>
        <w:tc>
          <w:tcPr>
            <w:tcW w:w="14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20" w:type="dxa"/>
            <w:vAlign w:val="bottom"/>
            <w:shd w:val="clear" w:color="auto" w:fill="D6F3E8"/>
          </w:tcPr>
          <w:p>
            <w:pPr>
              <w:jc w:val="right"/>
              <w:ind w:right="95"/>
              <w:spacing w:after="0"/>
              <w:rPr>
                <w:sz w:val="20"/>
                <w:szCs w:val="20"/>
                <w:color w:val="auto"/>
              </w:rPr>
            </w:pPr>
            <w:r>
              <w:rPr>
                <w:rFonts w:ascii="Arial" w:cs="Arial" w:eastAsia="Arial" w:hAnsi="Arial"/>
                <w:sz w:val="18"/>
                <w:szCs w:val="18"/>
                <w:color w:val="auto"/>
              </w:rPr>
              <w:t>145,812</w:t>
            </w:r>
          </w:p>
        </w:tc>
        <w:tc>
          <w:tcPr>
            <w:tcW w:w="300" w:type="dxa"/>
            <w:vAlign w:val="bottom"/>
            <w:shd w:val="clear" w:color="auto" w:fill="D6F3E8"/>
          </w:tcPr>
          <w:p>
            <w:pPr>
              <w:spacing w:after="0"/>
              <w:rPr>
                <w:sz w:val="18"/>
                <w:szCs w:val="18"/>
                <w:color w:val="auto"/>
              </w:rPr>
            </w:pPr>
          </w:p>
        </w:tc>
        <w:tc>
          <w:tcPr>
            <w:tcW w:w="1420" w:type="dxa"/>
            <w:vAlign w:val="bottom"/>
            <w:shd w:val="clear" w:color="auto" w:fill="D6F3E8"/>
          </w:tcPr>
          <w:p>
            <w:pPr>
              <w:jc w:val="right"/>
              <w:ind w:right="15"/>
              <w:spacing w:after="0"/>
              <w:rPr>
                <w:sz w:val="20"/>
                <w:szCs w:val="20"/>
                <w:color w:val="auto"/>
              </w:rPr>
            </w:pPr>
            <w:r>
              <w:rPr>
                <w:rFonts w:ascii="Arial" w:cs="Arial" w:eastAsia="Arial" w:hAnsi="Arial"/>
                <w:sz w:val="18"/>
                <w:szCs w:val="18"/>
                <w:color w:val="auto"/>
              </w:rPr>
              <w:t>146,074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(118,986)</w:t>
            </w: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(118,034)</w:t>
            </w: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property, plant and equipment, net</w:t>
            </w:r>
          </w:p>
        </w:tc>
        <w:tc>
          <w:tcPr>
            <w:tcW w:w="1480" w:type="dxa"/>
            <w:vAlign w:val="bottom"/>
            <w:tcBorders>
              <w:bottom w:val="single" w:sz="8" w:color="D6F3E8"/>
            </w:tcBorders>
            <w:shd w:val="clear" w:color="auto" w:fill="D6F3E8"/>
          </w:tcPr>
          <w:p>
            <w:pPr>
              <w:spacing w:after="0"/>
              <w:rPr>
                <w:sz w:val="21"/>
                <w:szCs w:val="21"/>
                <w:color w:val="auto"/>
              </w:rPr>
            </w:pP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D6F3E8"/>
          </w:tcPr>
          <w:p>
            <w:pPr>
              <w:jc w:val="right"/>
              <w:ind w:right="95"/>
              <w:spacing w:after="0"/>
              <w:rPr>
                <w:sz w:val="20"/>
                <w:szCs w:val="20"/>
                <w:color w:val="auto"/>
              </w:rPr>
            </w:pPr>
            <w:r>
              <w:rPr>
                <w:rFonts w:ascii="Arial" w:cs="Arial" w:eastAsia="Arial" w:hAnsi="Arial"/>
                <w:sz w:val="18"/>
                <w:szCs w:val="18"/>
                <w:color w:val="auto"/>
              </w:rPr>
              <w:t>26,826</w:t>
            </w:r>
          </w:p>
        </w:tc>
        <w:tc>
          <w:tcPr>
            <w:tcW w:w="300" w:type="dxa"/>
            <w:vAlign w:val="bottom"/>
            <w:tcBorders>
              <w:bottom w:val="single" w:sz="8" w:color="auto"/>
            </w:tcBorders>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6F3E8"/>
          </w:tcPr>
          <w:p>
            <w:pPr>
              <w:jc w:val="right"/>
              <w:ind w:right="15"/>
              <w:spacing w:after="0"/>
              <w:rPr>
                <w:sz w:val="20"/>
                <w:szCs w:val="20"/>
                <w:color w:val="auto"/>
              </w:rPr>
            </w:pPr>
            <w:r>
              <w:rPr>
                <w:rFonts w:ascii="Arial" w:cs="Arial" w:eastAsia="Arial" w:hAnsi="Arial"/>
                <w:sz w:val="18"/>
                <w:szCs w:val="18"/>
                <w:color w:val="auto"/>
              </w:rPr>
              <w:t>28,040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w:t>
      </w:r>
    </w:p>
    <w:p>
      <w:pPr>
        <w:spacing w:after="0" w:line="23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A copy of the Loan Agreement is attached as Exhibit 4b. to our Annual Report on Form 10-K for the year ended August 29, 2009, filed with the SEC on October 27, 2009.</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borrowings have been made under the Loan Agreement as of the date of this report. We intend to use any loan proceeds from the Loan Agreement for working capital and for other general corporate purposes, if needed.</w:t>
      </w:r>
    </w:p>
    <w:p>
      <w:pPr>
        <w:spacing w:after="0" w:line="18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ranging from 1 - 3 percent of the maximum credit available under the Loan Agreement if we terminate the Loan Agreement prior to October 13, 2012.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13, 2009, we terminated our credit and security agreement with Wells Fargo Bank, National Association (Wells Fargo) in accordance with its terms in order to enter into the new credit facility (as described above) that would provide more financial flexibility over a longer period of time. As a result of the termination, as required pursuant to the agreement with Wells Fargo, a termination fee of 1.5 percent of the facility, or $375,000, was recorded as expense during the first quarter of Fiscal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Warranty</w:t>
      </w:r>
    </w:p>
    <w:p>
      <w:pPr>
        <w:spacing w:after="0" w:line="231"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We provide our motor home retail purchasers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liability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right"/>
              <w:ind w:right="496"/>
              <w:spacing w:after="0"/>
              <w:rPr>
                <w:sz w:val="20"/>
                <w:szCs w:val="20"/>
                <w:color w:val="auto"/>
              </w:rPr>
            </w:pPr>
            <w:r>
              <w:rPr>
                <w:rFonts w:ascii="Arial" w:cs="Arial" w:eastAsia="Arial" w:hAnsi="Arial"/>
                <w:sz w:val="14"/>
                <w:szCs w:val="14"/>
                <w:b w:val="1"/>
                <w:bCs w:val="1"/>
                <w:color w:val="auto"/>
              </w:rPr>
              <w:t>Quarter Ended</w:t>
            </w:r>
          </w:p>
        </w:tc>
        <w:tc>
          <w:tcPr>
            <w:tcW w:w="66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gridSpan w:val="2"/>
          </w:tcPr>
          <w:p>
            <w:pPr>
              <w:ind w:left="1120"/>
              <w:spacing w:after="0" w:line="149"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w w:val="88"/>
              </w:rPr>
              <w:t>November 28, 2009</w:t>
            </w:r>
          </w:p>
        </w:tc>
        <w:tc>
          <w:tcPr>
            <w:tcW w:w="1740" w:type="dxa"/>
            <w:vAlign w:val="bottom"/>
            <w:gridSpan w:val="2"/>
          </w:tcPr>
          <w:p>
            <w:pPr>
              <w:jc w:val="right"/>
              <w:ind w:right="192"/>
              <w:spacing w:after="0" w:line="149" w:lineRule="exact"/>
              <w:rPr>
                <w:sz w:val="20"/>
                <w:szCs w:val="20"/>
                <w:color w:val="auto"/>
              </w:rPr>
            </w:pPr>
            <w:r>
              <w:rPr>
                <w:rFonts w:ascii="Arial" w:cs="Arial" w:eastAsia="Arial" w:hAnsi="Arial"/>
                <w:sz w:val="14"/>
                <w:szCs w:val="14"/>
                <w:b w:val="1"/>
                <w:bCs w:val="1"/>
                <w:color w:val="auto"/>
              </w:rPr>
              <w:t>November 29, 2008</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8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900" w:type="dxa"/>
            <w:vAlign w:val="bottom"/>
            <w:tcBorders>
              <w:top w:val="single" w:sz="8" w:color="auto"/>
            </w:tcBorders>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D6F3E8"/>
          </w:tcPr>
          <w:p>
            <w:pPr>
              <w:jc w:val="right"/>
              <w:ind w:right="32"/>
              <w:spacing w:after="0"/>
              <w:rPr>
                <w:sz w:val="20"/>
                <w:szCs w:val="20"/>
                <w:color w:val="auto"/>
              </w:rPr>
            </w:pPr>
            <w:r>
              <w:rPr>
                <w:rFonts w:ascii="Arial" w:cs="Arial" w:eastAsia="Arial" w:hAnsi="Arial"/>
                <w:sz w:val="18"/>
                <w:szCs w:val="18"/>
                <w:color w:val="auto"/>
              </w:rPr>
              <w:t>6,408</w:t>
            </w:r>
          </w:p>
        </w:tc>
        <w:tc>
          <w:tcPr>
            <w:tcW w:w="1080" w:type="dxa"/>
            <w:vAlign w:val="bottom"/>
            <w:tcBorders>
              <w:top w:val="single" w:sz="8" w:color="auto"/>
            </w:tcBorders>
            <w:shd w:val="clear" w:color="auto" w:fill="D6F3E8"/>
          </w:tcPr>
          <w:p>
            <w:pPr>
              <w:jc w:val="right"/>
              <w:ind w:right="716"/>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D6F3E8"/>
            </w:tcBorders>
            <w:shd w:val="clear" w:color="auto" w:fill="D6F3E8"/>
          </w:tcPr>
          <w:p>
            <w:pPr>
              <w:jc w:val="right"/>
              <w:ind w:right="12"/>
              <w:spacing w:after="0"/>
              <w:rPr>
                <w:sz w:val="20"/>
                <w:szCs w:val="20"/>
                <w:color w:val="auto"/>
              </w:rPr>
            </w:pPr>
            <w:r>
              <w:rPr>
                <w:rFonts w:ascii="Arial" w:cs="Arial" w:eastAsia="Arial" w:hAnsi="Arial"/>
                <w:sz w:val="18"/>
                <w:szCs w:val="18"/>
                <w:color w:val="auto"/>
              </w:rPr>
              <w:t>9,859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1,129</w:t>
            </w:r>
          </w:p>
        </w:tc>
        <w:tc>
          <w:tcPr>
            <w:tcW w:w="10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8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7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auto"/>
            </w:tcBorders>
            <w:shd w:val="clear" w:color="auto" w:fill="D6F3E8"/>
          </w:tcPr>
          <w:p>
            <w:pPr>
              <w:spacing w:after="0"/>
              <w:rPr>
                <w:sz w:val="18"/>
                <w:szCs w:val="18"/>
                <w:color w:val="auto"/>
              </w:rPr>
            </w:pPr>
          </w:p>
        </w:tc>
        <w:tc>
          <w:tcPr>
            <w:tcW w:w="140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(1,357)</w:t>
            </w:r>
          </w:p>
        </w:tc>
        <w:tc>
          <w:tcPr>
            <w:tcW w:w="1080" w:type="dxa"/>
            <w:vAlign w:val="bottom"/>
            <w:tcBorders>
              <w:bottom w:val="single" w:sz="8" w:color="auto"/>
            </w:tcBorders>
            <w:shd w:val="clear" w:color="auto" w:fill="D6F3E8"/>
          </w:tcPr>
          <w:p>
            <w:pPr>
              <w:spacing w:after="0"/>
              <w:rPr>
                <w:sz w:val="18"/>
                <w:szCs w:val="18"/>
                <w:color w:val="auto"/>
              </w:rPr>
            </w:pPr>
          </w:p>
        </w:tc>
        <w:tc>
          <w:tcPr>
            <w:tcW w:w="660" w:type="dxa"/>
            <w:vAlign w:val="bottom"/>
            <w:tcBorders>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(2,306)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6,180</w:t>
            </w:r>
          </w:p>
        </w:tc>
        <w:tc>
          <w:tcPr>
            <w:tcW w:w="108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8,706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9: Employee and Retiree Benefits</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24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3"/>
          </w:tcPr>
          <w:p>
            <w:pPr>
              <w:spacing w:after="0"/>
              <w:rPr>
                <w:sz w:val="20"/>
                <w:szCs w:val="20"/>
                <w:color w:val="auto"/>
              </w:rPr>
            </w:pPr>
            <w:r>
              <w:rPr>
                <w:rFonts w:ascii="Arial" w:cs="Arial" w:eastAsia="Arial" w:hAnsi="Arial"/>
                <w:sz w:val="18"/>
                <w:szCs w:val="18"/>
                <w:color w:val="auto"/>
                <w:w w:val="99"/>
              </w:rPr>
              <w:t>Postretirement health care and deferred compensation benefits are as follows: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November 28,</w:t>
            </w:r>
          </w:p>
        </w:tc>
        <w:tc>
          <w:tcPr>
            <w:tcW w:w="660" w:type="dxa"/>
            <w:vAlign w:val="bottom"/>
          </w:tcPr>
          <w:p>
            <w:pPr>
              <w:spacing w:after="0"/>
              <w:rPr>
                <w:sz w:val="24"/>
                <w:szCs w:val="24"/>
                <w:color w:val="auto"/>
              </w:rPr>
            </w:pPr>
          </w:p>
        </w:tc>
        <w:tc>
          <w:tcPr>
            <w:tcW w:w="1140" w:type="dxa"/>
            <w:vAlign w:val="bottom"/>
          </w:tcPr>
          <w:p>
            <w:pPr>
              <w:jc w:val="right"/>
              <w:ind w:right="476"/>
              <w:spacing w:after="0"/>
              <w:rPr>
                <w:sz w:val="20"/>
                <w:szCs w:val="20"/>
                <w:color w:val="auto"/>
              </w:rPr>
            </w:pPr>
            <w:r>
              <w:rPr>
                <w:rFonts w:ascii="Arial" w:cs="Arial" w:eastAsia="Arial" w:hAnsi="Arial"/>
                <w:sz w:val="14"/>
                <w:szCs w:val="14"/>
                <w:b w:val="1"/>
                <w:bCs w:val="1"/>
                <w:color w:val="auto"/>
                <w:w w:val="78"/>
              </w:rPr>
              <w:t>August 29,</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Postretirement health care benefit cost</w:t>
            </w:r>
          </w:p>
        </w:tc>
        <w:tc>
          <w:tcPr>
            <w:tcW w:w="7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400" w:type="dxa"/>
            <w:vAlign w:val="bottom"/>
            <w:gridSpan w:val="2"/>
            <w:shd w:val="clear" w:color="auto" w:fill="D6F3E8"/>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35,763</w:t>
            </w:r>
          </w:p>
        </w:tc>
        <w:tc>
          <w:tcPr>
            <w:tcW w:w="660" w:type="dxa"/>
            <w:vAlign w:val="bottom"/>
            <w:tcBorders>
              <w:right w:val="single" w:sz="8" w:color="D6F3E8"/>
            </w:tcBorders>
            <w:shd w:val="clear" w:color="auto" w:fill="D6F3E8"/>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35,312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Non-qualified deferred compensation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25,897</w:t>
            </w:r>
          </w:p>
        </w:tc>
        <w:tc>
          <w:tcPr>
            <w:tcW w:w="66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26,092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7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080" w:type="dxa"/>
            <w:vAlign w:val="bottom"/>
            <w:shd w:val="clear" w:color="auto" w:fill="D6F3E8"/>
          </w:tcPr>
          <w:p>
            <w:pPr>
              <w:jc w:val="right"/>
              <w:ind w:right="76"/>
              <w:spacing w:after="0"/>
              <w:rPr>
                <w:sz w:val="20"/>
                <w:szCs w:val="20"/>
                <w:color w:val="auto"/>
              </w:rPr>
            </w:pPr>
            <w:r>
              <w:rPr>
                <w:rFonts w:ascii="Arial" w:cs="Arial" w:eastAsia="Arial" w:hAnsi="Arial"/>
                <w:sz w:val="18"/>
                <w:szCs w:val="18"/>
                <w:color w:val="auto"/>
              </w:rPr>
              <w:t>9,146</w:t>
            </w:r>
          </w:p>
        </w:tc>
        <w:tc>
          <w:tcPr>
            <w:tcW w:w="660" w:type="dxa"/>
            <w:vAlign w:val="bottom"/>
            <w:tcBorders>
              <w:right w:val="single" w:sz="8" w:color="D6F3E8"/>
            </w:tcBorders>
            <w:shd w:val="clear" w:color="auto" w:fill="D6F3E8"/>
          </w:tcPr>
          <w:p>
            <w:pPr>
              <w:spacing w:after="0"/>
              <w:rPr>
                <w:sz w:val="18"/>
                <w:szCs w:val="18"/>
                <w:color w:val="auto"/>
              </w:rPr>
            </w:pPr>
          </w:p>
        </w:tc>
        <w:tc>
          <w:tcPr>
            <w:tcW w:w="114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SERP benefit liability</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3,318</w:t>
            </w:r>
          </w:p>
        </w:tc>
        <w:tc>
          <w:tcPr>
            <w:tcW w:w="66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Executive deferred compensation</w:t>
            </w:r>
          </w:p>
        </w:tc>
        <w:tc>
          <w:tcPr>
            <w:tcW w:w="7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840" w:type="dxa"/>
            <w:vAlign w:val="bottom"/>
            <w:tcBorders>
              <w:bottom w:val="single" w:sz="8" w:color="D6F3E8"/>
            </w:tcBorders>
            <w:shd w:val="clear" w:color="auto" w:fill="D6F3E8"/>
          </w:tcPr>
          <w:p>
            <w:pPr>
              <w:spacing w:after="0"/>
              <w:rPr>
                <w:sz w:val="18"/>
                <w:szCs w:val="18"/>
                <w:color w:val="auto"/>
              </w:rPr>
            </w:pPr>
          </w:p>
        </w:tc>
        <w:tc>
          <w:tcPr>
            <w:tcW w:w="56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65</w:t>
            </w:r>
          </w:p>
        </w:tc>
        <w:tc>
          <w:tcPr>
            <w:tcW w:w="660" w:type="dxa"/>
            <w:vAlign w:val="bottom"/>
            <w:tcBorders>
              <w:bottom w:val="single" w:sz="8" w:color="auto"/>
              <w:right w:val="single" w:sz="8" w:color="D6F3E8"/>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ind w:right="36"/>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74,189</w:t>
            </w:r>
          </w:p>
        </w:tc>
        <w:tc>
          <w:tcPr>
            <w:tcW w:w="660" w:type="dxa"/>
            <w:vAlign w:val="bottom"/>
          </w:tcPr>
          <w:p>
            <w:pPr>
              <w:spacing w:after="0"/>
              <w:rPr>
                <w:sz w:val="18"/>
                <w:szCs w:val="18"/>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840" w:type="dxa"/>
            <w:vAlign w:val="bottom"/>
            <w:tcBorders>
              <w:bottom w:val="single" w:sz="8" w:color="D6F3E8"/>
            </w:tcBorders>
            <w:shd w:val="clear" w:color="auto" w:fill="D6F3E8"/>
          </w:tcPr>
          <w:p>
            <w:pPr>
              <w:spacing w:after="0"/>
              <w:rPr>
                <w:sz w:val="18"/>
                <w:szCs w:val="18"/>
                <w:color w:val="auto"/>
              </w:rPr>
            </w:pPr>
          </w:p>
        </w:tc>
        <w:tc>
          <w:tcPr>
            <w:tcW w:w="560" w:type="dxa"/>
            <w:vAlign w:val="bottom"/>
            <w:tcBorders>
              <w:bottom w:val="single" w:sz="8" w:color="auto"/>
            </w:tcBorders>
            <w:shd w:val="clear" w:color="auto" w:fill="D6F3E8"/>
          </w:tcPr>
          <w:p>
            <w:pPr>
              <w:spacing w:after="0"/>
              <w:rPr>
                <w:sz w:val="18"/>
                <w:szCs w:val="18"/>
                <w:color w:val="auto"/>
              </w:rPr>
            </w:pPr>
          </w:p>
        </w:tc>
        <w:tc>
          <w:tcPr>
            <w:tcW w:w="1080" w:type="dxa"/>
            <w:vAlign w:val="bottom"/>
            <w:tcBorders>
              <w:bottom w:val="single" w:sz="8" w:color="auto"/>
            </w:tcBorders>
            <w:shd w:val="clear" w:color="auto" w:fill="D6F3E8"/>
          </w:tcPr>
          <w:p>
            <w:pPr>
              <w:jc w:val="right"/>
              <w:ind w:right="16"/>
              <w:spacing w:after="0"/>
              <w:rPr>
                <w:sz w:val="20"/>
                <w:szCs w:val="20"/>
                <w:color w:val="auto"/>
              </w:rPr>
            </w:pPr>
            <w:r>
              <w:rPr>
                <w:rFonts w:ascii="Arial" w:cs="Arial" w:eastAsia="Arial" w:hAnsi="Arial"/>
                <w:sz w:val="18"/>
                <w:szCs w:val="18"/>
                <w:color w:val="auto"/>
              </w:rPr>
              <w:t>(4,046)</w:t>
            </w:r>
          </w:p>
        </w:tc>
        <w:tc>
          <w:tcPr>
            <w:tcW w:w="660" w:type="dxa"/>
            <w:vAlign w:val="bottom"/>
            <w:tcBorders>
              <w:bottom w:val="single" w:sz="8" w:color="auto"/>
              <w:right w:val="single" w:sz="8" w:color="D6F3E8"/>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Long-term postretirement health care and deferred compensation benefits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70,143</w:t>
            </w:r>
          </w:p>
        </w:tc>
        <w:tc>
          <w:tcPr>
            <w:tcW w:w="6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69,169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Care Benefits</w:t>
      </w:r>
    </w:p>
    <w:p>
      <w:pPr>
        <w:spacing w:after="0" w:line="21"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consisted of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3"/>
          </w:tcPr>
          <w:p>
            <w:pPr>
              <w:jc w:val="right"/>
              <w:ind w:right="1256"/>
              <w:spacing w:after="0"/>
              <w:rPr>
                <w:sz w:val="20"/>
                <w:szCs w:val="20"/>
                <w:color w:val="auto"/>
              </w:rPr>
            </w:pPr>
            <w:r>
              <w:rPr>
                <w:rFonts w:ascii="Arial" w:cs="Arial" w:eastAsia="Arial" w:hAnsi="Arial"/>
                <w:sz w:val="14"/>
                <w:szCs w:val="14"/>
                <w:b w:val="1"/>
                <w:bCs w:val="1"/>
                <w:color w:val="auto"/>
              </w:rPr>
              <w:t>Quarter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thousands)</w:t>
            </w:r>
          </w:p>
        </w:tc>
        <w:tc>
          <w:tcPr>
            <w:tcW w:w="3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w w:val="89"/>
              </w:rPr>
              <w:t>November 28, 2009</w:t>
            </w:r>
          </w:p>
        </w:tc>
        <w:tc>
          <w:tcPr>
            <w:tcW w:w="280" w:type="dxa"/>
            <w:vAlign w:val="bottom"/>
          </w:tcPr>
          <w:p>
            <w:pPr>
              <w:spacing w:after="0"/>
              <w:rPr>
                <w:sz w:val="13"/>
                <w:szCs w:val="13"/>
                <w:color w:val="auto"/>
              </w:rPr>
            </w:pPr>
          </w:p>
        </w:tc>
        <w:tc>
          <w:tcPr>
            <w:tcW w:w="14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w w:val="89"/>
              </w:rPr>
              <w:t>November 29, 2008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Interest cost</w:t>
            </w:r>
          </w:p>
        </w:tc>
        <w:tc>
          <w:tcPr>
            <w:tcW w:w="3760" w:type="dxa"/>
            <w:vAlign w:val="bottom"/>
            <w:tcBorders>
              <w:top w:val="single" w:sz="8" w:color="auto"/>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D6F3E8"/>
          </w:tcPr>
          <w:p>
            <w:pPr>
              <w:jc w:val="right"/>
              <w:ind w:right="118"/>
              <w:spacing w:after="0"/>
              <w:rPr>
                <w:sz w:val="20"/>
                <w:szCs w:val="20"/>
                <w:color w:val="auto"/>
              </w:rPr>
            </w:pPr>
            <w:r>
              <w:rPr>
                <w:rFonts w:ascii="Arial" w:cs="Arial" w:eastAsia="Arial" w:hAnsi="Arial"/>
                <w:sz w:val="18"/>
                <w:szCs w:val="18"/>
                <w:color w:val="auto"/>
              </w:rPr>
              <w:t>494</w:t>
            </w:r>
          </w:p>
        </w:tc>
        <w:tc>
          <w:tcPr>
            <w:tcW w:w="2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D6F3E8"/>
          </w:tcPr>
          <w:p>
            <w:pPr>
              <w:jc w:val="right"/>
              <w:ind w:right="36"/>
              <w:spacing w:after="0"/>
              <w:rPr>
                <w:sz w:val="20"/>
                <w:szCs w:val="20"/>
                <w:color w:val="auto"/>
              </w:rPr>
            </w:pPr>
            <w:r>
              <w:rPr>
                <w:rFonts w:ascii="Arial" w:cs="Arial" w:eastAsia="Arial" w:hAnsi="Arial"/>
                <w:sz w:val="18"/>
                <w:szCs w:val="18"/>
                <w:color w:val="auto"/>
              </w:rPr>
              <w:t>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Service cost</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118"/>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36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540" w:type="dxa"/>
            <w:vAlign w:val="bottom"/>
            <w:tcBorders>
              <w:bottom w:val="single" w:sz="8" w:color="auto"/>
            </w:tcBorders>
            <w:shd w:val="clear" w:color="auto" w:fill="D6F3E8"/>
          </w:tcPr>
          <w:p>
            <w:pPr>
              <w:jc w:val="right"/>
              <w:ind w:right="58"/>
              <w:spacing w:after="0"/>
              <w:rPr>
                <w:sz w:val="20"/>
                <w:szCs w:val="20"/>
                <w:color w:val="auto"/>
              </w:rPr>
            </w:pPr>
            <w:r>
              <w:rPr>
                <w:rFonts w:ascii="Arial" w:cs="Arial" w:eastAsia="Arial" w:hAnsi="Arial"/>
                <w:sz w:val="18"/>
                <w:szCs w:val="18"/>
                <w:color w:val="auto"/>
              </w:rPr>
              <w:t>(831)</w:t>
            </w:r>
          </w:p>
        </w:tc>
        <w:tc>
          <w:tcPr>
            <w:tcW w:w="280" w:type="dxa"/>
            <w:vAlign w:val="bottom"/>
            <w:tcBorders>
              <w:bottom w:val="single" w:sz="8" w:color="auto"/>
            </w:tcBorders>
            <w:shd w:val="clear" w:color="auto" w:fill="D6F3E8"/>
          </w:tcPr>
          <w:p>
            <w:pPr>
              <w:spacing w:after="0"/>
              <w:rPr>
                <w:sz w:val="18"/>
                <w:szCs w:val="18"/>
                <w:color w:val="auto"/>
              </w:rPr>
            </w:pPr>
          </w:p>
        </w:tc>
        <w:tc>
          <w:tcPr>
            <w:tcW w:w="14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periodic postretirement benefit income</w:t>
            </w:r>
          </w:p>
        </w:tc>
        <w:tc>
          <w:tcPr>
            <w:tcW w:w="3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8"/>
              <w:spacing w:after="0"/>
              <w:rPr>
                <w:sz w:val="20"/>
                <w:szCs w:val="20"/>
                <w:color w:val="auto"/>
              </w:rPr>
            </w:pPr>
            <w:r>
              <w:rPr>
                <w:rFonts w:ascii="Arial" w:cs="Arial" w:eastAsia="Arial" w:hAnsi="Arial"/>
                <w:sz w:val="18"/>
                <w:szCs w:val="18"/>
                <w:color w:val="auto"/>
              </w:rPr>
              <w:t>(198)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340" w:type="dxa"/>
            <w:vAlign w:val="bottom"/>
          </w:tcPr>
          <w:p>
            <w:pPr>
              <w:spacing w:after="0"/>
              <w:rPr>
                <w:sz w:val="11"/>
                <w:szCs w:val="11"/>
                <w:color w:val="auto"/>
              </w:rPr>
            </w:pPr>
          </w:p>
        </w:tc>
        <w:tc>
          <w:tcPr>
            <w:tcW w:w="3760" w:type="dxa"/>
            <w:vAlign w:val="bottom"/>
            <w:gridSpan w:val="2"/>
          </w:tcPr>
          <w:p>
            <w:pPr>
              <w:spacing w:after="0"/>
              <w:rPr>
                <w:sz w:val="11"/>
                <w:szCs w:val="11"/>
                <w:color w:val="auto"/>
              </w:rPr>
            </w:pPr>
          </w:p>
        </w:tc>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40" w:type="dxa"/>
            <w:vAlign w:val="bottom"/>
            <w:shd w:val="clear" w:color="auto" w:fill="D6F3E8"/>
          </w:tcPr>
          <w:p>
            <w:pPr>
              <w:spacing w:after="0"/>
              <w:rPr>
                <w:sz w:val="20"/>
                <w:szCs w:val="20"/>
                <w:color w:val="auto"/>
              </w:rPr>
            </w:pPr>
            <w:r>
              <w:rPr>
                <w:rFonts w:ascii="Arial" w:cs="Arial" w:eastAsia="Arial" w:hAnsi="Arial"/>
                <w:sz w:val="18"/>
                <w:szCs w:val="18"/>
                <w:color w:val="auto"/>
              </w:rPr>
              <w:t>Payments for postretirement health care</w:t>
            </w:r>
          </w:p>
        </w:tc>
        <w:tc>
          <w:tcPr>
            <w:tcW w:w="37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4340" w:type="dxa"/>
            <w:vAlign w:val="bottom"/>
            <w:tcBorders>
              <w:top w:val="single" w:sz="8" w:color="D6F3E8"/>
            </w:tcBorders>
          </w:tcPr>
          <w:p>
            <w:pPr>
              <w:spacing w:after="0"/>
              <w:rPr>
                <w:sz w:val="24"/>
                <w:szCs w:val="24"/>
                <w:color w:val="auto"/>
              </w:rPr>
            </w:pPr>
          </w:p>
        </w:tc>
        <w:tc>
          <w:tcPr>
            <w:tcW w:w="3620" w:type="dxa"/>
            <w:vAlign w:val="bottom"/>
            <w:tcBorders>
              <w:top w:val="single" w:sz="8" w:color="D6F3E8"/>
            </w:tcBorders>
          </w:tcPr>
          <w:p>
            <w:pPr>
              <w:jc w:val="right"/>
              <w:ind w:right="2132"/>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4340" w:type="dxa"/>
            <w:vAlign w:val="bottom"/>
            <w:tcBorders>
              <w:bottom w:val="single" w:sz="8" w:color="808080"/>
            </w:tcBorders>
          </w:tcPr>
          <w:p>
            <w:pPr>
              <w:spacing w:after="0"/>
              <w:rPr>
                <w:sz w:val="21"/>
                <w:szCs w:val="21"/>
                <w:color w:val="auto"/>
              </w:rPr>
            </w:pPr>
          </w:p>
        </w:tc>
        <w:tc>
          <w:tcPr>
            <w:tcW w:w="36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54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4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For accounting purposes, we recognized income from the plan for the first quarters of both fiscal years due to the amortization of the cost savings from an amendment effective September 2004, which amended our postretirement health care benefit by establishing a maximum employer contribution amount.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$83.8 million and $90.6 million at November 28, 2009 and August 29, 2009, respectively.</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$4.3 million and $3.1 million at November 28, 2009 and August 29, 2009,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repurchase exposure as previously described, we established an associated loss reserve. Accrued loss on repurchases was $1.2 million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28, 2009 and August 29, 2009. A summary of the quarterly repurchase activity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Quarter Ended</w:t>
            </w:r>
          </w:p>
        </w:tc>
        <w:tc>
          <w:tcPr>
            <w:tcW w:w="1300" w:type="dxa"/>
            <w:vAlign w:val="bottom"/>
            <w:tcBorders>
              <w:bottom w:val="single" w:sz="8" w:color="auto"/>
            </w:tcBorders>
          </w:tcPr>
          <w:p>
            <w:pPr>
              <w:spacing w:after="0"/>
              <w:rPr>
                <w:sz w:val="14"/>
                <w:szCs w:val="14"/>
                <w:color w:val="auto"/>
              </w:rPr>
            </w:pPr>
          </w:p>
        </w:tc>
      </w:tr>
      <w:tr>
        <w:trPr>
          <w:trHeight w:val="136"/>
        </w:trPr>
        <w:tc>
          <w:tcPr>
            <w:tcW w:w="7980" w:type="dxa"/>
            <w:vAlign w:val="bottom"/>
          </w:tcPr>
          <w:p>
            <w:pPr>
              <w:spacing w:after="0"/>
              <w:rPr>
                <w:sz w:val="11"/>
                <w:szCs w:val="11"/>
                <w:color w:val="auto"/>
              </w:rPr>
            </w:pPr>
          </w:p>
        </w:tc>
        <w:tc>
          <w:tcPr>
            <w:tcW w:w="118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November 28,</w:t>
            </w: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jc w:val="right"/>
              <w:ind w:right="378"/>
              <w:spacing w:after="0" w:line="136" w:lineRule="exact"/>
              <w:rPr>
                <w:sz w:val="20"/>
                <w:szCs w:val="20"/>
                <w:color w:val="auto"/>
              </w:rPr>
            </w:pPr>
            <w:r>
              <w:rPr>
                <w:rFonts w:ascii="Arial" w:cs="Arial" w:eastAsia="Arial" w:hAnsi="Arial"/>
                <w:sz w:val="14"/>
                <w:szCs w:val="14"/>
                <w:b w:val="1"/>
                <w:bCs w:val="1"/>
                <w:color w:val="auto"/>
                <w:w w:val="89"/>
              </w:rPr>
              <w:t>November 29,</w:t>
            </w:r>
          </w:p>
        </w:tc>
      </w:tr>
      <w:tr>
        <w:trPr>
          <w:trHeight w:val="168"/>
        </w:trPr>
        <w:tc>
          <w:tcPr>
            <w:tcW w:w="7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for units)</w:t>
            </w:r>
          </w:p>
        </w:tc>
        <w:tc>
          <w:tcPr>
            <w:tcW w:w="1180" w:type="dxa"/>
            <w:vAlign w:val="bottom"/>
            <w:tcBorders>
              <w:bottom w:val="single" w:sz="8" w:color="auto"/>
            </w:tcBorders>
          </w:tcPr>
          <w:p>
            <w:pPr>
              <w:jc w:val="right"/>
              <w:ind w:right="227"/>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2008</w:t>
            </w:r>
          </w:p>
        </w:tc>
      </w:tr>
      <w:tr>
        <w:trPr>
          <w:trHeight w:val="216"/>
        </w:trPr>
        <w:tc>
          <w:tcPr>
            <w:tcW w:w="7980" w:type="dxa"/>
            <w:vAlign w:val="bottom"/>
            <w:shd w:val="clear" w:color="auto" w:fill="D6F3E8"/>
          </w:tcPr>
          <w:p>
            <w:pPr>
              <w:spacing w:after="0"/>
              <w:rPr>
                <w:sz w:val="20"/>
                <w:szCs w:val="20"/>
                <w:color w:val="auto"/>
              </w:rPr>
            </w:pPr>
            <w:r>
              <w:rPr>
                <w:rFonts w:ascii="Arial" w:cs="Arial" w:eastAsia="Arial" w:hAnsi="Arial"/>
                <w:sz w:val="18"/>
                <w:szCs w:val="18"/>
                <w:color w:val="auto"/>
              </w:rPr>
              <w:t>Inventory repurchased</w:t>
            </w:r>
          </w:p>
        </w:tc>
        <w:tc>
          <w:tcPr>
            <w:tcW w:w="118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spacing w:after="0"/>
              <w:rPr>
                <w:sz w:val="18"/>
                <w:szCs w:val="18"/>
                <w:color w:val="auto"/>
              </w:rPr>
            </w:pP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Units</w:t>
            </w:r>
          </w:p>
        </w:tc>
        <w:tc>
          <w:tcPr>
            <w:tcW w:w="1180" w:type="dxa"/>
            <w:vAlign w:val="bottom"/>
          </w:tcPr>
          <w:p>
            <w:pPr>
              <w:spacing w:after="0"/>
              <w:rPr>
                <w:sz w:val="18"/>
                <w:szCs w:val="18"/>
                <w:color w:val="auto"/>
              </w:rPr>
            </w:pPr>
          </w:p>
        </w:tc>
        <w:tc>
          <w:tcPr>
            <w:tcW w:w="480" w:type="dxa"/>
            <w:vAlign w:val="bottom"/>
          </w:tcPr>
          <w:p>
            <w:pPr>
              <w:jc w:val="right"/>
              <w:ind w:right="96"/>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54</w:t>
            </w: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Dollars</w:t>
            </w:r>
          </w:p>
        </w:tc>
        <w:tc>
          <w:tcPr>
            <w:tcW w:w="1180" w:type="dxa"/>
            <w:vAlign w:val="bottom"/>
            <w:shd w:val="clear" w:color="auto" w:fill="D6F3E8"/>
          </w:tcPr>
          <w:p>
            <w:pPr>
              <w:jc w:val="right"/>
              <w:ind w:right="10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D6F3E8"/>
          </w:tcPr>
          <w:p>
            <w:pPr>
              <w:jc w:val="right"/>
              <w:ind w:right="96"/>
              <w:spacing w:after="0"/>
              <w:rPr>
                <w:sz w:val="20"/>
                <w:szCs w:val="20"/>
                <w:color w:val="auto"/>
              </w:rPr>
            </w:pPr>
            <w:r>
              <w:rPr>
                <w:rFonts w:ascii="Arial" w:cs="Arial" w:eastAsia="Arial" w:hAnsi="Arial"/>
                <w:sz w:val="18"/>
                <w:szCs w:val="18"/>
                <w:color w:val="auto"/>
                <w:w w:val="93"/>
              </w:rPr>
              <w:t>159</w:t>
            </w:r>
          </w:p>
        </w:tc>
        <w:tc>
          <w:tcPr>
            <w:tcW w:w="4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4,909</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Inventory resold</w:t>
            </w:r>
          </w:p>
        </w:tc>
        <w:tc>
          <w:tcPr>
            <w:tcW w:w="1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Units</w:t>
            </w:r>
          </w:p>
        </w:tc>
        <w:tc>
          <w:tcPr>
            <w:tcW w:w="1180" w:type="dxa"/>
            <w:vAlign w:val="bottom"/>
            <w:shd w:val="clear" w:color="auto" w:fill="D6F3E8"/>
          </w:tcPr>
          <w:p>
            <w:pPr>
              <w:spacing w:after="0"/>
              <w:rPr>
                <w:sz w:val="18"/>
                <w:szCs w:val="18"/>
                <w:color w:val="auto"/>
              </w:rPr>
            </w:pPr>
          </w:p>
        </w:tc>
        <w:tc>
          <w:tcPr>
            <w:tcW w:w="480" w:type="dxa"/>
            <w:vAlign w:val="bottom"/>
            <w:shd w:val="clear" w:color="auto" w:fill="D6F3E8"/>
          </w:tcPr>
          <w:p>
            <w:pPr>
              <w:jc w:val="right"/>
              <w:ind w:right="96"/>
              <w:spacing w:after="0"/>
              <w:rPr>
                <w:sz w:val="20"/>
                <w:szCs w:val="20"/>
                <w:color w:val="auto"/>
              </w:rPr>
            </w:pPr>
            <w:r>
              <w:rPr>
                <w:rFonts w:ascii="Arial" w:cs="Arial" w:eastAsia="Arial" w:hAnsi="Arial"/>
                <w:sz w:val="18"/>
                <w:szCs w:val="18"/>
                <w:color w:val="auto"/>
              </w:rPr>
              <w:t>2</w:t>
            </w:r>
          </w:p>
        </w:tc>
        <w:tc>
          <w:tcPr>
            <w:tcW w:w="48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42</w:t>
            </w:r>
          </w:p>
        </w:tc>
      </w:tr>
      <w:tr>
        <w:trPr>
          <w:trHeight w:val="216"/>
        </w:trPr>
        <w:tc>
          <w:tcPr>
            <w:tcW w:w="7980" w:type="dxa"/>
            <w:vAlign w:val="bottom"/>
          </w:tcPr>
          <w:p>
            <w:pPr>
              <w:ind w:left="160"/>
              <w:spacing w:after="0"/>
              <w:rPr>
                <w:sz w:val="20"/>
                <w:szCs w:val="20"/>
                <w:color w:val="auto"/>
              </w:rPr>
            </w:pPr>
            <w:r>
              <w:rPr>
                <w:rFonts w:ascii="Arial" w:cs="Arial" w:eastAsia="Arial" w:hAnsi="Arial"/>
                <w:sz w:val="18"/>
                <w:szCs w:val="18"/>
                <w:color w:val="auto"/>
              </w:rPr>
              <w:t>Cash collected</w:t>
            </w:r>
          </w:p>
        </w:tc>
        <w:tc>
          <w:tcPr>
            <w:tcW w:w="1180" w:type="dxa"/>
            <w:vAlign w:val="bottom"/>
          </w:tcPr>
          <w:p>
            <w:pPr>
              <w:jc w:val="right"/>
              <w:ind w:right="102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ind w:right="96"/>
              <w:spacing w:after="0"/>
              <w:rPr>
                <w:sz w:val="20"/>
                <w:szCs w:val="20"/>
                <w:color w:val="auto"/>
              </w:rPr>
            </w:pPr>
            <w:r>
              <w:rPr>
                <w:rFonts w:ascii="Arial" w:cs="Arial" w:eastAsia="Arial" w:hAnsi="Arial"/>
                <w:sz w:val="18"/>
                <w:szCs w:val="18"/>
                <w:color w:val="auto"/>
                <w:w w:val="93"/>
              </w:rPr>
              <w:t>146</w:t>
            </w:r>
          </w:p>
        </w:tc>
        <w:tc>
          <w:tcPr>
            <w:tcW w:w="4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3,337</w:t>
            </w:r>
          </w:p>
        </w:tc>
      </w:tr>
      <w:tr>
        <w:trPr>
          <w:trHeight w:val="216"/>
        </w:trPr>
        <w:tc>
          <w:tcPr>
            <w:tcW w:w="79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Loss recognized</w:t>
            </w:r>
          </w:p>
        </w:tc>
        <w:tc>
          <w:tcPr>
            <w:tcW w:w="1180" w:type="dxa"/>
            <w:vAlign w:val="bottom"/>
            <w:shd w:val="clear" w:color="auto" w:fill="D6F3E8"/>
          </w:tcPr>
          <w:p>
            <w:pPr>
              <w:jc w:val="right"/>
              <w:ind w:right="102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D6F3E8"/>
          </w:tcPr>
          <w:p>
            <w:pPr>
              <w:jc w:val="right"/>
              <w:ind w:right="96"/>
              <w:spacing w:after="0"/>
              <w:rPr>
                <w:sz w:val="20"/>
                <w:szCs w:val="20"/>
                <w:color w:val="auto"/>
              </w:rPr>
            </w:pPr>
            <w:r>
              <w:rPr>
                <w:rFonts w:ascii="Arial" w:cs="Arial" w:eastAsia="Arial" w:hAnsi="Arial"/>
                <w:sz w:val="18"/>
                <w:szCs w:val="18"/>
                <w:color w:val="auto"/>
              </w:rPr>
              <w:t>16</w:t>
            </w:r>
          </w:p>
        </w:tc>
        <w:tc>
          <w:tcPr>
            <w:tcW w:w="480" w:type="dxa"/>
            <w:vAlign w:val="bottom"/>
            <w:shd w:val="clear" w:color="auto" w:fill="D6F3E8"/>
          </w:tcPr>
          <w:p>
            <w:pPr>
              <w:jc w:val="right"/>
              <w:ind w:right="152"/>
              <w:spacing w:after="0"/>
              <w:rPr>
                <w:sz w:val="20"/>
                <w:szCs w:val="20"/>
                <w:color w:val="auto"/>
              </w:rPr>
            </w:pPr>
            <w:r>
              <w:rPr>
                <w:rFonts w:ascii="Arial" w:cs="Arial" w:eastAsia="Arial" w:hAnsi="Arial"/>
                <w:sz w:val="18"/>
                <w:szCs w:val="18"/>
                <w:color w:val="auto"/>
              </w:rPr>
              <w:t>$</w:t>
            </w:r>
          </w:p>
        </w:tc>
        <w:tc>
          <w:tcPr>
            <w:tcW w:w="1300" w:type="dxa"/>
            <w:vAlign w:val="bottom"/>
            <w:shd w:val="clear" w:color="auto" w:fill="D6F3E8"/>
          </w:tcPr>
          <w:p>
            <w:pPr>
              <w:jc w:val="right"/>
              <w:ind w:right="38"/>
              <w:spacing w:after="0"/>
              <w:rPr>
                <w:sz w:val="20"/>
                <w:szCs w:val="20"/>
                <w:color w:val="auto"/>
              </w:rPr>
            </w:pPr>
            <w:r>
              <w:rPr>
                <w:rFonts w:ascii="Arial" w:cs="Arial" w:eastAsia="Arial" w:hAnsi="Arial"/>
                <w:sz w:val="18"/>
                <w:szCs w:val="18"/>
                <w:color w:val="auto"/>
              </w:rPr>
              <w:t>479</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account for income taxes under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November 28, 2009, and August 29, 2009, we have applied a full valuation allowance of $42.9 million and $45.3 million, respectively, against our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taxable income in determining whether a valuation allowance is appropriate. Accordingly, as of August 29, 2009, we concluded that a full valuation allowance on our deferred tax assets was needed. We will continue to assess the likelihood that our deferred tax assets will be realizable, and our valuation allowance will be adjusted accordingly, which could materially impact our financial position and results of operations.</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On November 6, 2009, the President of the United States signed into law the Worker, Homeownership, and Business Assistance Act of 2009, which expands the net operating loss (NOL) carryback period from two to five years, allowing us to carryback all Fiscal 2009 NOLs. As a result, we recorded a tax benefit of $4.8 million related to the portion of the 2009 NOL that was previously not able to be carried back, reduced the associated valuation allowance and increased our tax receivable. We filed our carryback tax return in December 2009 and anticipate that our federal refund will be received during our second quarter of Fiscal 2010.</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income tax returns for Fiscal 2006 through Fiscal 2008 are currently under examination by the IRS. An estimate of the range of possible changes that may result from the examination cannot be made at this time.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other years are subject to state and local jurisdiction review.</w:t>
      </w:r>
    </w:p>
    <w:p>
      <w:pPr>
        <w:spacing w:after="0" w:line="174"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As of November 28, 2009, our total unrecognized tax benefits were $9.0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into tax expense. As of November 28, 2009, we had accrued $2.9 million in interest and penalties.</w:t>
      </w:r>
    </w:p>
    <w:p>
      <w:pPr>
        <w:spacing w:after="0" w:line="16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anticipate there could be a potential decrease in unrecognized tax benefits of approximately $2.0 million within the next twelve months from expected settlements or payments of uncertain tax positions. Actual results may differ materially from this estimate.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976"/>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318"/>
              <w:spacing w:after="0" w:line="136" w:lineRule="exact"/>
              <w:rPr>
                <w:sz w:val="20"/>
                <w:szCs w:val="20"/>
                <w:color w:val="auto"/>
              </w:rPr>
            </w:pPr>
            <w:r>
              <w:rPr>
                <w:rFonts w:ascii="Arial" w:cs="Arial" w:eastAsia="Arial" w:hAnsi="Arial"/>
                <w:sz w:val="14"/>
                <w:szCs w:val="14"/>
                <w:b w:val="1"/>
                <w:bCs w:val="1"/>
                <w:color w:val="auto"/>
                <w:w w:val="95"/>
              </w:rPr>
              <w:t>November 28,</w:t>
            </w:r>
          </w:p>
        </w:tc>
        <w:tc>
          <w:tcPr>
            <w:tcW w:w="220" w:type="dxa"/>
            <w:vAlign w:val="bottom"/>
          </w:tcPr>
          <w:p>
            <w:pPr>
              <w:spacing w:after="0"/>
              <w:rPr>
                <w:sz w:val="11"/>
                <w:szCs w:val="11"/>
                <w:color w:val="auto"/>
              </w:rPr>
            </w:pPr>
          </w:p>
        </w:tc>
        <w:tc>
          <w:tcPr>
            <w:tcW w:w="1180" w:type="dxa"/>
            <w:vAlign w:val="bottom"/>
          </w:tcPr>
          <w:p>
            <w:pPr>
              <w:jc w:val="right"/>
              <w:ind w:right="236"/>
              <w:spacing w:after="0" w:line="136" w:lineRule="exact"/>
              <w:rPr>
                <w:sz w:val="20"/>
                <w:szCs w:val="20"/>
                <w:color w:val="auto"/>
              </w:rPr>
            </w:pPr>
            <w:r>
              <w:rPr>
                <w:rFonts w:ascii="Arial" w:cs="Arial" w:eastAsia="Arial" w:hAnsi="Arial"/>
                <w:sz w:val="14"/>
                <w:szCs w:val="14"/>
                <w:b w:val="1"/>
                <w:bCs w:val="1"/>
                <w:color w:val="auto"/>
                <w:w w:val="91"/>
              </w:rPr>
              <w:t>November 29,</w:t>
            </w:r>
          </w:p>
        </w:tc>
        <w:tc>
          <w:tcPr>
            <w:tcW w:w="0" w:type="dxa"/>
            <w:vAlign w:val="bottom"/>
          </w:tcPr>
          <w:p>
            <w:pPr>
              <w:spacing w:after="0"/>
              <w:rPr>
                <w:sz w:val="1"/>
                <w:szCs w:val="1"/>
                <w:color w:val="auto"/>
              </w:rPr>
            </w:pPr>
          </w:p>
        </w:tc>
      </w:tr>
      <w:tr>
        <w:trPr>
          <w:trHeight w:val="168"/>
        </w:trPr>
        <w:tc>
          <w:tcPr>
            <w:tcW w:w="856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300" w:type="dxa"/>
            <w:vAlign w:val="bottom"/>
          </w:tcPr>
          <w:p>
            <w:pPr>
              <w:jc w:val="right"/>
              <w:ind w:right="59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180" w:type="dxa"/>
            <w:vAlign w:val="bottom"/>
          </w:tcPr>
          <w:p>
            <w:pPr>
              <w:jc w:val="right"/>
              <w:ind w:right="496"/>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top w:val="single" w:sz="8" w:color="auto"/>
            </w:tcBorders>
            <w:gridSpan w:val="3"/>
            <w:shd w:val="clear" w:color="auto" w:fill="D6F3E8"/>
          </w:tcPr>
          <w:p>
            <w:pPr>
              <w:spacing w:after="0" w:line="176" w:lineRule="exact"/>
              <w:rPr>
                <w:sz w:val="20"/>
                <w:szCs w:val="20"/>
                <w:color w:val="auto"/>
              </w:rPr>
            </w:pPr>
            <w:r>
              <w:rPr>
                <w:rFonts w:ascii="Arial" w:cs="Arial" w:eastAsia="Arial" w:hAnsi="Arial"/>
                <w:sz w:val="18"/>
                <w:szCs w:val="18"/>
                <w:color w:val="auto"/>
              </w:rPr>
              <w:t>Loss per share - basic</w:t>
            </w:r>
          </w:p>
        </w:tc>
        <w:tc>
          <w:tcPr>
            <w:tcW w:w="160" w:type="dxa"/>
            <w:vAlign w:val="bottom"/>
            <w:tcBorders>
              <w:top w:val="single" w:sz="8" w:color="auto"/>
            </w:tcBorders>
            <w:shd w:val="clear" w:color="auto" w:fill="D6F3E8"/>
          </w:tcPr>
          <w:p>
            <w:pPr>
              <w:spacing w:after="0"/>
              <w:rPr>
                <w:sz w:val="17"/>
                <w:szCs w:val="17"/>
                <w:color w:val="auto"/>
              </w:rPr>
            </w:pPr>
          </w:p>
        </w:tc>
        <w:tc>
          <w:tcPr>
            <w:tcW w:w="1300" w:type="dxa"/>
            <w:vAlign w:val="bottom"/>
            <w:tcBorders>
              <w:top w:val="single" w:sz="8" w:color="auto"/>
            </w:tcBorders>
            <w:shd w:val="clear" w:color="auto" w:fill="D6F3E8"/>
          </w:tcPr>
          <w:p>
            <w:pPr>
              <w:spacing w:after="0"/>
              <w:rPr>
                <w:sz w:val="17"/>
                <w:szCs w:val="17"/>
                <w:color w:val="auto"/>
              </w:rPr>
            </w:pPr>
          </w:p>
        </w:tc>
        <w:tc>
          <w:tcPr>
            <w:tcW w:w="220" w:type="dxa"/>
            <w:vAlign w:val="bottom"/>
            <w:tcBorders>
              <w:top w:val="single" w:sz="8" w:color="auto"/>
            </w:tcBorders>
            <w:shd w:val="clear" w:color="auto" w:fill="D6F3E8"/>
          </w:tcPr>
          <w:p>
            <w:pPr>
              <w:spacing w:after="0"/>
              <w:rPr>
                <w:sz w:val="17"/>
                <w:szCs w:val="17"/>
                <w:color w:val="auto"/>
              </w:rPr>
            </w:pPr>
          </w:p>
        </w:tc>
        <w:tc>
          <w:tcPr>
            <w:tcW w:w="1180" w:type="dxa"/>
            <w:vAlign w:val="bottom"/>
            <w:tcBorders>
              <w:top w:val="single" w:sz="8" w:color="auto"/>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Net loss</w:t>
            </w:r>
          </w:p>
        </w:tc>
        <w:tc>
          <w:tcPr>
            <w:tcW w:w="7040" w:type="dxa"/>
            <w:vAlign w:val="bottom"/>
            <w:tcBorders>
              <w:top w:val="single" w:sz="8" w:color="D6F3E8"/>
            </w:tcBorders>
            <w:gridSpan w:val="2"/>
          </w:tcPr>
          <w:p>
            <w:pPr>
              <w:spacing w:after="0"/>
              <w:rPr>
                <w:sz w:val="19"/>
                <w:szCs w:val="19"/>
                <w:color w:val="auto"/>
              </w:rPr>
            </w:pPr>
          </w:p>
        </w:tc>
        <w:tc>
          <w:tcPr>
            <w:tcW w:w="160" w:type="dxa"/>
            <w:vAlign w:val="bottom"/>
            <w:tcBorders>
              <w:top w:val="single" w:sz="8" w:color="D6F3E8"/>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D6F3E8"/>
              <w:bottom w:val="single" w:sz="8" w:color="auto"/>
            </w:tcBorders>
          </w:tcPr>
          <w:p>
            <w:pPr>
              <w:jc w:val="right"/>
              <w:ind w:right="18"/>
              <w:spacing w:after="0"/>
              <w:rPr>
                <w:sz w:val="20"/>
                <w:szCs w:val="20"/>
                <w:color w:val="auto"/>
              </w:rPr>
            </w:pPr>
            <w:r>
              <w:rPr>
                <w:rFonts w:ascii="Arial" w:cs="Arial" w:eastAsia="Arial" w:hAnsi="Arial"/>
                <w:sz w:val="18"/>
                <w:szCs w:val="18"/>
                <w:color w:val="auto"/>
              </w:rPr>
              <w:t>(1,344)</w:t>
            </w:r>
          </w:p>
        </w:tc>
        <w:tc>
          <w:tcPr>
            <w:tcW w:w="220" w:type="dxa"/>
            <w:vAlign w:val="bottom"/>
            <w:tcBorders>
              <w:top w:val="single" w:sz="8" w:color="D6F3E8"/>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D6F3E8"/>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bottom w:val="single" w:sz="8" w:color="D6F3E8"/>
            </w:tcBorders>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29,073</w:t>
            </w:r>
          </w:p>
        </w:tc>
        <w:tc>
          <w:tcPr>
            <w:tcW w:w="22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ind w:right="36"/>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Net loss per share - basic</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540" w:type="dxa"/>
            <w:vAlign w:val="bottom"/>
            <w:gridSpan w:val="3"/>
            <w:shd w:val="clear" w:color="auto" w:fill="D6F3E8"/>
          </w:tcPr>
          <w:p>
            <w:pPr>
              <w:spacing w:after="0" w:line="176" w:lineRule="exact"/>
              <w:rPr>
                <w:sz w:val="20"/>
                <w:szCs w:val="20"/>
                <w:color w:val="auto"/>
              </w:rPr>
            </w:pPr>
            <w:r>
              <w:rPr>
                <w:rFonts w:ascii="Arial" w:cs="Arial" w:eastAsia="Arial" w:hAnsi="Arial"/>
                <w:sz w:val="18"/>
                <w:szCs w:val="18"/>
                <w:color w:val="auto"/>
              </w:rPr>
              <w:t>Loss per share - assuming dilution</w:t>
            </w:r>
          </w:p>
        </w:tc>
        <w:tc>
          <w:tcPr>
            <w:tcW w:w="160" w:type="dxa"/>
            <w:vAlign w:val="bottom"/>
            <w:shd w:val="clear" w:color="auto" w:fill="D6F3E8"/>
          </w:tcPr>
          <w:p>
            <w:pPr>
              <w:spacing w:after="0"/>
              <w:rPr>
                <w:sz w:val="17"/>
                <w:szCs w:val="17"/>
                <w:color w:val="auto"/>
              </w:rPr>
            </w:pPr>
          </w:p>
        </w:tc>
        <w:tc>
          <w:tcPr>
            <w:tcW w:w="13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18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Net loss</w:t>
            </w:r>
          </w:p>
        </w:tc>
        <w:tc>
          <w:tcPr>
            <w:tcW w:w="6140" w:type="dxa"/>
            <w:vAlign w:val="bottom"/>
            <w:tcBorders>
              <w:top w:val="single" w:sz="8" w:color="D6F3E8"/>
            </w:tcBorders>
          </w:tcPr>
          <w:p>
            <w:pPr>
              <w:spacing w:after="0"/>
              <w:rPr>
                <w:sz w:val="18"/>
                <w:szCs w:val="18"/>
                <w:color w:val="auto"/>
              </w:rPr>
            </w:pPr>
          </w:p>
        </w:tc>
        <w:tc>
          <w:tcPr>
            <w:tcW w:w="160" w:type="dxa"/>
            <w:vAlign w:val="bottom"/>
            <w:tcBorders>
              <w:top w:val="single" w:sz="8" w:color="D6F3E8"/>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D6F3E8"/>
              <w:bottom w:val="single" w:sz="8" w:color="auto"/>
            </w:tcBorders>
          </w:tcPr>
          <w:p>
            <w:pPr>
              <w:jc w:val="right"/>
              <w:ind w:right="18"/>
              <w:spacing w:after="0"/>
              <w:rPr>
                <w:sz w:val="20"/>
                <w:szCs w:val="20"/>
                <w:color w:val="auto"/>
              </w:rPr>
            </w:pPr>
            <w:r>
              <w:rPr>
                <w:rFonts w:ascii="Arial" w:cs="Arial" w:eastAsia="Arial" w:hAnsi="Arial"/>
                <w:sz w:val="18"/>
                <w:szCs w:val="18"/>
                <w:color w:val="auto"/>
              </w:rPr>
              <w:t>(1,344)</w:t>
            </w:r>
          </w:p>
        </w:tc>
        <w:tc>
          <w:tcPr>
            <w:tcW w:w="220" w:type="dxa"/>
            <w:vAlign w:val="bottom"/>
            <w:tcBorders>
              <w:top w:val="single" w:sz="8" w:color="D6F3E8"/>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D6F3E8"/>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29,073</w:t>
            </w:r>
          </w:p>
        </w:tc>
        <w:tc>
          <w:tcPr>
            <w:tcW w:w="220" w:type="dxa"/>
            <w:vAlign w:val="bottom"/>
            <w:shd w:val="clear" w:color="auto" w:fill="D6F3E8"/>
          </w:tcPr>
          <w:p>
            <w:pPr>
              <w:spacing w:after="0"/>
              <w:rPr>
                <w:sz w:val="18"/>
                <w:szCs w:val="18"/>
                <w:color w:val="auto"/>
              </w:rPr>
            </w:pPr>
          </w:p>
        </w:tc>
        <w:tc>
          <w:tcPr>
            <w:tcW w:w="118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29,027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Dilutive impact of options and awards outstanding</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tcBorders>
              <w:bottom w:val="single" w:sz="8" w:color="D6F3E8"/>
            </w:tcBorders>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160" w:type="dxa"/>
            <w:vAlign w:val="bottom"/>
            <w:tcBorders>
              <w:bottom w:val="single" w:sz="8" w:color="auto"/>
            </w:tcBorders>
            <w:shd w:val="clear" w:color="auto" w:fill="D6F3E8"/>
          </w:tcPr>
          <w:p>
            <w:pPr>
              <w:spacing w:after="0"/>
              <w:rPr>
                <w:sz w:val="18"/>
                <w:szCs w:val="18"/>
                <w:color w:val="auto"/>
              </w:rPr>
            </w:pPr>
          </w:p>
        </w:tc>
        <w:tc>
          <w:tcPr>
            <w:tcW w:w="1300" w:type="dxa"/>
            <w:vAlign w:val="bottom"/>
            <w:tcBorders>
              <w:bottom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29,086</w:t>
            </w:r>
          </w:p>
        </w:tc>
        <w:tc>
          <w:tcPr>
            <w:tcW w:w="220" w:type="dxa"/>
            <w:vAlign w:val="bottom"/>
            <w:tcBorders>
              <w:bottom w:val="single" w:sz="8" w:color="auto"/>
            </w:tcBorders>
            <w:shd w:val="clear" w:color="auto" w:fill="D6F3E8"/>
          </w:tcPr>
          <w:p>
            <w:pPr>
              <w:spacing w:after="0"/>
              <w:rPr>
                <w:sz w:val="18"/>
                <w:szCs w:val="18"/>
                <w:color w:val="auto"/>
              </w:rPr>
            </w:pPr>
          </w:p>
        </w:tc>
        <w:tc>
          <w:tcPr>
            <w:tcW w:w="1180" w:type="dxa"/>
            <w:vAlign w:val="bottom"/>
            <w:tcBorders>
              <w:bottom w:val="single" w:sz="8" w:color="auto"/>
            </w:tcBorders>
            <w:shd w:val="clear" w:color="auto" w:fill="D6F3E8"/>
          </w:tcPr>
          <w:p>
            <w:pPr>
              <w:jc w:val="right"/>
              <w:ind w:right="36"/>
              <w:spacing w:after="0"/>
              <w:rPr>
                <w:sz w:val="20"/>
                <w:szCs w:val="20"/>
                <w:color w:val="auto"/>
              </w:rPr>
            </w:pPr>
            <w:r>
              <w:rPr>
                <w:rFonts w:ascii="Arial" w:cs="Arial" w:eastAsia="Arial" w:hAnsi="Arial"/>
                <w:sz w:val="18"/>
                <w:szCs w:val="18"/>
                <w:color w:val="auto"/>
              </w:rPr>
              <w:t>29,039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40" w:type="dxa"/>
            <w:vAlign w:val="bottom"/>
            <w:gridSpan w:val="3"/>
          </w:tcPr>
          <w:p>
            <w:pPr>
              <w:ind w:left="140"/>
              <w:spacing w:after="0"/>
              <w:rPr>
                <w:sz w:val="20"/>
                <w:szCs w:val="20"/>
                <w:color w:val="auto"/>
              </w:rPr>
            </w:pPr>
            <w:r>
              <w:rPr>
                <w:rFonts w:ascii="Arial" w:cs="Arial" w:eastAsia="Arial" w:hAnsi="Arial"/>
                <w:sz w:val="18"/>
                <w:szCs w:val="18"/>
                <w:color w:val="auto"/>
              </w:rPr>
              <w:t>Net loss per share - assuming dilution</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At the end of the first quarters of Fiscal 2010 and Fiscal 2009, there were options outstanding to purchase 962,724 shares and 1,022,566 shares, respectively, of common stock at an average price of $28.20 and $27.31, respectively, which were not included in the computation of diluted income per share because they are considered anti-dilutive under the treasury stock method per ASC 260.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3"/>
          </w:tcPr>
          <w:p>
            <w:pPr>
              <w:jc w:val="right"/>
              <w:ind w:right="1018"/>
              <w:spacing w:after="0"/>
              <w:rPr>
                <w:sz w:val="20"/>
                <w:szCs w:val="20"/>
                <w:color w:val="auto"/>
              </w:rPr>
            </w:pPr>
            <w:r>
              <w:rPr>
                <w:rFonts w:ascii="Arial" w:cs="Arial" w:eastAsia="Arial" w:hAnsi="Arial"/>
                <w:sz w:val="14"/>
                <w:szCs w:val="14"/>
                <w:b w:val="1"/>
                <w:bCs w:val="1"/>
                <w:color w:val="auto"/>
              </w:rPr>
              <w:t>Quarter Ended</w:t>
            </w:r>
          </w:p>
        </w:tc>
      </w:tr>
      <w:tr>
        <w:trPr>
          <w:trHeight w:val="136"/>
        </w:trPr>
        <w:tc>
          <w:tcPr>
            <w:tcW w:w="8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jc w:val="right"/>
              <w:ind w:right="340"/>
              <w:spacing w:after="0" w:line="136" w:lineRule="exact"/>
              <w:rPr>
                <w:sz w:val="20"/>
                <w:szCs w:val="20"/>
                <w:color w:val="auto"/>
              </w:rPr>
            </w:pPr>
            <w:r>
              <w:rPr>
                <w:rFonts w:ascii="Arial" w:cs="Arial" w:eastAsia="Arial" w:hAnsi="Arial"/>
                <w:sz w:val="14"/>
                <w:szCs w:val="14"/>
                <w:b w:val="1"/>
                <w:bCs w:val="1"/>
                <w:color w:val="auto"/>
                <w:w w:val="93"/>
              </w:rPr>
              <w:t>November 28,</w:t>
            </w:r>
          </w:p>
        </w:tc>
        <w:tc>
          <w:tcPr>
            <w:tcW w:w="300" w:type="dxa"/>
            <w:vAlign w:val="bottom"/>
          </w:tcPr>
          <w:p>
            <w:pPr>
              <w:spacing w:after="0"/>
              <w:rPr>
                <w:sz w:val="11"/>
                <w:szCs w:val="11"/>
                <w:color w:val="auto"/>
              </w:rPr>
            </w:pPr>
          </w:p>
        </w:tc>
        <w:tc>
          <w:tcPr>
            <w:tcW w:w="1200" w:type="dxa"/>
            <w:vAlign w:val="bottom"/>
          </w:tcPr>
          <w:p>
            <w:pPr>
              <w:jc w:val="right"/>
              <w:ind w:right="238"/>
              <w:spacing w:after="0" w:line="136" w:lineRule="exact"/>
              <w:rPr>
                <w:sz w:val="20"/>
                <w:szCs w:val="20"/>
                <w:color w:val="auto"/>
              </w:rPr>
            </w:pPr>
            <w:r>
              <w:rPr>
                <w:rFonts w:ascii="Arial" w:cs="Arial" w:eastAsia="Arial" w:hAnsi="Arial"/>
                <w:sz w:val="14"/>
                <w:szCs w:val="14"/>
                <w:b w:val="1"/>
                <w:bCs w:val="1"/>
                <w:color w:val="auto"/>
                <w:w w:val="93"/>
              </w:rPr>
              <w:t>November 29,</w:t>
            </w:r>
          </w:p>
        </w:tc>
      </w:tr>
      <w:tr>
        <w:trPr>
          <w:trHeight w:val="168"/>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2008</w:t>
            </w: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(1,344)</w:t>
            </w:r>
          </w:p>
        </w:tc>
        <w:tc>
          <w:tcPr>
            <w:tcW w:w="3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(9,596)</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Change in temporary impairment of investments, net of tax</w:t>
            </w:r>
          </w:p>
        </w:tc>
        <w:tc>
          <w:tcPr>
            <w:tcW w:w="16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8"/>
                <w:szCs w:val="18"/>
                <w:color w:val="auto"/>
              </w:rPr>
              <w:t>133</w:t>
            </w:r>
          </w:p>
        </w:tc>
        <w:tc>
          <w:tcPr>
            <w:tcW w:w="30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463</w:t>
            </w:r>
          </w:p>
        </w:tc>
      </w:tr>
      <w:tr>
        <w:trPr>
          <w:trHeight w:val="216"/>
        </w:trPr>
        <w:tc>
          <w:tcPr>
            <w:tcW w:w="8460" w:type="dxa"/>
            <w:vAlign w:val="bottom"/>
            <w:shd w:val="clear" w:color="auto" w:fill="D6F3E8"/>
          </w:tcPr>
          <w:p>
            <w:pPr>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shd w:val="clear" w:color="auto" w:fill="D6F3E8"/>
          </w:tcPr>
          <w:p>
            <w:pPr>
              <w:spacing w:after="0"/>
              <w:rPr>
                <w:sz w:val="18"/>
                <w:szCs w:val="18"/>
                <w:color w:val="auto"/>
              </w:rPr>
            </w:pPr>
          </w:p>
        </w:tc>
        <w:tc>
          <w:tcPr>
            <w:tcW w:w="1300" w:type="dxa"/>
            <w:vAlign w:val="bottom"/>
            <w:shd w:val="clear" w:color="auto" w:fill="D6F3E8"/>
          </w:tcPr>
          <w:p>
            <w:pPr>
              <w:jc w:val="right"/>
              <w:ind w:right="40"/>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D6F3E8"/>
          </w:tcPr>
          <w:p>
            <w:pPr>
              <w:spacing w:after="0"/>
              <w:rPr>
                <w:sz w:val="18"/>
                <w:szCs w:val="18"/>
                <w:color w:val="auto"/>
              </w:rPr>
            </w:pPr>
          </w:p>
        </w:tc>
        <w:tc>
          <w:tcPr>
            <w:tcW w:w="12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(633)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106</w:t>
            </w:r>
          </w:p>
        </w:tc>
      </w:tr>
      <w:tr>
        <w:trPr>
          <w:trHeight w:val="250"/>
        </w:trPr>
        <w:tc>
          <w:tcPr>
            <w:tcW w:w="84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6F3E8"/>
          </w:tcPr>
          <w:p>
            <w:pPr>
              <w:jc w:val="right"/>
              <w:ind w:right="40"/>
              <w:spacing w:after="0"/>
              <w:rPr>
                <w:sz w:val="20"/>
                <w:szCs w:val="20"/>
                <w:color w:val="auto"/>
              </w:rPr>
            </w:pPr>
            <w:r>
              <w:rPr>
                <w:rFonts w:ascii="Arial" w:cs="Arial" w:eastAsia="Arial" w:hAnsi="Arial"/>
                <w:sz w:val="18"/>
                <w:szCs w:val="18"/>
                <w:color w:val="auto"/>
              </w:rPr>
              <w:t>(1,726)</w:t>
            </w:r>
          </w:p>
        </w:tc>
        <w:tc>
          <w:tcPr>
            <w:tcW w:w="3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(9,660)</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29,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Winnebago Industries, Inc. is the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For the 2009 calendar year through October, we led the industry in combined retail unit market share of Class A and Class C motor homes in the U.S. For the 2009 calendar year through October, we hold the number three position in retail unit market share for Class B motor homes. See our U.S. retail unit market share for all categories in the following table: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380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4"/>
                <w:szCs w:val="14"/>
                <w:b w:val="1"/>
                <w:bCs w:val="1"/>
                <w:color w:val="auto"/>
                <w:w w:val="94"/>
              </w:rPr>
              <w:t xml:space="preserve">Winnebago Industries U.S. Retail Market Share </w:t>
            </w:r>
            <w:r>
              <w:rPr>
                <w:rFonts w:ascii="Arial" w:cs="Arial" w:eastAsia="Arial" w:hAnsi="Arial"/>
                <w:sz w:val="22"/>
                <w:szCs w:val="22"/>
                <w:b w:val="1"/>
                <w:bCs w:val="1"/>
                <w:color w:val="auto"/>
                <w:w w:val="94"/>
                <w:vertAlign w:val="superscript"/>
              </w:rPr>
              <w:t>(1)</w:t>
            </w:r>
          </w:p>
        </w:tc>
        <w:tc>
          <w:tcPr>
            <w:tcW w:w="800" w:type="dxa"/>
            <w:vAlign w:val="bottom"/>
            <w:tcBorders>
              <w:bottom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3100" w:type="dxa"/>
            <w:vAlign w:val="bottom"/>
            <w:tcBorders>
              <w:bottom w:val="single" w:sz="8" w:color="auto"/>
            </w:tcBorders>
            <w:gridSpan w:val="2"/>
          </w:tcPr>
          <w:p>
            <w:pPr>
              <w:ind w:left="500"/>
              <w:spacing w:after="0" w:line="149" w:lineRule="exact"/>
              <w:rPr>
                <w:sz w:val="20"/>
                <w:szCs w:val="20"/>
                <w:color w:val="auto"/>
              </w:rPr>
            </w:pPr>
            <w:r>
              <w:rPr>
                <w:rFonts w:ascii="Arial" w:cs="Arial" w:eastAsia="Arial" w:hAnsi="Arial"/>
                <w:sz w:val="14"/>
                <w:szCs w:val="14"/>
                <w:b w:val="1"/>
                <w:bCs w:val="1"/>
                <w:color w:val="auto"/>
              </w:rPr>
              <w:t>Calendar Year Through October 31,</w:t>
            </w:r>
          </w:p>
        </w:tc>
        <w:tc>
          <w:tcPr>
            <w:tcW w:w="1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Calendar Year</w:t>
            </w:r>
          </w:p>
        </w:tc>
        <w:tc>
          <w:tcPr>
            <w:tcW w:w="8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b w:val="1"/>
                <w:bCs w:val="1"/>
                <w:color w:val="auto"/>
              </w:rPr>
              <w:t>2009</w:t>
            </w:r>
          </w:p>
        </w:tc>
        <w:tc>
          <w:tcPr>
            <w:tcW w:w="1900" w:type="dxa"/>
            <w:vAlign w:val="bottom"/>
            <w:tcBorders>
              <w:bottom w:val="single" w:sz="8" w:color="auto"/>
            </w:tcBorders>
          </w:tcPr>
          <w:p>
            <w:pPr>
              <w:jc w:val="right"/>
              <w:ind w:right="537"/>
              <w:spacing w:after="0" w:line="149" w:lineRule="exact"/>
              <w:rPr>
                <w:sz w:val="20"/>
                <w:szCs w:val="20"/>
                <w:color w:val="auto"/>
              </w:rPr>
            </w:pPr>
            <w:r>
              <w:rPr>
                <w:rFonts w:ascii="Arial" w:cs="Arial" w:eastAsia="Arial" w:hAnsi="Arial"/>
                <w:sz w:val="14"/>
                <w:szCs w:val="14"/>
                <w:b w:val="1"/>
                <w:bCs w:val="1"/>
                <w:color w:val="auto"/>
              </w:rPr>
              <w:t>2008</w:t>
            </w:r>
          </w:p>
        </w:tc>
        <w:tc>
          <w:tcPr>
            <w:tcW w:w="1900" w:type="dxa"/>
            <w:vAlign w:val="bottom"/>
            <w:tcBorders>
              <w:bottom w:val="single" w:sz="8" w:color="auto"/>
            </w:tcBorders>
          </w:tcPr>
          <w:p>
            <w:pPr>
              <w:jc w:val="right"/>
              <w:ind w:right="877"/>
              <w:spacing w:after="0" w:line="149"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bottom w:val="single" w:sz="8" w:color="auto"/>
            </w:tcBorders>
          </w:tcPr>
          <w:p>
            <w:pPr>
              <w:jc w:val="right"/>
              <w:ind w:right="315"/>
              <w:spacing w:after="0" w:line="149"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Class A gas</w:t>
            </w:r>
          </w:p>
        </w:tc>
        <w:tc>
          <w:tcPr>
            <w:tcW w:w="1200" w:type="dxa"/>
            <w:vAlign w:val="bottom"/>
            <w:shd w:val="clear" w:color="auto" w:fill="D6F3E8"/>
          </w:tcPr>
          <w:p>
            <w:pPr>
              <w:ind w:left="500"/>
              <w:spacing w:after="0"/>
              <w:rPr>
                <w:sz w:val="20"/>
                <w:szCs w:val="20"/>
                <w:color w:val="auto"/>
              </w:rPr>
            </w:pPr>
            <w:r>
              <w:rPr>
                <w:rFonts w:ascii="Arial" w:cs="Arial" w:eastAsia="Arial" w:hAnsi="Arial"/>
                <w:sz w:val="18"/>
                <w:szCs w:val="18"/>
                <w:color w:val="auto"/>
              </w:rPr>
              <w:t>23.1%</w:t>
            </w:r>
          </w:p>
        </w:tc>
        <w:tc>
          <w:tcPr>
            <w:tcW w:w="1900" w:type="dxa"/>
            <w:vAlign w:val="bottom"/>
            <w:shd w:val="clear" w:color="auto" w:fill="D6F3E8"/>
          </w:tcPr>
          <w:p>
            <w:pPr>
              <w:jc w:val="right"/>
              <w:ind w:right="457"/>
              <w:spacing w:after="0"/>
              <w:rPr>
                <w:sz w:val="20"/>
                <w:szCs w:val="20"/>
                <w:color w:val="auto"/>
              </w:rPr>
            </w:pPr>
            <w:r>
              <w:rPr>
                <w:rFonts w:ascii="Arial" w:cs="Arial" w:eastAsia="Arial" w:hAnsi="Arial"/>
                <w:sz w:val="18"/>
                <w:szCs w:val="18"/>
                <w:color w:val="auto"/>
              </w:rPr>
              <w:t>23.1%</w:t>
            </w:r>
          </w:p>
        </w:tc>
        <w:tc>
          <w:tcPr>
            <w:tcW w:w="1900" w:type="dxa"/>
            <w:vAlign w:val="bottom"/>
            <w:shd w:val="clear" w:color="auto" w:fill="D6F3E8"/>
          </w:tcPr>
          <w:p>
            <w:pPr>
              <w:jc w:val="right"/>
              <w:ind w:right="857"/>
              <w:spacing w:after="0"/>
              <w:rPr>
                <w:sz w:val="20"/>
                <w:szCs w:val="20"/>
                <w:color w:val="auto"/>
              </w:rPr>
            </w:pPr>
            <w:r>
              <w:rPr>
                <w:rFonts w:ascii="Arial" w:cs="Arial" w:eastAsia="Arial" w:hAnsi="Arial"/>
                <w:sz w:val="18"/>
                <w:szCs w:val="18"/>
                <w:color w:val="auto"/>
              </w:rPr>
              <w:t>23.2%</w:t>
            </w:r>
          </w:p>
        </w:tc>
        <w:tc>
          <w:tcPr>
            <w:tcW w:w="800" w:type="dxa"/>
            <w:vAlign w:val="bottom"/>
            <w:shd w:val="clear" w:color="auto" w:fill="D6F3E8"/>
          </w:tcPr>
          <w:p>
            <w:pPr>
              <w:jc w:val="right"/>
              <w:ind w:right="255"/>
              <w:spacing w:after="0"/>
              <w:rPr>
                <w:sz w:val="20"/>
                <w:szCs w:val="20"/>
                <w:color w:val="auto"/>
              </w:rPr>
            </w:pPr>
            <w:r>
              <w:rPr>
                <w:rFonts w:ascii="Arial" w:cs="Arial" w:eastAsia="Arial" w:hAnsi="Arial"/>
                <w:sz w:val="18"/>
                <w:szCs w:val="18"/>
                <w:color w:val="auto"/>
                <w:w w:val="86"/>
              </w:rPr>
              <w:t>22.0%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Class A diesel</w:t>
            </w: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11.3%</w:t>
            </w:r>
          </w:p>
        </w:tc>
        <w:tc>
          <w:tcPr>
            <w:tcW w:w="19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8.0%</w:t>
            </w:r>
          </w:p>
        </w:tc>
        <w:tc>
          <w:tcPr>
            <w:tcW w:w="190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rPr>
              <w:t>8.1%</w:t>
            </w: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00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200" w:type="dxa"/>
            <w:vAlign w:val="bottom"/>
            <w:shd w:val="clear" w:color="auto" w:fill="D6F3E8"/>
          </w:tcPr>
          <w:p>
            <w:pPr>
              <w:ind w:left="500"/>
              <w:spacing w:after="0"/>
              <w:rPr>
                <w:sz w:val="20"/>
                <w:szCs w:val="20"/>
                <w:color w:val="auto"/>
              </w:rPr>
            </w:pPr>
            <w:r>
              <w:rPr>
                <w:rFonts w:ascii="Arial" w:cs="Arial" w:eastAsia="Arial" w:hAnsi="Arial"/>
                <w:sz w:val="18"/>
                <w:szCs w:val="18"/>
                <w:color w:val="auto"/>
              </w:rPr>
              <w:t>16.7%</w:t>
            </w:r>
          </w:p>
        </w:tc>
        <w:tc>
          <w:tcPr>
            <w:tcW w:w="1900" w:type="dxa"/>
            <w:vAlign w:val="bottom"/>
            <w:shd w:val="clear" w:color="auto" w:fill="D6F3E8"/>
          </w:tcPr>
          <w:p>
            <w:pPr>
              <w:jc w:val="right"/>
              <w:ind w:right="457"/>
              <w:spacing w:after="0"/>
              <w:rPr>
                <w:sz w:val="20"/>
                <w:szCs w:val="20"/>
                <w:color w:val="auto"/>
              </w:rPr>
            </w:pPr>
            <w:r>
              <w:rPr>
                <w:rFonts w:ascii="Arial" w:cs="Arial" w:eastAsia="Arial" w:hAnsi="Arial"/>
                <w:sz w:val="18"/>
                <w:szCs w:val="18"/>
                <w:color w:val="auto"/>
              </w:rPr>
              <w:t>15.2%</w:t>
            </w:r>
          </w:p>
        </w:tc>
        <w:tc>
          <w:tcPr>
            <w:tcW w:w="1900" w:type="dxa"/>
            <w:vAlign w:val="bottom"/>
            <w:shd w:val="clear" w:color="auto" w:fill="D6F3E8"/>
          </w:tcPr>
          <w:p>
            <w:pPr>
              <w:jc w:val="right"/>
              <w:ind w:right="857"/>
              <w:spacing w:after="0"/>
              <w:rPr>
                <w:sz w:val="20"/>
                <w:szCs w:val="20"/>
                <w:color w:val="auto"/>
              </w:rPr>
            </w:pPr>
            <w:r>
              <w:rPr>
                <w:rFonts w:ascii="Arial" w:cs="Arial" w:eastAsia="Arial" w:hAnsi="Arial"/>
                <w:sz w:val="18"/>
                <w:szCs w:val="18"/>
                <w:color w:val="auto"/>
              </w:rPr>
              <w:t>15.3%</w:t>
            </w:r>
          </w:p>
        </w:tc>
        <w:tc>
          <w:tcPr>
            <w:tcW w:w="800" w:type="dxa"/>
            <w:vAlign w:val="bottom"/>
            <w:shd w:val="clear" w:color="auto" w:fill="D6F3E8"/>
          </w:tcPr>
          <w:p>
            <w:pPr>
              <w:jc w:val="right"/>
              <w:ind w:right="255"/>
              <w:spacing w:after="0"/>
              <w:rPr>
                <w:sz w:val="20"/>
                <w:szCs w:val="20"/>
                <w:color w:val="auto"/>
              </w:rPr>
            </w:pPr>
            <w:r>
              <w:rPr>
                <w:rFonts w:ascii="Arial" w:cs="Arial" w:eastAsia="Arial" w:hAnsi="Arial"/>
                <w:sz w:val="18"/>
                <w:szCs w:val="18"/>
                <w:color w:val="auto"/>
                <w:w w:val="86"/>
              </w:rPr>
              <w:t>15.1%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Class C</w:t>
            </w: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22.9%</w:t>
            </w:r>
          </w:p>
        </w:tc>
        <w:tc>
          <w:tcPr>
            <w:tcW w:w="19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23.0%</w:t>
            </w:r>
          </w:p>
        </w:tc>
        <w:tc>
          <w:tcPr>
            <w:tcW w:w="1900" w:type="dxa"/>
            <w:vAlign w:val="bottom"/>
            <w:tcBorders>
              <w:bottom w:val="single" w:sz="8" w:color="auto"/>
            </w:tcBorders>
          </w:tcPr>
          <w:p>
            <w:pPr>
              <w:jc w:val="right"/>
              <w:ind w:right="857"/>
              <w:spacing w:after="0"/>
              <w:rPr>
                <w:sz w:val="20"/>
                <w:szCs w:val="20"/>
                <w:color w:val="auto"/>
              </w:rPr>
            </w:pPr>
            <w:r>
              <w:rPr>
                <w:rFonts w:ascii="Arial" w:cs="Arial" w:eastAsia="Arial" w:hAnsi="Arial"/>
                <w:sz w:val="18"/>
                <w:szCs w:val="18"/>
                <w:color w:val="auto"/>
              </w:rPr>
              <w:t>22.9%</w:t>
            </w: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w w:val="86"/>
              </w:rPr>
              <w:t>24.0%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 w:type="dxa"/>
            <w:vAlign w:val="bottom"/>
            <w:tcBorders>
              <w:bottom w:val="single" w:sz="8" w:color="D6F3E8"/>
            </w:tcBorders>
            <w:shd w:val="clear" w:color="auto" w:fill="D6F3E8"/>
          </w:tcPr>
          <w:p>
            <w:pPr>
              <w:spacing w:after="0"/>
              <w:rPr>
                <w:sz w:val="21"/>
                <w:szCs w:val="21"/>
                <w:color w:val="auto"/>
              </w:rPr>
            </w:pPr>
          </w:p>
        </w:tc>
        <w:tc>
          <w:tcPr>
            <w:tcW w:w="50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Class A and C</w:t>
            </w:r>
          </w:p>
        </w:tc>
        <w:tc>
          <w:tcPr>
            <w:tcW w:w="1200" w:type="dxa"/>
            <w:vAlign w:val="bottom"/>
            <w:tcBorders>
              <w:bottom w:val="single" w:sz="8" w:color="auto"/>
            </w:tcBorders>
            <w:shd w:val="clear" w:color="auto" w:fill="D6F3E8"/>
          </w:tcPr>
          <w:p>
            <w:pPr>
              <w:ind w:left="500"/>
              <w:spacing w:after="0"/>
              <w:rPr>
                <w:sz w:val="20"/>
                <w:szCs w:val="20"/>
                <w:color w:val="auto"/>
              </w:rPr>
            </w:pPr>
            <w:r>
              <w:rPr>
                <w:rFonts w:ascii="Arial" w:cs="Arial" w:eastAsia="Arial" w:hAnsi="Arial"/>
                <w:sz w:val="18"/>
                <w:szCs w:val="18"/>
                <w:color w:val="auto"/>
              </w:rPr>
              <w:t>19.3%</w:t>
            </w:r>
          </w:p>
        </w:tc>
        <w:tc>
          <w:tcPr>
            <w:tcW w:w="1900" w:type="dxa"/>
            <w:vAlign w:val="bottom"/>
            <w:tcBorders>
              <w:bottom w:val="single" w:sz="8" w:color="auto"/>
            </w:tcBorders>
            <w:shd w:val="clear" w:color="auto" w:fill="D6F3E8"/>
          </w:tcPr>
          <w:p>
            <w:pPr>
              <w:jc w:val="right"/>
              <w:ind w:right="457"/>
              <w:spacing w:after="0"/>
              <w:rPr>
                <w:sz w:val="20"/>
                <w:szCs w:val="20"/>
                <w:color w:val="auto"/>
              </w:rPr>
            </w:pPr>
            <w:r>
              <w:rPr>
                <w:rFonts w:ascii="Arial" w:cs="Arial" w:eastAsia="Arial" w:hAnsi="Arial"/>
                <w:sz w:val="18"/>
                <w:szCs w:val="18"/>
                <w:color w:val="auto"/>
              </w:rPr>
              <w:t>18.3%</w:t>
            </w:r>
          </w:p>
        </w:tc>
        <w:tc>
          <w:tcPr>
            <w:tcW w:w="1900" w:type="dxa"/>
            <w:vAlign w:val="bottom"/>
            <w:tcBorders>
              <w:bottom w:val="single" w:sz="8" w:color="auto"/>
            </w:tcBorders>
            <w:shd w:val="clear" w:color="auto" w:fill="D6F3E8"/>
          </w:tcPr>
          <w:p>
            <w:pPr>
              <w:jc w:val="right"/>
              <w:ind w:right="857"/>
              <w:spacing w:after="0"/>
              <w:rPr>
                <w:sz w:val="20"/>
                <w:szCs w:val="20"/>
                <w:color w:val="auto"/>
              </w:rPr>
            </w:pPr>
            <w:r>
              <w:rPr>
                <w:rFonts w:ascii="Arial" w:cs="Arial" w:eastAsia="Arial" w:hAnsi="Arial"/>
                <w:sz w:val="18"/>
                <w:szCs w:val="18"/>
                <w:color w:val="auto"/>
              </w:rPr>
              <w:t>18.3%</w:t>
            </w:r>
          </w:p>
        </w:tc>
        <w:tc>
          <w:tcPr>
            <w:tcW w:w="800" w:type="dxa"/>
            <w:vAlign w:val="bottom"/>
            <w:tcBorders>
              <w:bottom w:val="single" w:sz="8" w:color="auto"/>
            </w:tcBorders>
            <w:shd w:val="clear" w:color="auto" w:fill="D6F3E8"/>
          </w:tcPr>
          <w:p>
            <w:pPr>
              <w:jc w:val="right"/>
              <w:ind w:right="255"/>
              <w:spacing w:after="0"/>
              <w:rPr>
                <w:sz w:val="20"/>
                <w:szCs w:val="20"/>
                <w:color w:val="auto"/>
              </w:rPr>
            </w:pPr>
            <w:r>
              <w:rPr>
                <w:rFonts w:ascii="Arial" w:cs="Arial" w:eastAsia="Arial" w:hAnsi="Arial"/>
                <w:sz w:val="18"/>
                <w:szCs w:val="18"/>
                <w:color w:val="auto"/>
                <w:w w:val="86"/>
              </w:rPr>
              <w:t>18.5%</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60" w:type="dxa"/>
            <w:vAlign w:val="bottom"/>
            <w:gridSpan w:val="3"/>
          </w:tcPr>
          <w:p>
            <w:pPr>
              <w:spacing w:after="0" w:line="196" w:lineRule="exact"/>
              <w:rPr>
                <w:sz w:val="20"/>
                <w:szCs w:val="20"/>
                <w:color w:val="auto"/>
              </w:rPr>
            </w:pPr>
            <w:r>
              <w:rPr>
                <w:rFonts w:ascii="Arial" w:cs="Arial" w:eastAsia="Arial" w:hAnsi="Arial"/>
                <w:sz w:val="18"/>
                <w:szCs w:val="18"/>
                <w:color w:val="auto"/>
              </w:rPr>
              <w:t>Class B</w:t>
            </w:r>
          </w:p>
        </w:tc>
        <w:tc>
          <w:tcPr>
            <w:tcW w:w="1200" w:type="dxa"/>
            <w:vAlign w:val="bottom"/>
            <w:tcBorders>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16.8%</w:t>
            </w:r>
          </w:p>
        </w:tc>
        <w:tc>
          <w:tcPr>
            <w:tcW w:w="1900" w:type="dxa"/>
            <w:vAlign w:val="bottom"/>
            <w:tcBorders>
              <w:bottom w:val="single" w:sz="8" w:color="auto"/>
            </w:tcBorders>
          </w:tcPr>
          <w:p>
            <w:pPr>
              <w:jc w:val="right"/>
              <w:ind w:right="457"/>
              <w:spacing w:after="0" w:line="196" w:lineRule="exact"/>
              <w:rPr>
                <w:sz w:val="20"/>
                <w:szCs w:val="20"/>
                <w:color w:val="auto"/>
              </w:rPr>
            </w:pPr>
            <w:r>
              <w:rPr>
                <w:rFonts w:ascii="Arial" w:cs="Arial" w:eastAsia="Arial" w:hAnsi="Arial"/>
                <w:sz w:val="18"/>
                <w:szCs w:val="18"/>
                <w:color w:val="auto"/>
              </w:rPr>
              <w:t>3.2%</w:t>
            </w:r>
          </w:p>
        </w:tc>
        <w:tc>
          <w:tcPr>
            <w:tcW w:w="1900" w:type="dxa"/>
            <w:vAlign w:val="bottom"/>
            <w:tcBorders>
              <w:bottom w:val="single" w:sz="8" w:color="auto"/>
            </w:tcBorders>
          </w:tcPr>
          <w:p>
            <w:pPr>
              <w:jc w:val="right"/>
              <w:ind w:right="857"/>
              <w:spacing w:after="0" w:line="196" w:lineRule="exact"/>
              <w:rPr>
                <w:sz w:val="20"/>
                <w:szCs w:val="20"/>
                <w:color w:val="auto"/>
              </w:rPr>
            </w:pPr>
            <w:r>
              <w:rPr>
                <w:rFonts w:ascii="Arial" w:cs="Arial" w:eastAsia="Arial" w:hAnsi="Arial"/>
                <w:sz w:val="18"/>
                <w:szCs w:val="18"/>
                <w:color w:val="auto"/>
              </w:rPr>
              <w:t>3.7%</w:t>
            </w:r>
          </w:p>
        </w:tc>
        <w:tc>
          <w:tcPr>
            <w:tcW w:w="800" w:type="dxa"/>
            <w:vAlign w:val="bottom"/>
            <w:tcBorders>
              <w:bottom w:val="single" w:sz="8" w:color="auto"/>
            </w:tcBorders>
          </w:tcPr>
          <w:p>
            <w:pPr>
              <w:jc w:val="right"/>
              <w:ind w:right="255"/>
              <w:spacing w:after="0" w:line="196" w:lineRule="exact"/>
              <w:rPr>
                <w:sz w:val="20"/>
                <w:szCs w:val="20"/>
                <w:color w:val="auto"/>
              </w:rPr>
            </w:pPr>
            <w:r>
              <w:rPr>
                <w:rFonts w:ascii="Arial" w:cs="Arial" w:eastAsia="Arial" w:hAnsi="Arial"/>
                <w:sz w:val="18"/>
                <w:szCs w:val="18"/>
                <w:color w:val="auto"/>
              </w:rPr>
              <w:t>0.0%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5000" w:type="dxa"/>
            <w:vAlign w:val="bottom"/>
            <w:vMerge w:val="restart"/>
          </w:tcPr>
          <w:p>
            <w:pPr>
              <w:ind w:left="420"/>
              <w:spacing w:after="0"/>
              <w:rPr>
                <w:sz w:val="20"/>
                <w:szCs w:val="20"/>
                <w:color w:val="auto"/>
              </w:rPr>
            </w:pPr>
            <w:r>
              <w:rPr>
                <w:rFonts w:ascii="Arial" w:cs="Arial" w:eastAsia="Arial" w:hAnsi="Arial"/>
                <w:sz w:val="14"/>
                <w:szCs w:val="14"/>
                <w:color w:val="auto"/>
              </w:rPr>
              <w:t>As reported by Statistical Surveys, Inc. (Statistical Surveys).</w:t>
            </w:r>
          </w:p>
        </w:tc>
        <w:tc>
          <w:tcPr>
            <w:tcW w:w="1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60" w:type="dxa"/>
            <w:vAlign w:val="bottom"/>
            <w:gridSpan w:val="2"/>
            <w:vMerge w:val="continue"/>
          </w:tcPr>
          <w:p>
            <w:pPr>
              <w:spacing w:after="0"/>
              <w:rPr>
                <w:sz w:val="24"/>
                <w:szCs w:val="24"/>
                <w:color w:val="auto"/>
              </w:rPr>
            </w:pPr>
          </w:p>
        </w:tc>
        <w:tc>
          <w:tcPr>
            <w:tcW w:w="50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0" w:type="dxa"/>
            <w:vAlign w:val="bottom"/>
          </w:tcPr>
          <w:p>
            <w:pPr>
              <w:ind w:left="460"/>
              <w:spacing w:after="0"/>
              <w:rPr>
                <w:sz w:val="20"/>
                <w:szCs w:val="20"/>
                <w:color w:val="auto"/>
              </w:rPr>
            </w:pPr>
            <w:r>
              <w:rPr>
                <w:rFonts w:ascii="Arial" w:cs="Arial" w:eastAsia="Arial" w:hAnsi="Arial"/>
                <w:sz w:val="18"/>
                <w:szCs w:val="18"/>
                <w:color w:val="auto"/>
              </w:rPr>
              <w:t>10</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50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1900" w:type="dxa"/>
            <w:vAlign w:val="bottom"/>
            <w:tcBorders>
              <w:bottom w:val="single" w:sz="8" w:color="808080"/>
            </w:tcBorders>
          </w:tcPr>
          <w:p>
            <w:pPr>
              <w:spacing w:after="0"/>
              <w:rPr>
                <w:sz w:val="21"/>
                <w:szCs w:val="21"/>
                <w:color w:val="auto"/>
              </w:rPr>
            </w:pPr>
          </w:p>
        </w:tc>
        <w:tc>
          <w:tcPr>
            <w:tcW w:w="190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Business Outlook</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RV industry saw substantial reductions in wholesale motor home shipments (down nearly 50 percent) and retail registrations (down nearly 40 percent) during calendar 2008 as compared to 2007. The trend continued in the 2009 calendar year through October, with motor home shipments down approximately 63 percent and retail registrations down approximately 36 percent, as detailed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14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w w:val="85"/>
              </w:rPr>
              <w:t xml:space="preserve">Industry Wholesale Shipments </w:t>
            </w:r>
            <w:r>
              <w:rPr>
                <w:rFonts w:ascii="Arial" w:cs="Arial" w:eastAsia="Arial" w:hAnsi="Arial"/>
                <w:sz w:val="22"/>
                <w:szCs w:val="22"/>
                <w:b w:val="1"/>
                <w:bCs w:val="1"/>
                <w:color w:val="auto"/>
                <w:w w:val="85"/>
                <w:vertAlign w:val="superscript"/>
              </w:rPr>
              <w:t>(1)</w:t>
            </w: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3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w w:val="90"/>
              </w:rPr>
              <w:t xml:space="preserve">Industry Retail Registration </w:t>
            </w:r>
            <w:r>
              <w:rPr>
                <w:rFonts w:ascii="Arial" w:cs="Arial" w:eastAsia="Arial" w:hAnsi="Arial"/>
                <w:sz w:val="22"/>
                <w:szCs w:val="22"/>
                <w:b w:val="1"/>
                <w:bCs w:val="1"/>
                <w:color w:val="auto"/>
                <w:w w:val="90"/>
                <w:vertAlign w:val="superscript"/>
              </w:rPr>
              <w:t>(2)</w:t>
            </w:r>
          </w:p>
        </w:tc>
        <w:tc>
          <w:tcPr>
            <w:tcW w:w="740" w:type="dxa"/>
            <w:vAlign w:val="bottom"/>
          </w:tcPr>
          <w:p>
            <w:pPr>
              <w:spacing w:after="0"/>
              <w:rPr>
                <w:sz w:val="21"/>
                <w:szCs w:val="21"/>
                <w:color w:val="auto"/>
              </w:rPr>
            </w:pPr>
          </w:p>
        </w:tc>
      </w:tr>
      <w:tr>
        <w:trPr>
          <w:trHeight w:val="168"/>
        </w:trPr>
        <w:tc>
          <w:tcPr>
            <w:tcW w:w="3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636"/>
              <w:spacing w:after="0"/>
              <w:rPr>
                <w:sz w:val="20"/>
                <w:szCs w:val="20"/>
                <w:color w:val="auto"/>
              </w:rPr>
            </w:pPr>
            <w:r>
              <w:rPr>
                <w:rFonts w:ascii="Arial" w:cs="Arial" w:eastAsia="Arial" w:hAnsi="Arial"/>
                <w:sz w:val="14"/>
                <w:szCs w:val="14"/>
                <w:b w:val="1"/>
                <w:bCs w:val="1"/>
                <w:color w:val="auto"/>
              </w:rPr>
              <w:t>Calendar Year</w:t>
            </w:r>
          </w:p>
        </w:tc>
        <w:tc>
          <w:tcPr>
            <w:tcW w:w="8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Calendar Year</w:t>
            </w: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36"/>
        </w:trPr>
        <w:tc>
          <w:tcPr>
            <w:tcW w:w="3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jc w:val="center"/>
              <w:ind w:right="158"/>
              <w:spacing w:after="0" w:line="136" w:lineRule="exact"/>
              <w:rPr>
                <w:sz w:val="20"/>
                <w:szCs w:val="20"/>
                <w:color w:val="auto"/>
              </w:rPr>
            </w:pPr>
            <w:r>
              <w:rPr>
                <w:rFonts w:ascii="Arial" w:cs="Arial" w:eastAsia="Arial" w:hAnsi="Arial"/>
                <w:sz w:val="14"/>
                <w:szCs w:val="14"/>
                <w:b w:val="1"/>
                <w:bCs w:val="1"/>
                <w:color w:val="auto"/>
                <w:w w:val="94"/>
              </w:rPr>
              <w:t>% of</w:t>
            </w: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jc w:val="center"/>
              <w:ind w:right="58"/>
              <w:spacing w:after="0" w:line="136" w:lineRule="exact"/>
              <w:rPr>
                <w:sz w:val="20"/>
                <w:szCs w:val="20"/>
                <w:color w:val="auto"/>
              </w:rPr>
            </w:pPr>
            <w:r>
              <w:rPr>
                <w:rFonts w:ascii="Arial" w:cs="Arial" w:eastAsia="Arial" w:hAnsi="Arial"/>
                <w:sz w:val="14"/>
                <w:szCs w:val="14"/>
                <w:b w:val="1"/>
                <w:bCs w:val="1"/>
                <w:color w:val="auto"/>
                <w:w w:val="94"/>
              </w:rPr>
              <w:t>% of</w:t>
            </w:r>
          </w:p>
        </w:tc>
      </w:tr>
      <w:tr>
        <w:trPr>
          <w:trHeight w:val="168"/>
        </w:trPr>
        <w:tc>
          <w:tcPr>
            <w:tcW w:w="3240" w:type="dxa"/>
            <w:vAlign w:val="bottom"/>
          </w:tcPr>
          <w:p>
            <w:pPr>
              <w:spacing w:after="0"/>
              <w:rPr>
                <w:sz w:val="20"/>
                <w:szCs w:val="20"/>
                <w:color w:val="auto"/>
              </w:rPr>
            </w:pPr>
            <w:r>
              <w:rPr>
                <w:rFonts w:ascii="Arial" w:cs="Arial" w:eastAsia="Arial" w:hAnsi="Arial"/>
                <w:sz w:val="14"/>
                <w:szCs w:val="14"/>
                <w:b w:val="1"/>
                <w:bCs w:val="1"/>
                <w:color w:val="auto"/>
              </w:rPr>
              <w:t>(In units)</w:t>
            </w: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2007</w:t>
            </w: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84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Decrease</w:t>
            </w:r>
          </w:p>
        </w:tc>
        <w:tc>
          <w:tcPr>
            <w:tcW w:w="13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1440" w:type="dxa"/>
            <w:vAlign w:val="bottom"/>
          </w:tcPr>
          <w:p>
            <w:pPr>
              <w:jc w:val="right"/>
              <w:ind w:right="618"/>
              <w:spacing w:after="0"/>
              <w:rPr>
                <w:sz w:val="20"/>
                <w:szCs w:val="20"/>
                <w:color w:val="auto"/>
              </w:rPr>
            </w:pPr>
            <w:r>
              <w:rPr>
                <w:rFonts w:ascii="Arial" w:cs="Arial" w:eastAsia="Arial" w:hAnsi="Arial"/>
                <w:sz w:val="14"/>
                <w:szCs w:val="14"/>
                <w:b w:val="1"/>
                <w:bCs w:val="1"/>
                <w:color w:val="auto"/>
              </w:rPr>
              <w:t>2007</w:t>
            </w: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w w:val="86"/>
              </w:rPr>
              <w:t>Decrease</w:t>
            </w: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0"/>
              </w:rPr>
              <w:t>Decrease</w:t>
            </w:r>
          </w:p>
        </w:tc>
      </w:tr>
      <w:tr>
        <w:trPr>
          <w:trHeight w:val="216"/>
        </w:trPr>
        <w:tc>
          <w:tcPr>
            <w:tcW w:w="32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First quarter</w:t>
            </w: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10,400</w:t>
            </w:r>
          </w:p>
        </w:tc>
        <w:tc>
          <w:tcPr>
            <w:tcW w:w="1100" w:type="dxa"/>
            <w:vAlign w:val="bottom"/>
            <w:tcBorders>
              <w:top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13,600</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(3,200)</w:t>
            </w:r>
          </w:p>
        </w:tc>
        <w:tc>
          <w:tcPr>
            <w:tcW w:w="840" w:type="dxa"/>
            <w:vAlign w:val="bottom"/>
            <w:tcBorders>
              <w:top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(23.5)</w:t>
            </w:r>
          </w:p>
        </w:tc>
        <w:tc>
          <w:tcPr>
            <w:tcW w:w="420" w:type="dxa"/>
            <w:vAlign w:val="bottom"/>
            <w:shd w:val="clear" w:color="auto" w:fill="D6F3E8"/>
          </w:tcPr>
          <w:p>
            <w:pPr>
              <w:spacing w:after="0"/>
              <w:rPr>
                <w:sz w:val="18"/>
                <w:szCs w:val="18"/>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8,800</w:t>
            </w:r>
          </w:p>
        </w:tc>
        <w:tc>
          <w:tcPr>
            <w:tcW w:w="1440" w:type="dxa"/>
            <w:vAlign w:val="bottom"/>
            <w:tcBorders>
              <w:top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11,500</w:t>
            </w: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(2,700)</w:t>
            </w: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Second quarter</w:t>
            </w:r>
          </w:p>
        </w:tc>
        <w:tc>
          <w:tcPr>
            <w:tcW w:w="780" w:type="dxa"/>
            <w:vAlign w:val="bottom"/>
          </w:tcPr>
          <w:p>
            <w:pPr>
              <w:jc w:val="right"/>
              <w:spacing w:after="0"/>
              <w:rPr>
                <w:sz w:val="20"/>
                <w:szCs w:val="20"/>
                <w:color w:val="auto"/>
              </w:rPr>
            </w:pPr>
            <w:r>
              <w:rPr>
                <w:rFonts w:ascii="Arial" w:cs="Arial" w:eastAsia="Arial" w:hAnsi="Arial"/>
                <w:sz w:val="18"/>
                <w:szCs w:val="18"/>
                <w:color w:val="auto"/>
              </w:rPr>
              <w:t>8,600</w:t>
            </w: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15,000</w:t>
            </w:r>
          </w:p>
        </w:tc>
        <w:tc>
          <w:tcPr>
            <w:tcW w:w="1040" w:type="dxa"/>
            <w:vAlign w:val="bottom"/>
          </w:tcPr>
          <w:p>
            <w:pPr>
              <w:jc w:val="right"/>
              <w:spacing w:after="0"/>
              <w:rPr>
                <w:sz w:val="20"/>
                <w:szCs w:val="20"/>
                <w:color w:val="auto"/>
              </w:rPr>
            </w:pPr>
            <w:r>
              <w:rPr>
                <w:rFonts w:ascii="Arial" w:cs="Arial" w:eastAsia="Arial" w:hAnsi="Arial"/>
                <w:sz w:val="18"/>
                <w:szCs w:val="18"/>
                <w:color w:val="auto"/>
              </w:rPr>
              <w:t>(6,400)</w:t>
            </w:r>
          </w:p>
        </w:tc>
        <w:tc>
          <w:tcPr>
            <w:tcW w:w="840" w:type="dxa"/>
            <w:vAlign w:val="bottom"/>
          </w:tcPr>
          <w:p>
            <w:pPr>
              <w:jc w:val="right"/>
              <w:ind w:right="78"/>
              <w:spacing w:after="0"/>
              <w:rPr>
                <w:sz w:val="20"/>
                <w:szCs w:val="20"/>
                <w:color w:val="auto"/>
              </w:rPr>
            </w:pPr>
            <w:r>
              <w:rPr>
                <w:rFonts w:ascii="Arial" w:cs="Arial" w:eastAsia="Arial" w:hAnsi="Arial"/>
                <w:sz w:val="18"/>
                <w:szCs w:val="18"/>
                <w:color w:val="auto"/>
              </w:rPr>
              <w:t>(42.7)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1440" w:type="dxa"/>
            <w:vAlign w:val="bottom"/>
          </w:tcPr>
          <w:p>
            <w:pPr>
              <w:jc w:val="right"/>
              <w:ind w:right="178"/>
              <w:spacing w:after="0"/>
              <w:rPr>
                <w:sz w:val="20"/>
                <w:szCs w:val="20"/>
                <w:color w:val="auto"/>
              </w:rPr>
            </w:pPr>
            <w:r>
              <w:rPr>
                <w:rFonts w:ascii="Arial" w:cs="Arial" w:eastAsia="Arial" w:hAnsi="Arial"/>
                <w:sz w:val="18"/>
                <w:szCs w:val="18"/>
                <w:color w:val="auto"/>
              </w:rPr>
              <w:t>15,100</w:t>
            </w:r>
          </w:p>
        </w:tc>
        <w:tc>
          <w:tcPr>
            <w:tcW w:w="860" w:type="dxa"/>
            <w:vAlign w:val="bottom"/>
          </w:tcPr>
          <w:p>
            <w:pPr>
              <w:jc w:val="right"/>
              <w:spacing w:after="0"/>
              <w:rPr>
                <w:sz w:val="20"/>
                <w:szCs w:val="20"/>
                <w:color w:val="auto"/>
              </w:rPr>
            </w:pPr>
            <w:r>
              <w:rPr>
                <w:rFonts w:ascii="Arial" w:cs="Arial" w:eastAsia="Arial" w:hAnsi="Arial"/>
                <w:sz w:val="18"/>
                <w:szCs w:val="18"/>
                <w:color w:val="auto"/>
              </w:rPr>
              <w:t>(5,300)</w:t>
            </w: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3240" w:type="dxa"/>
            <w:vAlign w:val="bottom"/>
            <w:shd w:val="clear" w:color="auto" w:fill="D6F3E8"/>
          </w:tcPr>
          <w:p>
            <w:pPr>
              <w:spacing w:after="0"/>
              <w:rPr>
                <w:sz w:val="20"/>
                <w:szCs w:val="20"/>
                <w:color w:val="auto"/>
              </w:rPr>
            </w:pPr>
            <w:r>
              <w:rPr>
                <w:rFonts w:ascii="Arial" w:cs="Arial" w:eastAsia="Arial" w:hAnsi="Arial"/>
                <w:sz w:val="18"/>
                <w:szCs w:val="18"/>
                <w:color w:val="auto"/>
              </w:rPr>
              <w:t>Third quarter</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4,600</w:t>
            </w:r>
          </w:p>
        </w:tc>
        <w:tc>
          <w:tcPr>
            <w:tcW w:w="110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12,400</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(7,800)</w:t>
            </w:r>
          </w:p>
        </w:tc>
        <w:tc>
          <w:tcPr>
            <w:tcW w:w="8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(62.9)</w:t>
            </w:r>
          </w:p>
        </w:tc>
        <w:tc>
          <w:tcPr>
            <w:tcW w:w="1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6,300</w:t>
            </w:r>
          </w:p>
        </w:tc>
        <w:tc>
          <w:tcPr>
            <w:tcW w:w="144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12,200</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(5,900)</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Fourth quarter</w:t>
            </w: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11,300</w:t>
            </w:r>
          </w:p>
        </w:tc>
        <w:tc>
          <w:tcPr>
            <w:tcW w:w="1040" w:type="dxa"/>
            <w:vAlign w:val="bottom"/>
          </w:tcPr>
          <w:p>
            <w:pPr>
              <w:jc w:val="right"/>
              <w:spacing w:after="0"/>
              <w:rPr>
                <w:sz w:val="20"/>
                <w:szCs w:val="20"/>
                <w:color w:val="auto"/>
              </w:rPr>
            </w:pPr>
            <w:r>
              <w:rPr>
                <w:rFonts w:ascii="Arial" w:cs="Arial" w:eastAsia="Arial" w:hAnsi="Arial"/>
                <w:sz w:val="18"/>
                <w:szCs w:val="18"/>
                <w:color w:val="auto"/>
              </w:rPr>
              <w:t>(8,500)</w:t>
            </w:r>
          </w:p>
        </w:tc>
        <w:tc>
          <w:tcPr>
            <w:tcW w:w="840" w:type="dxa"/>
            <w:vAlign w:val="bottom"/>
          </w:tcPr>
          <w:p>
            <w:pPr>
              <w:jc w:val="right"/>
              <w:ind w:right="78"/>
              <w:spacing w:after="0"/>
              <w:rPr>
                <w:sz w:val="20"/>
                <w:szCs w:val="20"/>
                <w:color w:val="auto"/>
              </w:rPr>
            </w:pPr>
            <w:r>
              <w:rPr>
                <w:rFonts w:ascii="Arial" w:cs="Arial" w:eastAsia="Arial" w:hAnsi="Arial"/>
                <w:sz w:val="18"/>
                <w:szCs w:val="18"/>
                <w:color w:val="auto"/>
              </w:rPr>
              <w:t>(75.2)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4,100</w:t>
            </w:r>
          </w:p>
        </w:tc>
        <w:tc>
          <w:tcPr>
            <w:tcW w:w="1440" w:type="dxa"/>
            <w:vAlign w:val="bottom"/>
          </w:tcPr>
          <w:p>
            <w:pPr>
              <w:jc w:val="right"/>
              <w:ind w:right="178"/>
              <w:spacing w:after="0"/>
              <w:rPr>
                <w:sz w:val="20"/>
                <w:szCs w:val="20"/>
                <w:color w:val="auto"/>
              </w:rPr>
            </w:pPr>
            <w:r>
              <w:rPr>
                <w:rFonts w:ascii="Arial" w:cs="Arial" w:eastAsia="Arial" w:hAnsi="Arial"/>
                <w:sz w:val="18"/>
                <w:szCs w:val="18"/>
                <w:color w:val="auto"/>
              </w:rPr>
              <w:t>8,400</w:t>
            </w:r>
          </w:p>
        </w:tc>
        <w:tc>
          <w:tcPr>
            <w:tcW w:w="860" w:type="dxa"/>
            <w:vAlign w:val="bottom"/>
          </w:tcPr>
          <w:p>
            <w:pPr>
              <w:jc w:val="right"/>
              <w:spacing w:after="0"/>
              <w:rPr>
                <w:sz w:val="20"/>
                <w:szCs w:val="20"/>
                <w:color w:val="auto"/>
              </w:rPr>
            </w:pPr>
            <w:r>
              <w:rPr>
                <w:rFonts w:ascii="Arial" w:cs="Arial" w:eastAsia="Arial" w:hAnsi="Arial"/>
                <w:sz w:val="18"/>
                <w:szCs w:val="18"/>
                <w:color w:val="auto"/>
              </w:rPr>
              <w:t>(4,300)</w:t>
            </w:r>
          </w:p>
        </w:tc>
        <w:tc>
          <w:tcPr>
            <w:tcW w:w="74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50"/>
        </w:trPr>
        <w:tc>
          <w:tcPr>
            <w:tcW w:w="3240" w:type="dxa"/>
            <w:vAlign w:val="bottom"/>
            <w:tcBorders>
              <w:bottom w:val="single" w:sz="8" w:color="D6F3E8"/>
            </w:tcBorders>
            <w:shd w:val="clear" w:color="auto" w:fill="D6F3E8"/>
          </w:tcPr>
          <w:p>
            <w:pPr>
              <w:spacing w:after="0"/>
              <w:rPr>
                <w:sz w:val="21"/>
                <w:szCs w:val="21"/>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26,400</w:t>
            </w:r>
          </w:p>
        </w:tc>
        <w:tc>
          <w:tcPr>
            <w:tcW w:w="1100" w:type="dxa"/>
            <w:vAlign w:val="bottom"/>
            <w:tcBorders>
              <w:top w:val="single" w:sz="8" w:color="auto"/>
              <w:bottom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52,300</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(25,900)</w:t>
            </w:r>
          </w:p>
        </w:tc>
        <w:tc>
          <w:tcPr>
            <w:tcW w:w="840" w:type="dxa"/>
            <w:vAlign w:val="bottom"/>
            <w:tcBorders>
              <w:top w:val="single" w:sz="8" w:color="auto"/>
              <w:bottom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(49.5)</w:t>
            </w:r>
          </w:p>
        </w:tc>
        <w:tc>
          <w:tcPr>
            <w:tcW w:w="420" w:type="dxa"/>
            <w:vAlign w:val="bottom"/>
            <w:tcBorders>
              <w:bottom w:val="single" w:sz="8" w:color="D6F3E8"/>
            </w:tcBorders>
            <w:shd w:val="clear" w:color="auto" w:fill="D6F3E8"/>
          </w:tcPr>
          <w:p>
            <w:pPr>
              <w:spacing w:after="0"/>
              <w:rPr>
                <w:sz w:val="21"/>
                <w:szCs w:val="21"/>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29,000</w:t>
            </w:r>
          </w:p>
        </w:tc>
        <w:tc>
          <w:tcPr>
            <w:tcW w:w="1440" w:type="dxa"/>
            <w:vAlign w:val="bottom"/>
            <w:tcBorders>
              <w:top w:val="single" w:sz="8" w:color="auto"/>
              <w:bottom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47,200</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(18,200)</w:t>
            </w:r>
          </w:p>
        </w:tc>
        <w:tc>
          <w:tcPr>
            <w:tcW w:w="7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(38.6)</w:t>
            </w:r>
          </w:p>
        </w:tc>
      </w:tr>
      <w:tr>
        <w:trPr>
          <w:trHeight w:val="265"/>
        </w:trPr>
        <w:tc>
          <w:tcPr>
            <w:tcW w:w="3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 of</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 of</w:t>
            </w:r>
          </w:p>
        </w:tc>
      </w:tr>
      <w:tr>
        <w:trPr>
          <w:trHeight w:val="168"/>
        </w:trPr>
        <w:tc>
          <w:tcPr>
            <w:tcW w:w="3240" w:type="dxa"/>
            <w:vAlign w:val="bottom"/>
          </w:tcPr>
          <w:p>
            <w:pPr>
              <w:spacing w:after="0"/>
              <w:rPr>
                <w:sz w:val="20"/>
                <w:szCs w:val="20"/>
                <w:color w:val="auto"/>
              </w:rPr>
            </w:pPr>
            <w:r>
              <w:rPr>
                <w:rFonts w:ascii="Arial" w:cs="Arial" w:eastAsia="Arial" w:hAnsi="Arial"/>
                <w:sz w:val="14"/>
                <w:szCs w:val="14"/>
                <w:b w:val="1"/>
                <w:bCs w:val="1"/>
                <w:color w:val="auto"/>
              </w:rPr>
              <w:t>(In units)</w:t>
            </w:r>
          </w:p>
        </w:tc>
        <w:tc>
          <w:tcPr>
            <w:tcW w:w="78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1100" w:type="dxa"/>
            <w:vAlign w:val="bottom"/>
          </w:tcPr>
          <w:p>
            <w:pPr>
              <w:jc w:val="right"/>
              <w:ind w:right="398"/>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Decrease</w:t>
            </w:r>
          </w:p>
        </w:tc>
        <w:tc>
          <w:tcPr>
            <w:tcW w:w="840" w:type="dxa"/>
            <w:vAlign w:val="bottom"/>
          </w:tcPr>
          <w:p>
            <w:pPr>
              <w:jc w:val="center"/>
              <w:ind w:right="118"/>
              <w:spacing w:after="0"/>
              <w:rPr>
                <w:sz w:val="20"/>
                <w:szCs w:val="20"/>
                <w:color w:val="auto"/>
              </w:rPr>
            </w:pPr>
            <w:r>
              <w:rPr>
                <w:rFonts w:ascii="Arial" w:cs="Arial" w:eastAsia="Arial" w:hAnsi="Arial"/>
                <w:sz w:val="14"/>
                <w:szCs w:val="14"/>
                <w:b w:val="1"/>
                <w:bCs w:val="1"/>
                <w:color w:val="auto"/>
                <w:w w:val="83"/>
              </w:rPr>
              <w:t>Decrease</w:t>
            </w:r>
          </w:p>
        </w:tc>
        <w:tc>
          <w:tcPr>
            <w:tcW w:w="13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2009</w:t>
            </w:r>
          </w:p>
        </w:tc>
        <w:tc>
          <w:tcPr>
            <w:tcW w:w="1440" w:type="dxa"/>
            <w:vAlign w:val="bottom"/>
          </w:tcPr>
          <w:p>
            <w:pPr>
              <w:jc w:val="right"/>
              <w:ind w:right="618"/>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w w:val="86"/>
              </w:rPr>
              <w:t>Decrease</w:t>
            </w: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0"/>
              </w:rPr>
              <w:t>Decrease</w:t>
            </w:r>
          </w:p>
        </w:tc>
      </w:tr>
      <w:tr>
        <w:trPr>
          <w:trHeight w:val="216"/>
        </w:trPr>
        <w:tc>
          <w:tcPr>
            <w:tcW w:w="32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First quarter</w:t>
            </w:r>
          </w:p>
        </w:tc>
        <w:tc>
          <w:tcPr>
            <w:tcW w:w="7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2,200</w:t>
            </w:r>
          </w:p>
        </w:tc>
        <w:tc>
          <w:tcPr>
            <w:tcW w:w="1100" w:type="dxa"/>
            <w:vAlign w:val="bottom"/>
            <w:tcBorders>
              <w:top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10,400</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(8,200)</w:t>
            </w:r>
          </w:p>
        </w:tc>
        <w:tc>
          <w:tcPr>
            <w:tcW w:w="840" w:type="dxa"/>
            <w:vAlign w:val="bottom"/>
            <w:tcBorders>
              <w:top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D6F3E8"/>
          </w:tcPr>
          <w:p>
            <w:pPr>
              <w:spacing w:after="0"/>
              <w:rPr>
                <w:sz w:val="18"/>
                <w:szCs w:val="18"/>
                <w:color w:val="auto"/>
              </w:rPr>
            </w:pPr>
          </w:p>
        </w:tc>
        <w:tc>
          <w:tcPr>
            <w:tcW w:w="9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4,400</w:t>
            </w:r>
          </w:p>
        </w:tc>
        <w:tc>
          <w:tcPr>
            <w:tcW w:w="1440" w:type="dxa"/>
            <w:vAlign w:val="bottom"/>
            <w:tcBorders>
              <w:top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8,800</w:t>
            </w: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(4,400)</w:t>
            </w:r>
          </w:p>
        </w:tc>
        <w:tc>
          <w:tcPr>
            <w:tcW w:w="7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Second quarter</w:t>
            </w:r>
          </w:p>
        </w:tc>
        <w:tc>
          <w:tcPr>
            <w:tcW w:w="780" w:type="dxa"/>
            <w:vAlign w:val="bottom"/>
          </w:tcPr>
          <w:p>
            <w:pPr>
              <w:jc w:val="right"/>
              <w:spacing w:after="0"/>
              <w:rPr>
                <w:sz w:val="20"/>
                <w:szCs w:val="20"/>
                <w:color w:val="auto"/>
              </w:rPr>
            </w:pPr>
            <w:r>
              <w:rPr>
                <w:rFonts w:ascii="Arial" w:cs="Arial" w:eastAsia="Arial" w:hAnsi="Arial"/>
                <w:sz w:val="18"/>
                <w:szCs w:val="18"/>
                <w:color w:val="auto"/>
              </w:rPr>
              <w:t>2,900</w:t>
            </w: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8,600</w:t>
            </w:r>
          </w:p>
        </w:tc>
        <w:tc>
          <w:tcPr>
            <w:tcW w:w="1040" w:type="dxa"/>
            <w:vAlign w:val="bottom"/>
          </w:tcPr>
          <w:p>
            <w:pPr>
              <w:jc w:val="right"/>
              <w:spacing w:after="0"/>
              <w:rPr>
                <w:sz w:val="20"/>
                <w:szCs w:val="20"/>
                <w:color w:val="auto"/>
              </w:rPr>
            </w:pPr>
            <w:r>
              <w:rPr>
                <w:rFonts w:ascii="Arial" w:cs="Arial" w:eastAsia="Arial" w:hAnsi="Arial"/>
                <w:sz w:val="18"/>
                <w:szCs w:val="18"/>
                <w:color w:val="auto"/>
              </w:rPr>
              <w:t>(5,700)</w:t>
            </w:r>
          </w:p>
        </w:tc>
        <w:tc>
          <w:tcPr>
            <w:tcW w:w="840" w:type="dxa"/>
            <w:vAlign w:val="bottom"/>
          </w:tcPr>
          <w:p>
            <w:pPr>
              <w:jc w:val="right"/>
              <w:ind w:right="78"/>
              <w:spacing w:after="0"/>
              <w:rPr>
                <w:sz w:val="20"/>
                <w:szCs w:val="20"/>
                <w:color w:val="auto"/>
              </w:rPr>
            </w:pPr>
            <w:r>
              <w:rPr>
                <w:rFonts w:ascii="Arial" w:cs="Arial" w:eastAsia="Arial" w:hAnsi="Arial"/>
                <w:sz w:val="18"/>
                <w:szCs w:val="18"/>
                <w:color w:val="auto"/>
              </w:rPr>
              <w:t>(66.3)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1440" w:type="dxa"/>
            <w:vAlign w:val="bottom"/>
          </w:tcPr>
          <w:p>
            <w:pPr>
              <w:jc w:val="right"/>
              <w:ind w:right="178"/>
              <w:spacing w:after="0"/>
              <w:rPr>
                <w:sz w:val="20"/>
                <w:szCs w:val="20"/>
                <w:color w:val="auto"/>
              </w:rPr>
            </w:pPr>
            <w:r>
              <w:rPr>
                <w:rFonts w:ascii="Arial" w:cs="Arial" w:eastAsia="Arial" w:hAnsi="Arial"/>
                <w:sz w:val="18"/>
                <w:szCs w:val="18"/>
                <w:color w:val="auto"/>
              </w:rPr>
              <w:t>9,800</w:t>
            </w:r>
          </w:p>
        </w:tc>
        <w:tc>
          <w:tcPr>
            <w:tcW w:w="860" w:type="dxa"/>
            <w:vAlign w:val="bottom"/>
          </w:tcPr>
          <w:p>
            <w:pPr>
              <w:jc w:val="right"/>
              <w:spacing w:after="0"/>
              <w:rPr>
                <w:sz w:val="20"/>
                <w:szCs w:val="20"/>
                <w:color w:val="auto"/>
              </w:rPr>
            </w:pPr>
            <w:r>
              <w:rPr>
                <w:rFonts w:ascii="Arial" w:cs="Arial" w:eastAsia="Arial" w:hAnsi="Arial"/>
                <w:sz w:val="18"/>
                <w:szCs w:val="18"/>
                <w:color w:val="auto"/>
              </w:rPr>
              <w:t>(3,800)</w:t>
            </w:r>
          </w:p>
        </w:tc>
        <w:tc>
          <w:tcPr>
            <w:tcW w:w="7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16"/>
        </w:trPr>
        <w:tc>
          <w:tcPr>
            <w:tcW w:w="3240" w:type="dxa"/>
            <w:vAlign w:val="bottom"/>
            <w:shd w:val="clear" w:color="auto" w:fill="D6F3E8"/>
          </w:tcPr>
          <w:p>
            <w:pPr>
              <w:spacing w:after="0"/>
              <w:rPr>
                <w:sz w:val="20"/>
                <w:szCs w:val="20"/>
                <w:color w:val="auto"/>
              </w:rPr>
            </w:pPr>
            <w:r>
              <w:rPr>
                <w:rFonts w:ascii="Arial" w:cs="Arial" w:eastAsia="Arial" w:hAnsi="Arial"/>
                <w:sz w:val="18"/>
                <w:szCs w:val="18"/>
                <w:color w:val="auto"/>
              </w:rPr>
              <w:t>Third quarter</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2,900</w:t>
            </w:r>
          </w:p>
        </w:tc>
        <w:tc>
          <w:tcPr>
            <w:tcW w:w="1100" w:type="dxa"/>
            <w:vAlign w:val="bottom"/>
            <w:shd w:val="clear" w:color="auto" w:fill="D6F3E8"/>
          </w:tcPr>
          <w:p>
            <w:pPr>
              <w:jc w:val="right"/>
              <w:ind w:right="98"/>
              <w:spacing w:after="0"/>
              <w:rPr>
                <w:sz w:val="20"/>
                <w:szCs w:val="20"/>
                <w:color w:val="auto"/>
              </w:rPr>
            </w:pPr>
            <w:r>
              <w:rPr>
                <w:rFonts w:ascii="Arial" w:cs="Arial" w:eastAsia="Arial" w:hAnsi="Arial"/>
                <w:sz w:val="18"/>
                <w:szCs w:val="18"/>
                <w:color w:val="auto"/>
              </w:rPr>
              <w:t>4,600</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(1,700)</w:t>
            </w:r>
          </w:p>
        </w:tc>
        <w:tc>
          <w:tcPr>
            <w:tcW w:w="840" w:type="dxa"/>
            <w:vAlign w:val="bottom"/>
            <w:shd w:val="clear" w:color="auto" w:fill="D6F3E8"/>
          </w:tcPr>
          <w:p>
            <w:pPr>
              <w:jc w:val="right"/>
              <w:ind w:right="78"/>
              <w:spacing w:after="0"/>
              <w:rPr>
                <w:sz w:val="20"/>
                <w:szCs w:val="20"/>
                <w:color w:val="auto"/>
              </w:rPr>
            </w:pPr>
            <w:r>
              <w:rPr>
                <w:rFonts w:ascii="Arial" w:cs="Arial" w:eastAsia="Arial" w:hAnsi="Arial"/>
                <w:sz w:val="18"/>
                <w:szCs w:val="18"/>
                <w:color w:val="auto"/>
              </w:rPr>
              <w:t>(37.0)</w:t>
            </w:r>
          </w:p>
        </w:tc>
        <w:tc>
          <w:tcPr>
            <w:tcW w:w="13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4,800</w:t>
            </w:r>
          </w:p>
        </w:tc>
        <w:tc>
          <w:tcPr>
            <w:tcW w:w="1440" w:type="dxa"/>
            <w:vAlign w:val="bottom"/>
            <w:shd w:val="clear" w:color="auto" w:fill="D6F3E8"/>
          </w:tcPr>
          <w:p>
            <w:pPr>
              <w:jc w:val="right"/>
              <w:ind w:right="178"/>
              <w:spacing w:after="0"/>
              <w:rPr>
                <w:sz w:val="20"/>
                <w:szCs w:val="20"/>
                <w:color w:val="auto"/>
              </w:rPr>
            </w:pPr>
            <w:r>
              <w:rPr>
                <w:rFonts w:ascii="Arial" w:cs="Arial" w:eastAsia="Arial" w:hAnsi="Arial"/>
                <w:sz w:val="18"/>
                <w:szCs w:val="18"/>
                <w:color w:val="auto"/>
              </w:rPr>
              <w:t>6,300</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(1,500)</w:t>
            </w:r>
          </w:p>
        </w:tc>
        <w:tc>
          <w:tcPr>
            <w:tcW w:w="7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(23.8)</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October</w:t>
            </w: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1100" w:type="dxa"/>
            <w:vAlign w:val="bottom"/>
          </w:tcPr>
          <w:p>
            <w:pPr>
              <w:jc w:val="right"/>
              <w:ind w:right="98"/>
              <w:spacing w:after="0"/>
              <w:rPr>
                <w:sz w:val="20"/>
                <w:szCs w:val="20"/>
                <w:color w:val="auto"/>
              </w:rPr>
            </w:pPr>
            <w:r>
              <w:rPr>
                <w:rFonts w:ascii="Arial" w:cs="Arial" w:eastAsia="Arial" w:hAnsi="Arial"/>
                <w:sz w:val="18"/>
                <w:szCs w:val="18"/>
                <w:color w:val="auto"/>
              </w:rPr>
              <w:t>1,500</w:t>
            </w: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840" w:type="dxa"/>
            <w:vAlign w:val="bottom"/>
          </w:tcPr>
          <w:p>
            <w:pPr>
              <w:jc w:val="right"/>
              <w:ind w:right="78"/>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440" w:type="dxa"/>
            <w:vAlign w:val="bottom"/>
          </w:tcPr>
          <w:p>
            <w:pPr>
              <w:jc w:val="right"/>
              <w:ind w:right="178"/>
              <w:spacing w:after="0"/>
              <w:rPr>
                <w:sz w:val="20"/>
                <w:szCs w:val="20"/>
                <w:color w:val="auto"/>
              </w:rPr>
            </w:pPr>
            <w:r>
              <w:rPr>
                <w:rFonts w:ascii="Arial" w:cs="Arial" w:eastAsia="Arial" w:hAnsi="Arial"/>
                <w:sz w:val="18"/>
                <w:szCs w:val="18"/>
                <w:color w:val="auto"/>
              </w:rPr>
              <w:t>1,800</w:t>
            </w:r>
          </w:p>
        </w:tc>
        <w:tc>
          <w:tcPr>
            <w:tcW w:w="860" w:type="dxa"/>
            <w:vAlign w:val="bottom"/>
          </w:tcPr>
          <w:p>
            <w:pPr>
              <w:jc w:val="right"/>
              <w:spacing w:after="0"/>
              <w:rPr>
                <w:sz w:val="20"/>
                <w:szCs w:val="20"/>
                <w:color w:val="auto"/>
              </w:rPr>
            </w:pPr>
            <w:r>
              <w:rPr>
                <w:rFonts w:ascii="Arial" w:cs="Arial" w:eastAsia="Arial" w:hAnsi="Arial"/>
                <w:sz w:val="18"/>
                <w:szCs w:val="18"/>
                <w:color w:val="auto"/>
              </w:rPr>
              <w:t>(500)</w:t>
            </w: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50"/>
        </w:trPr>
        <w:tc>
          <w:tcPr>
            <w:tcW w:w="3240" w:type="dxa"/>
            <w:vAlign w:val="bottom"/>
            <w:tcBorders>
              <w:bottom w:val="single" w:sz="8" w:color="D6F3E8"/>
            </w:tcBorders>
            <w:shd w:val="clear" w:color="auto" w:fill="D6F3E8"/>
          </w:tcPr>
          <w:p>
            <w:pPr>
              <w:spacing w:after="0"/>
              <w:rPr>
                <w:sz w:val="21"/>
                <w:szCs w:val="21"/>
                <w:color w:val="auto"/>
              </w:rPr>
            </w:pPr>
          </w:p>
        </w:tc>
        <w:tc>
          <w:tcPr>
            <w:tcW w:w="7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9,400</w:t>
            </w:r>
          </w:p>
        </w:tc>
        <w:tc>
          <w:tcPr>
            <w:tcW w:w="1100" w:type="dxa"/>
            <w:vAlign w:val="bottom"/>
            <w:tcBorders>
              <w:top w:val="single" w:sz="8" w:color="auto"/>
              <w:bottom w:val="single" w:sz="8" w:color="auto"/>
            </w:tcBorders>
            <w:shd w:val="clear" w:color="auto" w:fill="D6F3E8"/>
          </w:tcPr>
          <w:p>
            <w:pPr>
              <w:jc w:val="right"/>
              <w:ind w:right="98"/>
              <w:spacing w:after="0"/>
              <w:rPr>
                <w:sz w:val="20"/>
                <w:szCs w:val="20"/>
                <w:color w:val="auto"/>
              </w:rPr>
            </w:pPr>
            <w:r>
              <w:rPr>
                <w:rFonts w:ascii="Arial" w:cs="Arial" w:eastAsia="Arial" w:hAnsi="Arial"/>
                <w:sz w:val="18"/>
                <w:szCs w:val="18"/>
                <w:color w:val="auto"/>
              </w:rPr>
              <w:t>25,100</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(15,700)</w:t>
            </w:r>
          </w:p>
        </w:tc>
        <w:tc>
          <w:tcPr>
            <w:tcW w:w="840" w:type="dxa"/>
            <w:vAlign w:val="bottom"/>
            <w:tcBorders>
              <w:top w:val="single" w:sz="8" w:color="auto"/>
              <w:bottom w:val="single" w:sz="8" w:color="auto"/>
            </w:tcBorders>
            <w:shd w:val="clear" w:color="auto" w:fill="D6F3E8"/>
          </w:tcPr>
          <w:p>
            <w:pPr>
              <w:jc w:val="right"/>
              <w:ind w:right="78"/>
              <w:spacing w:after="0"/>
              <w:rPr>
                <w:sz w:val="20"/>
                <w:szCs w:val="20"/>
                <w:color w:val="auto"/>
              </w:rPr>
            </w:pPr>
            <w:r>
              <w:rPr>
                <w:rFonts w:ascii="Arial" w:cs="Arial" w:eastAsia="Arial" w:hAnsi="Arial"/>
                <w:sz w:val="18"/>
                <w:szCs w:val="18"/>
                <w:color w:val="auto"/>
              </w:rPr>
              <w:t>(62.5)</w:t>
            </w:r>
          </w:p>
        </w:tc>
        <w:tc>
          <w:tcPr>
            <w:tcW w:w="420" w:type="dxa"/>
            <w:vAlign w:val="bottom"/>
            <w:tcBorders>
              <w:bottom w:val="single" w:sz="8" w:color="D6F3E8"/>
            </w:tcBorders>
            <w:shd w:val="clear" w:color="auto" w:fill="D6F3E8"/>
          </w:tcPr>
          <w:p>
            <w:pPr>
              <w:spacing w:after="0"/>
              <w:rPr>
                <w:sz w:val="21"/>
                <w:szCs w:val="21"/>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16,500</w:t>
            </w:r>
          </w:p>
        </w:tc>
        <w:tc>
          <w:tcPr>
            <w:tcW w:w="1440" w:type="dxa"/>
            <w:vAlign w:val="bottom"/>
            <w:tcBorders>
              <w:top w:val="single" w:sz="8" w:color="auto"/>
              <w:bottom w:val="single" w:sz="8" w:color="auto"/>
            </w:tcBorders>
            <w:shd w:val="clear" w:color="auto" w:fill="D6F3E8"/>
          </w:tcPr>
          <w:p>
            <w:pPr>
              <w:jc w:val="right"/>
              <w:ind w:right="178"/>
              <w:spacing w:after="0"/>
              <w:rPr>
                <w:sz w:val="20"/>
                <w:szCs w:val="20"/>
                <w:color w:val="auto"/>
              </w:rPr>
            </w:pPr>
            <w:r>
              <w:rPr>
                <w:rFonts w:ascii="Arial" w:cs="Arial" w:eastAsia="Arial" w:hAnsi="Arial"/>
                <w:sz w:val="18"/>
                <w:szCs w:val="18"/>
                <w:color w:val="auto"/>
              </w:rPr>
              <w:t>26,700</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(10,200)</w:t>
            </w:r>
          </w:p>
        </w:tc>
        <w:tc>
          <w:tcPr>
            <w:tcW w:w="7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(38.2)</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580"/>
        <w:spacing w:after="0" w:line="191" w:lineRule="auto"/>
        <w:rPr>
          <w:sz w:val="20"/>
          <w:szCs w:val="20"/>
          <w:color w:val="auto"/>
        </w:rPr>
      </w:pPr>
      <w:r>
        <w:rPr>
          <w:rFonts w:ascii="Arial" w:cs="Arial" w:eastAsia="Arial" w:hAnsi="Arial"/>
          <w:sz w:val="11"/>
          <w:szCs w:val="11"/>
          <w:color w:val="auto"/>
        </w:rPr>
        <w:t>As reported by the Recreation Vehicle Industry Association (RVIA) Class A and C wholesale shipments, rounded to the nearest hundred.</w:t>
      </w:r>
    </w:p>
    <w:p>
      <w:pPr>
        <w:spacing w:after="0" w:line="184" w:lineRule="auto"/>
        <w:rPr>
          <w:sz w:val="20"/>
          <w:szCs w:val="20"/>
          <w:color w:val="auto"/>
        </w:rPr>
      </w:pPr>
      <w:r>
        <w:rPr>
          <w:rFonts w:ascii="Arial" w:cs="Arial" w:eastAsia="Arial" w:hAnsi="Arial"/>
          <w:sz w:val="10"/>
          <w:szCs w:val="10"/>
          <w:color w:val="auto"/>
        </w:rPr>
        <w:t>(2)</w:t>
      </w:r>
    </w:p>
    <w:p>
      <w:pPr>
        <w:ind w:left="580"/>
        <w:spacing w:after="0"/>
        <w:rPr>
          <w:sz w:val="20"/>
          <w:szCs w:val="20"/>
          <w:color w:val="auto"/>
        </w:rPr>
      </w:pPr>
      <w:r>
        <w:rPr>
          <w:rFonts w:ascii="Arial" w:cs="Arial" w:eastAsia="Arial" w:hAnsi="Arial"/>
          <w:sz w:val="14"/>
          <w:szCs w:val="14"/>
          <w:color w:val="auto"/>
        </w:rPr>
        <w:t>As reported by Statistical Surveys Class A and C retail registrations, rounded to the nearest hundred.</w:t>
      </w:r>
    </w:p>
    <w:p>
      <w:pPr>
        <w:spacing w:after="0" w:line="1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motorized RV market has been significantly impacted by highly unstable market conditions in the past two years. The tightening of the wholesale and retail credit markets, low consumer confidence, the effect of the global recession and uncertainty related to fuel prices placed pressure on retail sales and as a result, our dealers have significantly reduced their inventory levels. As a result, our dealer inventories were approximately 52 percent lower at the end of our first quarter of 2010 than the same time last year. However, during the summer months and throughout the fall, we have seen a substantial growth in our backlog, which we attribute to the very low level of dealer inventories and the strong acceptance of our Fiscal 2010 product lineup. This increase may be a sign that the replenishment process is now beginning. As wholesale and retail credit availability and consumer confidence improve, we could see an increase in motor home demand as dealers will again have the ability to order units to maintain their inventory levels after an extended period of inventory reduction. A longer term positive outlook for the recreation vehicle industry is supported by favorable demographics as baby boomers reach the age group that has historically accounted for the bulk of retail RV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and dealer inventory levels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76"/>
              <w:spacing w:after="0" w:line="136" w:lineRule="exact"/>
              <w:rPr>
                <w:sz w:val="20"/>
                <w:szCs w:val="20"/>
                <w:color w:val="auto"/>
              </w:rPr>
            </w:pPr>
            <w:r>
              <w:rPr>
                <w:rFonts w:ascii="Arial" w:cs="Arial" w:eastAsia="Arial" w:hAnsi="Arial"/>
                <w:sz w:val="14"/>
                <w:szCs w:val="14"/>
                <w:b w:val="1"/>
                <w:bCs w:val="1"/>
                <w:color w:val="auto"/>
                <w:w w:val="89"/>
              </w:rPr>
              <w:t>November 28,</w:t>
            </w:r>
          </w:p>
        </w:tc>
        <w:tc>
          <w:tcPr>
            <w:tcW w:w="860" w:type="dxa"/>
            <w:vAlign w:val="bottom"/>
          </w:tcPr>
          <w:p>
            <w:pPr>
              <w:jc w:val="right"/>
              <w:ind w:right="117"/>
              <w:spacing w:after="0" w:line="136" w:lineRule="exact"/>
              <w:rPr>
                <w:sz w:val="20"/>
                <w:szCs w:val="20"/>
                <w:color w:val="auto"/>
              </w:rPr>
            </w:pPr>
            <w:r>
              <w:rPr>
                <w:rFonts w:ascii="Arial" w:cs="Arial" w:eastAsia="Arial" w:hAnsi="Arial"/>
                <w:sz w:val="14"/>
                <w:szCs w:val="14"/>
                <w:b w:val="1"/>
                <w:bCs w:val="1"/>
                <w:color w:val="auto"/>
              </w:rPr>
              <w:t>Product</w:t>
            </w:r>
          </w:p>
        </w:tc>
        <w:tc>
          <w:tcPr>
            <w:tcW w:w="100" w:type="dxa"/>
            <w:vAlign w:val="bottom"/>
          </w:tcPr>
          <w:p>
            <w:pPr>
              <w:spacing w:after="0"/>
              <w:rPr>
                <w:sz w:val="11"/>
                <w:szCs w:val="11"/>
                <w:color w:val="auto"/>
              </w:rPr>
            </w:pPr>
          </w:p>
        </w:tc>
        <w:tc>
          <w:tcPr>
            <w:tcW w:w="920" w:type="dxa"/>
            <w:vAlign w:val="bottom"/>
          </w:tcPr>
          <w:p>
            <w:pPr>
              <w:jc w:val="right"/>
              <w:ind w:right="38"/>
              <w:spacing w:after="0" w:line="136" w:lineRule="exact"/>
              <w:rPr>
                <w:sz w:val="20"/>
                <w:szCs w:val="20"/>
                <w:color w:val="auto"/>
              </w:rPr>
            </w:pPr>
            <w:r>
              <w:rPr>
                <w:rFonts w:ascii="Arial" w:cs="Arial" w:eastAsia="Arial" w:hAnsi="Arial"/>
                <w:sz w:val="14"/>
                <w:szCs w:val="14"/>
                <w:b w:val="1"/>
                <w:bCs w:val="1"/>
                <w:color w:val="auto"/>
                <w:w w:val="84"/>
              </w:rPr>
              <w:t>November 29,</w:t>
            </w:r>
          </w:p>
        </w:tc>
        <w:tc>
          <w:tcPr>
            <w:tcW w:w="860" w:type="dxa"/>
            <w:vAlign w:val="bottom"/>
          </w:tcPr>
          <w:p>
            <w:pPr>
              <w:jc w:val="right"/>
              <w:ind w:right="117"/>
              <w:spacing w:after="0" w:line="136" w:lineRule="exact"/>
              <w:rPr>
                <w:sz w:val="20"/>
                <w:szCs w:val="20"/>
                <w:color w:val="auto"/>
              </w:rPr>
            </w:pPr>
            <w:r>
              <w:rPr>
                <w:rFonts w:ascii="Arial" w:cs="Arial" w:eastAsia="Arial" w:hAnsi="Arial"/>
                <w:sz w:val="14"/>
                <w:szCs w:val="14"/>
                <w:b w:val="1"/>
                <w:bCs w:val="1"/>
                <w:color w:val="auto"/>
              </w:rPr>
              <w:t>Product</w:t>
            </w:r>
          </w:p>
        </w:tc>
        <w:tc>
          <w:tcPr>
            <w:tcW w:w="1000" w:type="dxa"/>
            <w:vAlign w:val="bottom"/>
            <w:gridSpan w:val="2"/>
          </w:tcPr>
          <w:p>
            <w:pPr>
              <w:jc w:val="right"/>
              <w:ind w:right="320"/>
              <w:spacing w:after="0" w:line="136" w:lineRule="exact"/>
              <w:rPr>
                <w:sz w:val="20"/>
                <w:szCs w:val="20"/>
                <w:color w:val="auto"/>
              </w:rPr>
            </w:pPr>
            <w:r>
              <w:rPr>
                <w:rFonts w:ascii="Arial" w:cs="Arial" w:eastAsia="Arial" w:hAnsi="Arial"/>
                <w:sz w:val="14"/>
                <w:szCs w:val="14"/>
                <w:b w:val="1"/>
                <w:bCs w:val="1"/>
                <w:color w:val="auto"/>
              </w:rPr>
              <w:t>Increase</w:t>
            </w:r>
          </w:p>
        </w:tc>
        <w:tc>
          <w:tcPr>
            <w:tcW w:w="620" w:type="dxa"/>
            <w:vAlign w:val="bottom"/>
          </w:tcPr>
          <w:p>
            <w:pPr>
              <w:jc w:val="right"/>
              <w:ind w:right="156"/>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r>
      <w:tr>
        <w:trPr>
          <w:trHeight w:val="168"/>
        </w:trPr>
        <w:tc>
          <w:tcPr>
            <w:tcW w:w="5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units)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Mix %</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2008</w:t>
            </w:r>
          </w:p>
        </w:tc>
        <w:tc>
          <w:tcPr>
            <w:tcW w:w="8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Mix %</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(Decrease)</w:t>
            </w: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Change</w:t>
            </w:r>
          </w:p>
        </w:tc>
      </w:tr>
      <w:tr>
        <w:trPr>
          <w:trHeight w:val="216"/>
        </w:trPr>
        <w:tc>
          <w:tcPr>
            <w:tcW w:w="20" w:type="dxa"/>
            <w:vAlign w:val="bottom"/>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1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531</w:t>
            </w:r>
          </w:p>
        </w:tc>
        <w:tc>
          <w:tcPr>
            <w:tcW w:w="86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84</w:t>
            </w:r>
          </w:p>
        </w:tc>
        <w:tc>
          <w:tcPr>
            <w:tcW w:w="86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24.9</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532.1</w:t>
            </w:r>
          </w:p>
        </w:tc>
        <w:tc>
          <w:tcPr>
            <w:tcW w:w="120" w:type="dxa"/>
            <w:vAlign w:val="bottom"/>
            <w:shd w:val="clear" w:color="auto" w:fill="D6F3E8"/>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988.6</w:t>
            </w:r>
          </w:p>
        </w:tc>
        <w:tc>
          <w:tcPr>
            <w:tcW w:w="12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2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912</w:t>
            </w:r>
          </w:p>
        </w:tc>
        <w:tc>
          <w:tcPr>
            <w:tcW w:w="86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860" w:type="dxa"/>
            <w:vAlign w:val="bottom"/>
            <w:shd w:val="clear" w:color="auto" w:fill="D6F3E8"/>
          </w:tcPr>
          <w:p>
            <w:pPr>
              <w:jc w:val="right"/>
              <w:ind w:right="37"/>
              <w:spacing w:after="0"/>
              <w:rPr>
                <w:sz w:val="20"/>
                <w:szCs w:val="20"/>
                <w:color w:val="auto"/>
              </w:rPr>
            </w:pPr>
            <w:r>
              <w:rPr>
                <w:rFonts w:ascii="Arial" w:cs="Arial" w:eastAsia="Arial" w:hAnsi="Arial"/>
                <w:sz w:val="18"/>
                <w:szCs w:val="18"/>
                <w:color w:val="auto"/>
              </w:rPr>
              <w:t>35.2</w:t>
            </w:r>
          </w:p>
        </w:tc>
        <w:tc>
          <w:tcPr>
            <w:tcW w:w="8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666.4</w:t>
            </w:r>
          </w:p>
        </w:tc>
        <w:tc>
          <w:tcPr>
            <w:tcW w:w="12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Class B</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2.4</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592</w:t>
            </w:r>
          </w:p>
        </w:tc>
        <w:tc>
          <w:tcPr>
            <w:tcW w:w="86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auto"/>
            </w:tcBorders>
            <w:shd w:val="clear" w:color="auto" w:fill="D6F3E8"/>
          </w:tcPr>
          <w:p>
            <w:pPr>
              <w:spacing w:after="0"/>
              <w:rPr>
                <w:sz w:val="18"/>
                <w:szCs w:val="18"/>
                <w:color w:val="auto"/>
              </w:rPr>
            </w:pPr>
          </w:p>
        </w:tc>
        <w:tc>
          <w:tcPr>
            <w:tcW w:w="9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211</w:t>
            </w:r>
          </w:p>
        </w:tc>
        <w:tc>
          <w:tcPr>
            <w:tcW w:w="860" w:type="dxa"/>
            <w:vAlign w:val="bottom"/>
            <w:tcBorders>
              <w:bottom w:val="single" w:sz="8" w:color="auto"/>
            </w:tcBorders>
            <w:shd w:val="clear" w:color="auto" w:fill="D6F3E8"/>
          </w:tcPr>
          <w:p>
            <w:pPr>
              <w:jc w:val="right"/>
              <w:ind w:right="37"/>
              <w:spacing w:after="0"/>
              <w:rPr>
                <w:sz w:val="20"/>
                <w:szCs w:val="20"/>
                <w:color w:val="auto"/>
              </w:rPr>
            </w:pPr>
            <w:r>
              <w:rPr>
                <w:rFonts w:ascii="Arial" w:cs="Arial" w:eastAsia="Arial" w:hAnsi="Arial"/>
                <w:sz w:val="18"/>
                <w:szCs w:val="18"/>
                <w:color w:val="auto"/>
              </w:rPr>
              <w:t>62.4</w:t>
            </w: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auto"/>
            </w:tcBorders>
            <w:shd w:val="clear" w:color="auto" w:fill="D6F3E8"/>
          </w:tcPr>
          <w:p>
            <w:pPr>
              <w:spacing w:after="0"/>
              <w:rPr>
                <w:sz w:val="18"/>
                <w:szCs w:val="18"/>
                <w:color w:val="auto"/>
              </w:rPr>
            </w:pPr>
          </w:p>
        </w:tc>
        <w:tc>
          <w:tcPr>
            <w:tcW w:w="6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180.6</w:t>
            </w:r>
          </w:p>
        </w:tc>
        <w:tc>
          <w:tcPr>
            <w:tcW w:w="120" w:type="dxa"/>
            <w:vAlign w:val="bottom"/>
            <w:tcBorders>
              <w:bottom w:val="single" w:sz="8" w:color="auto"/>
            </w:tcBorders>
            <w:shd w:val="clear" w:color="auto" w:fill="D6F3E8"/>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line="210" w:lineRule="exact"/>
              <w:rPr>
                <w:sz w:val="20"/>
                <w:szCs w:val="20"/>
                <w:color w:val="auto"/>
              </w:rPr>
            </w:pPr>
            <w:r>
              <w:rPr>
                <w:rFonts w:ascii="Arial" w:cs="Arial" w:eastAsia="Arial" w:hAnsi="Arial"/>
                <w:sz w:val="15"/>
                <w:szCs w:val="15"/>
                <w:color w:val="auto"/>
              </w:rPr>
              <w:t xml:space="preserve">Total backlog </w:t>
            </w:r>
            <w:r>
              <w:rPr>
                <w:rFonts w:ascii="Arial" w:cs="Arial" w:eastAsia="Arial" w:hAnsi="Arial"/>
                <w:sz w:val="24"/>
                <w:szCs w:val="24"/>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auto"/>
            </w:tcBorders>
          </w:tcPr>
          <w:p>
            <w:pPr>
              <w:spacing w:after="0"/>
              <w:rPr>
                <w:sz w:val="18"/>
                <w:szCs w:val="18"/>
                <w:color w:val="auto"/>
              </w:rPr>
            </w:pPr>
          </w:p>
        </w:tc>
      </w:tr>
      <w:tr>
        <w:trPr>
          <w:trHeight w:val="20"/>
        </w:trPr>
        <w:tc>
          <w:tcPr>
            <w:tcW w:w="58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Borders>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rPr>
              <w:t>Total approximate revenue dollars (in thousands)</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149,501</w:t>
            </w:r>
          </w:p>
        </w:tc>
        <w:tc>
          <w:tcPr>
            <w:tcW w:w="860" w:type="dxa"/>
            <w:vAlign w:val="bottom"/>
            <w:tcBorders>
              <w:bottom w:val="single" w:sz="8" w:color="D6F3E8"/>
            </w:tcBorders>
            <w:shd w:val="clear" w:color="auto" w:fill="D6F3E8"/>
          </w:tcPr>
          <w:p>
            <w:pPr>
              <w:spacing w:after="0"/>
              <w:rPr>
                <w:sz w:val="20"/>
                <w:szCs w:val="20"/>
                <w:color w:val="auto"/>
              </w:rPr>
            </w:pPr>
          </w:p>
        </w:tc>
        <w:tc>
          <w:tcPr>
            <w:tcW w:w="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27,648</w:t>
            </w:r>
          </w:p>
        </w:tc>
        <w:tc>
          <w:tcPr>
            <w:tcW w:w="860" w:type="dxa"/>
            <w:vAlign w:val="bottom"/>
            <w:tcBorders>
              <w:bottom w:val="single" w:sz="8" w:color="D6F3E8"/>
            </w:tcBorders>
            <w:shd w:val="clear" w:color="auto" w:fill="D6F3E8"/>
          </w:tcPr>
          <w:p>
            <w:pPr>
              <w:spacing w:after="0"/>
              <w:rPr>
                <w:sz w:val="20"/>
                <w:szCs w:val="20"/>
                <w:color w:val="auto"/>
              </w:rPr>
            </w:pPr>
          </w:p>
        </w:tc>
        <w:tc>
          <w:tcPr>
            <w:tcW w:w="88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w w:val="95"/>
              </w:rPr>
              <w:t>$   121,853</w:t>
            </w:r>
          </w:p>
        </w:tc>
        <w:tc>
          <w:tcPr>
            <w:tcW w:w="120" w:type="dxa"/>
            <w:vAlign w:val="bottom"/>
            <w:tcBorders>
              <w:bottom w:val="single" w:sz="8" w:color="D6F3E8"/>
            </w:tcBorders>
            <w:shd w:val="clear" w:color="auto" w:fill="D6F3E8"/>
          </w:tcPr>
          <w:p>
            <w:pPr>
              <w:spacing w:after="0"/>
              <w:rPr>
                <w:sz w:val="20"/>
                <w:szCs w:val="20"/>
                <w:color w:val="auto"/>
              </w:rPr>
            </w:pPr>
          </w:p>
        </w:tc>
        <w:tc>
          <w:tcPr>
            <w:tcW w:w="62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440.7</w:t>
            </w:r>
          </w:p>
        </w:tc>
        <w:tc>
          <w:tcPr>
            <w:tcW w:w="120" w:type="dxa"/>
            <w:vAlign w:val="bottom"/>
            <w:tcBorders>
              <w:bottom w:val="single" w:sz="8" w:color="D6F3E8"/>
            </w:tcBorders>
            <w:shd w:val="clear" w:color="auto" w:fill="D6F3E8"/>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5800" w:type="dxa"/>
            <w:vAlign w:val="bottom"/>
          </w:tcPr>
          <w:p>
            <w:pPr>
              <w:spacing w:after="0" w:line="196" w:lineRule="exact"/>
              <w:rPr>
                <w:sz w:val="20"/>
                <w:szCs w:val="20"/>
                <w:color w:val="auto"/>
              </w:rPr>
            </w:pPr>
            <w:r>
              <w:rPr>
                <w:rFonts w:ascii="Arial" w:cs="Arial" w:eastAsia="Arial" w:hAnsi="Arial"/>
                <w:sz w:val="18"/>
                <w:szCs w:val="18"/>
                <w:color w:val="auto"/>
              </w:rPr>
              <w:t>Dealer inventory (units)</w:t>
            </w:r>
          </w:p>
        </w:tc>
        <w:tc>
          <w:tcPr>
            <w:tcW w:w="1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1,567</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3,269</w:t>
            </w:r>
          </w:p>
        </w:tc>
        <w:tc>
          <w:tcPr>
            <w:tcW w:w="860" w:type="dxa"/>
            <w:vAlign w:val="bottom"/>
          </w:tcPr>
          <w:p>
            <w:pPr>
              <w:spacing w:after="0"/>
              <w:rPr>
                <w:sz w:val="17"/>
                <w:szCs w:val="17"/>
                <w:color w:val="auto"/>
              </w:rPr>
            </w:pPr>
          </w:p>
        </w:tc>
        <w:tc>
          <w:tcPr>
            <w:tcW w:w="10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(1,702)</w:t>
            </w:r>
          </w:p>
        </w:tc>
        <w:tc>
          <w:tcPr>
            <w:tcW w:w="7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(52.1)</w:t>
            </w: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580" w:right="200"/>
        <w:spacing w:after="0" w:line="230" w:lineRule="auto"/>
        <w:rPr>
          <w:sz w:val="20"/>
          <w:szCs w:val="20"/>
          <w:color w:val="auto"/>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Comparable Quarter Last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changes in key items included in the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3"/>
          </w:tcPr>
          <w:p>
            <w:pPr>
              <w:jc w:val="right"/>
              <w:ind w:right="640"/>
              <w:spacing w:after="0" w:line="136" w:lineRule="exact"/>
              <w:rPr>
                <w:sz w:val="20"/>
                <w:szCs w:val="20"/>
                <w:color w:val="auto"/>
              </w:rPr>
            </w:pPr>
            <w:r>
              <w:rPr>
                <w:rFonts w:ascii="Arial" w:cs="Arial" w:eastAsia="Arial" w:hAnsi="Arial"/>
                <w:sz w:val="14"/>
                <w:szCs w:val="14"/>
                <w:b w:val="1"/>
                <w:bCs w:val="1"/>
                <w:color w:val="auto"/>
                <w:w w:val="89"/>
              </w:rPr>
              <w:t>November 28,</w:t>
            </w:r>
          </w:p>
        </w:tc>
        <w:tc>
          <w:tcPr>
            <w:tcW w:w="1100" w:type="dxa"/>
            <w:vAlign w:val="bottom"/>
          </w:tcPr>
          <w:p>
            <w:pPr>
              <w:jc w:val="right"/>
              <w:ind w:right="516"/>
              <w:spacing w:after="0" w:line="136" w:lineRule="exact"/>
              <w:rPr>
                <w:sz w:val="20"/>
                <w:szCs w:val="20"/>
                <w:color w:val="auto"/>
              </w:rPr>
            </w:pPr>
            <w:r>
              <w:rPr>
                <w:rFonts w:ascii="Arial" w:cs="Arial" w:eastAsia="Arial" w:hAnsi="Arial"/>
                <w:sz w:val="14"/>
                <w:szCs w:val="14"/>
                <w:b w:val="1"/>
                <w:bCs w:val="1"/>
                <w:color w:val="auto"/>
              </w:rPr>
              <w:t>% 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right"/>
              <w:ind w:right="500"/>
              <w:spacing w:after="0" w:line="136" w:lineRule="exact"/>
              <w:rPr>
                <w:sz w:val="20"/>
                <w:szCs w:val="20"/>
                <w:color w:val="auto"/>
              </w:rPr>
            </w:pPr>
            <w:r>
              <w:rPr>
                <w:rFonts w:ascii="Arial" w:cs="Arial" w:eastAsia="Arial" w:hAnsi="Arial"/>
                <w:sz w:val="14"/>
                <w:szCs w:val="14"/>
                <w:b w:val="1"/>
                <w:bCs w:val="1"/>
                <w:color w:val="auto"/>
                <w:w w:val="89"/>
              </w:rPr>
              <w:t>November 29,</w:t>
            </w:r>
          </w:p>
        </w:tc>
        <w:tc>
          <w:tcPr>
            <w:tcW w:w="1020" w:type="dxa"/>
            <w:vAlign w:val="bottom"/>
          </w:tcPr>
          <w:p>
            <w:pPr>
              <w:jc w:val="right"/>
              <w:ind w:right="456"/>
              <w:spacing w:after="0" w:line="13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000" w:type="dxa"/>
            <w:vAlign w:val="bottom"/>
          </w:tcPr>
          <w:p>
            <w:pPr>
              <w:jc w:val="right"/>
              <w:ind w:right="356"/>
              <w:spacing w:after="0" w:line="136" w:lineRule="exact"/>
              <w:rPr>
                <w:sz w:val="20"/>
                <w:szCs w:val="20"/>
                <w:color w:val="auto"/>
              </w:rPr>
            </w:pPr>
            <w:r>
              <w:rPr>
                <w:rFonts w:ascii="Arial" w:cs="Arial" w:eastAsia="Arial" w:hAnsi="Arial"/>
                <w:sz w:val="14"/>
                <w:szCs w:val="14"/>
                <w:b w:val="1"/>
                <w:bCs w:val="1"/>
                <w:color w:val="auto"/>
                <w:w w:val="94"/>
              </w:rPr>
              <w:t>Increase</w:t>
            </w:r>
          </w:p>
        </w:tc>
        <w:tc>
          <w:tcPr>
            <w:tcW w:w="900" w:type="dxa"/>
            <w:vAlign w:val="bottom"/>
          </w:tcPr>
          <w:p>
            <w:pPr>
              <w:jc w:val="right"/>
              <w:ind w:right="296"/>
              <w:spacing w:after="0" w:line="136" w:lineRule="exact"/>
              <w:rPr>
                <w:sz w:val="20"/>
                <w:szCs w:val="20"/>
                <w:color w:val="auto"/>
              </w:rPr>
            </w:pPr>
            <w:r>
              <w:rPr>
                <w:rFonts w:ascii="Arial" w:cs="Arial" w:eastAsia="Arial" w:hAnsi="Arial"/>
                <w:sz w:val="14"/>
                <w:szCs w:val="14"/>
                <w:b w:val="1"/>
                <w:bCs w:val="1"/>
                <w:color w:val="auto"/>
              </w:rPr>
              <w:t>%</w:t>
            </w:r>
          </w:p>
        </w:tc>
      </w:tr>
      <w:tr>
        <w:trPr>
          <w:trHeight w:val="168"/>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 except percent and per share data)</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3"/>
              </w:rPr>
              <w:t>Revenues</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0"/>
              </w:rPr>
              <w:t>Revenues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3"/>
              </w:rPr>
              <w:t>(Decrease)</w:t>
            </w: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Change</w:t>
            </w:r>
          </w:p>
        </w:tc>
      </w:tr>
      <w:tr>
        <w:trPr>
          <w:trHeight w:val="216"/>
        </w:trPr>
        <w:tc>
          <w:tcPr>
            <w:tcW w:w="20" w:type="dxa"/>
            <w:vAlign w:val="bottom"/>
          </w:tcPr>
          <w:p>
            <w:pPr>
              <w:spacing w:after="0"/>
              <w:rPr>
                <w:sz w:val="18"/>
                <w:szCs w:val="18"/>
                <w:color w:val="auto"/>
              </w:rPr>
            </w:pPr>
          </w:p>
        </w:tc>
        <w:tc>
          <w:tcPr>
            <w:tcW w:w="41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81,017</w:t>
            </w:r>
          </w:p>
        </w:tc>
        <w:tc>
          <w:tcPr>
            <w:tcW w:w="460" w:type="dxa"/>
            <w:vAlign w:val="bottom"/>
            <w:shd w:val="clear" w:color="auto" w:fill="D6F3E8"/>
          </w:tcPr>
          <w:p>
            <w:pPr>
              <w:spacing w:after="0"/>
              <w:rPr>
                <w:sz w:val="18"/>
                <w:szCs w:val="18"/>
                <w:color w:val="auto"/>
              </w:rPr>
            </w:pPr>
          </w:p>
        </w:tc>
        <w:tc>
          <w:tcPr>
            <w:tcW w:w="1100" w:type="dxa"/>
            <w:vAlign w:val="bottom"/>
            <w:shd w:val="clear" w:color="auto" w:fill="D6F3E8"/>
          </w:tcPr>
          <w:p>
            <w:pPr>
              <w:jc w:val="right"/>
              <w:ind w:right="176"/>
              <w:spacing w:after="0"/>
              <w:rPr>
                <w:sz w:val="20"/>
                <w:szCs w:val="20"/>
                <w:color w:val="auto"/>
              </w:rPr>
            </w:pPr>
            <w:r>
              <w:rPr>
                <w:rFonts w:ascii="Arial" w:cs="Arial" w:eastAsia="Arial" w:hAnsi="Arial"/>
                <w:sz w:val="18"/>
                <w:szCs w:val="18"/>
                <w:color w:val="auto"/>
              </w:rPr>
              <w:t>100.0</w:t>
            </w:r>
          </w:p>
        </w:tc>
        <w:tc>
          <w:tcPr>
            <w:tcW w:w="2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69,398</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ind w:right="256"/>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6F3E8"/>
          </w:tcPr>
          <w:p>
            <w:pPr>
              <w:jc w:val="right"/>
              <w:ind w:right="136"/>
              <w:spacing w:after="0"/>
              <w:rPr>
                <w:sz w:val="20"/>
                <w:szCs w:val="20"/>
                <w:color w:val="auto"/>
              </w:rPr>
            </w:pPr>
            <w:r>
              <w:rPr>
                <w:rFonts w:ascii="Arial" w:cs="Arial" w:eastAsia="Arial" w:hAnsi="Arial"/>
                <w:sz w:val="18"/>
                <w:szCs w:val="18"/>
                <w:color w:val="auto"/>
              </w:rPr>
              <w:t>11,619</w:t>
            </w:r>
          </w:p>
        </w:tc>
        <w:tc>
          <w:tcPr>
            <w:tcW w:w="900" w:type="dxa"/>
            <w:vAlign w:val="bottom"/>
            <w:shd w:val="clear" w:color="auto" w:fill="D6F3E8"/>
          </w:tcPr>
          <w:p>
            <w:pPr>
              <w:jc w:val="right"/>
              <w:ind w:right="16"/>
              <w:spacing w:after="0"/>
              <w:rPr>
                <w:sz w:val="20"/>
                <w:szCs w:val="20"/>
                <w:color w:val="auto"/>
              </w:rPr>
            </w:pPr>
            <w:r>
              <w:rPr>
                <w:rFonts w:ascii="Arial" w:cs="Arial" w:eastAsia="Arial" w:hAnsi="Arial"/>
                <w:sz w:val="18"/>
                <w:szCs w:val="18"/>
                <w:color w:val="auto"/>
              </w:rPr>
              <w:t>16.7</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80,493</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99.4</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78,292</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2,201</w:t>
            </w: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2.8</w:t>
            </w:r>
          </w:p>
        </w:tc>
      </w:tr>
      <w:tr>
        <w:trPr>
          <w:trHeight w:val="210"/>
        </w:trPr>
        <w:tc>
          <w:tcPr>
            <w:tcW w:w="20" w:type="dxa"/>
            <w:vAlign w:val="bottom"/>
          </w:tcPr>
          <w:p>
            <w:pPr>
              <w:spacing w:after="0"/>
              <w:rPr>
                <w:sz w:val="18"/>
                <w:szCs w:val="18"/>
                <w:color w:val="auto"/>
              </w:rPr>
            </w:pPr>
          </w:p>
        </w:tc>
        <w:tc>
          <w:tcPr>
            <w:tcW w:w="41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profit (deficit)</w:t>
            </w:r>
          </w:p>
        </w:tc>
        <w:tc>
          <w:tcPr>
            <w:tcW w:w="14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524</w:t>
            </w:r>
          </w:p>
        </w:tc>
        <w:tc>
          <w:tcPr>
            <w:tcW w:w="4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(8,894)</w:t>
            </w:r>
          </w:p>
        </w:tc>
        <w:tc>
          <w:tcPr>
            <w:tcW w:w="1020" w:type="dxa"/>
            <w:vAlign w:val="bottom"/>
            <w:tcBorders>
              <w:bottom w:val="single" w:sz="8" w:color="auto"/>
            </w:tcBorders>
            <w:shd w:val="clear" w:color="auto" w:fill="D6F3E8"/>
          </w:tcPr>
          <w:p>
            <w:pPr>
              <w:jc w:val="right"/>
              <w:ind w:right="196"/>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ind w:right="136"/>
              <w:spacing w:after="0"/>
              <w:rPr>
                <w:sz w:val="20"/>
                <w:szCs w:val="20"/>
                <w:color w:val="auto"/>
              </w:rPr>
            </w:pPr>
            <w:r>
              <w:rPr>
                <w:rFonts w:ascii="Arial" w:cs="Arial" w:eastAsia="Arial" w:hAnsi="Arial"/>
                <w:sz w:val="18"/>
                <w:szCs w:val="18"/>
                <w:color w:val="auto"/>
              </w:rPr>
              <w:t>9,418</w:t>
            </w:r>
          </w:p>
        </w:tc>
        <w:tc>
          <w:tcPr>
            <w:tcW w:w="900" w:type="dxa"/>
            <w:vAlign w:val="bottom"/>
            <w:tcBorders>
              <w:bottom w:val="single" w:sz="8" w:color="auto"/>
            </w:tcBorders>
            <w:shd w:val="clear" w:color="auto" w:fill="D6F3E8"/>
          </w:tcPr>
          <w:p>
            <w:pPr>
              <w:jc w:val="right"/>
              <w:ind w:right="16"/>
              <w:spacing w:after="0"/>
              <w:rPr>
                <w:sz w:val="20"/>
                <w:szCs w:val="20"/>
                <w:color w:val="auto"/>
              </w:rPr>
            </w:pPr>
            <w:r>
              <w:rPr>
                <w:rFonts w:ascii="Arial" w:cs="Arial" w:eastAsia="Arial" w:hAnsi="Arial"/>
                <w:sz w:val="18"/>
                <w:szCs w:val="18"/>
                <w:color w:val="auto"/>
              </w:rPr>
              <w:t>105.9</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Selling</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460" w:type="dxa"/>
            <w:vAlign w:val="bottom"/>
          </w:tcPr>
          <w:p>
            <w:pPr>
              <w:spacing w:after="0"/>
              <w:rPr>
                <w:sz w:val="18"/>
                <w:szCs w:val="18"/>
                <w:color w:val="auto"/>
              </w:rPr>
            </w:pPr>
          </w:p>
        </w:tc>
        <w:tc>
          <w:tcPr>
            <w:tcW w:w="1100" w:type="dxa"/>
            <w:vAlign w:val="bottom"/>
          </w:tcPr>
          <w:p>
            <w:pPr>
              <w:jc w:val="right"/>
              <w:ind w:right="176"/>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w:t>
            </w:r>
          </w:p>
        </w:tc>
        <w:tc>
          <w:tcPr>
            <w:tcW w:w="340" w:type="dxa"/>
            <w:vAlign w:val="bottom"/>
          </w:tcPr>
          <w:p>
            <w:pPr>
              <w:spacing w:after="0"/>
              <w:rPr>
                <w:sz w:val="18"/>
                <w:szCs w:val="18"/>
                <w:color w:val="auto"/>
              </w:rPr>
            </w:pP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(436)</w:t>
            </w: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gridSpan w:val="2"/>
            <w:shd w:val="clear" w:color="auto" w:fill="D6F3E8"/>
          </w:tcPr>
          <w:p>
            <w:pPr>
              <w:jc w:val="right"/>
              <w:spacing w:after="0"/>
              <w:rPr>
                <w:sz w:val="20"/>
                <w:szCs w:val="20"/>
                <w:color w:val="auto"/>
              </w:rPr>
            </w:pPr>
            <w:r>
              <w:rPr>
                <w:rFonts w:ascii="Arial" w:cs="Arial" w:eastAsia="Arial" w:hAnsi="Arial"/>
                <w:sz w:val="18"/>
                <w:szCs w:val="18"/>
                <w:color w:val="auto"/>
              </w:rPr>
              <w:t>3,272</w:t>
            </w:r>
          </w:p>
        </w:tc>
        <w:tc>
          <w:tcPr>
            <w:tcW w:w="4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ind w:right="176"/>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4,331</w:t>
            </w:r>
          </w:p>
        </w:tc>
        <w:tc>
          <w:tcPr>
            <w:tcW w:w="340" w:type="dxa"/>
            <w:vAlign w:val="bottom"/>
            <w:tcBorders>
              <w:bottom w:val="single" w:sz="8" w:color="auto"/>
            </w:tcBorders>
            <w:shd w:val="clear" w:color="auto" w:fill="D6F3E8"/>
          </w:tcPr>
          <w:p>
            <w:pPr>
              <w:spacing w:after="0"/>
              <w:rPr>
                <w:sz w:val="18"/>
                <w:szCs w:val="18"/>
                <w:color w:val="auto"/>
              </w:rPr>
            </w:pPr>
          </w:p>
        </w:tc>
        <w:tc>
          <w:tcPr>
            <w:tcW w:w="1020" w:type="dxa"/>
            <w:vAlign w:val="bottom"/>
            <w:tcBorders>
              <w:bottom w:val="single" w:sz="8" w:color="auto"/>
            </w:tcBorders>
            <w:shd w:val="clear" w:color="auto" w:fill="D6F3E8"/>
          </w:tcPr>
          <w:p>
            <w:pPr>
              <w:jc w:val="right"/>
              <w:ind w:right="256"/>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(1,059)</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(24.5)</w:t>
            </w:r>
          </w:p>
        </w:tc>
      </w:tr>
      <w:tr>
        <w:trPr>
          <w:trHeight w:val="210"/>
        </w:trPr>
        <w:tc>
          <w:tcPr>
            <w:tcW w:w="4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6,501</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rPr>
              <w:t>8.0</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(1,495)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10"/>
        </w:trPr>
        <w:tc>
          <w:tcPr>
            <w:tcW w:w="20" w:type="dxa"/>
            <w:vAlign w:val="bottom"/>
          </w:tcPr>
          <w:p>
            <w:pPr>
              <w:spacing w:after="0"/>
              <w:rPr>
                <w:sz w:val="18"/>
                <w:szCs w:val="18"/>
                <w:color w:val="auto"/>
              </w:rPr>
            </w:pPr>
          </w:p>
        </w:tc>
        <w:tc>
          <w:tcPr>
            <w:tcW w:w="4100" w:type="dxa"/>
            <w:vAlign w:val="bottom"/>
            <w:shd w:val="clear" w:color="auto" w:fill="D6F3E8"/>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D6F3E8"/>
          </w:tcPr>
          <w:p>
            <w:pPr>
              <w:spacing w:after="0"/>
              <w:rPr>
                <w:sz w:val="18"/>
                <w:szCs w:val="18"/>
                <w:color w:val="auto"/>
              </w:rPr>
            </w:pPr>
          </w:p>
        </w:tc>
        <w:tc>
          <w:tcPr>
            <w:tcW w:w="1480" w:type="dxa"/>
            <w:vAlign w:val="bottom"/>
            <w:gridSpan w:val="3"/>
            <w:shd w:val="clear" w:color="auto" w:fill="D6F3E8"/>
          </w:tcPr>
          <w:p>
            <w:pPr>
              <w:jc w:val="right"/>
              <w:ind w:right="400"/>
              <w:spacing w:after="0"/>
              <w:rPr>
                <w:sz w:val="20"/>
                <w:szCs w:val="20"/>
                <w:color w:val="auto"/>
              </w:rPr>
            </w:pPr>
            <w:r>
              <w:rPr>
                <w:rFonts w:ascii="Arial" w:cs="Arial" w:eastAsia="Arial" w:hAnsi="Arial"/>
                <w:sz w:val="18"/>
                <w:szCs w:val="18"/>
                <w:color w:val="auto"/>
              </w:rPr>
              <w:t>(5,977)</w:t>
            </w:r>
          </w:p>
        </w:tc>
        <w:tc>
          <w:tcPr>
            <w:tcW w:w="110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(7.4)</w:t>
            </w:r>
          </w:p>
        </w:tc>
        <w:tc>
          <w:tcPr>
            <w:tcW w:w="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(16,890)</w:t>
            </w:r>
          </w:p>
        </w:tc>
        <w:tc>
          <w:tcPr>
            <w:tcW w:w="1020" w:type="dxa"/>
            <w:vAlign w:val="bottom"/>
            <w:shd w:val="clear" w:color="auto" w:fill="D6F3E8"/>
          </w:tcPr>
          <w:p>
            <w:pPr>
              <w:jc w:val="right"/>
              <w:ind w:right="196"/>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36"/>
              <w:spacing w:after="0"/>
              <w:rPr>
                <w:sz w:val="20"/>
                <w:szCs w:val="20"/>
                <w:color w:val="auto"/>
              </w:rPr>
            </w:pPr>
            <w:r>
              <w:rPr>
                <w:rFonts w:ascii="Arial" w:cs="Arial" w:eastAsia="Arial" w:hAnsi="Arial"/>
                <w:sz w:val="18"/>
                <w:szCs w:val="18"/>
                <w:color w:val="auto"/>
              </w:rPr>
              <w:t>10,913</w:t>
            </w:r>
          </w:p>
        </w:tc>
        <w:tc>
          <w:tcPr>
            <w:tcW w:w="900" w:type="dxa"/>
            <w:vAlign w:val="bottom"/>
            <w:shd w:val="clear" w:color="auto" w:fill="D6F3E8"/>
          </w:tcPr>
          <w:p>
            <w:pPr>
              <w:jc w:val="right"/>
              <w:ind w:right="16"/>
              <w:spacing w:after="0"/>
              <w:rPr>
                <w:sz w:val="20"/>
                <w:szCs w:val="20"/>
                <w:color w:val="auto"/>
              </w:rPr>
            </w:pPr>
            <w:r>
              <w:rPr>
                <w:rFonts w:ascii="Arial" w:cs="Arial" w:eastAsia="Arial" w:hAnsi="Arial"/>
                <w:sz w:val="18"/>
                <w:szCs w:val="18"/>
                <w:color w:val="auto"/>
              </w:rPr>
              <w:t>64.6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Financial (expense) income</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(233)</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(757)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r>
      <w:tr>
        <w:trPr>
          <w:trHeight w:val="210"/>
        </w:trPr>
        <w:tc>
          <w:tcPr>
            <w:tcW w:w="20" w:type="dxa"/>
            <w:vAlign w:val="bottom"/>
          </w:tcPr>
          <w:p>
            <w:pPr>
              <w:spacing w:after="0"/>
              <w:rPr>
                <w:sz w:val="18"/>
                <w:szCs w:val="18"/>
                <w:color w:val="auto"/>
              </w:rPr>
            </w:pPr>
          </w:p>
        </w:tc>
        <w:tc>
          <w:tcPr>
            <w:tcW w:w="410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D6F3E8"/>
          </w:tcPr>
          <w:p>
            <w:pPr>
              <w:spacing w:after="0"/>
              <w:rPr>
                <w:sz w:val="18"/>
                <w:szCs w:val="18"/>
                <w:color w:val="auto"/>
              </w:rPr>
            </w:pPr>
          </w:p>
        </w:tc>
        <w:tc>
          <w:tcPr>
            <w:tcW w:w="1480" w:type="dxa"/>
            <w:vAlign w:val="bottom"/>
            <w:gridSpan w:val="3"/>
            <w:shd w:val="clear" w:color="auto" w:fill="D6F3E8"/>
          </w:tcPr>
          <w:p>
            <w:pPr>
              <w:jc w:val="right"/>
              <w:ind w:right="400"/>
              <w:spacing w:after="0"/>
              <w:rPr>
                <w:sz w:val="20"/>
                <w:szCs w:val="20"/>
                <w:color w:val="auto"/>
              </w:rPr>
            </w:pPr>
            <w:r>
              <w:rPr>
                <w:rFonts w:ascii="Arial" w:cs="Arial" w:eastAsia="Arial" w:hAnsi="Arial"/>
                <w:sz w:val="18"/>
                <w:szCs w:val="18"/>
                <w:color w:val="auto"/>
              </w:rPr>
              <w:t>(6,210)</w:t>
            </w:r>
          </w:p>
        </w:tc>
        <w:tc>
          <w:tcPr>
            <w:tcW w:w="1100" w:type="dxa"/>
            <w:vAlign w:val="bottom"/>
            <w:shd w:val="clear" w:color="auto" w:fill="D6F3E8"/>
          </w:tcPr>
          <w:p>
            <w:pPr>
              <w:jc w:val="right"/>
              <w:ind w:right="116"/>
              <w:spacing w:after="0"/>
              <w:rPr>
                <w:sz w:val="20"/>
                <w:szCs w:val="20"/>
                <w:color w:val="auto"/>
              </w:rPr>
            </w:pPr>
            <w:r>
              <w:rPr>
                <w:rFonts w:ascii="Arial" w:cs="Arial" w:eastAsia="Arial" w:hAnsi="Arial"/>
                <w:sz w:val="18"/>
                <w:szCs w:val="18"/>
                <w:color w:val="auto"/>
              </w:rPr>
              <w:t>(7.7)</w:t>
            </w:r>
          </w:p>
        </w:tc>
        <w:tc>
          <w:tcPr>
            <w:tcW w:w="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(16,366)</w:t>
            </w:r>
          </w:p>
        </w:tc>
        <w:tc>
          <w:tcPr>
            <w:tcW w:w="1020" w:type="dxa"/>
            <w:vAlign w:val="bottom"/>
            <w:shd w:val="clear" w:color="auto" w:fill="D6F3E8"/>
          </w:tcPr>
          <w:p>
            <w:pPr>
              <w:jc w:val="right"/>
              <w:ind w:right="196"/>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36"/>
              <w:spacing w:after="0"/>
              <w:rPr>
                <w:sz w:val="20"/>
                <w:szCs w:val="20"/>
                <w:color w:val="auto"/>
              </w:rPr>
            </w:pPr>
            <w:r>
              <w:rPr>
                <w:rFonts w:ascii="Arial" w:cs="Arial" w:eastAsia="Arial" w:hAnsi="Arial"/>
                <w:sz w:val="18"/>
                <w:szCs w:val="18"/>
                <w:color w:val="auto"/>
              </w:rPr>
              <w:t>10,156</w:t>
            </w:r>
          </w:p>
        </w:tc>
        <w:tc>
          <w:tcPr>
            <w:tcW w:w="900" w:type="dxa"/>
            <w:vAlign w:val="bottom"/>
            <w:shd w:val="clear" w:color="auto" w:fill="D6F3E8"/>
          </w:tcPr>
          <w:p>
            <w:pPr>
              <w:jc w:val="right"/>
              <w:ind w:right="16"/>
              <w:spacing w:after="0"/>
              <w:rPr>
                <w:sz w:val="20"/>
                <w:szCs w:val="20"/>
                <w:color w:val="auto"/>
              </w:rPr>
            </w:pPr>
            <w:r>
              <w:rPr>
                <w:rFonts w:ascii="Arial" w:cs="Arial" w:eastAsia="Arial" w:hAnsi="Arial"/>
                <w:sz w:val="18"/>
                <w:szCs w:val="18"/>
                <w:color w:val="auto"/>
              </w:rPr>
              <w:t>62.1</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Benefit for taxes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color w:val="auto"/>
              </w:rPr>
              <w:t>(4,866)</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(6,770)</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(1,904)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50"/>
        </w:trPr>
        <w:tc>
          <w:tcPr>
            <w:tcW w:w="20" w:type="dxa"/>
            <w:vAlign w:val="bottom"/>
          </w:tcPr>
          <w:p>
            <w:pPr>
              <w:spacing w:after="0"/>
              <w:rPr>
                <w:sz w:val="21"/>
                <w:szCs w:val="21"/>
                <w:color w:val="auto"/>
              </w:rPr>
            </w:pPr>
          </w:p>
        </w:tc>
        <w:tc>
          <w:tcPr>
            <w:tcW w:w="41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gridSpan w:val="3"/>
            <w:shd w:val="clear" w:color="auto" w:fill="D6F3E8"/>
          </w:tcPr>
          <w:p>
            <w:pPr>
              <w:jc w:val="right"/>
              <w:ind w:right="400"/>
              <w:spacing w:after="0"/>
              <w:rPr>
                <w:sz w:val="20"/>
                <w:szCs w:val="20"/>
                <w:color w:val="auto"/>
              </w:rPr>
            </w:pPr>
            <w:r>
              <w:rPr>
                <w:rFonts w:ascii="Arial" w:cs="Arial" w:eastAsia="Arial" w:hAnsi="Arial"/>
                <w:sz w:val="18"/>
                <w:szCs w:val="18"/>
                <w:color w:val="auto"/>
              </w:rPr>
              <w:t>(1,344)</w:t>
            </w:r>
          </w:p>
        </w:tc>
        <w:tc>
          <w:tcPr>
            <w:tcW w:w="1100" w:type="dxa"/>
            <w:vAlign w:val="bottom"/>
            <w:tcBorders>
              <w:bottom w:val="single" w:sz="8" w:color="auto"/>
            </w:tcBorders>
            <w:shd w:val="clear" w:color="auto" w:fill="D6F3E8"/>
          </w:tcPr>
          <w:p>
            <w:pPr>
              <w:jc w:val="right"/>
              <w:ind w:right="116"/>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(9,596)</w:t>
            </w:r>
          </w:p>
        </w:tc>
        <w:tc>
          <w:tcPr>
            <w:tcW w:w="1020" w:type="dxa"/>
            <w:vAlign w:val="bottom"/>
            <w:tcBorders>
              <w:bottom w:val="single" w:sz="8" w:color="auto"/>
            </w:tcBorders>
            <w:shd w:val="clear" w:color="auto" w:fill="D6F3E8"/>
          </w:tcPr>
          <w:p>
            <w:pPr>
              <w:jc w:val="right"/>
              <w:ind w:right="196"/>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D6F3E8"/>
          </w:tcPr>
          <w:p>
            <w:pPr>
              <w:jc w:val="right"/>
              <w:ind w:right="136"/>
              <w:spacing w:after="0"/>
              <w:rPr>
                <w:sz w:val="20"/>
                <w:szCs w:val="20"/>
                <w:color w:val="auto"/>
              </w:rPr>
            </w:pPr>
            <w:r>
              <w:rPr>
                <w:rFonts w:ascii="Arial" w:cs="Arial" w:eastAsia="Arial" w:hAnsi="Arial"/>
                <w:sz w:val="18"/>
                <w:szCs w:val="18"/>
                <w:color w:val="auto"/>
              </w:rPr>
              <w:t>8,252</w:t>
            </w:r>
          </w:p>
        </w:tc>
        <w:tc>
          <w:tcPr>
            <w:tcW w:w="900" w:type="dxa"/>
            <w:vAlign w:val="bottom"/>
            <w:tcBorders>
              <w:bottom w:val="single" w:sz="8" w:color="auto"/>
            </w:tcBorders>
            <w:shd w:val="clear" w:color="auto" w:fill="D6F3E8"/>
          </w:tcPr>
          <w:p>
            <w:pPr>
              <w:jc w:val="right"/>
              <w:ind w:right="16"/>
              <w:spacing w:after="0"/>
              <w:rPr>
                <w:sz w:val="20"/>
                <w:szCs w:val="20"/>
                <w:color w:val="auto"/>
              </w:rPr>
            </w:pPr>
            <w:r>
              <w:rPr>
                <w:rFonts w:ascii="Arial" w:cs="Arial" w:eastAsia="Arial" w:hAnsi="Arial"/>
                <w:sz w:val="18"/>
                <w:szCs w:val="18"/>
                <w:color w:val="auto"/>
              </w:rPr>
              <w:t>86.0</w:t>
            </w:r>
          </w:p>
        </w:tc>
      </w:tr>
      <w:tr>
        <w:trPr>
          <w:trHeight w:val="197"/>
        </w:trPr>
        <w:tc>
          <w:tcPr>
            <w:tcW w:w="4120" w:type="dxa"/>
            <w:vAlign w:val="bottom"/>
            <w:gridSpan w:val="2"/>
          </w:tcPr>
          <w:p>
            <w:pPr>
              <w:spacing w:after="0" w:line="196" w:lineRule="exact"/>
              <w:rPr>
                <w:sz w:val="20"/>
                <w:szCs w:val="20"/>
                <w:color w:val="auto"/>
              </w:rPr>
            </w:pPr>
            <w:r>
              <w:rPr>
                <w:rFonts w:ascii="Arial" w:cs="Arial" w:eastAsia="Arial" w:hAnsi="Arial"/>
                <w:sz w:val="18"/>
                <w:szCs w:val="18"/>
                <w:color w:val="auto"/>
              </w:rPr>
              <w:t>Diluted loss per share</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3"/>
          </w:tcPr>
          <w:p>
            <w:pPr>
              <w:jc w:val="right"/>
              <w:ind w:right="400"/>
              <w:spacing w:after="0" w:line="196" w:lineRule="exact"/>
              <w:rPr>
                <w:sz w:val="20"/>
                <w:szCs w:val="20"/>
                <w:color w:val="auto"/>
              </w:rPr>
            </w:pPr>
            <w:r>
              <w:rPr>
                <w:rFonts w:ascii="Arial" w:cs="Arial" w:eastAsia="Arial" w:hAnsi="Arial"/>
                <w:sz w:val="18"/>
                <w:szCs w:val="18"/>
                <w:color w:val="auto"/>
              </w:rPr>
              <w:t>(0.05)</w:t>
            </w:r>
          </w:p>
        </w:tc>
        <w:tc>
          <w:tcPr>
            <w:tcW w:w="1100" w:type="dxa"/>
            <w:vAlign w:val="bottom"/>
          </w:tcPr>
          <w:p>
            <w:pPr>
              <w:spacing w:after="0"/>
              <w:rPr>
                <w:sz w:val="17"/>
                <w:szCs w:val="17"/>
                <w:color w:val="auto"/>
              </w:rPr>
            </w:pPr>
          </w:p>
        </w:tc>
        <w:tc>
          <w:tcPr>
            <w:tcW w:w="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(0.33)</w:t>
            </w:r>
          </w:p>
        </w:tc>
        <w:tc>
          <w:tcPr>
            <w:tcW w:w="10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36"/>
              <w:spacing w:after="0" w:line="196" w:lineRule="exact"/>
              <w:rPr>
                <w:sz w:val="20"/>
                <w:szCs w:val="20"/>
                <w:color w:val="auto"/>
              </w:rPr>
            </w:pPr>
            <w:r>
              <w:rPr>
                <w:rFonts w:ascii="Arial" w:cs="Arial" w:eastAsia="Arial" w:hAnsi="Arial"/>
                <w:sz w:val="18"/>
                <w:szCs w:val="18"/>
                <w:color w:val="auto"/>
              </w:rPr>
              <w:t>0.28</w:t>
            </w:r>
          </w:p>
        </w:tc>
        <w:tc>
          <w:tcPr>
            <w:tcW w:w="900" w:type="dxa"/>
            <w:vAlign w:val="bottom"/>
          </w:tcPr>
          <w:p>
            <w:pPr>
              <w:jc w:val="right"/>
              <w:ind w:right="16"/>
              <w:spacing w:after="0" w:line="196" w:lineRule="exact"/>
              <w:rPr>
                <w:sz w:val="20"/>
                <w:szCs w:val="20"/>
                <w:color w:val="auto"/>
              </w:rPr>
            </w:pPr>
            <w:r>
              <w:rPr>
                <w:rFonts w:ascii="Arial" w:cs="Arial" w:eastAsia="Arial" w:hAnsi="Arial"/>
                <w:sz w:val="18"/>
                <w:szCs w:val="18"/>
                <w:color w:val="auto"/>
              </w:rPr>
              <w:t>84.8</w:t>
            </w:r>
          </w:p>
        </w:tc>
      </w:tr>
      <w:tr>
        <w:trPr>
          <w:trHeight w:val="20"/>
        </w:trPr>
        <w:tc>
          <w:tcPr>
            <w:tcW w:w="412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rPr>
              <w:t>Fully diluted average shares outstanding</w:t>
            </w:r>
          </w:p>
        </w:tc>
        <w:tc>
          <w:tcPr>
            <w:tcW w:w="140" w:type="dxa"/>
            <w:vAlign w:val="bottom"/>
            <w:tcBorders>
              <w:bottom w:val="single" w:sz="8" w:color="auto"/>
            </w:tcBorders>
            <w:shd w:val="clear" w:color="auto" w:fill="D6F3E8"/>
          </w:tcPr>
          <w:p>
            <w:pPr>
              <w:spacing w:after="0"/>
              <w:rPr>
                <w:sz w:val="20"/>
                <w:szCs w:val="20"/>
                <w:color w:val="auto"/>
              </w:rPr>
            </w:pPr>
          </w:p>
        </w:tc>
        <w:tc>
          <w:tcPr>
            <w:tcW w:w="1020" w:type="dxa"/>
            <w:vAlign w:val="bottom"/>
            <w:tcBorders>
              <w:bottom w:val="single" w:sz="8" w:color="auto"/>
            </w:tcBorders>
            <w:gridSpan w:val="2"/>
            <w:shd w:val="clear" w:color="auto" w:fill="D6F3E8"/>
          </w:tcPr>
          <w:p>
            <w:pPr>
              <w:jc w:val="right"/>
              <w:spacing w:after="0" w:line="196" w:lineRule="exact"/>
              <w:rPr>
                <w:sz w:val="20"/>
                <w:szCs w:val="20"/>
                <w:color w:val="auto"/>
              </w:rPr>
            </w:pPr>
            <w:r>
              <w:rPr>
                <w:rFonts w:ascii="Arial" w:cs="Arial" w:eastAsia="Arial" w:hAnsi="Arial"/>
                <w:sz w:val="18"/>
                <w:szCs w:val="18"/>
                <w:color w:val="auto"/>
              </w:rPr>
              <w:t>29,086</w:t>
            </w:r>
          </w:p>
        </w:tc>
        <w:tc>
          <w:tcPr>
            <w:tcW w:w="460" w:type="dxa"/>
            <w:vAlign w:val="bottom"/>
            <w:tcBorders>
              <w:bottom w:val="single" w:sz="8" w:color="D6F3E8"/>
            </w:tcBorders>
            <w:shd w:val="clear" w:color="auto" w:fill="D6F3E8"/>
          </w:tcPr>
          <w:p>
            <w:pPr>
              <w:spacing w:after="0"/>
              <w:rPr>
                <w:sz w:val="20"/>
                <w:szCs w:val="20"/>
                <w:color w:val="auto"/>
              </w:rPr>
            </w:pPr>
          </w:p>
        </w:tc>
        <w:tc>
          <w:tcPr>
            <w:tcW w:w="1100" w:type="dxa"/>
            <w:vAlign w:val="bottom"/>
            <w:tcBorders>
              <w:bottom w:val="single" w:sz="8" w:color="D6F3E8"/>
            </w:tcBorders>
            <w:shd w:val="clear" w:color="auto" w:fill="D6F3E8"/>
          </w:tcPr>
          <w:p>
            <w:pPr>
              <w:spacing w:after="0"/>
              <w:rPr>
                <w:sz w:val="20"/>
                <w:szCs w:val="20"/>
                <w:color w:val="auto"/>
              </w:rPr>
            </w:pPr>
          </w:p>
        </w:tc>
        <w:tc>
          <w:tcPr>
            <w:tcW w:w="60" w:type="dxa"/>
            <w:vAlign w:val="bottom"/>
            <w:tcBorders>
              <w:bottom w:val="single" w:sz="8" w:color="D6F3E8"/>
            </w:tcBorders>
            <w:shd w:val="clear" w:color="auto" w:fill="D6F3E8"/>
          </w:tcPr>
          <w:p>
            <w:pPr>
              <w:spacing w:after="0"/>
              <w:rPr>
                <w:sz w:val="20"/>
                <w:szCs w:val="20"/>
                <w:color w:val="auto"/>
              </w:rPr>
            </w:pPr>
          </w:p>
        </w:tc>
        <w:tc>
          <w:tcPr>
            <w:tcW w:w="140" w:type="dxa"/>
            <w:vAlign w:val="bottom"/>
            <w:tcBorders>
              <w:bottom w:val="single" w:sz="8" w:color="auto"/>
            </w:tcBorders>
            <w:shd w:val="clear" w:color="auto" w:fill="D6F3E8"/>
          </w:tcPr>
          <w:p>
            <w:pPr>
              <w:spacing w:after="0"/>
              <w:rPr>
                <w:sz w:val="20"/>
                <w:szCs w:val="20"/>
                <w:color w:val="auto"/>
              </w:rPr>
            </w:pPr>
          </w:p>
        </w:tc>
        <w:tc>
          <w:tcPr>
            <w:tcW w:w="1000" w:type="dxa"/>
            <w:vAlign w:val="bottom"/>
            <w:tcBorders>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29,039</w:t>
            </w:r>
          </w:p>
        </w:tc>
        <w:tc>
          <w:tcPr>
            <w:tcW w:w="340" w:type="dxa"/>
            <w:vAlign w:val="bottom"/>
            <w:tcBorders>
              <w:bottom w:val="single" w:sz="8" w:color="D6F3E8"/>
            </w:tcBorders>
            <w:shd w:val="clear" w:color="auto" w:fill="D6F3E8"/>
          </w:tcPr>
          <w:p>
            <w:pPr>
              <w:spacing w:after="0"/>
              <w:rPr>
                <w:sz w:val="20"/>
                <w:szCs w:val="20"/>
                <w:color w:val="auto"/>
              </w:rPr>
            </w:pPr>
          </w:p>
        </w:tc>
        <w:tc>
          <w:tcPr>
            <w:tcW w:w="102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bottom w:val="single" w:sz="8" w:color="D6F3E8"/>
            </w:tcBorders>
            <w:shd w:val="clear" w:color="auto" w:fill="D6F3E8"/>
          </w:tcPr>
          <w:p>
            <w:pPr>
              <w:spacing w:after="0"/>
              <w:rPr>
                <w:sz w:val="20"/>
                <w:szCs w:val="20"/>
                <w:color w:val="auto"/>
              </w:rPr>
            </w:pPr>
          </w:p>
        </w:tc>
        <w:tc>
          <w:tcPr>
            <w:tcW w:w="1000" w:type="dxa"/>
            <w:vAlign w:val="bottom"/>
            <w:tcBorders>
              <w:bottom w:val="single" w:sz="8" w:color="D6F3E8"/>
            </w:tcBorders>
            <w:shd w:val="clear" w:color="auto" w:fill="D6F3E8"/>
          </w:tcPr>
          <w:p>
            <w:pPr>
              <w:spacing w:after="0"/>
              <w:rPr>
                <w:sz w:val="20"/>
                <w:szCs w:val="20"/>
                <w:color w:val="auto"/>
              </w:rPr>
            </w:pPr>
          </w:p>
        </w:tc>
        <w:tc>
          <w:tcPr>
            <w:tcW w:w="900" w:type="dxa"/>
            <w:vAlign w:val="bottom"/>
            <w:tcBorders>
              <w:bottom w:val="single" w:sz="8" w:color="D6F3E8"/>
            </w:tcBorders>
            <w:shd w:val="clear" w:color="auto" w:fill="D6F3E8"/>
          </w:tcPr>
          <w:p>
            <w:pPr>
              <w:spacing w:after="0"/>
              <w:rPr>
                <w:sz w:val="20"/>
                <w:szCs w:val="20"/>
                <w:color w:val="auto"/>
              </w:rPr>
            </w:pPr>
          </w:p>
        </w:tc>
      </w:tr>
      <w:tr>
        <w:trPr>
          <w:trHeight w:val="411"/>
        </w:trPr>
        <w:tc>
          <w:tcPr>
            <w:tcW w:w="4120" w:type="dxa"/>
            <w:vAlign w:val="bottom"/>
            <w:gridSpan w:val="2"/>
          </w:tcPr>
          <w:p>
            <w:pPr>
              <w:spacing w:after="0"/>
              <w:rPr>
                <w:sz w:val="20"/>
                <w:szCs w:val="20"/>
                <w:color w:val="auto"/>
              </w:rPr>
            </w:pPr>
            <w:r>
              <w:rPr>
                <w:rFonts w:ascii="Arial" w:cs="Arial" w:eastAsia="Arial" w:hAnsi="Arial"/>
                <w:sz w:val="18"/>
                <w:szCs w:val="18"/>
                <w:color w:val="auto"/>
              </w:rPr>
              <w:t>Unit deliveries consisted of the following:</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Quarter Ended</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right"/>
              <w:ind w:right="300"/>
              <w:spacing w:after="0" w:line="136" w:lineRule="exact"/>
              <w:rPr>
                <w:sz w:val="20"/>
                <w:szCs w:val="20"/>
                <w:color w:val="auto"/>
              </w:rPr>
            </w:pPr>
            <w:r>
              <w:rPr>
                <w:rFonts w:ascii="Arial" w:cs="Arial" w:eastAsia="Arial" w:hAnsi="Arial"/>
                <w:sz w:val="14"/>
                <w:szCs w:val="14"/>
                <w:b w:val="1"/>
                <w:bCs w:val="1"/>
                <w:color w:val="auto"/>
              </w:rPr>
              <w:t>November 28,</w:t>
            </w:r>
          </w:p>
        </w:tc>
        <w:tc>
          <w:tcPr>
            <w:tcW w:w="1100" w:type="dxa"/>
            <w:vAlign w:val="bottom"/>
          </w:tcPr>
          <w:p>
            <w:pPr>
              <w:jc w:val="right"/>
              <w:ind w:right="116"/>
              <w:spacing w:after="0" w:line="136" w:lineRule="exact"/>
              <w:rPr>
                <w:sz w:val="20"/>
                <w:szCs w:val="20"/>
                <w:color w:val="auto"/>
              </w:rPr>
            </w:pPr>
            <w:r>
              <w:rPr>
                <w:rFonts w:ascii="Arial" w:cs="Arial" w:eastAsia="Arial" w:hAnsi="Arial"/>
                <w:sz w:val="14"/>
                <w:szCs w:val="14"/>
                <w:b w:val="1"/>
                <w:bCs w:val="1"/>
                <w:color w:val="auto"/>
              </w:rPr>
              <w:t>Product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right"/>
              <w:ind w:right="320"/>
              <w:spacing w:after="0" w:line="136" w:lineRule="exact"/>
              <w:rPr>
                <w:sz w:val="20"/>
                <w:szCs w:val="20"/>
                <w:color w:val="auto"/>
              </w:rPr>
            </w:pPr>
            <w:r>
              <w:rPr>
                <w:rFonts w:ascii="Arial" w:cs="Arial" w:eastAsia="Arial" w:hAnsi="Arial"/>
                <w:sz w:val="14"/>
                <w:szCs w:val="14"/>
                <w:b w:val="1"/>
                <w:bCs w:val="1"/>
                <w:color w:val="auto"/>
              </w:rPr>
              <w:t>November 29,</w:t>
            </w:r>
          </w:p>
        </w:tc>
        <w:tc>
          <w:tcPr>
            <w:tcW w:w="1020" w:type="dxa"/>
            <w:vAlign w:val="bottom"/>
          </w:tcPr>
          <w:p>
            <w:pPr>
              <w:jc w:val="right"/>
              <w:ind w:right="156"/>
              <w:spacing w:after="0" w:line="136" w:lineRule="exact"/>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1"/>
                <w:szCs w:val="11"/>
                <w:color w:val="auto"/>
              </w:rPr>
            </w:pPr>
          </w:p>
        </w:tc>
        <w:tc>
          <w:tcPr>
            <w:tcW w:w="1000" w:type="dxa"/>
            <w:vAlign w:val="bottom"/>
          </w:tcPr>
          <w:p>
            <w:pPr>
              <w:jc w:val="right"/>
              <w:ind w:right="276"/>
              <w:spacing w:after="0" w:line="136" w:lineRule="exact"/>
              <w:rPr>
                <w:sz w:val="20"/>
                <w:szCs w:val="20"/>
                <w:color w:val="auto"/>
              </w:rPr>
            </w:pPr>
            <w:r>
              <w:rPr>
                <w:rFonts w:ascii="Arial" w:cs="Arial" w:eastAsia="Arial" w:hAnsi="Arial"/>
                <w:sz w:val="14"/>
                <w:szCs w:val="14"/>
                <w:b w:val="1"/>
                <w:bCs w:val="1"/>
                <w:color w:val="auto"/>
              </w:rPr>
              <w:t>Increase</w:t>
            </w:r>
          </w:p>
        </w:tc>
        <w:tc>
          <w:tcPr>
            <w:tcW w:w="900" w:type="dxa"/>
            <w:vAlign w:val="bottom"/>
          </w:tcPr>
          <w:p>
            <w:pPr>
              <w:jc w:val="right"/>
              <w:ind w:right="356"/>
              <w:spacing w:after="0" w:line="136" w:lineRule="exact"/>
              <w:rPr>
                <w:sz w:val="20"/>
                <w:szCs w:val="20"/>
                <w:color w:val="auto"/>
              </w:rPr>
            </w:pPr>
            <w:r>
              <w:rPr>
                <w:rFonts w:ascii="Arial" w:cs="Arial" w:eastAsia="Arial" w:hAnsi="Arial"/>
                <w:sz w:val="14"/>
                <w:szCs w:val="14"/>
                <w:b w:val="1"/>
                <w:bCs w:val="1"/>
                <w:color w:val="auto"/>
              </w:rPr>
              <w:t>%</w:t>
            </w:r>
          </w:p>
        </w:tc>
      </w:tr>
      <w:tr>
        <w:trPr>
          <w:trHeight w:val="168"/>
        </w:trPr>
        <w:tc>
          <w:tcPr>
            <w:tcW w:w="4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2009</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Mix %</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Mix %</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4"/>
              </w:rPr>
              <w:t>(Decrease)</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16"/>
        </w:trPr>
        <w:tc>
          <w:tcPr>
            <w:tcW w:w="20" w:type="dxa"/>
            <w:vAlign w:val="bottom"/>
          </w:tcPr>
          <w:p>
            <w:pPr>
              <w:spacing w:after="0"/>
              <w:rPr>
                <w:sz w:val="18"/>
                <w:szCs w:val="18"/>
                <w:color w:val="auto"/>
              </w:rPr>
            </w:pPr>
          </w:p>
        </w:tc>
        <w:tc>
          <w:tcPr>
            <w:tcW w:w="410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140" w:type="dxa"/>
            <w:vAlign w:val="bottom"/>
            <w:shd w:val="clear" w:color="auto" w:fill="D6F3E8"/>
          </w:tcPr>
          <w:p>
            <w:pPr>
              <w:spacing w:after="0"/>
              <w:rPr>
                <w:sz w:val="18"/>
                <w:szCs w:val="18"/>
                <w:color w:val="auto"/>
              </w:rPr>
            </w:pPr>
          </w:p>
        </w:tc>
        <w:tc>
          <w:tcPr>
            <w:tcW w:w="1480" w:type="dxa"/>
            <w:vAlign w:val="bottom"/>
            <w:gridSpan w:val="3"/>
            <w:shd w:val="clear" w:color="auto" w:fill="D6F3E8"/>
          </w:tcPr>
          <w:p>
            <w:pPr>
              <w:jc w:val="right"/>
              <w:ind w:right="80"/>
              <w:spacing w:after="0"/>
              <w:rPr>
                <w:sz w:val="20"/>
                <w:szCs w:val="20"/>
                <w:color w:val="auto"/>
              </w:rPr>
            </w:pPr>
            <w:r>
              <w:rPr>
                <w:rFonts w:ascii="Arial" w:cs="Arial" w:eastAsia="Arial" w:hAnsi="Arial"/>
                <w:sz w:val="18"/>
                <w:szCs w:val="18"/>
                <w:color w:val="auto"/>
              </w:rPr>
              <w:t>235</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165</w:t>
            </w:r>
          </w:p>
        </w:tc>
        <w:tc>
          <w:tcPr>
            <w:tcW w:w="1020" w:type="dxa"/>
            <w:vAlign w:val="bottom"/>
            <w:shd w:val="clear" w:color="auto" w:fill="D6F3E8"/>
          </w:tcPr>
          <w:p>
            <w:pPr>
              <w:jc w:val="right"/>
              <w:ind w:right="16"/>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36"/>
              <w:spacing w:after="0"/>
              <w:rPr>
                <w:sz w:val="20"/>
                <w:szCs w:val="20"/>
                <w:color w:val="auto"/>
              </w:rPr>
            </w:pPr>
            <w:r>
              <w:rPr>
                <w:rFonts w:ascii="Arial" w:cs="Arial" w:eastAsia="Arial" w:hAnsi="Arial"/>
                <w:sz w:val="18"/>
                <w:szCs w:val="18"/>
                <w:color w:val="auto"/>
              </w:rPr>
              <w:t>70</w:t>
            </w:r>
          </w:p>
        </w:tc>
        <w:tc>
          <w:tcPr>
            <w:tcW w:w="900" w:type="dxa"/>
            <w:vAlign w:val="bottom"/>
            <w:shd w:val="clear" w:color="auto" w:fill="D6F3E8"/>
          </w:tcPr>
          <w:p>
            <w:pPr>
              <w:jc w:val="right"/>
              <w:ind w:right="36"/>
              <w:spacing w:after="0"/>
              <w:rPr>
                <w:sz w:val="20"/>
                <w:szCs w:val="20"/>
                <w:color w:val="auto"/>
              </w:rPr>
            </w:pPr>
            <w:r>
              <w:rPr>
                <w:rFonts w:ascii="Arial" w:cs="Arial" w:eastAsia="Arial" w:hAnsi="Arial"/>
                <w:sz w:val="18"/>
                <w:szCs w:val="18"/>
                <w:color w:val="auto"/>
              </w:rPr>
              <w:t>42.4</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4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180</w:t>
            </w:r>
          </w:p>
        </w:tc>
        <w:tc>
          <w:tcPr>
            <w:tcW w:w="110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62</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52.5</w:t>
            </w:r>
          </w:p>
        </w:tc>
      </w:tr>
      <w:tr>
        <w:trPr>
          <w:trHeight w:val="210"/>
        </w:trPr>
        <w:tc>
          <w:tcPr>
            <w:tcW w:w="20" w:type="dxa"/>
            <w:vAlign w:val="bottom"/>
          </w:tcPr>
          <w:p>
            <w:pPr>
              <w:spacing w:after="0"/>
              <w:rPr>
                <w:sz w:val="18"/>
                <w:szCs w:val="18"/>
                <w:color w:val="auto"/>
              </w:rPr>
            </w:pPr>
          </w:p>
        </w:tc>
        <w:tc>
          <w:tcPr>
            <w:tcW w:w="410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320" w:type="dxa"/>
            <w:vAlign w:val="bottom"/>
            <w:tcBorders>
              <w:top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415</w:t>
            </w: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52.3</w:t>
            </w:r>
          </w:p>
        </w:tc>
        <w:tc>
          <w:tcPr>
            <w:tcW w:w="60" w:type="dxa"/>
            <w:vAlign w:val="bottom"/>
            <w:tcBorders>
              <w:top w:val="single" w:sz="8" w:color="auto"/>
            </w:tcBorders>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spacing w:after="0"/>
              <w:rPr>
                <w:sz w:val="18"/>
                <w:szCs w:val="18"/>
                <w:color w:val="auto"/>
              </w:rPr>
            </w:pPr>
          </w:p>
        </w:tc>
        <w:tc>
          <w:tcPr>
            <w:tcW w:w="1340" w:type="dxa"/>
            <w:vAlign w:val="bottom"/>
            <w:tcBorders>
              <w:top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283</w:t>
            </w:r>
          </w:p>
        </w:tc>
        <w:tc>
          <w:tcPr>
            <w:tcW w:w="1020" w:type="dxa"/>
            <w:vAlign w:val="bottom"/>
            <w:tcBorders>
              <w:top w:val="single" w:sz="8" w:color="auto"/>
            </w:tcBorders>
            <w:shd w:val="clear" w:color="auto" w:fill="D6F3E8"/>
          </w:tcPr>
          <w:p>
            <w:pPr>
              <w:jc w:val="right"/>
              <w:ind w:right="16"/>
              <w:spacing w:after="0"/>
              <w:rPr>
                <w:sz w:val="20"/>
                <w:szCs w:val="20"/>
                <w:color w:val="auto"/>
              </w:rPr>
            </w:pPr>
            <w:r>
              <w:rPr>
                <w:rFonts w:ascii="Arial" w:cs="Arial" w:eastAsia="Arial" w:hAnsi="Arial"/>
                <w:sz w:val="18"/>
                <w:szCs w:val="18"/>
                <w:color w:val="auto"/>
              </w:rPr>
              <w:t>43.2</w:t>
            </w:r>
          </w:p>
        </w:tc>
        <w:tc>
          <w:tcPr>
            <w:tcW w:w="12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jc w:val="right"/>
              <w:ind w:right="136"/>
              <w:spacing w:after="0"/>
              <w:rPr>
                <w:sz w:val="20"/>
                <w:szCs w:val="20"/>
                <w:color w:val="auto"/>
              </w:rPr>
            </w:pPr>
            <w:r>
              <w:rPr>
                <w:rFonts w:ascii="Arial" w:cs="Arial" w:eastAsia="Arial" w:hAnsi="Arial"/>
                <w:sz w:val="18"/>
                <w:szCs w:val="18"/>
                <w:color w:val="auto"/>
              </w:rPr>
              <w:t>132</w:t>
            </w:r>
          </w:p>
        </w:tc>
        <w:tc>
          <w:tcPr>
            <w:tcW w:w="900" w:type="dxa"/>
            <w:vAlign w:val="bottom"/>
            <w:tcBorders>
              <w:top w:val="single" w:sz="8" w:color="auto"/>
            </w:tcBorders>
            <w:shd w:val="clear" w:color="auto" w:fill="D6F3E8"/>
          </w:tcPr>
          <w:p>
            <w:pPr>
              <w:jc w:val="right"/>
              <w:ind w:right="36"/>
              <w:spacing w:after="0"/>
              <w:rPr>
                <w:sz w:val="20"/>
                <w:szCs w:val="20"/>
                <w:color w:val="auto"/>
              </w:rPr>
            </w:pPr>
            <w:r>
              <w:rPr>
                <w:rFonts w:ascii="Arial" w:cs="Arial" w:eastAsia="Arial" w:hAnsi="Arial"/>
                <w:sz w:val="18"/>
                <w:szCs w:val="18"/>
                <w:color w:val="auto"/>
              </w:rPr>
              <w:t>46.6</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Class B</w:t>
            </w:r>
          </w:p>
        </w:tc>
        <w:tc>
          <w:tcPr>
            <w:tcW w:w="14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27</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77.1</w:t>
            </w:r>
          </w:p>
        </w:tc>
      </w:tr>
      <w:tr>
        <w:trPr>
          <w:trHeight w:val="216"/>
        </w:trPr>
        <w:tc>
          <w:tcPr>
            <w:tcW w:w="20" w:type="dxa"/>
            <w:vAlign w:val="bottom"/>
          </w:tcPr>
          <w:p>
            <w:pPr>
              <w:spacing w:after="0"/>
              <w:rPr>
                <w:sz w:val="18"/>
                <w:szCs w:val="18"/>
                <w:color w:val="auto"/>
              </w:rPr>
            </w:pPr>
          </w:p>
        </w:tc>
        <w:tc>
          <w:tcPr>
            <w:tcW w:w="41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Class C</w:t>
            </w:r>
          </w:p>
        </w:tc>
        <w:tc>
          <w:tcPr>
            <w:tcW w:w="14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D6F3E8"/>
            </w:tcBorders>
            <w:shd w:val="clear" w:color="auto" w:fill="D6F3E8"/>
          </w:tcPr>
          <w:p>
            <w:pPr>
              <w:spacing w:after="0"/>
              <w:rPr>
                <w:sz w:val="18"/>
                <w:szCs w:val="18"/>
                <w:color w:val="auto"/>
              </w:rPr>
            </w:pPr>
          </w:p>
        </w:tc>
        <w:tc>
          <w:tcPr>
            <w:tcW w:w="1320" w:type="dxa"/>
            <w:vAlign w:val="bottom"/>
            <w:tcBorders>
              <w:bottom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317</w:t>
            </w: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auto"/>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340" w:type="dxa"/>
            <w:vAlign w:val="bottom"/>
            <w:tcBorders>
              <w:bottom w:val="single" w:sz="8" w:color="auto"/>
            </w:tcBorders>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338</w:t>
            </w:r>
          </w:p>
        </w:tc>
        <w:tc>
          <w:tcPr>
            <w:tcW w:w="1020" w:type="dxa"/>
            <w:vAlign w:val="bottom"/>
            <w:tcBorders>
              <w:bottom w:val="single" w:sz="8" w:color="auto"/>
            </w:tcBorders>
            <w:shd w:val="clear" w:color="auto" w:fill="D6F3E8"/>
          </w:tcPr>
          <w:p>
            <w:pPr>
              <w:jc w:val="right"/>
              <w:ind w:right="16"/>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auto"/>
            </w:tcBorders>
            <w:shd w:val="clear" w:color="auto" w:fill="D6F3E8"/>
          </w:tcPr>
          <w:p>
            <w:pPr>
              <w:spacing w:after="0"/>
              <w:rPr>
                <w:sz w:val="18"/>
                <w:szCs w:val="18"/>
                <w:color w:val="auto"/>
              </w:rPr>
            </w:pPr>
          </w:p>
        </w:tc>
        <w:tc>
          <w:tcPr>
            <w:tcW w:w="1000" w:type="dxa"/>
            <w:vAlign w:val="bottom"/>
            <w:tcBorders>
              <w:bottom w:val="single" w:sz="8" w:color="auto"/>
            </w:tcBorders>
            <w:shd w:val="clear" w:color="auto" w:fill="D6F3E8"/>
          </w:tcPr>
          <w:p>
            <w:pPr>
              <w:jc w:val="right"/>
              <w:ind w:right="76"/>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Total deliveries</w:t>
            </w:r>
          </w:p>
        </w:tc>
        <w:tc>
          <w:tcPr>
            <w:tcW w:w="14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794</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138</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21.0</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first quarter of Fiscal 2010 increased $11.6 million, or 16.7 percent compared to the first quarter of Fiscal 2009, due to the following:</w:t>
      </w:r>
    </w:p>
    <w:p>
      <w:pPr>
        <w:spacing w:after="0" w:line="181" w:lineRule="exact"/>
        <w:rPr>
          <w:sz w:val="20"/>
          <w:szCs w:val="20"/>
          <w:color w:val="auto"/>
        </w:rPr>
      </w:pPr>
    </w:p>
    <w:p>
      <w:pPr>
        <w:ind w:left="580" w:hanging="34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 increase: The primary reason for the net revenue increase was due to unit deliveries increasing by 21.0 percent</w:t>
      </w:r>
    </w:p>
    <w:p>
      <w:pPr>
        <w:spacing w:after="0" w:line="15" w:lineRule="exact"/>
        <w:rPr>
          <w:rFonts w:ascii="Arial" w:cs="Arial" w:eastAsia="Arial" w:hAnsi="Arial"/>
          <w:sz w:val="18"/>
          <w:szCs w:val="18"/>
          <w:color w:val="auto"/>
        </w:rPr>
      </w:pPr>
    </w:p>
    <w:p>
      <w:pPr>
        <w:ind w:left="580" w:right="80" w:hanging="347"/>
        <w:spacing w:after="0" w:line="25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Promotional incentives: Our retail and other incentives increased 1.1 percent (as a percentage of net revenues) due to a continuation of retail promotional activities that had been started during Fiscal 2009.</w:t>
      </w:r>
    </w:p>
    <w:p>
      <w:pPr>
        <w:ind w:left="580" w:right="240" w:hanging="347"/>
        <w:spacing w:after="0" w:line="250"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Repurchases: Our repurchase loss provision, which is a deduction from gross revenue, decreased 2.4 percent (as a percentage of revenue) during the quarter, or $1.7 million. We repurchased two units and resold two units during the quarter, incurring actual losses of $16,000. Further discussion of our repurchase activity is included in Note 10 to the Financial Statements.</w:t>
      </w:r>
    </w:p>
    <w:p>
      <w:pPr>
        <w:spacing w:after="0" w:line="1" w:lineRule="exact"/>
        <w:rPr>
          <w:rFonts w:ascii="Arial" w:cs="Arial" w:eastAsia="Arial" w:hAnsi="Arial"/>
          <w:sz w:val="18"/>
          <w:szCs w:val="18"/>
          <w:color w:val="auto"/>
        </w:rPr>
      </w:pPr>
    </w:p>
    <w:p>
      <w:pPr>
        <w:ind w:left="580" w:right="20" w:hanging="347"/>
        <w:spacing w:after="0" w:line="28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Pricing and mix: Our motor home average selling price (ASP), net of discounts, increased 0.8 percent. Although our sales mix was more heavily weighted to Class A product as compared to last year, much of our Class A volume was in units priced in the entry level gas and diesel price points due to new product introductions. Our ASP did increase sequentially from the fourth quarter of Fiscal 2009 by 8.3 percent.</w:t>
      </w:r>
    </w:p>
    <w:p>
      <w:pPr>
        <w:spacing w:after="0" w:line="2" w:lineRule="exact"/>
        <w:rPr>
          <w:rFonts w:ascii="Arial" w:cs="Arial" w:eastAsia="Arial" w:hAnsi="Arial"/>
          <w:sz w:val="16"/>
          <w:szCs w:val="16"/>
          <w:color w:val="auto"/>
        </w:rPr>
      </w:pPr>
    </w:p>
    <w:p>
      <w:pPr>
        <w:ind w:left="580" w:hanging="34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revenue: Revenues for motor home parts and services and other manufactured products decreased by 22.6 percent.</w:t>
      </w:r>
    </w:p>
    <w:p>
      <w:pPr>
        <w:spacing w:after="0" w:line="21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Cost of products sold was $80.5 million, or 99.4 percent of net revenues for the first quarter of Fiscal 2010 compared to $78.3 million, or 112.8 percent, for the first quarter of Fiscal 2009. Variable costs (material, labor, variable overhead, delivery, and warranty) increased $5.2 million. As a percent of revenues, however, variable costs decreased to 87.9 percent of net revenues for the first quarter of Fiscal 2010 from 95.1 percent for the first quarter of Fiscal 2009. This decrease in percentage is due to reduced material and labor costs and improved labor efficiencies as a result of production volume increases. Fixed overhead (manufacturing support labor, depreciation and facility costs) and research and development-related costs decreased $3.0 million to 11.4 percent, as a percentage of net revenues, for the first quarter of Fiscal 2010 as compared to 17.7 percent for the first quarter of Fiscal 2009. The decrease was due to greater absorption of fixed costs resulting from higher production volumes.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all factors as described above are considered, gross profit was 0.6 percent of net revenues for the first quarter of Fiscal 2010 compared to a gross deficit of 12.8 percent during the first quarter of Fiscal 2009.</w:t>
      </w:r>
    </w:p>
    <w:p>
      <w:pPr>
        <w:spacing w:after="0" w:line="186"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Selling expenses decreased $436,000, or 11.9 percent, during the first quarter of Fiscal 2010 and as a percentage of net revenues, selling expenses were 4.0 percent and 5.3 percent for the first quarters of Fiscal 2010 and Fiscal 2009, respectively. This decrease was due to reductions of $135,000 in labor-related expenses due to headcount and salary reductions, $85,000 in travel expenses and other spending reductions.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 and administrative expenses decreased $1.1 million, or 24.5 percent, during the first quarter of Fiscal 2010 and as a percentage of net revenues, general and administrative expenses were 4.0 percent and 6.2 percent for the first quarters of Fiscal 2010 and Fiscal 2009, respectively. This decrease was due to reductions of $490,000 in labor-related expenses, and $410,000 in legal expenses.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Financial expense increased $760,000, or 144.5 percent, during the first quarter of Fiscal 2010. This was due to a decrease of $430,000 in interest income as a result of lower rates of return on our investment balances, a termination fee of $375,000 paid to Wells Fargo to terminate the credit and security agreement and an expense of $130,000 related to the new Loan Agreement with Burdale Capital Finance, Inc., partially offset by a reduction of $130,000 in the impairment on our ARS. (See Notes 4 and 7 to the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overall effective income tax rate for the first quarter of Fiscal 2010 was a benefit of 78.3 percent compared to a benefit of 41.4 percent for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Fiscal 2009. The following table breaks down the two aforementioned tax rates: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818"/>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4"/>
                <w:szCs w:val="14"/>
                <w:color w:val="auto"/>
              </w:rPr>
            </w:pPr>
          </w:p>
        </w:tc>
      </w:tr>
      <w:tr>
        <w:trPr>
          <w:trHeight w:val="223"/>
        </w:trPr>
        <w:tc>
          <w:tcPr>
            <w:tcW w:w="6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4"/>
                <w:szCs w:val="14"/>
                <w:b w:val="1"/>
                <w:bCs w:val="1"/>
                <w:color w:val="auto"/>
              </w:rPr>
              <w:t>November 28, 2009</w:t>
            </w: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2"/>
          </w:tcPr>
          <w:p>
            <w:pPr>
              <w:jc w:val="right"/>
              <w:ind w:right="518"/>
              <w:spacing w:after="0"/>
              <w:rPr>
                <w:sz w:val="20"/>
                <w:szCs w:val="20"/>
                <w:color w:val="auto"/>
              </w:rPr>
            </w:pPr>
            <w:r>
              <w:rPr>
                <w:rFonts w:ascii="Arial" w:cs="Arial" w:eastAsia="Arial" w:hAnsi="Arial"/>
                <w:sz w:val="14"/>
                <w:szCs w:val="14"/>
                <w:b w:val="1"/>
                <w:bCs w:val="1"/>
                <w:color w:val="auto"/>
              </w:rPr>
              <w:t>November 29, 2008</w:t>
            </w:r>
          </w:p>
        </w:tc>
      </w:tr>
      <w:tr>
        <w:trPr>
          <w:trHeight w:val="136"/>
        </w:trPr>
        <w:tc>
          <w:tcPr>
            <w:tcW w:w="6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jc w:val="right"/>
              <w:ind w:right="300"/>
              <w:spacing w:after="0" w:line="136" w:lineRule="exact"/>
              <w:rPr>
                <w:sz w:val="20"/>
                <w:szCs w:val="20"/>
                <w:color w:val="auto"/>
              </w:rPr>
            </w:pPr>
            <w:r>
              <w:rPr>
                <w:rFonts w:ascii="Arial" w:cs="Arial" w:eastAsia="Arial" w:hAnsi="Arial"/>
                <w:sz w:val="14"/>
                <w:szCs w:val="14"/>
                <w:b w:val="1"/>
                <w:bCs w:val="1"/>
                <w:color w:val="auto"/>
              </w:rPr>
              <w:t>Effective</w:t>
            </w: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0" w:type="dxa"/>
            <w:vAlign w:val="bottom"/>
          </w:tcPr>
          <w:p>
            <w:pPr>
              <w:jc w:val="right"/>
              <w:ind w:right="198"/>
              <w:spacing w:after="0" w:line="136" w:lineRule="exact"/>
              <w:rPr>
                <w:sz w:val="20"/>
                <w:szCs w:val="20"/>
                <w:color w:val="auto"/>
              </w:rPr>
            </w:pPr>
            <w:r>
              <w:rPr>
                <w:rFonts w:ascii="Arial" w:cs="Arial" w:eastAsia="Arial" w:hAnsi="Arial"/>
                <w:sz w:val="14"/>
                <w:szCs w:val="14"/>
                <w:b w:val="1"/>
                <w:bCs w:val="1"/>
                <w:color w:val="auto"/>
              </w:rPr>
              <w:t>Effective</w:t>
            </w:r>
          </w:p>
        </w:tc>
      </w:tr>
      <w:tr>
        <w:trPr>
          <w:trHeight w:val="168"/>
        </w:trPr>
        <w:tc>
          <w:tcPr>
            <w:tcW w:w="6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Rate</w:t>
            </w:r>
          </w:p>
        </w:tc>
      </w:tr>
      <w:tr>
        <w:trPr>
          <w:trHeight w:val="216"/>
        </w:trPr>
        <w:tc>
          <w:tcPr>
            <w:tcW w:w="6660" w:type="dxa"/>
            <w:vAlign w:val="bottom"/>
            <w:shd w:val="clear" w:color="auto" w:fill="D6F3E8"/>
          </w:tcPr>
          <w:p>
            <w:pPr>
              <w:spacing w:after="0"/>
              <w:rPr>
                <w:sz w:val="20"/>
                <w:szCs w:val="20"/>
                <w:color w:val="auto"/>
              </w:rPr>
            </w:pPr>
            <w:r>
              <w:rPr>
                <w:rFonts w:ascii="Arial" w:cs="Arial" w:eastAsia="Arial" w:hAnsi="Arial"/>
                <w:sz w:val="18"/>
                <w:szCs w:val="18"/>
                <w:color w:val="auto"/>
              </w:rPr>
              <w:t>Tax benefit before discrete items</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(2,539)</w:t>
            </w:r>
          </w:p>
        </w:tc>
        <w:tc>
          <w:tcPr>
            <w:tcW w:w="110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ind w:right="138"/>
              <w:spacing w:after="0"/>
              <w:rPr>
                <w:sz w:val="20"/>
                <w:szCs w:val="20"/>
                <w:color w:val="auto"/>
              </w:rPr>
            </w:pPr>
            <w:r>
              <w:rPr>
                <w:rFonts w:ascii="Arial" w:cs="Arial" w:eastAsia="Arial" w:hAnsi="Arial"/>
                <w:sz w:val="18"/>
                <w:szCs w:val="18"/>
                <w:color w:val="auto"/>
              </w:rPr>
              <w:t>(6,496)</w:t>
            </w:r>
          </w:p>
        </w:tc>
        <w:tc>
          <w:tcPr>
            <w:tcW w:w="10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Discrete items: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60" w:type="dxa"/>
            <w:vAlign w:val="bottom"/>
            <w:shd w:val="clear" w:color="auto" w:fill="D6F3E8"/>
          </w:tcPr>
          <w:p>
            <w:pPr>
              <w:ind w:left="1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000" w:type="dxa"/>
            <w:vAlign w:val="bottom"/>
            <w:shd w:val="clear" w:color="auto" w:fill="D6F3E8"/>
          </w:tcPr>
          <w:p>
            <w:pPr>
              <w:spacing w:after="0"/>
              <w:rPr>
                <w:sz w:val="18"/>
                <w:szCs w:val="18"/>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Increase</w:t>
            </w:r>
          </w:p>
        </w:tc>
        <w:tc>
          <w:tcPr>
            <w:tcW w:w="160" w:type="dxa"/>
            <w:vAlign w:val="bottom"/>
          </w:tcPr>
          <w:p>
            <w:pPr>
              <w:spacing w:after="0"/>
              <w:rPr>
                <w:sz w:val="18"/>
                <w:szCs w:val="18"/>
                <w:color w:val="auto"/>
              </w:rPr>
            </w:pP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2,539</w:t>
            </w: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1040" w:type="dxa"/>
            <w:vAlign w:val="bottom"/>
          </w:tcPr>
          <w:p>
            <w:pPr>
              <w:jc w:val="right"/>
              <w:ind w:right="198"/>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(Decrease)</w:t>
            </w:r>
          </w:p>
        </w:tc>
        <w:tc>
          <w:tcPr>
            <w:tcW w:w="160" w:type="dxa"/>
            <w:vAlign w:val="bottom"/>
            <w:shd w:val="clear" w:color="auto" w:fill="D6F3E8"/>
          </w:tcPr>
          <w:p>
            <w:pPr>
              <w:spacing w:after="0"/>
              <w:rPr>
                <w:sz w:val="18"/>
                <w:szCs w:val="18"/>
                <w:color w:val="auto"/>
              </w:rPr>
            </w:pPr>
          </w:p>
        </w:tc>
        <w:tc>
          <w:tcPr>
            <w:tcW w:w="1000" w:type="dxa"/>
            <w:vAlign w:val="bottom"/>
            <w:shd w:val="clear" w:color="auto" w:fill="D6F3E8"/>
          </w:tcPr>
          <w:p>
            <w:pPr>
              <w:jc w:val="right"/>
              <w:ind w:right="118"/>
              <w:spacing w:after="0"/>
              <w:rPr>
                <w:sz w:val="20"/>
                <w:szCs w:val="20"/>
                <w:color w:val="auto"/>
              </w:rPr>
            </w:pPr>
            <w:r>
              <w:rPr>
                <w:rFonts w:ascii="Arial" w:cs="Arial" w:eastAsia="Arial" w:hAnsi="Arial"/>
                <w:sz w:val="18"/>
                <w:szCs w:val="18"/>
                <w:color w:val="auto"/>
              </w:rPr>
              <w:t>(4,784)</w:t>
            </w:r>
          </w:p>
        </w:tc>
        <w:tc>
          <w:tcPr>
            <w:tcW w:w="1100" w:type="dxa"/>
            <w:vAlign w:val="bottom"/>
            <w:shd w:val="clear" w:color="auto" w:fill="D6F3E8"/>
          </w:tcPr>
          <w:p>
            <w:pPr>
              <w:jc w:val="right"/>
              <w:ind w:right="100"/>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ind w:right="198"/>
              <w:spacing w:after="0"/>
              <w:rPr>
                <w:sz w:val="20"/>
                <w:szCs w:val="20"/>
                <w:color w:val="auto"/>
              </w:rPr>
            </w:pPr>
            <w:r>
              <w:rPr>
                <w:rFonts w:ascii="Arial" w:cs="Arial" w:eastAsia="Arial" w:hAnsi="Arial"/>
                <w:sz w:val="18"/>
                <w:szCs w:val="18"/>
                <w:color w:val="auto"/>
              </w:rPr>
              <w:t>—</w:t>
            </w:r>
          </w:p>
        </w:tc>
        <w:tc>
          <w:tcPr>
            <w:tcW w:w="1000" w:type="dxa"/>
            <w:vAlign w:val="bottom"/>
            <w:shd w:val="clear" w:color="auto" w:fill="D6F3E8"/>
          </w:tcPr>
          <w:p>
            <w:pPr>
              <w:jc w:val="right"/>
              <w:ind w:right="58"/>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color w:val="auto"/>
              </w:rPr>
              <w:t>(82)</w:t>
            </w: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(274)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66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Total benefit for taxes</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D6F3E8"/>
          </w:tcPr>
          <w:p>
            <w:pPr>
              <w:jc w:val="right"/>
              <w:ind w:right="118"/>
              <w:spacing w:after="0"/>
              <w:rPr>
                <w:sz w:val="20"/>
                <w:szCs w:val="20"/>
                <w:color w:val="auto"/>
              </w:rPr>
            </w:pPr>
            <w:r>
              <w:rPr>
                <w:rFonts w:ascii="Arial" w:cs="Arial" w:eastAsia="Arial" w:hAnsi="Arial"/>
                <w:sz w:val="18"/>
                <w:szCs w:val="18"/>
                <w:color w:val="auto"/>
              </w:rPr>
              <w:t>(4,866)</w:t>
            </w:r>
          </w:p>
        </w:tc>
        <w:tc>
          <w:tcPr>
            <w:tcW w:w="1100" w:type="dxa"/>
            <w:vAlign w:val="bottom"/>
            <w:tcBorders>
              <w:bottom w:val="single" w:sz="8" w:color="auto"/>
            </w:tcBorders>
            <w:shd w:val="clear" w:color="auto" w:fill="D6F3E8"/>
          </w:tcPr>
          <w:p>
            <w:pPr>
              <w:jc w:val="right"/>
              <w:ind w:right="100"/>
              <w:spacing w:after="0"/>
              <w:rPr>
                <w:sz w:val="20"/>
                <w:szCs w:val="20"/>
                <w:color w:val="auto"/>
              </w:rPr>
            </w:pPr>
            <w:r>
              <w:rPr>
                <w:rFonts w:ascii="Arial" w:cs="Arial" w:eastAsia="Arial" w:hAnsi="Arial"/>
                <w:sz w:val="18"/>
                <w:szCs w:val="18"/>
                <w:color w:val="auto"/>
              </w:rPr>
              <w:t>(78.3%)</w:t>
            </w:r>
          </w:p>
        </w:tc>
        <w:tc>
          <w:tcPr>
            <w:tcW w:w="2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6F3E8"/>
          </w:tcPr>
          <w:p>
            <w:pPr>
              <w:jc w:val="right"/>
              <w:ind w:right="138"/>
              <w:spacing w:after="0"/>
              <w:rPr>
                <w:sz w:val="20"/>
                <w:szCs w:val="20"/>
                <w:color w:val="auto"/>
              </w:rPr>
            </w:pPr>
            <w:r>
              <w:rPr>
                <w:rFonts w:ascii="Arial" w:cs="Arial" w:eastAsia="Arial" w:hAnsi="Arial"/>
                <w:sz w:val="18"/>
                <w:szCs w:val="18"/>
                <w:color w:val="auto"/>
              </w:rPr>
              <w:t>(6,770)</w:t>
            </w:r>
          </w:p>
        </w:tc>
        <w:tc>
          <w:tcPr>
            <w:tcW w:w="10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(41.4%)</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w:t>
      </w:r>
    </w:p>
    <w:p>
      <w:pPr>
        <w:spacing w:after="0" w:line="15" w:lineRule="exact"/>
        <w:rPr>
          <w:sz w:val="20"/>
          <w:szCs w:val="20"/>
          <w:color w:val="auto"/>
        </w:rPr>
      </w:pPr>
    </w:p>
    <w:p>
      <w:pPr>
        <w:ind w:left="580" w:right="40" w:hanging="572"/>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Increase. </w:t>
      </w:r>
      <w:r>
        <w:rPr>
          <w:rFonts w:ascii="Arial" w:cs="Arial" w:eastAsia="Arial" w:hAnsi="Arial"/>
          <w:sz w:val="16"/>
          <w:szCs w:val="16"/>
          <w:color w:val="auto"/>
        </w:rPr>
        <w:t>A full valuation allowance of $2.5 million was established in our first quarter of Fiscal 2010 on the deferred tax assets, no benefit was recorded</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first quarter of Fiscal 2010 NOL. For further discussion of income taxes see Note 11 to the Financial Statements.</w:t>
      </w:r>
    </w:p>
    <w:p>
      <w:pPr>
        <w:spacing w:after="0" w:line="1" w:lineRule="exact"/>
        <w:rPr>
          <w:rFonts w:ascii="Arial" w:cs="Arial" w:eastAsia="Arial" w:hAnsi="Arial"/>
          <w:sz w:val="16"/>
          <w:szCs w:val="16"/>
          <w:color w:val="auto"/>
        </w:rPr>
      </w:pPr>
    </w:p>
    <w:p>
      <w:pPr>
        <w:ind w:left="580" w:right="100" w:hanging="572"/>
        <w:spacing w:after="0" w:line="320"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Decrease</w:t>
      </w:r>
      <w:r>
        <w:rPr>
          <w:rFonts w:ascii="Arial" w:cs="Arial" w:eastAsia="Arial" w:hAnsi="Arial"/>
          <w:sz w:val="15"/>
          <w:szCs w:val="15"/>
          <w:color w:val="auto"/>
        </w:rPr>
        <w:t>. At the end of Fiscal 2009, we had established a valuation allowance on all deferred tax assets and NOL carryforward assets associated with</w:t>
      </w:r>
      <w:r>
        <w:rPr>
          <w:rFonts w:ascii="Arial" w:cs="Arial" w:eastAsia="Arial" w:hAnsi="Arial"/>
          <w:sz w:val="15"/>
          <w:szCs w:val="15"/>
          <w:i w:val="1"/>
          <w:iCs w:val="1"/>
          <w:color w:val="auto"/>
        </w:rPr>
        <w:t xml:space="preserve"> </w:t>
      </w:r>
      <w:r>
        <w:rPr>
          <w:rFonts w:ascii="Arial" w:cs="Arial" w:eastAsia="Arial" w:hAnsi="Arial"/>
          <w:sz w:val="15"/>
          <w:szCs w:val="15"/>
          <w:color w:val="auto"/>
        </w:rPr>
        <w:t>Fiscal 2009. During our first quarter of Fiscal 2010, the President of the United States signed into law the Worker, Homeownership, and Business Assistance Act of 2009, which expands the carryback period from two to five years, allowing us to carryback all Fiscal 2009 NOL. As a result, we recorded a tax benefit of $4.8 million, reduced the associated valuation allowance and increased our tax receivable due to this beneficial tax law change.</w:t>
      </w:r>
    </w:p>
    <w:p>
      <w:pPr>
        <w:spacing w:after="0" w:line="15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loss was $1.3 million, or $.05 per diluted share, for the first quarter of Fiscal 2010 compared to net loss of $9.6 million, or $.33 per diluted share, for the first quarter of Fiscal 2009. (See Note 12 to the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Cash and cash equivalents totaled $29.2 million and $36.6 million as of November 28, 2009 and August 29, 2009, respectively. Short-term and long-term ARS investments, net of temporary impairments, totaled $33.5 million as of November 28, 2009 and $33.3 million as of August 29, 2009. (See Notes 3 and 4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Planned liquidity events in Fiscal 2010 are as follows:</w:t>
      </w:r>
    </w:p>
    <w:p>
      <w:pPr>
        <w:spacing w:after="0" w:line="239" w:lineRule="exact"/>
        <w:rPr>
          <w:sz w:val="20"/>
          <w:szCs w:val="20"/>
          <w:color w:val="auto"/>
        </w:rPr>
      </w:pPr>
    </w:p>
    <w:p>
      <w:pPr>
        <w:jc w:val="both"/>
        <w:ind w:left="1160" w:right="120" w:hanging="571"/>
        <w:spacing w:after="0" w:line="306"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Federal tax refund of approximately $22 million: As set forth above, the Worker, Homeownership, and Business Assistance Act of 2009, allows us to carryback all Fiscal 2009 NOL. As a result, we increased our tax receivable by approximately $4.8 million. We filed our carryback federal tax return in December 2009 and anticipate that our federal refund will be received during our second fiscal quarter.</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1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ARS redemptions of $4.4 million: We have the ability to put the remaining $4.4 million of unencumbered ARS held by UBS to them in the fourth quarter of this fiscal year per a legal settlement agreement.</w:t>
      </w:r>
    </w:p>
    <w:p>
      <w:pPr>
        <w:spacing w:after="0" w:line="18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we have multiple assets held for sale, including our plane and two manufacturing facilities. Total listing price of these assets is in excess of $10 million.</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have in place a new $20 million revolving credit facility, as described in further detail in Note 7, which allows us to borrow up to $12.5 million without financial covenant restrictions if there is adequate asset coverage.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Working capital at November 28, 2009 and August 29, 2009 was $77.4 million and $79.5 million, respectively, a decrease of $2.1 million. We currently expect cash on hand, funds generated from operations (if any), the planned liquidity events as previously described, and the availability of borrowings on the new credit facility to be sufficient to cover both short-term and long-term operation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Cash used in operating activities was $5.9 million during the first quarter of Fiscal 2010, compared to cash provided of $12.9 million during the first quarter of Fiscal 2009. Cash used during the first quarter of Fiscal 2010 was for increased inventories, due to a ramp up of production, and to support the current quarter’s net loss. Cash provided during the first quarter of Fiscal 2009 was due to a significant reduction in inventories.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Cash used in investing activities was $929,000 during the first quarter of Fiscal 2010 compared to cash provided of $1.7 million during the first quarter of Fiscal 2009. Cash used during the first quarter of Fiscal 2010 was due primarily to manufacturing equipment purchases. During the first quarter of Fiscal 2009, we had proceeds of $3.1 million from sales of investments offset partially by manufacturing equipment purchases.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primary use of cash in financing activities for the first quarter of Fiscal 2010 was $341,000 associated with the set up of the new credit facility. The primary use of cash in financing activities for the first quarter of Fiscal 2009 was $3.5 million for payments of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Estimated uses of our liquid assets, at November 28, 2009 for the remainder of Fiscal 2010 include capital spending of approximately $1.8 million primarily for manufacturing equipment and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7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Revenues from the sales of our Original Equipment Manufacturing (OEM) and motor home-related parts are recorded as the products are shipped from our location. The title of ownership transfers on these products as they leave our location due to the freight terms of F.O.B. - Forest City, Iowa.</w:t>
      </w:r>
    </w:p>
    <w:p>
      <w:pPr>
        <w:spacing w:after="0" w:line="13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Sales Promotions and Incentives</w:t>
      </w:r>
      <w:r>
        <w:rPr>
          <w:rFonts w:ascii="Arial" w:cs="Arial" w:eastAsia="Arial" w:hAnsi="Arial"/>
          <w:sz w:val="16"/>
          <w:szCs w:val="16"/>
          <w:color w:val="auto"/>
        </w:rPr>
        <w:t>. We accrue for sales promotions and incentive expenses, which are recognized as a reduction to revenues, at the time of sale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It is customary practice for companies in the recreation vehicle industry to enter into repurchase agreements with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 Our risk of loss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Based on these repurchase agreements, we establish an associated loss reserve. This loss reserve is disclosed separately in the balance sheets. Repurchased sales are not recorded as a revenue transaction, but the net difference between the original repurchase price and the resale price is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Prior to Fiscal 2009, losses under these agreements were not material. However, the substantial decrease in retail demand for recreation vehicles in the past 12 months and tightened credit standards by lenders have resulted in a significant increase in defaults by our dealers. To the extent that dealers are reducing their inventories, which they have been doing the past 12 months, our overall exposure under repurchase agreements is likewise reduced. The percentage of dealer inventory we estimate we will repurchase is based on historical information, current trends and an analysis of dealer inventory aging for all dealers with inventory subject to this obligation. The estimated loss per repurchased unit was based primarily on recent history because until Fiscal 2009, we were generally able to sell repurchased units for minimal losses. During the first three quarters of Fiscal 2009, we incurred significant losses associated with repurchases due to the challenging motor home industry conditions. As a result, we revised our underlying loss reserve estimate assumptions and increased our repurchase loss reserve during Fiscal 2009 based on rapidly changing circumstances. Further discussion of our repurchase commitments is included in Note 10 to the Financial Statements.</w:t>
      </w:r>
    </w:p>
    <w:p>
      <w:pPr>
        <w:spacing w:after="0" w:line="1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on Class A, Class B and Class C motor</w:t>
      </w:r>
      <w:r>
        <w:rPr>
          <w:rFonts w:ascii="Arial" w:cs="Arial" w:eastAsia="Arial" w:hAnsi="Arial"/>
          <w:sz w:val="16"/>
          <w:szCs w:val="16"/>
          <w:b w:val="1"/>
          <w:bCs w:val="1"/>
          <w:color w:val="auto"/>
        </w:rPr>
        <w:t xml:space="preserve"> </w:t>
      </w:r>
      <w:r>
        <w:rPr>
          <w:rFonts w:ascii="Arial" w:cs="Arial" w:eastAsia="Arial" w:hAnsi="Arial"/>
          <w:sz w:val="16"/>
          <w:szCs w:val="16"/>
          <w:color w:val="auto"/>
        </w:rPr>
        <w:t>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67"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Prior to Fiscal 2007, we granted stock options to our key employees and nonemployee directors as part of their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2007 and 2008, we granted restricted stock awards to key employees and nonemployee directors instead of stock options. No stock options or restricted stock awards were granted in Fiscal 2009 or in the first quarter of Fiscal 2010.</w:t>
      </w:r>
    </w:p>
    <w:p>
      <w:pPr>
        <w:spacing w:after="0" w:line="19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w:t>
      </w:r>
    </w:p>
    <w:p>
      <w:pPr>
        <w:spacing w:after="0" w:line="16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Unrecognized Tax Benefits</w:t>
      </w:r>
      <w:r>
        <w:rPr>
          <w:rFonts w:ascii="Arial" w:cs="Arial" w:eastAsia="Arial" w:hAnsi="Arial"/>
          <w:sz w:val="16"/>
          <w:szCs w:val="16"/>
          <w:color w:val="auto"/>
        </w:rPr>
        <w:t>. We only recognize tax benefits for filing positions that are considered more likely than not of being sustained under audit by the</w:t>
      </w:r>
      <w:r>
        <w:rPr>
          <w:rFonts w:ascii="Arial" w:cs="Arial" w:eastAsia="Arial" w:hAnsi="Arial"/>
          <w:sz w:val="16"/>
          <w:szCs w:val="16"/>
          <w:b w:val="1"/>
          <w:bCs w:val="1"/>
          <w:color w:val="auto"/>
        </w:rPr>
        <w:t xml:space="preserve"> </w:t>
      </w:r>
      <w:r>
        <w:rPr>
          <w:rFonts w:ascii="Arial" w:cs="Arial" w:eastAsia="Arial" w:hAnsi="Arial"/>
          <w:sz w:val="16"/>
          <w:szCs w:val="16"/>
          <w:color w:val="auto"/>
        </w:rPr>
        <w:t>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9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 We account for income taxes in accordance with ASC 740. As part of the process of preparing our financial statements, we are required to</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was appropriate as of August 29, 2009.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6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Postretirement Benefits Obligations and Costs. </w:t>
      </w:r>
      <w:r>
        <w:rPr>
          <w:rFonts w:ascii="Arial" w:cs="Arial" w:eastAsia="Arial" w:hAnsi="Arial"/>
          <w:sz w:val="18"/>
          <w:szCs w:val="18"/>
          <w:color w:val="auto"/>
        </w:rPr>
        <w:t>We provide certain health care and other benefits for retired employees hired before April 1, 2001, who have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w:t>
      </w:r>
    </w:p>
    <w:p>
      <w:pPr>
        <w:spacing w:after="0" w:line="190" w:lineRule="exact"/>
        <w:rPr>
          <w:sz w:val="20"/>
          <w:szCs w:val="20"/>
          <w:color w:val="auto"/>
        </w:rPr>
      </w:pPr>
    </w:p>
    <w:p>
      <w:pPr>
        <w:jc w:val="both"/>
        <w:ind w:right="140"/>
        <w:spacing w:after="0" w:line="339"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We have reserves for other loss exposures, such as litigation, product liability, worker’s compensation, employee medical claims, inventory and accounts</w:t>
      </w:r>
      <w:r>
        <w:rPr>
          <w:rFonts w:ascii="Arial" w:cs="Arial" w:eastAsia="Arial" w:hAnsi="Arial"/>
          <w:sz w:val="15"/>
          <w:szCs w:val="15"/>
          <w:b w:val="1"/>
          <w:bCs w:val="1"/>
          <w:color w:val="auto"/>
        </w:rPr>
        <w:t xml:space="preserve"> </w:t>
      </w:r>
      <w:r>
        <w:rPr>
          <w:rFonts w:ascii="Arial" w:cs="Arial" w:eastAsia="Arial" w:hAnsi="Arial"/>
          <w:sz w:val="15"/>
          <w:szCs w:val="15"/>
          <w:color w:val="auto"/>
        </w:rPr>
        <w:t>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34"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risk exposure to our ARS and the related Put Rights, which is described in further detail in Note 4 to the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regarding management’s disclosure control objectives.</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PART II.</w:t>
      </w:r>
      <w:r>
        <w:rPr>
          <w:sz w:val="20"/>
          <w:szCs w:val="20"/>
          <w:color w:val="auto"/>
        </w:rPr>
        <w:tab/>
      </w:r>
      <w:r>
        <w:rPr>
          <w:rFonts w:ascii="Arial" w:cs="Arial" w:eastAsia="Arial" w:hAnsi="Arial"/>
          <w:sz w:val="19"/>
          <w:szCs w:val="19"/>
          <w:b w:val="1"/>
          <w:bCs w:val="1"/>
          <w:color w:val="auto"/>
        </w:rPr>
        <w:t>Other Information</w:t>
      </w:r>
    </w:p>
    <w:p>
      <w:pPr>
        <w:spacing w:after="0" w:line="13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9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Except as set forth below, there have been no material changes in the risk factors disclosed under Part I, Item 1A of our Annual Report on Form 10-K for the year ended August 29, 2009.</w:t>
      </w:r>
    </w:p>
    <w:p>
      <w:pPr>
        <w:spacing w:after="0" w:line="1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 xml:space="preserve">Dependence on Suppliers. </w:t>
      </w:r>
      <w:r>
        <w:rPr>
          <w:rFonts w:ascii="Arial" w:cs="Arial" w:eastAsia="Arial" w:hAnsi="Arial"/>
          <w:sz w:val="16"/>
          <w:szCs w:val="16"/>
          <w:color w:val="auto"/>
        </w:rPr>
        <w:t>Most of our RV components are readily available from numerous sources. However, a few of our components are produced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small group of quality suppliers. Decisions by our suppliers to decrease production, production delays, or work stoppages by the employees of such suppliers could have a material adverse effect on our ability to produce motor homes and ultimately, on our results of operations. In addition, the current general global economic downturn and the volatility in the credit and capital markets may have caused or may in the future cause a significant decline in sales and revenues and limited liquidity for our suppliers. If these conditions continue or worsen, many of our suppliers’ financial condition could be adversely impacted. As a result, their ability to continue supplying component products for the manufacture of our products could be significantly undermined, which, in turn, could negatively impact our ability to meet our customers’ demand for our products and our results of operations.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case of motor home chassis, Ford Motor Company, Freightliner Custom Chassis Corporation, Workhorse Custom Chassis and Chrysler Motors LLC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As economic conditions improve and dealers begin to replenish their inventory, there may be a shortage of chassis for a period of time, which would adversely affect our production capacity and results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2010, 16,635 shares were repurchased under this authorization for an aggregate consideration of approximately $249,000. These shares were repurchased from employees who vested in Winnebago shares during the quarter and elected to pay their payroll tax via shares as opposed to cash.</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 Fiscal 2010: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jc w:val="center"/>
              <w:ind w:right="303"/>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420" w:type="dxa"/>
            <w:vAlign w:val="bottom"/>
          </w:tcPr>
          <w:p>
            <w:pPr>
              <w:spacing w:after="0"/>
              <w:rPr>
                <w:sz w:val="12"/>
                <w:szCs w:val="12"/>
                <w:color w:val="auto"/>
              </w:rPr>
            </w:pPr>
          </w:p>
        </w:tc>
        <w:tc>
          <w:tcPr>
            <w:tcW w:w="196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88"/>
              </w:rPr>
              <w:t>Value of Shares That</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420" w:type="dxa"/>
            <w:vAlign w:val="bottom"/>
          </w:tcPr>
          <w:p>
            <w:pPr>
              <w:spacing w:after="0"/>
              <w:rPr>
                <w:sz w:val="12"/>
                <w:szCs w:val="12"/>
                <w:color w:val="auto"/>
              </w:rPr>
            </w:pPr>
          </w:p>
        </w:tc>
        <w:tc>
          <w:tcPr>
            <w:tcW w:w="196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56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84"/>
              </w:rPr>
              <w:t>of Shares</w:t>
            </w:r>
          </w:p>
        </w:tc>
        <w:tc>
          <w:tcPr>
            <w:tcW w:w="360" w:type="dxa"/>
            <w:vAlign w:val="bottom"/>
          </w:tcPr>
          <w:p>
            <w:pPr>
              <w:spacing w:after="0"/>
              <w:rPr>
                <w:sz w:val="12"/>
                <w:szCs w:val="12"/>
                <w:color w:val="auto"/>
              </w:rPr>
            </w:pPr>
          </w:p>
        </w:tc>
        <w:tc>
          <w:tcPr>
            <w:tcW w:w="1660" w:type="dxa"/>
            <w:vAlign w:val="bottom"/>
          </w:tcPr>
          <w:p>
            <w:pPr>
              <w:jc w:val="right"/>
              <w:ind w:right="619"/>
              <w:spacing w:after="0" w:line="149" w:lineRule="exact"/>
              <w:rPr>
                <w:sz w:val="20"/>
                <w:szCs w:val="20"/>
                <w:color w:val="auto"/>
              </w:rPr>
            </w:pPr>
            <w:r>
              <w:rPr>
                <w:rFonts w:ascii="Arial" w:cs="Arial" w:eastAsia="Arial" w:hAnsi="Arial"/>
                <w:sz w:val="14"/>
                <w:szCs w:val="14"/>
                <w:b w:val="1"/>
                <w:bCs w:val="1"/>
                <w:color w:val="auto"/>
              </w:rPr>
              <w:t>Average Price</w:t>
            </w:r>
          </w:p>
        </w:tc>
        <w:tc>
          <w:tcPr>
            <w:tcW w:w="21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420" w:type="dxa"/>
            <w:vAlign w:val="bottom"/>
          </w:tcPr>
          <w:p>
            <w:pPr>
              <w:spacing w:after="0"/>
              <w:rPr>
                <w:sz w:val="12"/>
                <w:szCs w:val="12"/>
                <w:color w:val="auto"/>
              </w:rPr>
            </w:pPr>
          </w:p>
        </w:tc>
        <w:tc>
          <w:tcPr>
            <w:tcW w:w="1960" w:type="dxa"/>
            <w:vAlign w:val="bottom"/>
          </w:tcPr>
          <w:p>
            <w:pPr>
              <w:jc w:val="center"/>
              <w:ind w:right="303"/>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68"/>
        </w:trPr>
        <w:tc>
          <w:tcPr>
            <w:tcW w:w="10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Period</w:t>
            </w:r>
          </w:p>
        </w:tc>
        <w:tc>
          <w:tcPr>
            <w:tcW w:w="1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3"/>
              </w:rPr>
              <w:t>Purchased</w:t>
            </w:r>
          </w:p>
        </w:tc>
        <w:tc>
          <w:tcPr>
            <w:tcW w:w="3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w w:val="97"/>
              </w:rPr>
              <w:t>Paid per Share</w:t>
            </w:r>
          </w:p>
        </w:tc>
        <w:tc>
          <w:tcPr>
            <w:tcW w:w="21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6"/>
              </w:rPr>
              <w:t>Plans or Programs</w:t>
            </w: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283"/>
              <w:spacing w:after="0"/>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D6F3E8"/>
          </w:tcPr>
          <w:p>
            <w:pPr>
              <w:ind w:left="160"/>
              <w:spacing w:after="0"/>
              <w:rPr>
                <w:sz w:val="20"/>
                <w:szCs w:val="20"/>
                <w:color w:val="auto"/>
              </w:rPr>
            </w:pPr>
            <w:r>
              <w:rPr>
                <w:rFonts w:ascii="Arial" w:cs="Arial" w:eastAsia="Arial" w:hAnsi="Arial"/>
                <w:sz w:val="18"/>
                <w:szCs w:val="18"/>
                <w:color w:val="auto"/>
              </w:rPr>
              <w:t>08/30/09 – 10/03/09</w:t>
            </w:r>
          </w:p>
        </w:tc>
        <w:tc>
          <w:tcPr>
            <w:tcW w:w="1560" w:type="dxa"/>
            <w:vAlign w:val="bottom"/>
            <w:shd w:val="clear" w:color="auto" w:fill="D6F3E8"/>
          </w:tcPr>
          <w:p>
            <w:pPr>
              <w:jc w:val="right"/>
              <w:ind w:right="101"/>
              <w:spacing w:after="0"/>
              <w:rPr>
                <w:sz w:val="20"/>
                <w:szCs w:val="20"/>
                <w:color w:val="auto"/>
              </w:rPr>
            </w:pPr>
            <w:r>
              <w:rPr>
                <w:rFonts w:ascii="Arial" w:cs="Arial" w:eastAsia="Arial" w:hAnsi="Arial"/>
                <w:sz w:val="18"/>
                <w:szCs w:val="18"/>
                <w:color w:val="auto"/>
              </w:rPr>
              <w:t>—</w:t>
            </w:r>
          </w:p>
        </w:tc>
        <w:tc>
          <w:tcPr>
            <w:tcW w:w="360" w:type="dxa"/>
            <w:vAlign w:val="bottom"/>
            <w:shd w:val="clear" w:color="auto" w:fill="D6F3E8"/>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shd w:val="clear" w:color="auto" w:fill="D6F3E8"/>
          </w:tcPr>
          <w:p>
            <w:pPr>
              <w:jc w:val="right"/>
              <w:ind w:right="279"/>
              <w:spacing w:after="0"/>
              <w:rPr>
                <w:sz w:val="20"/>
                <w:szCs w:val="20"/>
                <w:color w:val="auto"/>
              </w:rPr>
            </w:pPr>
            <w:r>
              <w:rPr>
                <w:rFonts w:ascii="Arial" w:cs="Arial" w:eastAsia="Arial" w:hAnsi="Arial"/>
                <w:sz w:val="18"/>
                <w:szCs w:val="18"/>
                <w:color w:val="auto"/>
              </w:rPr>
              <w:t>—</w:t>
            </w:r>
          </w:p>
        </w:tc>
        <w:tc>
          <w:tcPr>
            <w:tcW w:w="2120" w:type="dxa"/>
            <w:vAlign w:val="bottom"/>
            <w:shd w:val="clear" w:color="auto" w:fill="D6F3E8"/>
          </w:tcPr>
          <w:p>
            <w:pPr>
              <w:jc w:val="right"/>
              <w:ind w:right="102"/>
              <w:spacing w:after="0"/>
              <w:rPr>
                <w:sz w:val="20"/>
                <w:szCs w:val="20"/>
                <w:color w:val="auto"/>
              </w:rPr>
            </w:pPr>
            <w:r>
              <w:rPr>
                <w:rFonts w:ascii="Arial" w:cs="Arial" w:eastAsia="Arial" w:hAnsi="Arial"/>
                <w:sz w:val="18"/>
                <w:szCs w:val="18"/>
                <w:color w:val="auto"/>
              </w:rPr>
              <w:t>—</w:t>
            </w:r>
          </w:p>
        </w:tc>
        <w:tc>
          <w:tcPr>
            <w:tcW w:w="420" w:type="dxa"/>
            <w:vAlign w:val="bottom"/>
            <w:shd w:val="clear" w:color="auto" w:fill="D6F3E8"/>
          </w:tcPr>
          <w:p>
            <w:pPr>
              <w:jc w:val="right"/>
              <w:ind w:right="72"/>
              <w:spacing w:after="0"/>
              <w:rPr>
                <w:sz w:val="20"/>
                <w:szCs w:val="20"/>
                <w:color w:val="auto"/>
              </w:rPr>
            </w:pPr>
            <w:r>
              <w:rPr>
                <w:rFonts w:ascii="Arial" w:cs="Arial" w:eastAsia="Arial" w:hAnsi="Arial"/>
                <w:sz w:val="18"/>
                <w:szCs w:val="18"/>
                <w:color w:val="auto"/>
              </w:rPr>
              <w:t>$</w:t>
            </w:r>
          </w:p>
        </w:tc>
        <w:tc>
          <w:tcPr>
            <w:tcW w:w="1960" w:type="dxa"/>
            <w:vAlign w:val="bottom"/>
            <w:shd w:val="clear" w:color="auto" w:fill="D6F3E8"/>
          </w:tcPr>
          <w:p>
            <w:pPr>
              <w:jc w:val="right"/>
              <w:ind w:right="43"/>
              <w:spacing w:after="0"/>
              <w:rPr>
                <w:sz w:val="20"/>
                <w:szCs w:val="20"/>
                <w:color w:val="auto"/>
              </w:rPr>
            </w:pPr>
            <w:r>
              <w:rPr>
                <w:rFonts w:ascii="Arial" w:cs="Arial" w:eastAsia="Arial" w:hAnsi="Arial"/>
                <w:sz w:val="18"/>
                <w:szCs w:val="18"/>
                <w:color w:val="auto"/>
              </w:rPr>
              <w:t>59,583,794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60"/>
              <w:spacing w:after="0"/>
              <w:rPr>
                <w:sz w:val="20"/>
                <w:szCs w:val="20"/>
                <w:color w:val="auto"/>
              </w:rPr>
            </w:pPr>
            <w:r>
              <w:rPr>
                <w:rFonts w:ascii="Arial" w:cs="Arial" w:eastAsia="Arial" w:hAnsi="Arial"/>
                <w:sz w:val="18"/>
                <w:szCs w:val="18"/>
                <w:color w:val="auto"/>
              </w:rPr>
              <w:t>10/04/09 – 10/31/09</w:t>
            </w:r>
          </w:p>
        </w:tc>
        <w:tc>
          <w:tcPr>
            <w:tcW w:w="1560" w:type="dxa"/>
            <w:vAlign w:val="bottom"/>
          </w:tcPr>
          <w:p>
            <w:pPr>
              <w:jc w:val="right"/>
              <w:ind w:right="101"/>
              <w:spacing w:after="0"/>
              <w:rPr>
                <w:sz w:val="20"/>
                <w:szCs w:val="20"/>
                <w:color w:val="auto"/>
              </w:rPr>
            </w:pPr>
            <w:r>
              <w:rPr>
                <w:rFonts w:ascii="Arial" w:cs="Arial" w:eastAsia="Arial" w:hAnsi="Arial"/>
                <w:sz w:val="18"/>
                <w:szCs w:val="18"/>
                <w:color w:val="auto"/>
              </w:rPr>
              <w:t>16,473</w:t>
            </w:r>
          </w:p>
        </w:tc>
        <w:tc>
          <w:tcPr>
            <w:tcW w:w="360" w:type="dxa"/>
            <w:vAlign w:val="bottom"/>
          </w:tcPr>
          <w:p>
            <w:pPr>
              <w:spacing w:after="0"/>
              <w:rPr>
                <w:sz w:val="18"/>
                <w:szCs w:val="18"/>
                <w:color w:val="auto"/>
              </w:rPr>
            </w:pPr>
          </w:p>
        </w:tc>
        <w:tc>
          <w:tcPr>
            <w:tcW w:w="1660" w:type="dxa"/>
            <w:vAlign w:val="bottom"/>
          </w:tcPr>
          <w:p>
            <w:pPr>
              <w:jc w:val="right"/>
              <w:ind w:right="279"/>
              <w:spacing w:after="0"/>
              <w:rPr>
                <w:sz w:val="20"/>
                <w:szCs w:val="20"/>
                <w:color w:val="auto"/>
              </w:rPr>
            </w:pPr>
            <w:r>
              <w:rPr>
                <w:rFonts w:ascii="Arial" w:cs="Arial" w:eastAsia="Arial" w:hAnsi="Arial"/>
                <w:sz w:val="18"/>
                <w:szCs w:val="18"/>
                <w:color w:val="auto"/>
              </w:rPr>
              <w:t>15.00</w:t>
            </w:r>
          </w:p>
        </w:tc>
        <w:tc>
          <w:tcPr>
            <w:tcW w:w="2120" w:type="dxa"/>
            <w:vAlign w:val="bottom"/>
          </w:tcPr>
          <w:p>
            <w:pPr>
              <w:jc w:val="right"/>
              <w:ind w:right="102"/>
              <w:spacing w:after="0"/>
              <w:rPr>
                <w:sz w:val="20"/>
                <w:szCs w:val="20"/>
                <w:color w:val="auto"/>
              </w:rPr>
            </w:pPr>
            <w:r>
              <w:rPr>
                <w:rFonts w:ascii="Arial" w:cs="Arial" w:eastAsia="Arial" w:hAnsi="Arial"/>
                <w:sz w:val="18"/>
                <w:szCs w:val="18"/>
                <w:color w:val="auto"/>
              </w:rPr>
              <w:t>16,473</w:t>
            </w:r>
          </w:p>
        </w:tc>
        <w:tc>
          <w:tcPr>
            <w:tcW w:w="420" w:type="dxa"/>
            <w:vAlign w:val="bottom"/>
          </w:tcPr>
          <w:p>
            <w:pPr>
              <w:spacing w:after="0"/>
              <w:rPr>
                <w:sz w:val="18"/>
                <w:szCs w:val="18"/>
                <w:color w:val="auto"/>
              </w:rPr>
            </w:pPr>
          </w:p>
        </w:tc>
        <w:tc>
          <w:tcPr>
            <w:tcW w:w="1960" w:type="dxa"/>
            <w:vAlign w:val="bottom"/>
          </w:tcPr>
          <w:p>
            <w:pPr>
              <w:jc w:val="right"/>
              <w:ind w:right="43"/>
              <w:spacing w:after="0"/>
              <w:rPr>
                <w:sz w:val="20"/>
                <w:szCs w:val="20"/>
                <w:color w:val="auto"/>
              </w:rPr>
            </w:pPr>
            <w:r>
              <w:rPr>
                <w:rFonts w:ascii="Arial" w:cs="Arial" w:eastAsia="Arial" w:hAnsi="Arial"/>
                <w:sz w:val="18"/>
                <w:szCs w:val="18"/>
                <w:color w:val="auto"/>
              </w:rPr>
              <w:t>59,336,699</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D6F3E8"/>
            </w:tcBorders>
            <w:gridSpan w:val="2"/>
            <w:shd w:val="clear" w:color="auto" w:fill="D6F3E8"/>
          </w:tcPr>
          <w:p>
            <w:pPr>
              <w:ind w:left="160"/>
              <w:spacing w:after="0"/>
              <w:rPr>
                <w:sz w:val="20"/>
                <w:szCs w:val="20"/>
                <w:color w:val="auto"/>
              </w:rPr>
            </w:pPr>
            <w:r>
              <w:rPr>
                <w:rFonts w:ascii="Arial" w:cs="Arial" w:eastAsia="Arial" w:hAnsi="Arial"/>
                <w:sz w:val="18"/>
                <w:szCs w:val="18"/>
                <w:color w:val="auto"/>
              </w:rPr>
              <w:t>11/01/09 – 11/28/09</w:t>
            </w:r>
          </w:p>
        </w:tc>
        <w:tc>
          <w:tcPr>
            <w:tcW w:w="1560" w:type="dxa"/>
            <w:vAlign w:val="bottom"/>
            <w:tcBorders>
              <w:bottom w:val="single" w:sz="8" w:color="auto"/>
            </w:tcBorders>
            <w:shd w:val="clear" w:color="auto" w:fill="D6F3E8"/>
          </w:tcPr>
          <w:p>
            <w:pPr>
              <w:jc w:val="right"/>
              <w:ind w:right="101"/>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auto"/>
            </w:tcBorders>
            <w:shd w:val="clear" w:color="auto" w:fill="D6F3E8"/>
          </w:tcPr>
          <w:p>
            <w:pPr>
              <w:spacing w:after="0"/>
              <w:rPr>
                <w:sz w:val="18"/>
                <w:szCs w:val="18"/>
                <w:color w:val="auto"/>
              </w:rPr>
            </w:pPr>
          </w:p>
        </w:tc>
        <w:tc>
          <w:tcPr>
            <w:tcW w:w="1660" w:type="dxa"/>
            <w:vAlign w:val="bottom"/>
            <w:tcBorders>
              <w:bottom w:val="single" w:sz="8" w:color="auto"/>
            </w:tcBorders>
            <w:shd w:val="clear" w:color="auto" w:fill="D6F3E8"/>
          </w:tcPr>
          <w:p>
            <w:pPr>
              <w:jc w:val="right"/>
              <w:ind w:right="279"/>
              <w:spacing w:after="0"/>
              <w:rPr>
                <w:sz w:val="20"/>
                <w:szCs w:val="20"/>
                <w:color w:val="auto"/>
              </w:rPr>
            </w:pPr>
            <w:r>
              <w:rPr>
                <w:rFonts w:ascii="Arial" w:cs="Arial" w:eastAsia="Arial" w:hAnsi="Arial"/>
                <w:sz w:val="18"/>
                <w:szCs w:val="18"/>
                <w:color w:val="auto"/>
              </w:rPr>
              <w:t>11.91</w:t>
            </w:r>
          </w:p>
        </w:tc>
        <w:tc>
          <w:tcPr>
            <w:tcW w:w="2120" w:type="dxa"/>
            <w:vAlign w:val="bottom"/>
            <w:tcBorders>
              <w:bottom w:val="single" w:sz="8" w:color="auto"/>
            </w:tcBorders>
            <w:shd w:val="clear" w:color="auto" w:fill="D6F3E8"/>
          </w:tcPr>
          <w:p>
            <w:pPr>
              <w:jc w:val="right"/>
              <w:ind w:right="102"/>
              <w:spacing w:after="0"/>
              <w:rPr>
                <w:sz w:val="20"/>
                <w:szCs w:val="20"/>
                <w:color w:val="auto"/>
              </w:rPr>
            </w:pPr>
            <w:r>
              <w:rPr>
                <w:rFonts w:ascii="Arial" w:cs="Arial" w:eastAsia="Arial" w:hAnsi="Arial"/>
                <w:sz w:val="18"/>
                <w:szCs w:val="18"/>
                <w:color w:val="auto"/>
              </w:rPr>
              <w:t>162</w:t>
            </w:r>
          </w:p>
        </w:tc>
        <w:tc>
          <w:tcPr>
            <w:tcW w:w="420" w:type="dxa"/>
            <w:vAlign w:val="bottom"/>
            <w:tcBorders>
              <w:bottom w:val="single" w:sz="8" w:color="auto"/>
            </w:tcBorders>
            <w:shd w:val="clear" w:color="auto" w:fill="D6F3E8"/>
          </w:tcPr>
          <w:p>
            <w:pPr>
              <w:spacing w:after="0"/>
              <w:rPr>
                <w:sz w:val="18"/>
                <w:szCs w:val="18"/>
                <w:color w:val="auto"/>
              </w:rPr>
            </w:pPr>
          </w:p>
        </w:tc>
        <w:tc>
          <w:tcPr>
            <w:tcW w:w="1960" w:type="dxa"/>
            <w:vAlign w:val="bottom"/>
            <w:tcBorders>
              <w:bottom w:val="single" w:sz="8" w:color="auto"/>
            </w:tcBorders>
            <w:shd w:val="clear" w:color="auto" w:fill="D6F3E8"/>
          </w:tcPr>
          <w:p>
            <w:pPr>
              <w:jc w:val="right"/>
              <w:ind w:right="43"/>
              <w:spacing w:after="0"/>
              <w:rPr>
                <w:sz w:val="20"/>
                <w:szCs w:val="20"/>
                <w:color w:val="auto"/>
              </w:rPr>
            </w:pPr>
            <w:r>
              <w:rPr>
                <w:rFonts w:ascii="Arial" w:cs="Arial" w:eastAsia="Arial" w:hAnsi="Arial"/>
                <w:sz w:val="18"/>
                <w:szCs w:val="18"/>
                <w:color w:val="auto"/>
              </w:rPr>
              <w:t>59,334,770</w:t>
            </w:r>
          </w:p>
        </w:tc>
        <w:tc>
          <w:tcPr>
            <w:tcW w:w="0" w:type="dxa"/>
            <w:vAlign w:val="bottom"/>
          </w:tcPr>
          <w:p>
            <w:pPr>
              <w:spacing w:after="0"/>
              <w:rPr>
                <w:sz w:val="1"/>
                <w:szCs w:val="1"/>
                <w:color w:val="auto"/>
              </w:rPr>
            </w:pPr>
          </w:p>
        </w:tc>
      </w:tr>
      <w:tr>
        <w:trPr>
          <w:trHeight w:val="210"/>
        </w:trPr>
        <w:tc>
          <w:tcPr>
            <w:tcW w:w="1080" w:type="dxa"/>
            <w:vAlign w:val="bottom"/>
          </w:tcPr>
          <w:p>
            <w:pPr>
              <w:ind w:left="480"/>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8"/>
                <w:szCs w:val="18"/>
                <w:color w:val="auto"/>
              </w:rPr>
            </w:pPr>
          </w:p>
        </w:tc>
        <w:tc>
          <w:tcPr>
            <w:tcW w:w="156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color w:val="auto"/>
              </w:rPr>
              <w:t>16,635</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14.97</w:t>
            </w:r>
          </w:p>
        </w:tc>
        <w:tc>
          <w:tcPr>
            <w:tcW w:w="2120" w:type="dxa"/>
            <w:vAlign w:val="bottom"/>
            <w:tcBorders>
              <w:bottom w:val="single" w:sz="8" w:color="auto"/>
            </w:tcBorders>
          </w:tcPr>
          <w:p>
            <w:pPr>
              <w:jc w:val="right"/>
              <w:ind w:right="102"/>
              <w:spacing w:after="0"/>
              <w:rPr>
                <w:sz w:val="20"/>
                <w:szCs w:val="20"/>
                <w:color w:val="auto"/>
              </w:rPr>
            </w:pPr>
            <w:r>
              <w:rPr>
                <w:rFonts w:ascii="Arial" w:cs="Arial" w:eastAsia="Arial" w:hAnsi="Arial"/>
                <w:sz w:val="18"/>
                <w:szCs w:val="18"/>
                <w:color w:val="auto"/>
              </w:rPr>
              <w:t>16,635</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59,334,770</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Arial" w:cs="Arial" w:eastAsia="Arial" w:hAnsi="Arial"/>
                <w:sz w:val="22"/>
                <w:szCs w:val="22"/>
                <w:b w:val="1"/>
                <w:bCs w:val="1"/>
                <w:color w:val="auto"/>
              </w:rPr>
              <w:t>ITEM 6.</w:t>
            </w:r>
          </w:p>
        </w:tc>
        <w:tc>
          <w:tcPr>
            <w:tcW w:w="22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Exhibits</w:t>
            </w: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1080" w:type="dxa"/>
            <w:vAlign w:val="bottom"/>
            <w:vMerge w:val="continue"/>
          </w:tcPr>
          <w:p>
            <w:pPr>
              <w:spacing w:after="0"/>
              <w:rPr>
                <w:sz w:val="24"/>
                <w:szCs w:val="24"/>
                <w:color w:val="auto"/>
              </w:rPr>
            </w:pPr>
          </w:p>
        </w:tc>
        <w:tc>
          <w:tcPr>
            <w:tcW w:w="22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Exhibits - See Exhibit Index on page 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WINNEBAGO INDUSTRIES, INC.</w:t>
            </w:r>
          </w:p>
        </w:tc>
        <w:tc>
          <w:tcPr>
            <w:tcW w:w="160" w:type="dxa"/>
            <w:vAlign w:val="bottom"/>
          </w:tcPr>
          <w:p>
            <w:pPr>
              <w:spacing w:after="0"/>
              <w:rPr>
                <w:sz w:val="19"/>
                <w:szCs w:val="19"/>
                <w:color w:val="auto"/>
              </w:rPr>
            </w:pPr>
          </w:p>
        </w:tc>
      </w:tr>
      <w:tr>
        <w:trPr>
          <w:trHeight w:val="217"/>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80" w:type="dxa"/>
            <w:vAlign w:val="bottom"/>
          </w:tcPr>
          <w:p>
            <w:pPr>
              <w:ind w:left="2120"/>
              <w:spacing w:after="0"/>
              <w:rPr>
                <w:sz w:val="20"/>
                <w:szCs w:val="20"/>
                <w:color w:val="auto"/>
              </w:rPr>
            </w:pPr>
            <w:r>
              <w:rPr>
                <w:rFonts w:ascii="Arial" w:cs="Arial" w:eastAsia="Arial" w:hAnsi="Arial"/>
                <w:sz w:val="18"/>
                <w:szCs w:val="18"/>
                <w:color w:val="auto"/>
              </w:rPr>
              <w:t>(Registrant)</w:t>
            </w:r>
          </w:p>
        </w:tc>
        <w:tc>
          <w:tcPr>
            <w:tcW w:w="160" w:type="dxa"/>
            <w:vAlign w:val="bottom"/>
          </w:tcPr>
          <w:p>
            <w:pPr>
              <w:spacing w:after="0"/>
              <w:rPr>
                <w:sz w:val="18"/>
                <w:szCs w:val="18"/>
                <w:color w:val="auto"/>
              </w:rPr>
            </w:pPr>
          </w:p>
        </w:tc>
      </w:tr>
      <w:tr>
        <w:trPr>
          <w:trHeight w:val="357"/>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December 30, 2009</w:t>
            </w:r>
          </w:p>
        </w:tc>
        <w:tc>
          <w:tcPr>
            <w:tcW w:w="2220" w:type="dxa"/>
            <w:vAlign w:val="bottom"/>
          </w:tcPr>
          <w:p>
            <w:pPr>
              <w:spacing w:after="0"/>
              <w:rPr>
                <w:sz w:val="24"/>
                <w:szCs w:val="24"/>
                <w:color w:val="auto"/>
              </w:rPr>
            </w:pPr>
          </w:p>
        </w:tc>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Robert J. Olson</w:t>
            </w:r>
          </w:p>
        </w:tc>
        <w:tc>
          <w:tcPr>
            <w:tcW w:w="16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Robert J. Olson</w:t>
            </w:r>
          </w:p>
        </w:tc>
        <w:tc>
          <w:tcPr>
            <w:tcW w:w="160" w:type="dxa"/>
            <w:vAlign w:val="bottom"/>
          </w:tcPr>
          <w:p>
            <w:pPr>
              <w:spacing w:after="0"/>
              <w:rPr>
                <w:sz w:val="17"/>
                <w:szCs w:val="17"/>
                <w:color w:val="auto"/>
              </w:rPr>
            </w:pPr>
          </w:p>
        </w:tc>
      </w:tr>
      <w:tr>
        <w:trPr>
          <w:trHeight w:val="216"/>
        </w:trPr>
        <w:tc>
          <w:tcPr>
            <w:tcW w:w="7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Chairman of the Board, Chief Executive Officer and President</w:t>
            </w:r>
          </w:p>
        </w:tc>
        <w:tc>
          <w:tcPr>
            <w:tcW w:w="160" w:type="dxa"/>
            <w:vAlign w:val="bottom"/>
          </w:tcPr>
          <w:p>
            <w:pPr>
              <w:spacing w:after="0"/>
              <w:rPr>
                <w:sz w:val="18"/>
                <w:szCs w:val="18"/>
                <w:color w:val="auto"/>
              </w:rPr>
            </w:pPr>
          </w:p>
        </w:tc>
      </w:tr>
      <w:tr>
        <w:trPr>
          <w:trHeight w:val="222"/>
        </w:trPr>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80" w:type="dxa"/>
            <w:vAlign w:val="bottom"/>
          </w:tcPr>
          <w:p>
            <w:pPr>
              <w:ind w:left="320"/>
              <w:spacing w:after="0"/>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9"/>
                <w:szCs w:val="19"/>
                <w:color w:val="auto"/>
              </w:rPr>
            </w:pPr>
          </w:p>
        </w:tc>
      </w:tr>
      <w:tr>
        <w:trPr>
          <w:trHeight w:val="366"/>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December 30, 2009</w:t>
            </w:r>
          </w:p>
        </w:tc>
        <w:tc>
          <w:tcPr>
            <w:tcW w:w="2220" w:type="dxa"/>
            <w:vAlign w:val="bottom"/>
          </w:tcPr>
          <w:p>
            <w:pPr>
              <w:spacing w:after="0"/>
              <w:rPr>
                <w:sz w:val="24"/>
                <w:szCs w:val="24"/>
                <w:color w:val="auto"/>
              </w:rPr>
            </w:pPr>
          </w:p>
        </w:tc>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Sarah N. Nielsen</w:t>
            </w:r>
          </w:p>
        </w:tc>
        <w:tc>
          <w:tcPr>
            <w:tcW w:w="160" w:type="dxa"/>
            <w:vAlign w:val="bottom"/>
          </w:tcPr>
          <w:p>
            <w:pPr>
              <w:spacing w:after="0"/>
              <w:rPr>
                <w:sz w:val="24"/>
                <w:szCs w:val="24"/>
                <w:color w:val="auto"/>
              </w:rPr>
            </w:pPr>
          </w:p>
        </w:tc>
      </w:tr>
      <w:tr>
        <w:trPr>
          <w:trHeight w:val="202"/>
        </w:trPr>
        <w:tc>
          <w:tcPr>
            <w:tcW w:w="7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080" w:type="dxa"/>
            <w:vAlign w:val="bottom"/>
          </w:tcPr>
          <w:p>
            <w:pPr>
              <w:ind w:left="140"/>
              <w:spacing w:after="0" w:line="202" w:lineRule="exact"/>
              <w:rPr>
                <w:sz w:val="20"/>
                <w:szCs w:val="20"/>
                <w:color w:val="auto"/>
              </w:rPr>
            </w:pPr>
            <w:r>
              <w:rPr>
                <w:rFonts w:ascii="Arial" w:cs="Arial" w:eastAsia="Arial" w:hAnsi="Arial"/>
                <w:sz w:val="18"/>
                <w:szCs w:val="18"/>
                <w:color w:val="auto"/>
              </w:rPr>
              <w:t>Sarah N. Nielsen</w:t>
            </w:r>
          </w:p>
        </w:tc>
        <w:tc>
          <w:tcPr>
            <w:tcW w:w="160" w:type="dxa"/>
            <w:vAlign w:val="bottom"/>
          </w:tcPr>
          <w:p>
            <w:pPr>
              <w:spacing w:after="0"/>
              <w:rPr>
                <w:sz w:val="17"/>
                <w:szCs w:val="17"/>
                <w:color w:val="auto"/>
              </w:rPr>
            </w:pPr>
          </w:p>
        </w:tc>
      </w:tr>
      <w:tr>
        <w:trPr>
          <w:trHeight w:val="222"/>
        </w:trPr>
        <w:tc>
          <w:tcPr>
            <w:tcW w:w="7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08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60" w:type="dxa"/>
            <w:vAlign w:val="bottom"/>
          </w:tcPr>
          <w:p>
            <w:pPr>
              <w:spacing w:after="0"/>
              <w:rPr>
                <w:sz w:val="19"/>
                <w:szCs w:val="19"/>
                <w:color w:val="auto"/>
              </w:rPr>
            </w:pPr>
          </w:p>
        </w:tc>
      </w:tr>
      <w:tr>
        <w:trPr>
          <w:trHeight w:val="432"/>
        </w:trPr>
        <w:tc>
          <w:tcPr>
            <w:tcW w:w="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20" w:type="dxa"/>
            <w:vAlign w:val="bottom"/>
          </w:tcPr>
          <w:p>
            <w:pPr>
              <w:jc w:val="right"/>
              <w:ind w:right="332"/>
              <w:spacing w:after="0"/>
              <w:rPr>
                <w:sz w:val="20"/>
                <w:szCs w:val="20"/>
                <w:color w:val="auto"/>
              </w:rPr>
            </w:pPr>
            <w:r>
              <w:rPr>
                <w:rFonts w:ascii="Arial" w:cs="Arial" w:eastAsia="Arial" w:hAnsi="Arial"/>
                <w:sz w:val="18"/>
                <w:szCs w:val="18"/>
                <w:color w:val="auto"/>
              </w:rPr>
              <w:t>19</w:t>
            </w: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2"/>
        </w:trPr>
        <w:tc>
          <w:tcPr>
            <w:tcW w:w="700" w:type="dxa"/>
            <w:vAlign w:val="bottom"/>
            <w:tcBorders>
              <w:bottom w:val="single" w:sz="8" w:color="808080"/>
            </w:tcBorders>
          </w:tcPr>
          <w:p>
            <w:pPr>
              <w:spacing w:after="0"/>
              <w:rPr>
                <w:sz w:val="21"/>
                <w:szCs w:val="21"/>
                <w:color w:val="auto"/>
              </w:rPr>
            </w:pPr>
          </w:p>
        </w:tc>
        <w:tc>
          <w:tcPr>
            <w:tcW w:w="3300" w:type="dxa"/>
            <w:vAlign w:val="bottom"/>
            <w:tcBorders>
              <w:bottom w:val="single" w:sz="8" w:color="808080"/>
            </w:tcBorders>
          </w:tcPr>
          <w:p>
            <w:pPr>
              <w:spacing w:after="0"/>
              <w:rPr>
                <w:sz w:val="21"/>
                <w:szCs w:val="21"/>
                <w:color w:val="auto"/>
              </w:rPr>
            </w:pPr>
          </w:p>
        </w:tc>
        <w:tc>
          <w:tcPr>
            <w:tcW w:w="2220" w:type="dxa"/>
            <w:vAlign w:val="bottom"/>
            <w:tcBorders>
              <w:bottom w:val="single" w:sz="8" w:color="808080"/>
            </w:tcBorders>
          </w:tcPr>
          <w:p>
            <w:pPr>
              <w:spacing w:after="0"/>
              <w:rPr>
                <w:sz w:val="21"/>
                <w:szCs w:val="21"/>
                <w:color w:val="auto"/>
              </w:rPr>
            </w:pPr>
          </w:p>
        </w:tc>
        <w:tc>
          <w:tcPr>
            <w:tcW w:w="50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Exhibit Index</w:t>
      </w:r>
    </w:p>
    <w:p>
      <w:pPr>
        <w:spacing w:after="0" w:line="2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December 30, 2009.</w:t>
      </w:r>
    </w:p>
    <w:p>
      <w:pPr>
        <w:spacing w:after="0" w:line="1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December 30, 2009.</w:t>
      </w:r>
    </w:p>
    <w:p>
      <w:pPr>
        <w:spacing w:after="0" w:line="158" w:lineRule="exact"/>
        <w:rPr>
          <w:sz w:val="20"/>
          <w:szCs w:val="20"/>
          <w:color w:val="auto"/>
        </w:rPr>
      </w:pPr>
    </w:p>
    <w:p>
      <w:pPr>
        <w:ind w:left="680" w:hanging="674"/>
        <w:spacing w:after="0" w:line="268" w:lineRule="auto"/>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December 30, 2009.</w:t>
      </w:r>
    </w:p>
    <w:p>
      <w:pPr>
        <w:spacing w:after="0" w:line="118" w:lineRule="exact"/>
        <w:rPr>
          <w:sz w:val="20"/>
          <w:szCs w:val="20"/>
          <w:color w:val="auto"/>
        </w:rPr>
      </w:pPr>
    </w:p>
    <w:p>
      <w:pPr>
        <w:ind w:left="680" w:right="60" w:hanging="674"/>
        <w:spacing w:after="0" w:line="268" w:lineRule="auto"/>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December 30, 2009.</w:t>
      </w:r>
    </w:p>
    <w:p>
      <w:pPr>
        <w:spacing w:after="0" w:line="1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22"/>
          <w:szCs w:val="22"/>
          <w:b w:val="1"/>
          <w:bCs w:val="1"/>
          <w:color w:val="auto"/>
        </w:rPr>
        <w:t>Exhibit 31.1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ind w:left="460"/>
              <w:spacing w:after="0"/>
              <w:rPr>
                <w:sz w:val="20"/>
                <w:szCs w:val="20"/>
                <w:color w:val="auto"/>
              </w:rPr>
            </w:pPr>
            <w:r>
              <w:rPr>
                <w:rFonts w:ascii="Arial" w:cs="Arial" w:eastAsia="Arial" w:hAnsi="Arial"/>
                <w:sz w:val="18"/>
                <w:szCs w:val="18"/>
                <w:color w:val="auto"/>
              </w:rPr>
              <w:t>Date:</w:t>
            </w:r>
          </w:p>
        </w:tc>
        <w:tc>
          <w:tcPr>
            <w:tcW w:w="1880" w:type="dxa"/>
            <w:vAlign w:val="bottom"/>
          </w:tcPr>
          <w:p>
            <w:pPr>
              <w:ind w:left="260"/>
              <w:spacing w:after="0"/>
              <w:rPr>
                <w:sz w:val="20"/>
                <w:szCs w:val="20"/>
                <w:color w:val="auto"/>
              </w:rPr>
            </w:pPr>
            <w:r>
              <w:rPr>
                <w:rFonts w:ascii="Arial" w:cs="Arial" w:eastAsia="Arial" w:hAnsi="Arial"/>
                <w:sz w:val="18"/>
                <w:szCs w:val="18"/>
                <w:color w:val="auto"/>
              </w:rPr>
              <w:t>December 30, 2009</w:t>
            </w:r>
          </w:p>
        </w:tc>
        <w:tc>
          <w:tcPr>
            <w:tcW w:w="7320" w:type="dxa"/>
            <w:vAlign w:val="bottom"/>
            <w:gridSpan w:val="2"/>
          </w:tcPr>
          <w:p>
            <w:pPr>
              <w:ind w:left="3440"/>
              <w:spacing w:after="0"/>
              <w:rPr>
                <w:sz w:val="20"/>
                <w:szCs w:val="20"/>
                <w:color w:val="auto"/>
              </w:rPr>
            </w:pPr>
            <w:r>
              <w:rPr>
                <w:rFonts w:ascii="Arial" w:cs="Arial" w:eastAsia="Arial" w:hAnsi="Arial"/>
                <w:sz w:val="18"/>
                <w:szCs w:val="18"/>
                <w:color w:val="auto"/>
              </w:rPr>
              <w:t>By:  /s/ Robert J. Olson</w:t>
            </w:r>
          </w:p>
        </w:tc>
        <w:tc>
          <w:tcPr>
            <w:tcW w:w="1340" w:type="dxa"/>
            <w:vAlign w:val="bottom"/>
          </w:tcPr>
          <w:p>
            <w:pPr>
              <w:spacing w:after="0"/>
              <w:rPr>
                <w:sz w:val="19"/>
                <w:szCs w:val="19"/>
                <w:color w:val="auto"/>
              </w:rPr>
            </w:pPr>
          </w:p>
        </w:tc>
      </w:tr>
      <w:tr>
        <w:trPr>
          <w:trHeight w:val="202"/>
        </w:trPr>
        <w:tc>
          <w:tcPr>
            <w:tcW w:w="9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354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Robert J. Olson</w:t>
            </w:r>
          </w:p>
        </w:tc>
        <w:tc>
          <w:tcPr>
            <w:tcW w:w="1340" w:type="dxa"/>
            <w:vAlign w:val="bottom"/>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Chief Executive Officer</w:t>
            </w:r>
          </w:p>
        </w:tc>
        <w:tc>
          <w:tcPr>
            <w:tcW w:w="1340" w:type="dxa"/>
            <w:vAlign w:val="bottom"/>
          </w:tcPr>
          <w:p>
            <w:pPr>
              <w:spacing w:after="0"/>
              <w:rPr>
                <w:sz w:val="19"/>
                <w:szCs w:val="19"/>
                <w:color w:val="auto"/>
              </w:rPr>
            </w:pPr>
          </w:p>
        </w:tc>
      </w:tr>
      <w:tr>
        <w:trPr>
          <w:trHeight w:val="377"/>
        </w:trPr>
        <w:tc>
          <w:tcPr>
            <w:tcW w:w="9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22"/>
          <w:szCs w:val="22"/>
          <w:b w:val="1"/>
          <w:bCs w:val="1"/>
          <w:color w:val="auto"/>
        </w:rPr>
        <w:t>Exhibit 31.2</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18 U.S.C. SECTION 1350,</w:t>
      </w:r>
    </w:p>
    <w:p>
      <w:pPr>
        <w:jc w:val="center"/>
        <w:ind w:right="40"/>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0" w:type="dxa"/>
            <w:vAlign w:val="bottom"/>
          </w:tcPr>
          <w:p>
            <w:pPr>
              <w:ind w:left="460"/>
              <w:spacing w:after="0"/>
              <w:rPr>
                <w:sz w:val="20"/>
                <w:szCs w:val="20"/>
                <w:color w:val="auto"/>
              </w:rPr>
            </w:pPr>
            <w:r>
              <w:rPr>
                <w:rFonts w:ascii="Arial" w:cs="Arial" w:eastAsia="Arial" w:hAnsi="Arial"/>
                <w:sz w:val="18"/>
                <w:szCs w:val="18"/>
                <w:color w:val="auto"/>
              </w:rPr>
              <w:t>Date:</w:t>
            </w:r>
          </w:p>
        </w:tc>
        <w:tc>
          <w:tcPr>
            <w:tcW w:w="1880" w:type="dxa"/>
            <w:vAlign w:val="bottom"/>
          </w:tcPr>
          <w:p>
            <w:pPr>
              <w:ind w:left="260"/>
              <w:spacing w:after="0"/>
              <w:rPr>
                <w:sz w:val="20"/>
                <w:szCs w:val="20"/>
                <w:color w:val="auto"/>
              </w:rPr>
            </w:pPr>
            <w:r>
              <w:rPr>
                <w:rFonts w:ascii="Arial" w:cs="Arial" w:eastAsia="Arial" w:hAnsi="Arial"/>
                <w:sz w:val="18"/>
                <w:szCs w:val="18"/>
                <w:color w:val="auto"/>
              </w:rPr>
              <w:t>December 30, 2009</w:t>
            </w:r>
          </w:p>
        </w:tc>
        <w:tc>
          <w:tcPr>
            <w:tcW w:w="7320" w:type="dxa"/>
            <w:vAlign w:val="bottom"/>
            <w:gridSpan w:val="2"/>
          </w:tcPr>
          <w:p>
            <w:pPr>
              <w:ind w:left="3440"/>
              <w:spacing w:after="0"/>
              <w:rPr>
                <w:sz w:val="20"/>
                <w:szCs w:val="20"/>
                <w:color w:val="auto"/>
              </w:rPr>
            </w:pPr>
            <w:r>
              <w:rPr>
                <w:rFonts w:ascii="Arial" w:cs="Arial" w:eastAsia="Arial" w:hAnsi="Arial"/>
                <w:sz w:val="18"/>
                <w:szCs w:val="18"/>
                <w:color w:val="auto"/>
              </w:rPr>
              <w:t>By:  /s/ Sarah N. Nielsen</w:t>
            </w:r>
          </w:p>
        </w:tc>
        <w:tc>
          <w:tcPr>
            <w:tcW w:w="1340" w:type="dxa"/>
            <w:vAlign w:val="bottom"/>
          </w:tcPr>
          <w:p>
            <w:pPr>
              <w:spacing w:after="0"/>
              <w:rPr>
                <w:sz w:val="19"/>
                <w:szCs w:val="19"/>
                <w:color w:val="auto"/>
              </w:rPr>
            </w:pPr>
          </w:p>
        </w:tc>
      </w:tr>
      <w:tr>
        <w:trPr>
          <w:trHeight w:val="202"/>
        </w:trPr>
        <w:tc>
          <w:tcPr>
            <w:tcW w:w="9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3540" w:type="dxa"/>
            <w:vAlign w:val="bottom"/>
            <w:tcBorders>
              <w:top w:val="single" w:sz="8" w:color="auto"/>
            </w:tcBorders>
          </w:tcPr>
          <w:p>
            <w:pPr>
              <w:ind w:left="80"/>
              <w:spacing w:after="0" w:line="202" w:lineRule="exact"/>
              <w:rPr>
                <w:sz w:val="20"/>
                <w:szCs w:val="20"/>
                <w:color w:val="auto"/>
              </w:rPr>
            </w:pPr>
            <w:r>
              <w:rPr>
                <w:rFonts w:ascii="Arial" w:cs="Arial" w:eastAsia="Arial" w:hAnsi="Arial"/>
                <w:sz w:val="18"/>
                <w:szCs w:val="18"/>
                <w:color w:val="auto"/>
              </w:rPr>
              <w:t>Sarah N. Nielsen</w:t>
            </w:r>
          </w:p>
        </w:tc>
        <w:tc>
          <w:tcPr>
            <w:tcW w:w="1340" w:type="dxa"/>
            <w:vAlign w:val="bottom"/>
          </w:tcPr>
          <w:p>
            <w:pPr>
              <w:spacing w:after="0"/>
              <w:rPr>
                <w:sz w:val="17"/>
                <w:szCs w:val="17"/>
                <w:color w:val="auto"/>
              </w:rPr>
            </w:pPr>
          </w:p>
        </w:tc>
      </w:tr>
      <w:tr>
        <w:trPr>
          <w:trHeight w:val="222"/>
        </w:trPr>
        <w:tc>
          <w:tcPr>
            <w:tcW w:w="9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Chief Financial Officer</w:t>
            </w:r>
          </w:p>
        </w:tc>
        <w:tc>
          <w:tcPr>
            <w:tcW w:w="1340" w:type="dxa"/>
            <w:vAlign w:val="bottom"/>
          </w:tcPr>
          <w:p>
            <w:pPr>
              <w:spacing w:after="0"/>
              <w:rPr>
                <w:sz w:val="19"/>
                <w:szCs w:val="19"/>
                <w:color w:val="auto"/>
              </w:rPr>
            </w:pPr>
          </w:p>
        </w:tc>
      </w:tr>
      <w:tr>
        <w:trPr>
          <w:trHeight w:val="377"/>
        </w:trPr>
        <w:tc>
          <w:tcPr>
            <w:tcW w:w="9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22"/>
          <w:szCs w:val="22"/>
          <w:b w:val="1"/>
          <w:bCs w:val="1"/>
          <w:color w:val="auto"/>
        </w:rPr>
        <w:t>Exhibit 32.1</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this Quarterly Report on Form 10-Q of Winnebago Industries, Inc. for the period ended November 28, 2009, I, Robert J. Olson, Chairman of the Board, Chief Executive Officer and President of Winnebago Industries, Inc., certify that pursuant to 18 U.S.C. §1350 as adopted pursuant to §906 of the Sarbanes-Oxley Act of 2002, that:</w:t>
      </w:r>
    </w:p>
    <w:p>
      <w:pPr>
        <w:spacing w:after="0" w:line="208" w:lineRule="exact"/>
        <w:rPr>
          <w:sz w:val="20"/>
          <w:szCs w:val="20"/>
          <w:color w:val="auto"/>
        </w:rPr>
      </w:pPr>
    </w:p>
    <w:p>
      <w:pPr>
        <w:ind w:left="1160" w:right="4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28,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ind w:left="580"/>
              <w:spacing w:after="0"/>
              <w:rPr>
                <w:sz w:val="20"/>
                <w:szCs w:val="20"/>
                <w:color w:val="auto"/>
              </w:rPr>
            </w:pPr>
            <w:r>
              <w:rPr>
                <w:rFonts w:ascii="Arial" w:cs="Arial" w:eastAsia="Arial" w:hAnsi="Arial"/>
                <w:sz w:val="18"/>
                <w:szCs w:val="18"/>
                <w:color w:val="auto"/>
              </w:rPr>
              <w:t>Date:</w:t>
            </w:r>
          </w:p>
        </w:tc>
        <w:tc>
          <w:tcPr>
            <w:tcW w:w="1860" w:type="dxa"/>
            <w:vAlign w:val="bottom"/>
          </w:tcPr>
          <w:p>
            <w:pPr>
              <w:ind w:left="240"/>
              <w:spacing w:after="0"/>
              <w:rPr>
                <w:sz w:val="20"/>
                <w:szCs w:val="20"/>
                <w:color w:val="auto"/>
              </w:rPr>
            </w:pPr>
            <w:r>
              <w:rPr>
                <w:rFonts w:ascii="Arial" w:cs="Arial" w:eastAsia="Arial" w:hAnsi="Arial"/>
                <w:sz w:val="18"/>
                <w:szCs w:val="18"/>
                <w:color w:val="auto"/>
              </w:rPr>
              <w:t>December 30, 2009</w:t>
            </w:r>
          </w:p>
        </w:tc>
        <w:tc>
          <w:tcPr>
            <w:tcW w:w="7240" w:type="dxa"/>
            <w:vAlign w:val="bottom"/>
            <w:gridSpan w:val="2"/>
          </w:tcPr>
          <w:p>
            <w:pPr>
              <w:ind w:left="3380"/>
              <w:spacing w:after="0"/>
              <w:rPr>
                <w:sz w:val="20"/>
                <w:szCs w:val="20"/>
                <w:color w:val="auto"/>
              </w:rPr>
            </w:pPr>
            <w:r>
              <w:rPr>
                <w:rFonts w:ascii="Arial" w:cs="Arial" w:eastAsia="Arial" w:hAnsi="Arial"/>
                <w:sz w:val="18"/>
                <w:szCs w:val="18"/>
                <w:color w:val="auto"/>
              </w:rPr>
              <w:t>By:  /s/ Robert J. Olson</w:t>
            </w:r>
          </w:p>
        </w:tc>
        <w:tc>
          <w:tcPr>
            <w:tcW w:w="1320" w:type="dxa"/>
            <w:vAlign w:val="bottom"/>
          </w:tcPr>
          <w:p>
            <w:pPr>
              <w:spacing w:after="0"/>
              <w:rPr>
                <w:sz w:val="19"/>
                <w:szCs w:val="19"/>
                <w:color w:val="auto"/>
              </w:rPr>
            </w:pPr>
          </w:p>
        </w:tc>
      </w:tr>
      <w:tr>
        <w:trPr>
          <w:trHeight w:val="202"/>
        </w:trPr>
        <w:tc>
          <w:tcPr>
            <w:tcW w:w="104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35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Olson</w:t>
            </w:r>
          </w:p>
        </w:tc>
        <w:tc>
          <w:tcPr>
            <w:tcW w:w="1320" w:type="dxa"/>
            <w:vAlign w:val="bottom"/>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1320" w:type="dxa"/>
            <w:vAlign w:val="bottom"/>
          </w:tcPr>
          <w:p>
            <w:pPr>
              <w:spacing w:after="0"/>
              <w:rPr>
                <w:sz w:val="19"/>
                <w:szCs w:val="19"/>
                <w:color w:val="auto"/>
              </w:rPr>
            </w:pPr>
          </w:p>
        </w:tc>
      </w:tr>
      <w:tr>
        <w:trPr>
          <w:trHeight w:val="377"/>
        </w:trPr>
        <w:tc>
          <w:tcPr>
            <w:tcW w:w="10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22"/>
          <w:szCs w:val="22"/>
          <w:b w:val="1"/>
          <w:bCs w:val="1"/>
          <w:color w:val="auto"/>
        </w:rPr>
        <w:t>Exhibit 32.2</w:t>
      </w: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OF THE SARBANES-OXLEY ACT OF 2002</w:t>
      </w:r>
    </w:p>
    <w:p>
      <w:pPr>
        <w:jc w:val="center"/>
        <w:ind w:right="40"/>
        <w:spacing w:after="0"/>
        <w:rPr>
          <w:sz w:val="20"/>
          <w:szCs w:val="20"/>
          <w:color w:val="auto"/>
        </w:rPr>
      </w:pPr>
      <w:r>
        <w:rPr>
          <w:rFonts w:ascii="Arial" w:cs="Arial" w:eastAsia="Arial" w:hAnsi="Arial"/>
          <w:sz w:val="22"/>
          <w:szCs w:val="22"/>
          <w:b w:val="1"/>
          <w:bCs w:val="1"/>
          <w:color w:val="auto"/>
        </w:rPr>
        <w:t>(18 U.S.C. SECTION 1350)</w:t>
      </w:r>
    </w:p>
    <w:p>
      <w:pPr>
        <w:spacing w:after="0" w:line="20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In connection with this Quarterly Report on Form 10-Q of Winnebago Industries, Inc. for the period ended November 28, 2009, I, Sarah N. Nielsen, Chief Financial Officer of Winnebago Industries, Inc., certify that pursuant to 18 U.S.C. §1350 as adopted pursuant to §906 of the Sarbanes-Oxley Act of 2002, that:</w:t>
      </w:r>
    </w:p>
    <w:p>
      <w:pPr>
        <w:spacing w:after="0" w:line="130" w:lineRule="exact"/>
        <w:rPr>
          <w:sz w:val="20"/>
          <w:szCs w:val="20"/>
          <w:color w:val="auto"/>
        </w:rPr>
      </w:pPr>
    </w:p>
    <w:p>
      <w:pPr>
        <w:ind w:left="1160" w:right="4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28, 2009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ind w:left="580"/>
              <w:spacing w:after="0"/>
              <w:rPr>
                <w:sz w:val="20"/>
                <w:szCs w:val="20"/>
                <w:color w:val="auto"/>
              </w:rPr>
            </w:pPr>
            <w:r>
              <w:rPr>
                <w:rFonts w:ascii="Arial" w:cs="Arial" w:eastAsia="Arial" w:hAnsi="Arial"/>
                <w:sz w:val="18"/>
                <w:szCs w:val="18"/>
                <w:color w:val="auto"/>
              </w:rPr>
              <w:t>Date:</w:t>
            </w:r>
          </w:p>
        </w:tc>
        <w:tc>
          <w:tcPr>
            <w:tcW w:w="1860" w:type="dxa"/>
            <w:vAlign w:val="bottom"/>
          </w:tcPr>
          <w:p>
            <w:pPr>
              <w:ind w:left="240"/>
              <w:spacing w:after="0"/>
              <w:rPr>
                <w:sz w:val="20"/>
                <w:szCs w:val="20"/>
                <w:color w:val="auto"/>
              </w:rPr>
            </w:pPr>
            <w:r>
              <w:rPr>
                <w:rFonts w:ascii="Arial" w:cs="Arial" w:eastAsia="Arial" w:hAnsi="Arial"/>
                <w:sz w:val="18"/>
                <w:szCs w:val="18"/>
                <w:color w:val="auto"/>
              </w:rPr>
              <w:t>December 30, 2009</w:t>
            </w:r>
          </w:p>
        </w:tc>
        <w:tc>
          <w:tcPr>
            <w:tcW w:w="7240" w:type="dxa"/>
            <w:vAlign w:val="bottom"/>
            <w:gridSpan w:val="2"/>
          </w:tcPr>
          <w:p>
            <w:pPr>
              <w:ind w:left="3380"/>
              <w:spacing w:after="0"/>
              <w:rPr>
                <w:sz w:val="20"/>
                <w:szCs w:val="20"/>
                <w:color w:val="auto"/>
              </w:rPr>
            </w:pPr>
            <w:r>
              <w:rPr>
                <w:rFonts w:ascii="Arial" w:cs="Arial" w:eastAsia="Arial" w:hAnsi="Arial"/>
                <w:sz w:val="18"/>
                <w:szCs w:val="18"/>
                <w:color w:val="auto"/>
              </w:rPr>
              <w:t>By:  /s/ Sarah N. Nielsen</w:t>
            </w:r>
          </w:p>
        </w:tc>
        <w:tc>
          <w:tcPr>
            <w:tcW w:w="1320" w:type="dxa"/>
            <w:vAlign w:val="bottom"/>
          </w:tcPr>
          <w:p>
            <w:pPr>
              <w:spacing w:after="0"/>
              <w:rPr>
                <w:sz w:val="19"/>
                <w:szCs w:val="19"/>
                <w:color w:val="auto"/>
              </w:rPr>
            </w:pPr>
          </w:p>
        </w:tc>
      </w:tr>
      <w:tr>
        <w:trPr>
          <w:trHeight w:val="202"/>
        </w:trPr>
        <w:tc>
          <w:tcPr>
            <w:tcW w:w="104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720" w:type="dxa"/>
            <w:vAlign w:val="bottom"/>
          </w:tcPr>
          <w:p>
            <w:pPr>
              <w:spacing w:after="0"/>
              <w:rPr>
                <w:sz w:val="17"/>
                <w:szCs w:val="17"/>
                <w:color w:val="auto"/>
              </w:rPr>
            </w:pPr>
          </w:p>
        </w:tc>
        <w:tc>
          <w:tcPr>
            <w:tcW w:w="35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Sarah N. Nielsen</w:t>
            </w:r>
          </w:p>
        </w:tc>
        <w:tc>
          <w:tcPr>
            <w:tcW w:w="1320" w:type="dxa"/>
            <w:vAlign w:val="bottom"/>
          </w:tcPr>
          <w:p>
            <w:pPr>
              <w:spacing w:after="0"/>
              <w:rPr>
                <w:sz w:val="17"/>
                <w:szCs w:val="17"/>
                <w:color w:val="auto"/>
              </w:rPr>
            </w:pPr>
          </w:p>
        </w:tc>
      </w:tr>
      <w:tr>
        <w:trPr>
          <w:trHeight w:val="222"/>
        </w:trPr>
        <w:tc>
          <w:tcPr>
            <w:tcW w:w="10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c>
          <w:tcPr>
            <w:tcW w:w="1320" w:type="dxa"/>
            <w:vAlign w:val="bottom"/>
          </w:tcPr>
          <w:p>
            <w:pPr>
              <w:spacing w:after="0"/>
              <w:rPr>
                <w:sz w:val="19"/>
                <w:szCs w:val="19"/>
                <w:color w:val="auto"/>
              </w:rPr>
            </w:pPr>
          </w:p>
        </w:tc>
      </w:tr>
      <w:tr>
        <w:trPr>
          <w:trHeight w:val="377"/>
        </w:trPr>
        <w:tc>
          <w:tcPr>
            <w:tcW w:w="104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2019-12-10T03:44:20Z</dcterms:created>
  <dcterms:modified xsi:type="dcterms:W3CDTF">2019-12-10T03:44:20Z</dcterms:modified>
</cp:coreProperties>
</file>