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63" w:lineRule="exact"/>
        <w:rPr>
          <w:sz w:val="24"/>
          <w:szCs w:val="24"/>
          <w:color w:val="auto"/>
        </w:rPr>
      </w:pPr>
    </w:p>
    <w:p>
      <w:pPr>
        <w:jc w:val="center"/>
        <w:ind w:right="-79"/>
        <w:spacing w:after="0"/>
        <w:tabs>
          <w:tab w:leader="none" w:pos="180" w:val="left"/>
        </w:tabs>
        <w:rPr>
          <w:sz w:val="20"/>
          <w:szCs w:val="20"/>
          <w:color w:val="auto"/>
        </w:rPr>
      </w:pPr>
      <w:r>
        <w:rPr>
          <w:rFonts w:ascii="Times New Roman" w:cs="Times New Roman" w:eastAsia="Times New Roman" w:hAnsi="Times New Roman"/>
          <w:sz w:val="22"/>
          <w:szCs w:val="22"/>
          <w:color w:val="auto"/>
        </w:rPr>
        <w:t>Date of report (Date of earliest event reported)</w:t>
      </w:r>
      <w:r>
        <w:rPr>
          <w:sz w:val="20"/>
          <w:szCs w:val="20"/>
          <w:color w:val="auto"/>
        </w:rPr>
        <w:tab/>
      </w:r>
      <w:r>
        <w:rPr>
          <w:rFonts w:ascii="Times New Roman" w:cs="Times New Roman" w:eastAsia="Times New Roman" w:hAnsi="Times New Roman"/>
          <w:sz w:val="21"/>
          <w:szCs w:val="21"/>
          <w:color w:val="auto"/>
        </w:rPr>
        <w:t>December 14, 2005</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22"/>
                <w:szCs w:val="22"/>
                <w:color w:val="auto"/>
                <w:w w:val="95"/>
              </w:rPr>
              <w:t>Iowa</w:t>
            </w:r>
          </w:p>
        </w:tc>
        <w:tc>
          <w:tcPr>
            <w:tcW w:w="3220" w:type="dxa"/>
            <w:vAlign w:val="bottom"/>
          </w:tcPr>
          <w:p>
            <w:pPr>
              <w:jc w:val="right"/>
              <w:ind w:right="982"/>
              <w:spacing w:after="0"/>
              <w:rPr>
                <w:sz w:val="20"/>
                <w:szCs w:val="20"/>
                <w:color w:val="auto"/>
              </w:rPr>
            </w:pPr>
            <w:r>
              <w:rPr>
                <w:rFonts w:ascii="Times New Roman" w:cs="Times New Roman" w:eastAsia="Times New Roman" w:hAnsi="Times New Roman"/>
                <w:sz w:val="22"/>
                <w:szCs w:val="22"/>
                <w:color w:val="auto"/>
              </w:rPr>
              <w:t>001-06403</w:t>
            </w:r>
          </w:p>
        </w:tc>
        <w:tc>
          <w:tcPr>
            <w:tcW w:w="2880" w:type="dxa"/>
            <w:vAlign w:val="bottom"/>
          </w:tcPr>
          <w:p>
            <w:pPr>
              <w:jc w:val="right"/>
              <w:ind w:right="42"/>
              <w:spacing w:after="0"/>
              <w:rPr>
                <w:sz w:val="20"/>
                <w:szCs w:val="20"/>
                <w:color w:val="auto"/>
              </w:rPr>
            </w:pPr>
            <w:r>
              <w:rPr>
                <w:rFonts w:ascii="Times New Roman" w:cs="Times New Roman" w:eastAsia="Times New Roman" w:hAnsi="Times New Roman"/>
                <w:sz w:val="22"/>
                <w:szCs w:val="22"/>
                <w:color w:val="auto"/>
              </w:rPr>
              <w:t>42-0802678</w:t>
            </w:r>
          </w:p>
        </w:tc>
      </w:tr>
      <w:tr>
        <w:trPr>
          <w:trHeight w:val="228"/>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322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2880" w:type="dxa"/>
            <w:vAlign w:val="bottom"/>
          </w:tcPr>
          <w:p>
            <w:pPr>
              <w:jc w:val="center"/>
              <w:ind w:left="1462"/>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43"/>
        </w:trPr>
        <w:tc>
          <w:tcPr>
            <w:tcW w:w="3580" w:type="dxa"/>
            <w:vAlign w:val="bottom"/>
          </w:tcPr>
          <w:p>
            <w:pPr>
              <w:jc w:val="center"/>
              <w:ind w:right="60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74"/>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22"/>
                <w:szCs w:val="22"/>
                <w:color w:val="auto"/>
                <w:w w:val="96"/>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Times New Roman" w:cs="Times New Roman" w:eastAsia="Times New Roman" w:hAnsi="Times New Roman"/>
                <w:sz w:val="22"/>
                <w:szCs w:val="22"/>
                <w:color w:val="auto"/>
              </w:rPr>
              <w:t>50436</w:t>
            </w:r>
          </w:p>
        </w:tc>
      </w:tr>
      <w:tr>
        <w:trPr>
          <w:trHeight w:val="228"/>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716"/>
        </w:trPr>
        <w:tc>
          <w:tcPr>
            <w:tcW w:w="6800" w:type="dxa"/>
            <w:vAlign w:val="bottom"/>
            <w:gridSpan w:val="2"/>
          </w:tcPr>
          <w:p>
            <w:pPr>
              <w:ind w:left="2260"/>
              <w:spacing w:after="0"/>
              <w:rPr>
                <w:sz w:val="20"/>
                <w:szCs w:val="20"/>
                <w:color w:val="auto"/>
              </w:rPr>
            </w:pPr>
            <w:r>
              <w:rPr>
                <w:rFonts w:ascii="Times New Roman" w:cs="Times New Roman" w:eastAsia="Times New Roman" w:hAnsi="Times New Roman"/>
                <w:sz w:val="22"/>
                <w:szCs w:val="22"/>
                <w:color w:val="auto"/>
                <w:w w:val="99"/>
              </w:rPr>
              <w:t>Registrant’s telephone number, including area code</w:t>
            </w:r>
          </w:p>
        </w:tc>
        <w:tc>
          <w:tcPr>
            <w:tcW w:w="2880" w:type="dxa"/>
            <w:vAlign w:val="bottom"/>
          </w:tcPr>
          <w:p>
            <w:pPr>
              <w:jc w:val="right"/>
              <w:ind w:right="1442"/>
              <w:spacing w:after="0"/>
              <w:rPr>
                <w:sz w:val="20"/>
                <w:szCs w:val="20"/>
                <w:color w:val="auto"/>
              </w:rPr>
            </w:pPr>
            <w:r>
              <w:rPr>
                <w:rFonts w:ascii="Times New Roman" w:cs="Times New Roman" w:eastAsia="Times New Roman" w:hAnsi="Times New Roman"/>
                <w:sz w:val="22"/>
                <w:szCs w:val="22"/>
                <w:color w:val="auto"/>
              </w:rPr>
              <w:t>641-585-3535</w:t>
            </w:r>
          </w:p>
        </w:tc>
      </w:tr>
    </w:tbl>
    <w:p>
      <w:pPr>
        <w:spacing w:after="0" w:line="190"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58" w:lineRule="exact"/>
        <w:rPr>
          <w:sz w:val="24"/>
          <w:szCs w:val="24"/>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30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Winnebago Industries, Inc. is filing herewith a press release issued on December 14, 2005, as Exhibit 99.1 which is included herein. The press release was issued to report earnings for the first quarter of fiscal 2006 ended November 26, 2005.</w:t>
      </w:r>
    </w:p>
    <w:p>
      <w:pPr>
        <w:spacing w:after="0" w:line="224" w:lineRule="exact"/>
        <w:rPr>
          <w:sz w:val="24"/>
          <w:szCs w:val="24"/>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304" w:lineRule="exact"/>
        <w:rPr>
          <w:sz w:val="24"/>
          <w:szCs w:val="24"/>
          <w:color w:val="auto"/>
        </w:rPr>
      </w:pPr>
    </w:p>
    <w:p>
      <w:pPr>
        <w:ind w:left="280"/>
        <w:spacing w:after="0"/>
        <w:tabs>
          <w:tab w:leader="none" w:pos="6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6"/>
          <w:szCs w:val="16"/>
          <w:color w:val="auto"/>
        </w:rPr>
        <w:t>Exhibits</w:t>
      </w:r>
    </w:p>
    <w:p>
      <w:pPr>
        <w:spacing w:after="0" w:line="22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 w:lineRule="exact"/>
        <w:rPr>
          <w:sz w:val="24"/>
          <w:szCs w:val="24"/>
          <w:color w:val="auto"/>
        </w:rPr>
      </w:pPr>
    </w:p>
    <w:p>
      <w:pPr>
        <w:ind w:left="58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40" w:lineRule="exact"/>
        <w:rPr>
          <w:sz w:val="24"/>
          <w:szCs w:val="24"/>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dated December 14, 2005.</w:t>
      </w:r>
    </w:p>
    <w:p>
      <w:pPr>
        <w:sectPr>
          <w:pgSz w:w="11900" w:h="16838" w:orient="portrait"/>
          <w:cols w:equalWidth="0" w:num="1">
            <w:col w:w="11340"/>
          </w:cols>
          <w:pgMar w:left="240" w:top="1309"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SIGNATURES</w:t>
      </w:r>
    </w:p>
    <w:p>
      <w:pPr>
        <w:sectPr>
          <w:pgSz w:w="11900" w:h="16838" w:orient="portrait"/>
          <w:cols w:equalWidth="0" w:num="1">
            <w:col w:w="11340"/>
          </w:cols>
          <w:pgMar w:left="240" w:top="1309" w:right="319" w:bottom="0" w:gutter="0" w:footer="0" w:header="0"/>
          <w:type w:val="continuous"/>
        </w:sectPr>
      </w:pPr>
    </w:p>
    <w:bookmarkStart w:id="1" w:name="page2"/>
    <w:bookmarkEnd w:id="1"/>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14, 2005</w:t>
            </w:r>
          </w:p>
        </w:tc>
        <w:tc>
          <w:tcPr>
            <w:tcW w:w="6940" w:type="dxa"/>
            <w:vAlign w:val="bottom"/>
            <w:gridSpan w:val="3"/>
          </w:tcPr>
          <w:p>
            <w:pPr>
              <w:ind w:left="2100"/>
              <w:spacing w:after="0"/>
              <w:rPr>
                <w:sz w:val="20"/>
                <w:szCs w:val="20"/>
                <w:color w:val="auto"/>
              </w:rPr>
            </w:pPr>
            <w:r>
              <w:rPr>
                <w:rFonts w:ascii="Times New Roman" w:cs="Times New Roman" w:eastAsia="Times New Roman" w:hAnsi="Times New Roman"/>
                <w:sz w:val="26"/>
                <w:szCs w:val="26"/>
                <w:color w:val="auto"/>
              </w:rPr>
              <w:t>W</w:t>
            </w:r>
            <w:r>
              <w:rPr>
                <w:rFonts w:ascii="Times New Roman" w:cs="Times New Roman" w:eastAsia="Times New Roman" w:hAnsi="Times New Roman"/>
                <w:sz w:val="17"/>
                <w:szCs w:val="17"/>
                <w:color w:val="auto"/>
              </w:rPr>
              <w:t>INNEBAGO</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NDUSTRIES,</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NC.</w:t>
            </w:r>
          </w:p>
        </w:tc>
      </w:tr>
      <w:tr>
        <w:trPr>
          <w:trHeight w:val="435"/>
        </w:trPr>
        <w:tc>
          <w:tcPr>
            <w:tcW w:w="3980" w:type="dxa"/>
            <w:vAlign w:val="bottom"/>
          </w:tcPr>
          <w:p>
            <w:pPr>
              <w:spacing w:after="0"/>
              <w:rPr>
                <w:sz w:val="24"/>
                <w:szCs w:val="24"/>
                <w:color w:val="auto"/>
              </w:rPr>
            </w:pPr>
          </w:p>
        </w:tc>
        <w:tc>
          <w:tcPr>
            <w:tcW w:w="2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D. Hertzke</w:t>
            </w:r>
          </w:p>
        </w:tc>
      </w:tr>
      <w:tr>
        <w:trPr>
          <w:trHeight w:val="262"/>
        </w:trPr>
        <w:tc>
          <w:tcPr>
            <w:tcW w:w="3980" w:type="dxa"/>
            <w:vAlign w:val="bottom"/>
          </w:tcPr>
          <w:p>
            <w:pPr>
              <w:spacing w:after="0"/>
              <w:rPr>
                <w:sz w:val="22"/>
                <w:szCs w:val="22"/>
                <w:color w:val="auto"/>
              </w:rPr>
            </w:pPr>
          </w:p>
        </w:tc>
        <w:tc>
          <w:tcPr>
            <w:tcW w:w="2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Bruce D. Hertzke</w:t>
            </w:r>
          </w:p>
        </w:tc>
      </w:tr>
      <w:tr>
        <w:trPr>
          <w:trHeight w:val="243"/>
        </w:trPr>
        <w:tc>
          <w:tcPr>
            <w:tcW w:w="3980" w:type="dxa"/>
            <w:vAlign w:val="bottom"/>
          </w:tcPr>
          <w:p>
            <w:pPr>
              <w:spacing w:after="0"/>
              <w:rPr>
                <w:sz w:val="21"/>
                <w:szCs w:val="21"/>
                <w:color w:val="auto"/>
              </w:rPr>
            </w:pPr>
          </w:p>
        </w:tc>
        <w:tc>
          <w:tcPr>
            <w:tcW w:w="2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6"/>
          <w:szCs w:val="26"/>
          <w:b w:val="1"/>
          <w:bCs w:val="1"/>
          <w:color w:val="auto"/>
        </w:rPr>
        <w:t>E</w:t>
      </w:r>
      <w:r>
        <w:rPr>
          <w:rFonts w:ascii="Times New Roman" w:cs="Times New Roman" w:eastAsia="Times New Roman" w:hAnsi="Times New Roman"/>
          <w:sz w:val="21"/>
          <w:szCs w:val="21"/>
          <w:b w:val="1"/>
          <w:bCs w:val="1"/>
          <w:color w:val="auto"/>
        </w:rPr>
        <w:t>XHIBIT</w:t>
      </w:r>
      <w:r>
        <w:rPr>
          <w:rFonts w:ascii="Times New Roman" w:cs="Times New Roman" w:eastAsia="Times New Roman" w:hAnsi="Times New Roman"/>
          <w:sz w:val="26"/>
          <w:szCs w:val="26"/>
          <w:b w:val="1"/>
          <w:bCs w:val="1"/>
          <w:color w:val="auto"/>
        </w:rPr>
        <w:t xml:space="preserve"> I</w:t>
      </w:r>
      <w:r>
        <w:rPr>
          <w:rFonts w:ascii="Times New Roman" w:cs="Times New Roman" w:eastAsia="Times New Roman" w:hAnsi="Times New Roman"/>
          <w:sz w:val="21"/>
          <w:szCs w:val="21"/>
          <w:b w:val="1"/>
          <w:bCs w:val="1"/>
          <w:color w:val="auto"/>
        </w:rPr>
        <w:t>NDEX</w:t>
      </w:r>
    </w:p>
    <w:p>
      <w:pPr>
        <w:spacing w:after="0" w:line="3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 w:lineRule="exact"/>
        <w:rPr>
          <w:sz w:val="20"/>
          <w:szCs w:val="20"/>
          <w:color w:val="auto"/>
        </w:rPr>
      </w:pPr>
    </w:p>
    <w:p>
      <w:pPr>
        <w:ind w:left="58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4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dated December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ectPr>
          <w:pgSz w:w="11900" w:h="16838" w:orient="portrait"/>
          <w:cols w:equalWidth="0" w:num="1">
            <w:col w:w="11420"/>
          </w:cols>
          <w:pgMar w:left="240" w:top="878" w:right="239" w:bottom="0" w:gutter="0" w:footer="0" w:header="0"/>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Sheila Davis, PR/IR Manager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641/585-6803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sdavis@winnebagoind.com</w:t>
      </w:r>
    </w:p>
    <w:p>
      <w:pPr>
        <w:spacing w:after="0" w:line="200" w:lineRule="exact"/>
        <w:rPr>
          <w:sz w:val="20"/>
          <w:szCs w:val="20"/>
          <w:color w:val="auto"/>
        </w:rPr>
      </w:pPr>
    </w:p>
    <w:p>
      <w:pPr>
        <w:sectPr>
          <w:pgSz w:w="11900" w:h="16838" w:orient="portrait"/>
          <w:cols w:equalWidth="0" w:num="2">
            <w:col w:w="600" w:space="580"/>
            <w:col w:w="10240"/>
          </w:cols>
          <w:pgMar w:left="240" w:top="878" w:right="239" w:bottom="0" w:gutter="0" w:footer="0" w:header="0"/>
          <w:type w:val="continuous"/>
        </w:sectPr>
      </w:pP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WINNEBAGO INDUSTRIES REPORTS FIRST QUARTER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FISCAL 2006 REVENUES AND EARNINGS</w:t>
      </w:r>
    </w:p>
    <w:p>
      <w:pPr>
        <w:spacing w:after="0" w:line="276"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FOREST CITY, IOWA, December 14, 2005 – Winnebago Industries, Inc., (NYSE:WGO), the leading United States (U.S.) motor home manufacturer, today reported financial results for the Company’s first quarter ended November 26, 2005.</w:t>
      </w:r>
    </w:p>
    <w:p>
      <w:pPr>
        <w:spacing w:after="0" w:line="174"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 xml:space="preserve">Net income for the first quarter was $14.6 million, compared to net income of $19.5 million for the first quarter last year. On a diluted per share basis, the Company earned 44 cents a share for the first quarter of fiscal 2006, compared to net income of 57 cents a share for the first quarter last year. Included as a reduction to net income in the first quarter of fiscal 2006 was $1.5 million, or 5 cents per diluted share, of stock option expense due to the adoption of Statement of Financial Accounting Standards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on August 28, 2005, which was not effective in the first quarter of last year.</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Revenues for the first quarter of fiscal 2006 were $232.3 million, compared to revenues of $266.1 million for the first quarter of fiscal 2005.</w:t>
      </w:r>
    </w:p>
    <w:p>
      <w:pPr>
        <w:spacing w:after="0" w:line="225"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“Revenues and net income for the quarter were negatively impacted primarily by lower motor home deliveries as a result of lower consumer confidence, which in our opinion is due mainly to the increase in fuel prices,” said Winnebago Industries’ Chairman and CEO Bruce Hertzke. “We also experienced a shift in product mix weighted more heavily toward lower priced products in the first quarter.”</w:t>
      </w:r>
    </w:p>
    <w:p>
      <w:pPr>
        <w:spacing w:after="0" w:line="186"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Company’s sales order backlog was 2,013 units at November 26, 2005, compared to the backlog of 2,080 units at November 27, 2004. Hertzke continued, “Following industry trends, the sales order backlog demonstrated the shift in mix of products to lower priced motor homes. In addition, positive dealer and retail consumer response to the Company’s new Winnebago View and Itasca Navion fuel efficient Class C diesel motor homes have also positively impacted our Class C backlog.”</w:t>
      </w:r>
    </w:p>
    <w:p>
      <w:pPr>
        <w:spacing w:after="0" w:line="190"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“Dealer reaction to Winnebago Industries’ new products at the RVIA show in Louisville, Kentucky in early December was positive, particularly to the Winnebago View and Itasca Navion models which went into production earlier this year,” said Winnebago Industries’ President Ed Barker.</w:t>
      </w:r>
    </w:p>
    <w:p>
      <w:pPr>
        <w:spacing w:after="0" w:line="174"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Also during the recent Louisville Show, Winnebago Industries accepted the prestigious Quality Circle Award for the tenth consecutive year from the Recreation Vehicle Dealer Association. “We are extremely proud to receive the Quality Circle Award this year, and particularly proud to be the only manufacturer to receive this award each year for the past decade,” said Hertzke. “We consider the Dealer Satisfaction Index survey to be a critical measurement tool for the quality of our products, our sales and service programs and our manufacturing processes. We greatly appreciate our dealer partners continued confidence in Winnebago Industries and our employees for their continued diligence to ensure that every Winnebago Industries motor home, program and service provided is of the highest quality.”</w:t>
      </w:r>
    </w:p>
    <w:p>
      <w:pPr>
        <w:spacing w:after="0" w:line="193"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Winnebago Industries repurchased 192,000 shares of the Company’s common stock for an aggregate consideration of approximately $5.2 million during the first quarter of fiscal 2006. The Company has approximately $24.8 million remaining on the current share repurchase authorization.</w:t>
      </w:r>
    </w:p>
    <w:p>
      <w:pPr>
        <w:spacing w:after="0" w:line="174" w:lineRule="exact"/>
        <w:rPr>
          <w:sz w:val="20"/>
          <w:szCs w:val="20"/>
          <w:color w:val="auto"/>
        </w:rPr>
      </w:pPr>
    </w:p>
    <w:p>
      <w:pPr>
        <w:ind w:right="300" w:firstLine="341"/>
        <w:spacing w:after="0" w:line="275" w:lineRule="auto"/>
        <w:rPr>
          <w:sz w:val="20"/>
          <w:szCs w:val="20"/>
          <w:color w:val="auto"/>
        </w:rPr>
      </w:pPr>
      <w:r>
        <w:rPr>
          <w:rFonts w:ascii="Times New Roman" w:cs="Times New Roman" w:eastAsia="Times New Roman" w:hAnsi="Times New Roman"/>
          <w:sz w:val="18"/>
          <w:szCs w:val="18"/>
          <w:color w:val="auto"/>
        </w:rPr>
        <w:t>According to Statistical Surveys, Inc., an independent retail reporting service, Winnebago Industries leads the industry with 18.0 percent of the combined Class A and Class C retail market for the first 10 months of calendar 2005.</w:t>
      </w:r>
    </w:p>
    <w:p>
      <w:pPr>
        <w:spacing w:after="0" w:line="174"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 xml:space="preserve">Winnebago Industries will conduct a conference call in conjunction with this release at 10 a.m. ET today, Wednesday, December 14, 2005. Members of the news media, investors and the general public are invited to access a live broadcast of the conference call via the Investor Relations page of the Company’s website at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 The event will be archived and available for replay for the next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502920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Winnebago Industries</w:t>
      </w:r>
    </w:p>
    <w:p>
      <w:pPr>
        <w:spacing w:after="0" w:line="21" w:lineRule="exact"/>
        <w:rPr>
          <w:sz w:val="20"/>
          <w:szCs w:val="20"/>
          <w:color w:val="auto"/>
        </w:rPr>
      </w:pPr>
    </w:p>
    <w:p>
      <w:pPr>
        <w:ind w:right="40" w:firstLine="348"/>
        <w:spacing w:after="0" w:line="252" w:lineRule="auto"/>
        <w:rPr>
          <w:sz w:val="20"/>
          <w:szCs w:val="20"/>
          <w:color w:val="auto"/>
        </w:rPr>
      </w:pPr>
      <w:r>
        <w:rPr>
          <w:rFonts w:ascii="Times New Roman" w:cs="Times New Roman" w:eastAsia="Times New Roman" w:hAnsi="Times New Roman"/>
          <w:sz w:val="18"/>
          <w:szCs w:val="18"/>
          <w:color w:val="auto"/>
        </w:rPr>
        <w:t xml:space="preserve">Winnebago Industries, Inc. is the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Times New Roman" w:cs="Times New Roman" w:eastAsia="Times New Roman" w:hAnsi="Times New Roman"/>
          <w:sz w:val="18"/>
          <w:szCs w:val="18"/>
          <w:u w:val="single" w:color="auto"/>
          <w:color w:val="auto"/>
        </w:rPr>
        <w:t>http://www.winnebagoind.com/html/company/investorRelations.html</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right="300" w:firstLine="348"/>
        <w:spacing w:after="0" w:line="291" w:lineRule="auto"/>
        <w:rPr>
          <w:sz w:val="20"/>
          <w:szCs w:val="20"/>
          <w:color w:val="auto"/>
        </w:rPr>
      </w:pPr>
      <w:r>
        <w:rPr>
          <w:rFonts w:ascii="Times New Roman" w:cs="Times New Roman" w:eastAsia="Times New Roman" w:hAnsi="Times New Roman"/>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declines in consumer confidence,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ectPr>
          <w:pgSz w:w="11900" w:h="16838" w:orient="portrait"/>
          <w:cols w:equalWidth="0" w:num="1">
            <w:col w:w="11420"/>
          </w:cols>
          <w:pgMar w:left="240" w:top="878" w:right="239"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2316480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November 26,</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232,255</w:t>
            </w:r>
          </w:p>
        </w:tc>
        <w:tc>
          <w:tcPr>
            <w:tcW w:w="128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266,133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201,091</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31,164</w:t>
            </w:r>
          </w:p>
        </w:tc>
        <w:tc>
          <w:tcPr>
            <w:tcW w:w="1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40,064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7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gridSpan w:val="2"/>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4,673</w:t>
            </w:r>
          </w:p>
        </w:tc>
        <w:tc>
          <w:tcPr>
            <w:tcW w:w="1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5,049</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9,722</w:t>
            </w:r>
          </w:p>
        </w:tc>
        <w:tc>
          <w:tcPr>
            <w:tcW w:w="1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21,442</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1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22,364</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7,794</w:t>
            </w:r>
          </w:p>
        </w:tc>
        <w:tc>
          <w:tcPr>
            <w:tcW w:w="1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14,570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Income per common share:</w:t>
            </w: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0.44</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0.44</w:t>
            </w:r>
          </w:p>
        </w:tc>
        <w:tc>
          <w:tcPr>
            <w:tcW w:w="128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gridSpan w:val="2"/>
            <w:shd w:val="clear" w:color="auto" w:fill="D6F3E8"/>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32,934</w:t>
            </w:r>
          </w:p>
        </w:tc>
        <w:tc>
          <w:tcPr>
            <w:tcW w:w="1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33,221</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-1235710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-1235710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-1235710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-1235710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2065655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6"/>
              </w:rPr>
              <w:t>November 26,</w:t>
            </w:r>
          </w:p>
        </w:tc>
        <w:tc>
          <w:tcPr>
            <w:tcW w:w="22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25,766</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24,400</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40,910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114,026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15,313</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289,505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288,092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62,171</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63,853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24,535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20,548</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22,066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15,564</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412,323</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412,960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5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25,949</w:t>
            </w:r>
          </w:p>
        </w:tc>
        <w:tc>
          <w:tcPr>
            <w:tcW w:w="11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11,858</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43,732</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D6F3E8"/>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81,539</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90,623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Postretirement health care and deferred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compensation benefits, net of current portion</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86,413</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244,371</w:t>
            </w: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235,887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412,323</w:t>
            </w:r>
          </w:p>
        </w:tc>
        <w:tc>
          <w:tcPr>
            <w:tcW w:w="1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-2010410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-2010410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-2010410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-2010410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1213485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Quarter Ended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November 26,</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November 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benefit of stock options</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Receivable and other assets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40"/>
              <w:spacing w:after="0"/>
              <w:rPr>
                <w:sz w:val="20"/>
                <w:szCs w:val="20"/>
                <w:color w:val="auto"/>
              </w:rPr>
            </w:pPr>
            <w:r>
              <w:rPr>
                <w:rFonts w:ascii="Times New Roman" w:cs="Times New Roman" w:eastAsia="Times New Roman" w:hAnsi="Times New Roman"/>
                <w:sz w:val="18"/>
                <w:szCs w:val="18"/>
                <w:color w:val="auto"/>
              </w:rPr>
              <w:t>(16,125)</w:t>
            </w: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Postretirement benefits</w:t>
            </w:r>
          </w:p>
        </w:tc>
        <w:tc>
          <w:tcPr>
            <w:tcW w:w="1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c>
          <w:tcPr>
            <w:tcW w:w="10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2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420" w:type="dxa"/>
            <w:vAlign w:val="bottom"/>
          </w:tcPr>
          <w:p>
            <w:pPr>
              <w:spacing w:after="0"/>
              <w:rPr>
                <w:sz w:val="18"/>
                <w:szCs w:val="18"/>
                <w:color w:val="auto"/>
              </w:rPr>
            </w:pPr>
          </w:p>
        </w:tc>
        <w:tc>
          <w:tcPr>
            <w:tcW w:w="19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(49,500)</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Proceeds from the sale or maturity of short-term investments</w:t>
            </w:r>
          </w:p>
        </w:tc>
        <w:tc>
          <w:tcPr>
            <w:tcW w:w="4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32,600</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8"/>
                <w:szCs w:val="18"/>
                <w:color w:val="auto"/>
              </w:rPr>
            </w:pPr>
          </w:p>
        </w:tc>
        <w:tc>
          <w:tcPr>
            <w:tcW w:w="19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(1,398)</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24"/>
                <w:szCs w:val="24"/>
                <w:color w:val="auto"/>
              </w:rPr>
            </w:pPr>
          </w:p>
        </w:tc>
        <w:tc>
          <w:tcPr>
            <w:tcW w:w="19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(18,136)</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2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for purchase of common stock</w:t>
            </w:r>
          </w:p>
        </w:tc>
        <w:tc>
          <w:tcPr>
            <w:tcW w:w="420" w:type="dxa"/>
            <w:vAlign w:val="bottom"/>
          </w:tcPr>
          <w:p>
            <w:pPr>
              <w:spacing w:after="0"/>
              <w:rPr>
                <w:sz w:val="18"/>
                <w:szCs w:val="18"/>
                <w:color w:val="auto"/>
              </w:rPr>
            </w:pPr>
          </w:p>
        </w:tc>
        <w:tc>
          <w:tcPr>
            <w:tcW w:w="19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(5,184)</w:t>
            </w: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420" w:type="dxa"/>
            <w:vAlign w:val="bottom"/>
            <w:shd w:val="clear" w:color="auto" w:fill="D6F3E8"/>
          </w:tcPr>
          <w:p>
            <w:pPr>
              <w:spacing w:after="0"/>
              <w:rPr>
                <w:sz w:val="18"/>
                <w:szCs w:val="18"/>
                <w:color w:val="auto"/>
              </w:rPr>
            </w:pPr>
          </w:p>
        </w:tc>
        <w:tc>
          <w:tcPr>
            <w:tcW w:w="1980" w:type="dxa"/>
            <w:vAlign w:val="bottom"/>
            <w:gridSpan w:val="3"/>
            <w:shd w:val="clear" w:color="auto" w:fill="D6F3E8"/>
          </w:tcPr>
          <w:p>
            <w:pPr>
              <w:jc w:val="right"/>
              <w:ind w:right="1080"/>
              <w:spacing w:after="0"/>
              <w:rPr>
                <w:sz w:val="20"/>
                <w:szCs w:val="20"/>
                <w:color w:val="auto"/>
              </w:rPr>
            </w:pPr>
            <w:r>
              <w:rPr>
                <w:rFonts w:ascii="Times New Roman" w:cs="Times New Roman" w:eastAsia="Times New Roman" w:hAnsi="Times New Roman"/>
                <w:sz w:val="18"/>
                <w:szCs w:val="18"/>
                <w:color w:val="auto"/>
              </w:rPr>
              <w:t>(2,969)</w:t>
            </w:r>
          </w:p>
        </w:tc>
        <w:tc>
          <w:tcPr>
            <w:tcW w:w="4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4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4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Pr>
          <w:p>
            <w:pPr>
              <w:spacing w:after="0"/>
              <w:rPr>
                <w:sz w:val="24"/>
                <w:szCs w:val="24"/>
                <w:color w:val="auto"/>
              </w:rPr>
            </w:pPr>
          </w:p>
        </w:tc>
        <w:tc>
          <w:tcPr>
            <w:tcW w:w="19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(7,971)</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6,282</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457"/>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19,484</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shd w:val="clear" w:color="auto" w:fill="D6F3E8"/>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25,766</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560" w:type="dxa"/>
            <w:vAlign w:val="bottom"/>
            <w:gridSpan w:val="2"/>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year presentation.</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-523240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-523240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-523240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-523240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513715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Unaudited Motor Home Deliveries</w:t>
      </w:r>
    </w:p>
    <w:p>
      <w:pPr>
        <w:spacing w:after="0" w:line="210" w:lineRule="exact"/>
        <w:rPr>
          <w:sz w:val="20"/>
          <w:szCs w:val="20"/>
          <w:color w:val="auto"/>
        </w:rPr>
      </w:pPr>
    </w:p>
    <w:tbl>
      <w:tblPr>
        <w:tblLayout w:type="fixed"/>
        <w:tblInd w:w="2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26,</w:t>
            </w:r>
          </w:p>
        </w:tc>
        <w:tc>
          <w:tcPr>
            <w:tcW w:w="13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November 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6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Unit deliveries</w:t>
            </w:r>
          </w:p>
        </w:tc>
        <w:tc>
          <w:tcPr>
            <w:tcW w:w="118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A gas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Class A diesel</w:t>
            </w:r>
          </w:p>
        </w:tc>
        <w:tc>
          <w:tcPr>
            <w:tcW w:w="19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C</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Total deliveries</w:t>
            </w:r>
          </w:p>
        </w:tc>
        <w:tc>
          <w:tcPr>
            <w:tcW w:w="19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Backlog and Dealer Inventory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November 26,</w:t>
            </w:r>
          </w:p>
        </w:tc>
        <w:tc>
          <w:tcPr>
            <w:tcW w:w="80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2005</w:t>
            </w:r>
          </w:p>
        </w:tc>
        <w:tc>
          <w:tcPr>
            <w:tcW w:w="170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Sales order backlog</w:t>
            </w:r>
          </w:p>
        </w:tc>
        <w:tc>
          <w:tcPr>
            <w:tcW w:w="88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A gas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Class A diesel</w:t>
            </w:r>
          </w:p>
        </w:tc>
        <w:tc>
          <w:tcPr>
            <w:tcW w:w="8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Total backlog*</w:t>
            </w:r>
          </w:p>
        </w:tc>
        <w:tc>
          <w:tcPr>
            <w:tcW w:w="8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approximate revenue dollars (in thousands)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184,500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191,200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Dealer inventory</w:t>
            </w:r>
          </w:p>
        </w:tc>
        <w:tc>
          <w:tcPr>
            <w:tcW w:w="8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3" w:right="239" w:bottom="0" w:gutter="0" w:footer="0" w:header="0"/>
        </w:sectPr>
      </w:pPr>
    </w:p>
    <w:bookmarkStart w:id="6" w:name="page7"/>
    <w:bookmarkEnd w:id="6"/>
    <w:p>
      <w:pPr>
        <w:ind w:left="-8" w:firstLine="8"/>
        <w:spacing w:after="0" w:line="262" w:lineRule="auto"/>
        <w:tabs>
          <w:tab w:leader="none" w:pos="1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includes in its backlog all accepted purchase orders from dealers scheduled to be shipped within the next six months. Orders in backlog can be canceled or postponed at the option of the purchaser at any time without penalty and, therefore, backlog may not necessarily be an accurate measure of future sales.</w:t>
      </w:r>
    </w:p>
    <w:p>
      <w:pPr>
        <w:spacing w:after="0" w:line="173" w:lineRule="exact"/>
        <w:rPr>
          <w:rFonts w:ascii="Times New Roman" w:cs="Times New Roman" w:eastAsia="Times New Roman" w:hAnsi="Times New Roman"/>
          <w:sz w:val="18"/>
          <w:szCs w:val="18"/>
          <w:color w:val="auto"/>
        </w:rPr>
      </w:pPr>
    </w:p>
    <w:p>
      <w:pPr>
        <w:ind w:left="5652" w:hanging="162"/>
        <w:spacing w:after="0"/>
        <w:tabs>
          <w:tab w:leader="none" w:pos="5652"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1604010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172"/>
      </w:cols>
      <w:pgMar w:left="248" w:top="12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2019-12-13T08:30:09Z</dcterms:created>
  <dcterms:modified xsi:type="dcterms:W3CDTF">2019-12-13T08:30:09Z</dcterms:modified>
</cp:coreProperties>
</file>