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8"/>
          <w:szCs w:val="18"/>
          <w:color w:val="auto"/>
        </w:rPr>
        <w:t>June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280" w:type="dxa"/>
        <w:tblCellMar>
          <w:top w:w="0" w:type="dxa"/>
          <w:left w:w="0" w:type="dxa"/>
          <w:bottom w:w="0" w:type="dxa"/>
          <w:right w:w="0" w:type="dxa"/>
        </w:tblCellMar>
      </w:tblPr>
      <w:tr>
        <w:trPr>
          <w:trHeight w:val="262"/>
        </w:trPr>
        <w:tc>
          <w:tcPr>
            <w:tcW w:w="3160" w:type="dxa"/>
            <w:vAlign w:val="bottom"/>
          </w:tcPr>
          <w:p>
            <w:pPr>
              <w:jc w:val="center"/>
              <w:ind w:right="202"/>
              <w:spacing w:after="0"/>
              <w:rPr>
                <w:sz w:val="20"/>
                <w:szCs w:val="20"/>
                <w:color w:val="auto"/>
              </w:rPr>
            </w:pPr>
            <w:r>
              <w:rPr>
                <w:rFonts w:ascii="Arial" w:cs="Arial" w:eastAsia="Arial" w:hAnsi="Arial"/>
                <w:sz w:val="22"/>
                <w:szCs w:val="22"/>
                <w:b w:val="1"/>
                <w:bCs w:val="1"/>
                <w:color w:val="auto"/>
                <w:w w:val="93"/>
              </w:rPr>
              <w:t>Iowa</w:t>
            </w:r>
          </w:p>
        </w:tc>
        <w:tc>
          <w:tcPr>
            <w:tcW w:w="2880" w:type="dxa"/>
            <w:vAlign w:val="bottom"/>
          </w:tcPr>
          <w:p>
            <w:pPr>
              <w:jc w:val="right"/>
              <w:ind w:right="1042"/>
              <w:spacing w:after="0"/>
              <w:rPr>
                <w:sz w:val="20"/>
                <w:szCs w:val="20"/>
                <w:color w:val="auto"/>
              </w:rPr>
            </w:pPr>
            <w:r>
              <w:rPr>
                <w:rFonts w:ascii="Arial" w:cs="Arial" w:eastAsia="Arial" w:hAnsi="Arial"/>
                <w:sz w:val="22"/>
                <w:szCs w:val="22"/>
                <w:b w:val="1"/>
                <w:bCs w:val="1"/>
                <w:color w:val="auto"/>
              </w:rPr>
              <w:t>001-06403</w:t>
            </w:r>
          </w:p>
        </w:tc>
        <w:tc>
          <w:tcPr>
            <w:tcW w:w="204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22"/>
        </w:trPr>
        <w:tc>
          <w:tcPr>
            <w:tcW w:w="3160" w:type="dxa"/>
            <w:vAlign w:val="bottom"/>
          </w:tcPr>
          <w:p>
            <w:pPr>
              <w:jc w:val="center"/>
              <w:ind w:right="182"/>
              <w:spacing w:after="0"/>
              <w:rPr>
                <w:sz w:val="20"/>
                <w:szCs w:val="20"/>
                <w:color w:val="auto"/>
              </w:rPr>
            </w:pPr>
            <w:r>
              <w:rPr>
                <w:rFonts w:ascii="Arial" w:cs="Arial" w:eastAsia="Arial" w:hAnsi="Arial"/>
                <w:sz w:val="18"/>
                <w:szCs w:val="18"/>
                <w:color w:val="auto"/>
                <w:w w:val="89"/>
              </w:rPr>
              <w:t>(State or other jurisdiction</w:t>
            </w:r>
          </w:p>
        </w:tc>
        <w:tc>
          <w:tcPr>
            <w:tcW w:w="288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040" w:type="dxa"/>
            <w:vAlign w:val="bottom"/>
          </w:tcPr>
          <w:p>
            <w:pPr>
              <w:jc w:val="center"/>
              <w:ind w:left="642"/>
              <w:spacing w:after="0"/>
              <w:rPr>
                <w:sz w:val="20"/>
                <w:szCs w:val="20"/>
                <w:color w:val="auto"/>
              </w:rPr>
            </w:pPr>
            <w:r>
              <w:rPr>
                <w:rFonts w:ascii="Arial" w:cs="Arial" w:eastAsia="Arial" w:hAnsi="Arial"/>
                <w:sz w:val="18"/>
                <w:szCs w:val="18"/>
                <w:color w:val="auto"/>
                <w:w w:val="90"/>
              </w:rPr>
              <w:t>(IRS Employer</w:t>
            </w:r>
          </w:p>
        </w:tc>
      </w:tr>
      <w:tr>
        <w:trPr>
          <w:trHeight w:val="230"/>
        </w:trPr>
        <w:tc>
          <w:tcPr>
            <w:tcW w:w="3160" w:type="dxa"/>
            <w:vAlign w:val="bottom"/>
          </w:tcPr>
          <w:p>
            <w:pPr>
              <w:jc w:val="center"/>
              <w:ind w:right="182"/>
              <w:spacing w:after="0"/>
              <w:rPr>
                <w:sz w:val="20"/>
                <w:szCs w:val="20"/>
                <w:color w:val="auto"/>
              </w:rPr>
            </w:pPr>
            <w:r>
              <w:rPr>
                <w:rFonts w:ascii="Arial" w:cs="Arial" w:eastAsia="Arial" w:hAnsi="Arial"/>
                <w:sz w:val="18"/>
                <w:szCs w:val="18"/>
                <w:color w:val="auto"/>
                <w:w w:val="92"/>
              </w:rPr>
              <w:t>of incorporation)</w:t>
            </w:r>
          </w:p>
        </w:tc>
        <w:tc>
          <w:tcPr>
            <w:tcW w:w="2880" w:type="dxa"/>
            <w:vAlign w:val="bottom"/>
          </w:tcPr>
          <w:p>
            <w:pPr>
              <w:spacing w:after="0"/>
              <w:rPr>
                <w:sz w:val="19"/>
                <w:szCs w:val="19"/>
                <w:color w:val="auto"/>
              </w:rPr>
            </w:pPr>
          </w:p>
        </w:tc>
        <w:tc>
          <w:tcPr>
            <w:tcW w:w="2040" w:type="dxa"/>
            <w:vAlign w:val="bottom"/>
          </w:tcPr>
          <w:p>
            <w:pPr>
              <w:jc w:val="center"/>
              <w:ind w:left="642"/>
              <w:spacing w:after="0"/>
              <w:rPr>
                <w:sz w:val="20"/>
                <w:szCs w:val="20"/>
                <w:color w:val="auto"/>
              </w:rPr>
            </w:pPr>
            <w:r>
              <w:rPr>
                <w:rFonts w:ascii="Arial" w:cs="Arial" w:eastAsia="Arial" w:hAnsi="Arial"/>
                <w:sz w:val="18"/>
                <w:szCs w:val="18"/>
                <w:color w:val="auto"/>
                <w:w w:val="92"/>
              </w:rPr>
              <w:t>Identification No.)</w:t>
            </w:r>
          </w:p>
        </w:tc>
      </w:tr>
      <w:tr>
        <w:trPr>
          <w:trHeight w:val="466"/>
        </w:trPr>
        <w:tc>
          <w:tcPr>
            <w:tcW w:w="3160" w:type="dxa"/>
            <w:vAlign w:val="bottom"/>
          </w:tcPr>
          <w:p>
            <w:pPr>
              <w:jc w:val="center"/>
              <w:ind w:right="182"/>
              <w:spacing w:after="0"/>
              <w:rPr>
                <w:sz w:val="20"/>
                <w:szCs w:val="20"/>
                <w:color w:val="auto"/>
              </w:rPr>
            </w:pPr>
            <w:r>
              <w:rPr>
                <w:rFonts w:ascii="Arial" w:cs="Arial" w:eastAsia="Arial" w:hAnsi="Arial"/>
                <w:sz w:val="22"/>
                <w:szCs w:val="22"/>
                <w:b w:val="1"/>
                <w:bCs w:val="1"/>
                <w:color w:val="auto"/>
                <w:w w:val="89"/>
              </w:rPr>
              <w:t>P.O. Box 152, Forest City, Iowa</w:t>
            </w:r>
          </w:p>
        </w:tc>
        <w:tc>
          <w:tcPr>
            <w:tcW w:w="2880" w:type="dxa"/>
            <w:vAlign w:val="bottom"/>
          </w:tcPr>
          <w:p>
            <w:pPr>
              <w:spacing w:after="0"/>
              <w:rPr>
                <w:sz w:val="24"/>
                <w:szCs w:val="24"/>
                <w:color w:val="auto"/>
              </w:rPr>
            </w:pPr>
          </w:p>
        </w:tc>
        <w:tc>
          <w:tcPr>
            <w:tcW w:w="204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160" w:type="dxa"/>
            <w:vAlign w:val="bottom"/>
          </w:tcPr>
          <w:p>
            <w:pPr>
              <w:jc w:val="center"/>
              <w:ind w:right="202"/>
              <w:spacing w:after="0"/>
              <w:rPr>
                <w:sz w:val="20"/>
                <w:szCs w:val="20"/>
                <w:color w:val="auto"/>
              </w:rPr>
            </w:pPr>
            <w:r>
              <w:rPr>
                <w:rFonts w:ascii="Arial" w:cs="Arial" w:eastAsia="Arial" w:hAnsi="Arial"/>
                <w:sz w:val="18"/>
                <w:szCs w:val="18"/>
                <w:color w:val="auto"/>
                <w:w w:val="90"/>
              </w:rPr>
              <w:t>(Address of principal executive offices)</w:t>
            </w:r>
          </w:p>
        </w:tc>
        <w:tc>
          <w:tcPr>
            <w:tcW w:w="2880" w:type="dxa"/>
            <w:vAlign w:val="bottom"/>
          </w:tcPr>
          <w:p>
            <w:pPr>
              <w:spacing w:after="0"/>
              <w:rPr>
                <w:sz w:val="19"/>
                <w:szCs w:val="19"/>
                <w:color w:val="auto"/>
              </w:rPr>
            </w:pPr>
          </w:p>
        </w:tc>
        <w:tc>
          <w:tcPr>
            <w:tcW w:w="2040" w:type="dxa"/>
            <w:vAlign w:val="bottom"/>
          </w:tcPr>
          <w:p>
            <w:pPr>
              <w:jc w:val="center"/>
              <w:ind w:left="642"/>
              <w:spacing w:after="0"/>
              <w:rPr>
                <w:sz w:val="20"/>
                <w:szCs w:val="20"/>
                <w:color w:val="auto"/>
              </w:rPr>
            </w:pPr>
            <w:r>
              <w:rPr>
                <w:rFonts w:ascii="Arial" w:cs="Arial" w:eastAsia="Arial" w:hAnsi="Arial"/>
                <w:sz w:val="18"/>
                <w:szCs w:val="18"/>
                <w:color w:val="auto"/>
                <w:w w:val="91"/>
              </w:rPr>
              <w:t>(Zip Code)</w:t>
            </w:r>
          </w:p>
        </w:tc>
      </w:tr>
      <w:tr>
        <w:trPr>
          <w:trHeight w:val="471"/>
        </w:trPr>
        <w:tc>
          <w:tcPr>
            <w:tcW w:w="6040" w:type="dxa"/>
            <w:vAlign w:val="bottom"/>
            <w:gridSpan w:val="2"/>
          </w:tcPr>
          <w:p>
            <w:pPr>
              <w:ind w:left="1500"/>
              <w:spacing w:after="0"/>
              <w:rPr>
                <w:sz w:val="20"/>
                <w:szCs w:val="20"/>
                <w:color w:val="auto"/>
              </w:rPr>
            </w:pPr>
            <w:r>
              <w:rPr>
                <w:rFonts w:ascii="Arial" w:cs="Arial" w:eastAsia="Arial" w:hAnsi="Arial"/>
                <w:sz w:val="22"/>
                <w:szCs w:val="22"/>
                <w:color w:val="auto"/>
                <w:w w:val="89"/>
              </w:rPr>
              <w:t>Registrant’s telephone number, including area code</w:t>
            </w:r>
          </w:p>
        </w:tc>
        <w:tc>
          <w:tcPr>
            <w:tcW w:w="2040" w:type="dxa"/>
            <w:vAlign w:val="bottom"/>
          </w:tcPr>
          <w:p>
            <w:pPr>
              <w:jc w:val="right"/>
              <w:ind w:right="60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Winnebago Industries, Inc. is filing herewith a press release issued on June 18, 2009, as Exhibit 99.1 which is included herein. The press release was issued to report earnings for the third quarter fiscal 2009 ended May 30, 2009.</w:t>
      </w:r>
    </w:p>
    <w:p>
      <w:pPr>
        <w:spacing w:after="0" w:line="99"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58" w:lineRule="exact"/>
        <w:rPr>
          <w:sz w:val="24"/>
          <w:szCs w:val="24"/>
          <w:color w:val="auto"/>
        </w:rPr>
      </w:pPr>
    </w:p>
    <w:p>
      <w:pPr>
        <w:ind w:left="560" w:hanging="377"/>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6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246" w:lineRule="exact"/>
        <w:rPr>
          <w:sz w:val="24"/>
          <w:szCs w:val="24"/>
          <w:color w:val="auto"/>
        </w:rPr>
      </w:pPr>
    </w:p>
    <w:p>
      <w:pPr>
        <w:ind w:left="7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18, 2009.</w:t>
      </w:r>
    </w:p>
    <w:p>
      <w:pPr>
        <w:spacing w:after="0" w:line="39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240" w:type="dxa"/>
            <w:vAlign w:val="bottom"/>
          </w:tcPr>
          <w:p>
            <w:pPr>
              <w:spacing w:after="0"/>
              <w:rPr>
                <w:sz w:val="20"/>
                <w:szCs w:val="20"/>
                <w:color w:val="auto"/>
              </w:rPr>
            </w:pPr>
            <w:r>
              <w:rPr>
                <w:rFonts w:ascii="Arial" w:cs="Arial" w:eastAsia="Arial" w:hAnsi="Arial"/>
                <w:sz w:val="18"/>
                <w:szCs w:val="18"/>
                <w:color w:val="auto"/>
              </w:rPr>
              <w:t>Date: June 18, 2009</w:t>
            </w:r>
          </w:p>
        </w:tc>
        <w:tc>
          <w:tcPr>
            <w:tcW w:w="7040" w:type="dxa"/>
            <w:vAlign w:val="bottom"/>
            <w:gridSpan w:val="2"/>
          </w:tcPr>
          <w:p>
            <w:pPr>
              <w:ind w:left="1840"/>
              <w:spacing w:after="0"/>
              <w:rPr>
                <w:sz w:val="20"/>
                <w:szCs w:val="20"/>
                <w:color w:val="auto"/>
              </w:rPr>
            </w:pPr>
            <w:r>
              <w:rPr>
                <w:rFonts w:ascii="Arial" w:cs="Arial" w:eastAsia="Arial" w:hAnsi="Arial"/>
                <w:sz w:val="22"/>
                <w:szCs w:val="22"/>
                <w:color w:val="auto"/>
              </w:rPr>
              <w:t>W</w:t>
            </w:r>
            <w:r>
              <w:rPr>
                <w:rFonts w:ascii="Arial" w:cs="Arial" w:eastAsia="Arial" w:hAnsi="Arial"/>
                <w:sz w:val="13"/>
                <w:szCs w:val="13"/>
                <w:color w:val="auto"/>
              </w:rPr>
              <w:t>INNEBAGO</w:t>
            </w:r>
            <w:r>
              <w:rPr>
                <w:rFonts w:ascii="Arial" w:cs="Arial" w:eastAsia="Arial" w:hAnsi="Arial"/>
                <w:sz w:val="22"/>
                <w:szCs w:val="22"/>
                <w:color w:val="auto"/>
              </w:rPr>
              <w:t xml:space="preserve"> I</w:t>
            </w:r>
            <w:r>
              <w:rPr>
                <w:rFonts w:ascii="Arial" w:cs="Arial" w:eastAsia="Arial" w:hAnsi="Arial"/>
                <w:sz w:val="13"/>
                <w:szCs w:val="13"/>
                <w:color w:val="auto"/>
              </w:rPr>
              <w:t>NDUSTRIES,</w:t>
            </w:r>
            <w:r>
              <w:rPr>
                <w:rFonts w:ascii="Arial" w:cs="Arial" w:eastAsia="Arial" w:hAnsi="Arial"/>
                <w:sz w:val="22"/>
                <w:szCs w:val="22"/>
                <w:color w:val="auto"/>
              </w:rPr>
              <w:t xml:space="preserve"> I</w:t>
            </w:r>
            <w:r>
              <w:rPr>
                <w:rFonts w:ascii="Arial" w:cs="Arial" w:eastAsia="Arial" w:hAnsi="Arial"/>
                <w:sz w:val="13"/>
                <w:szCs w:val="13"/>
                <w:color w:val="auto"/>
              </w:rPr>
              <w:t>NC.</w:t>
            </w:r>
          </w:p>
        </w:tc>
      </w:tr>
      <w:tr>
        <w:trPr>
          <w:trHeight w:val="367"/>
        </w:trPr>
        <w:tc>
          <w:tcPr>
            <w:tcW w:w="3240" w:type="dxa"/>
            <w:vAlign w:val="bottom"/>
          </w:tcPr>
          <w:p>
            <w:pPr>
              <w:spacing w:after="0"/>
              <w:rPr>
                <w:sz w:val="24"/>
                <w:szCs w:val="24"/>
                <w:color w:val="auto"/>
              </w:rPr>
            </w:pP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bl>
    <w:p>
      <w:pPr>
        <w:sectPr>
          <w:pgSz w:w="11900" w:h="16838" w:orient="portrait"/>
          <w:cols w:equalWidth="0" w:num="1">
            <w:col w:w="11200"/>
          </w:cols>
          <w:pgMar w:left="240" w:top="786" w:right="459" w:bottom="0" w:gutter="0" w:footer="0" w:header="0"/>
        </w:sectPr>
      </w:pPr>
    </w:p>
    <w:bookmarkStart w:id="1" w:name="page2"/>
    <w:bookmarkEnd w:id="1"/>
    <w:p>
      <w:pPr>
        <w:ind w:left="4520"/>
        <w:spacing w:after="0"/>
        <w:tabs>
          <w:tab w:leader="none" w:pos="5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Robert J. Olson</w:t>
      </w:r>
    </w:p>
    <w:p>
      <w:pPr>
        <w:spacing w:after="0" w:line="15" w:lineRule="exact"/>
        <w:rPr>
          <w:sz w:val="20"/>
          <w:szCs w:val="20"/>
          <w:color w:val="auto"/>
        </w:rPr>
      </w:pPr>
    </w:p>
    <w:p>
      <w:pPr>
        <w:ind w:left="4520"/>
        <w:spacing w:after="0"/>
        <w:tabs>
          <w:tab w:leader="none" w:pos="51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pacing w:after="0" w:line="33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643890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659"/>
          </w:cols>
          <w:pgMar w:left="800" w:top="13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THIRD QUARTER AND FIRST NINE MONTHS OF FISCAL YEAR 2009</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FOREST CITY, IOWA, June 18, 2009 – Winnebago Industries, Inc. (NYSE:WGO) today reported financial results for the Company’s third quarter and first nine months of fiscal year 2009 ended May 30, 2009.</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Revenues for the quarter were $50.8 million versus revenues of $139.7 million for the third quarter last fiscal year. The Company reported an operating loss of $14.8 million for the quarter versus an operating loss of $6.9 million for the third quarter of fiscal 2008. Net loss for the third quarter was $8.6 million versus net income of $3.0 million for the third quarter of fiscal 2008. On a diluted per share basis, the Company had a net loss of 29 cents a share for the third quarter of fiscal 2009 versus net income of 10 cents per share for the third quarter last fiscal year.</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third quarter was negatively impacted by lower motor home deliveries, low absorption of fixed costs and higher production inefficiencies due to lower production volumes, significant increases of wholesale and retail promotions due to challenging market conditions, and a higher mix of lower priced Class C and B motor home deliveries. There was a positive benefit to cost of goods sold, however, from the liquidation of last-in, first-out (LIFO) inventory values due to a significant reduction of inventory levels. This has the effect of decreasing the net loss by $2.1 million, or seven cents per diluted share.</w:t>
      </w:r>
    </w:p>
    <w:p>
      <w:pPr>
        <w:spacing w:after="0" w:line="167"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Revenues for the first 39 weeks of fiscal 2009 were $152.1 million versus $519.1 million for the first 40 weeks of fiscal 2008. Operating loss was $50.3 million for the first 39 weeks of fiscal 2009 versus an operating income of $9.1 million for the first 40 weeks of fiscal 2008. Net loss for the first 39 weeks of fiscal 2009 was $28.5 million versus net income of $15.5 million for the first 40 weeks of fiscal 2008. On a diluted per share basis, the Company had a net loss of 98 cents a share for the first 39 weeks of fiscal 2009 versus net income of 53 cents a share for the first 40 weeks of fiscal 2008.</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pleased by our successful efforts to reduce inventory during the quarter,” said Winnebago Industries’ Chairman, CEO and President Bob Olson. “While market conditions remain very challenging, we were able to generate $14.7 million of cash from operations during our third quarter as a result of aggressive management of our working capital. On a fiscal year to date basis through the third quarter, cash generated from operations has increased over 19 percent compared to last year.”</w:t>
      </w:r>
    </w:p>
    <w:p>
      <w:pPr>
        <w:spacing w:after="0" w:line="19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According to Statistical Surveys, the retail reporting service for the RV industry, Winnebago Industries gained market share in the combined Class A and C market with 18.4 percent calendar year to date through April 2009 as compared to 17.3% for the same period last year. Industry-wide, combined Class A and C motor home retail sales have declined approximately 46 percent calendar year to date through April. The Recreation Vehicle Industry Association has reported wholesale motor home shipments industry-wide to have decreased by approximately 78 percent calendar year to date through April.</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industry motor home shipments as reported were down 76.6 percent during the first two months of our third fiscal quarter, we were pleased that our shipments showed a less significant decline, at 61.9 percent for the quarter,” Olson continued. “We have seen modest improvement industry-wide during calendar 2009 in both retail sales and wholesale shipments, unfortunately, the improvement has not been of the magnitude that would imply a full recovery within the near term. As a result, we are continuing to reduce our cost structure as reflected by the recent announcement of the upcoming closure of our fiberglass manufacturing facility in Hampton,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“Credit remains the biggest hurdle the industry faces,” said Olson. “Floor plan lending institutions continue to emphasize reducing inventories and increasing turn rates for dealerships across the country. Dealer inventory of Winnebago Industries’ products has been reduced by nearly 50 percent since a year ago and by approximately 20 percent since the end of our last fiscal quarter. While our sales order backlog is over 60 percent less than last year at this time, we are pleased that it has increased 14 percent since the end of our last fiscal quarter. We continue to believe we are in a strong financial position with sufficient cash, no long-term debt and with the benefit of a respected brand name known for its quality products.”</w:t>
      </w:r>
    </w:p>
    <w:p>
      <w:pPr>
        <w:spacing w:after="0" w:line="17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June 18, 2009.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availability and price of fuel, a further slowdown in the economy, 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ectPr>
          <w:pgSz w:w="11900" w:h="16838" w:orient="portrait"/>
          <w:cols w:equalWidth="0" w:num="1">
            <w:col w:w="11420"/>
          </w:cols>
          <w:pgMar w:left="240" w:top="355" w:right="239" w:bottom="770" w:gutter="0" w:footer="0" w:header="0"/>
        </w:sectPr>
      </w:pPr>
    </w:p>
    <w:bookmarkStart w:id="3" w:name="page4"/>
    <w:bookmarkEnd w:id="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May 30, 2009</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234"/>
              <w:spacing w:after="0"/>
              <w:rPr>
                <w:sz w:val="20"/>
                <w:szCs w:val="20"/>
                <w:color w:val="auto"/>
              </w:rPr>
            </w:pPr>
            <w:r>
              <w:rPr>
                <w:rFonts w:ascii="Arial" w:cs="Arial" w:eastAsia="Arial" w:hAnsi="Arial"/>
                <w:sz w:val="14"/>
                <w:szCs w:val="14"/>
                <w:b w:val="1"/>
                <w:bCs w:val="1"/>
                <w:color w:val="auto"/>
                <w:w w:val="88"/>
              </w:rPr>
              <w:t>May 31, 2008</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52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50,848</w:t>
            </w:r>
          </w:p>
        </w:tc>
        <w:tc>
          <w:tcPr>
            <w:tcW w:w="70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w w:val="93"/>
              </w:rPr>
              <w:t>100.0</w:t>
            </w: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139,736</w:t>
            </w: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Borders>
              <w:bottom w:val="single" w:sz="8" w:color="D6F3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59,133</w:t>
            </w:r>
          </w:p>
        </w:tc>
        <w:tc>
          <w:tcPr>
            <w:tcW w:w="340" w:type="dxa"/>
            <w:vAlign w:val="bottom"/>
            <w:tcBorders>
              <w:bottom w:val="single" w:sz="8" w:color="D6F3E8"/>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116.3</w:t>
            </w:r>
          </w:p>
        </w:tc>
        <w:tc>
          <w:tcPr>
            <w:tcW w:w="340" w:type="dxa"/>
            <w:vAlign w:val="bottom"/>
            <w:tcBorders>
              <w:bottom w:val="single" w:sz="8" w:color="D6F3E8"/>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137,112</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(deficit) profit</w:t>
            </w: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(8,285)</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D6F3E8"/>
          </w:tcPr>
          <w:p>
            <w:pPr>
              <w:spacing w:after="0"/>
              <w:rPr>
                <w:sz w:val="21"/>
                <w:szCs w:val="21"/>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2,624</w:t>
            </w:r>
          </w:p>
        </w:tc>
        <w:tc>
          <w:tcPr>
            <w:tcW w:w="34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D6F3E8"/>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D6F3E8"/>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380" w:type="dxa"/>
            <w:vAlign w:val="bottom"/>
          </w:tcPr>
          <w:p>
            <w:pPr>
              <w:ind w:left="160"/>
              <w:spacing w:after="0"/>
              <w:rPr>
                <w:sz w:val="20"/>
                <w:szCs w:val="20"/>
                <w:color w:val="auto"/>
              </w:rPr>
            </w:pPr>
            <w:r>
              <w:rPr>
                <w:rFonts w:ascii="Arial" w:cs="Arial" w:eastAsia="Arial" w:hAnsi="Arial"/>
                <w:sz w:val="18"/>
                <w:szCs w:val="18"/>
                <w:color w:val="auto"/>
              </w:rPr>
              <w:t>Selling</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3,083</w:t>
            </w:r>
          </w:p>
        </w:tc>
        <w:tc>
          <w:tcPr>
            <w:tcW w:w="70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5,085</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8"/>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3,414</w:t>
            </w:r>
          </w:p>
        </w:tc>
        <w:tc>
          <w:tcPr>
            <w:tcW w:w="340" w:type="dxa"/>
            <w:vAlign w:val="bottom"/>
            <w:shd w:val="clear" w:color="auto" w:fill="D6F3E8"/>
          </w:tcPr>
          <w:p>
            <w:pPr>
              <w:spacing w:after="0"/>
              <w:rPr>
                <w:sz w:val="22"/>
                <w:szCs w:val="22"/>
                <w:color w:val="auto"/>
              </w:rPr>
            </w:pPr>
          </w:p>
        </w:tc>
        <w:tc>
          <w:tcPr>
            <w:tcW w:w="700" w:type="dxa"/>
            <w:vAlign w:val="bottom"/>
            <w:tcBorders>
              <w:bottom w:val="single" w:sz="8" w:color="auto"/>
            </w:tcBorders>
            <w:shd w:val="clear" w:color="auto" w:fill="D6F3E8"/>
          </w:tcPr>
          <w:p>
            <w:pPr>
              <w:spacing w:after="0"/>
              <w:rPr>
                <w:sz w:val="22"/>
                <w:szCs w:val="22"/>
                <w:color w:val="auto"/>
              </w:rPr>
            </w:pPr>
          </w:p>
        </w:tc>
        <w:tc>
          <w:tcPr>
            <w:tcW w:w="4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D6F3E8"/>
          </w:tcPr>
          <w:p>
            <w:pPr>
              <w:spacing w:after="0"/>
              <w:rPr>
                <w:sz w:val="22"/>
                <w:szCs w:val="22"/>
                <w:color w:val="auto"/>
              </w:rPr>
            </w:pPr>
          </w:p>
        </w:tc>
        <w:tc>
          <w:tcPr>
            <w:tcW w:w="460" w:type="dxa"/>
            <w:vAlign w:val="bottom"/>
            <w:tcBorders>
              <w:bottom w:val="single" w:sz="8" w:color="auto"/>
            </w:tcBorders>
            <w:shd w:val="clear" w:color="auto" w:fill="D6F3E8"/>
          </w:tcPr>
          <w:p>
            <w:pPr>
              <w:spacing w:after="0"/>
              <w:rPr>
                <w:sz w:val="22"/>
                <w:szCs w:val="22"/>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4,442</w:t>
            </w:r>
          </w:p>
        </w:tc>
        <w:tc>
          <w:tcPr>
            <w:tcW w:w="340" w:type="dxa"/>
            <w:vAlign w:val="bottom"/>
            <w:shd w:val="clear" w:color="auto" w:fill="D6F3E8"/>
          </w:tcPr>
          <w:p>
            <w:pPr>
              <w:spacing w:after="0"/>
              <w:rPr>
                <w:sz w:val="22"/>
                <w:szCs w:val="22"/>
                <w:color w:val="auto"/>
              </w:rPr>
            </w:pPr>
          </w:p>
        </w:tc>
        <w:tc>
          <w:tcPr>
            <w:tcW w:w="360" w:type="dxa"/>
            <w:vAlign w:val="bottom"/>
            <w:tcBorders>
              <w:bottom w:val="single" w:sz="8" w:color="auto"/>
            </w:tcBorders>
            <w:shd w:val="clear" w:color="auto" w:fill="D6F3E8"/>
          </w:tcPr>
          <w:p>
            <w:pPr>
              <w:spacing w:after="0"/>
              <w:rPr>
                <w:sz w:val="22"/>
                <w:szCs w:val="22"/>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38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D6F3E8"/>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340" w:type="dxa"/>
            <w:vAlign w:val="bottom"/>
            <w:tcBorders>
              <w:bottom w:val="single" w:sz="8" w:color="D6F3E8"/>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D6F3E8"/>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40" w:type="dxa"/>
            <w:vAlign w:val="bottom"/>
            <w:tcBorders>
              <w:bottom w:val="single" w:sz="8" w:color="D6F3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Operating loss</w:t>
            </w: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(14,782)</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(29.1)</w:t>
            </w: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(6,903)</w:t>
            </w: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1120" w:type="dxa"/>
            <w:vAlign w:val="bottom"/>
            <w:tcBorders>
              <w:bottom w:val="single" w:sz="8" w:color="D6F3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Borders>
              <w:bottom w:val="single" w:sz="8" w:color="D6F3E8"/>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D6F3E8"/>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w:t>
            </w: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(14,573)</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(28.7)</w:t>
            </w: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(5,850)</w:t>
            </w: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Benefit for taxes</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(6,020)</w:t>
            </w:r>
          </w:p>
        </w:tc>
        <w:tc>
          <w:tcPr>
            <w:tcW w:w="70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(8,850)</w:t>
            </w:r>
          </w:p>
        </w:tc>
        <w:tc>
          <w:tcPr>
            <w:tcW w:w="3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1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vMerge w:val="continue"/>
            <w:shd w:val="clear" w:color="auto" w:fill="D6F3E8"/>
          </w:tcPr>
          <w:p>
            <w:pPr>
              <w:spacing w:after="0"/>
              <w:rPr>
                <w:sz w:val="21"/>
                <w:szCs w:val="21"/>
                <w:color w:val="auto"/>
              </w:rPr>
            </w:pP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(8,553)</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(16.8)</w:t>
            </w: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3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(Loss) income per common share:</w:t>
            </w:r>
          </w:p>
        </w:tc>
        <w:tc>
          <w:tcPr>
            <w:tcW w:w="112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(0.29)</w:t>
            </w:r>
          </w:p>
        </w:tc>
        <w:tc>
          <w:tcPr>
            <w:tcW w:w="70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78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3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29,045</w:t>
            </w: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29,013</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29,056</w:t>
            </w:r>
          </w:p>
        </w:tc>
        <w:tc>
          <w:tcPr>
            <w:tcW w:w="70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29,048</w:t>
            </w: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78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568"/>
        </w:trPr>
        <w:tc>
          <w:tcPr>
            <w:tcW w:w="4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39 Weeks Ended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85"/>
              </w:rPr>
              <w:t>40 weeks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May 30, 2009</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234"/>
              <w:spacing w:after="0"/>
              <w:rPr>
                <w:sz w:val="20"/>
                <w:szCs w:val="20"/>
                <w:color w:val="auto"/>
              </w:rPr>
            </w:pPr>
            <w:r>
              <w:rPr>
                <w:rFonts w:ascii="Arial" w:cs="Arial" w:eastAsia="Arial" w:hAnsi="Arial"/>
                <w:sz w:val="14"/>
                <w:szCs w:val="14"/>
                <w:b w:val="1"/>
                <w:bCs w:val="1"/>
                <w:color w:val="auto"/>
                <w:w w:val="88"/>
              </w:rPr>
              <w:t>May 31, 2008</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52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152,054</w:t>
            </w:r>
          </w:p>
        </w:tc>
        <w:tc>
          <w:tcPr>
            <w:tcW w:w="70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w w:val="93"/>
              </w:rPr>
              <w:t>100.0</w:t>
            </w: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519,081</w:t>
            </w: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Borders>
              <w:bottom w:val="single" w:sz="8" w:color="D6F3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181,025</w:t>
            </w:r>
          </w:p>
        </w:tc>
        <w:tc>
          <w:tcPr>
            <w:tcW w:w="340" w:type="dxa"/>
            <w:vAlign w:val="bottom"/>
            <w:tcBorders>
              <w:bottom w:val="single" w:sz="8" w:color="D6F3E8"/>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119.1</w:t>
            </w:r>
          </w:p>
        </w:tc>
        <w:tc>
          <w:tcPr>
            <w:tcW w:w="340" w:type="dxa"/>
            <w:vAlign w:val="bottom"/>
            <w:tcBorders>
              <w:bottom w:val="single" w:sz="8" w:color="D6F3E8"/>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478,648</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(deficit) profit</w:t>
            </w: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(28,971)</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(19.1)</w:t>
            </w:r>
          </w:p>
        </w:tc>
        <w:tc>
          <w:tcPr>
            <w:tcW w:w="460" w:type="dxa"/>
            <w:vAlign w:val="bottom"/>
            <w:shd w:val="clear" w:color="auto" w:fill="D6F3E8"/>
          </w:tcPr>
          <w:p>
            <w:pPr>
              <w:spacing w:after="0"/>
              <w:rPr>
                <w:sz w:val="21"/>
                <w:szCs w:val="21"/>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40,433</w:t>
            </w:r>
          </w:p>
        </w:tc>
        <w:tc>
          <w:tcPr>
            <w:tcW w:w="34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D6F3E8"/>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D6F3E8"/>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380" w:type="dxa"/>
            <w:vAlign w:val="bottom"/>
          </w:tcPr>
          <w:p>
            <w:pPr>
              <w:ind w:left="160"/>
              <w:spacing w:after="0"/>
              <w:rPr>
                <w:sz w:val="20"/>
                <w:szCs w:val="20"/>
                <w:color w:val="auto"/>
              </w:rPr>
            </w:pPr>
            <w:r>
              <w:rPr>
                <w:rFonts w:ascii="Arial" w:cs="Arial" w:eastAsia="Arial" w:hAnsi="Arial"/>
                <w:sz w:val="18"/>
                <w:szCs w:val="18"/>
                <w:color w:val="auto"/>
              </w:rPr>
              <w:t>Selling</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9,564</w:t>
            </w:r>
          </w:p>
        </w:tc>
        <w:tc>
          <w:tcPr>
            <w:tcW w:w="70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14,948</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8"/>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11,748</w:t>
            </w:r>
          </w:p>
        </w:tc>
        <w:tc>
          <w:tcPr>
            <w:tcW w:w="340" w:type="dxa"/>
            <w:vAlign w:val="bottom"/>
            <w:shd w:val="clear" w:color="auto" w:fill="D6F3E8"/>
          </w:tcPr>
          <w:p>
            <w:pPr>
              <w:spacing w:after="0"/>
              <w:rPr>
                <w:sz w:val="22"/>
                <w:szCs w:val="22"/>
                <w:color w:val="auto"/>
              </w:rPr>
            </w:pPr>
          </w:p>
        </w:tc>
        <w:tc>
          <w:tcPr>
            <w:tcW w:w="700" w:type="dxa"/>
            <w:vAlign w:val="bottom"/>
            <w:tcBorders>
              <w:bottom w:val="single" w:sz="8" w:color="auto"/>
            </w:tcBorders>
            <w:shd w:val="clear" w:color="auto" w:fill="D6F3E8"/>
          </w:tcPr>
          <w:p>
            <w:pPr>
              <w:spacing w:after="0"/>
              <w:rPr>
                <w:sz w:val="22"/>
                <w:szCs w:val="22"/>
                <w:color w:val="auto"/>
              </w:rPr>
            </w:pPr>
          </w:p>
        </w:tc>
        <w:tc>
          <w:tcPr>
            <w:tcW w:w="4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D6F3E8"/>
          </w:tcPr>
          <w:p>
            <w:pPr>
              <w:spacing w:after="0"/>
              <w:rPr>
                <w:sz w:val="22"/>
                <w:szCs w:val="22"/>
                <w:color w:val="auto"/>
              </w:rPr>
            </w:pPr>
          </w:p>
        </w:tc>
        <w:tc>
          <w:tcPr>
            <w:tcW w:w="460" w:type="dxa"/>
            <w:vAlign w:val="bottom"/>
            <w:tcBorders>
              <w:bottom w:val="single" w:sz="8" w:color="auto"/>
            </w:tcBorders>
            <w:shd w:val="clear" w:color="auto" w:fill="D6F3E8"/>
          </w:tcPr>
          <w:p>
            <w:pPr>
              <w:spacing w:after="0"/>
              <w:rPr>
                <w:sz w:val="22"/>
                <w:szCs w:val="22"/>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16,350</w:t>
            </w:r>
          </w:p>
        </w:tc>
        <w:tc>
          <w:tcPr>
            <w:tcW w:w="340" w:type="dxa"/>
            <w:vAlign w:val="bottom"/>
            <w:shd w:val="clear" w:color="auto" w:fill="D6F3E8"/>
          </w:tcPr>
          <w:p>
            <w:pPr>
              <w:spacing w:after="0"/>
              <w:rPr>
                <w:sz w:val="22"/>
                <w:szCs w:val="22"/>
                <w:color w:val="auto"/>
              </w:rPr>
            </w:pPr>
          </w:p>
        </w:tc>
        <w:tc>
          <w:tcPr>
            <w:tcW w:w="360" w:type="dxa"/>
            <w:vAlign w:val="bottom"/>
            <w:tcBorders>
              <w:bottom w:val="single" w:sz="8" w:color="auto"/>
            </w:tcBorders>
            <w:shd w:val="clear" w:color="auto" w:fill="D6F3E8"/>
          </w:tcPr>
          <w:p>
            <w:pPr>
              <w:spacing w:after="0"/>
              <w:rPr>
                <w:sz w:val="22"/>
                <w:szCs w:val="22"/>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38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D6F3E8"/>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21,312</w:t>
            </w:r>
          </w:p>
        </w:tc>
        <w:tc>
          <w:tcPr>
            <w:tcW w:w="340" w:type="dxa"/>
            <w:vAlign w:val="bottom"/>
            <w:tcBorders>
              <w:bottom w:val="single" w:sz="8" w:color="D6F3E8"/>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Borders>
              <w:bottom w:val="single" w:sz="8" w:color="D6F3E8"/>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340" w:type="dxa"/>
            <w:vAlign w:val="bottom"/>
            <w:tcBorders>
              <w:bottom w:val="single" w:sz="8" w:color="D6F3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(50,283)</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(33.1)</w:t>
            </w:r>
          </w:p>
        </w:tc>
        <w:tc>
          <w:tcPr>
            <w:tcW w:w="460" w:type="dxa"/>
            <w:vAlign w:val="bottom"/>
            <w:shd w:val="clear" w:color="auto" w:fill="D6F3E8"/>
          </w:tcPr>
          <w:p>
            <w:pPr>
              <w:spacing w:after="0"/>
              <w:rPr>
                <w:sz w:val="21"/>
                <w:szCs w:val="21"/>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9,135</w:t>
            </w:r>
          </w:p>
        </w:tc>
        <w:tc>
          <w:tcPr>
            <w:tcW w:w="34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1120" w:type="dxa"/>
            <w:vAlign w:val="bottom"/>
            <w:tcBorders>
              <w:bottom w:val="single" w:sz="8" w:color="D6F3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340" w:type="dxa"/>
            <w:vAlign w:val="bottom"/>
            <w:tcBorders>
              <w:bottom w:val="single" w:sz="8" w:color="D6F3E8"/>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D6F3E8"/>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(Loss) income before income taxes</w:t>
            </w: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(48,917)</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(32.2)</w:t>
            </w:r>
          </w:p>
        </w:tc>
        <w:tc>
          <w:tcPr>
            <w:tcW w:w="460" w:type="dxa"/>
            <w:vAlign w:val="bottom"/>
            <w:shd w:val="clear" w:color="auto" w:fill="D6F3E8"/>
          </w:tcPr>
          <w:p>
            <w:pPr>
              <w:spacing w:after="0"/>
              <w:rPr>
                <w:sz w:val="21"/>
                <w:szCs w:val="21"/>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12,664</w:t>
            </w:r>
          </w:p>
        </w:tc>
        <w:tc>
          <w:tcPr>
            <w:tcW w:w="34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Benefit for taxes</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(20,387)</w:t>
            </w:r>
          </w:p>
        </w:tc>
        <w:tc>
          <w:tcPr>
            <w:tcW w:w="70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(2,815)</w:t>
            </w:r>
          </w:p>
        </w:tc>
        <w:tc>
          <w:tcPr>
            <w:tcW w:w="3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1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vMerge w:val="continue"/>
            <w:shd w:val="clear" w:color="auto" w:fill="D6F3E8"/>
          </w:tcPr>
          <w:p>
            <w:pPr>
              <w:spacing w:after="0"/>
              <w:rPr>
                <w:sz w:val="21"/>
                <w:szCs w:val="21"/>
                <w:color w:val="auto"/>
              </w:rPr>
            </w:pPr>
          </w:p>
        </w:tc>
        <w:tc>
          <w:tcPr>
            <w:tcW w:w="1120" w:type="dxa"/>
            <w:vAlign w:val="bottom"/>
            <w:shd w:val="clear" w:color="auto" w:fill="D6F3E8"/>
          </w:tcPr>
          <w:p>
            <w:pPr>
              <w:spacing w:after="0"/>
              <w:rPr>
                <w:sz w:val="21"/>
                <w:szCs w:val="21"/>
                <w:color w:val="auto"/>
              </w:rPr>
            </w:pP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(28,530)</w:t>
            </w:r>
          </w:p>
        </w:tc>
        <w:tc>
          <w:tcPr>
            <w:tcW w:w="70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(18.8)</w:t>
            </w: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34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(Loss) income per common share:</w:t>
            </w:r>
          </w:p>
        </w:tc>
        <w:tc>
          <w:tcPr>
            <w:tcW w:w="112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(0.98)</w:t>
            </w: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0.53</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(0.98)</w:t>
            </w:r>
          </w:p>
        </w:tc>
        <w:tc>
          <w:tcPr>
            <w:tcW w:w="70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0.53</w:t>
            </w: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78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3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29,036</w:t>
            </w: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29,116</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29,046</w:t>
            </w:r>
          </w:p>
        </w:tc>
        <w:tc>
          <w:tcPr>
            <w:tcW w:w="70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29,183</w:t>
            </w: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78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-4733290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-4733290</wp:posOffset>
            </wp:positionV>
            <wp:extent cx="214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-1156970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-1156970</wp:posOffset>
            </wp:positionV>
            <wp:extent cx="214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May 30, 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30, 2008</w:t>
            </w: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41,308</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17,851</w:t>
            </w: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7,890</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9,426</w:t>
            </w:r>
          </w:p>
        </w:tc>
      </w:tr>
      <w:tr>
        <w:trPr>
          <w:trHeight w:val="255"/>
        </w:trPr>
        <w:tc>
          <w:tcPr>
            <w:tcW w:w="84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53,230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110,596</w:t>
            </w:r>
          </w:p>
        </w:tc>
      </w:tr>
    </w:tbl>
    <w:p>
      <w:pPr>
        <w:sectPr>
          <w:pgSz w:w="11900" w:h="16841" w:orient="portrait"/>
          <w:cols w:equalWidth="0" w:num="1">
            <w:col w:w="11420"/>
          </w:cols>
          <w:pgMar w:left="240" w:top="1117" w:right="239" w:bottom="0" w:gutter="0" w:footer="0" w:header="0"/>
        </w:sectPr>
      </w:pPr>
    </w:p>
    <w:bookmarkStart w:id="4" w:name="page5"/>
    <w:bookmarkEnd w:id="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receivable</w:t>
            </w:r>
          </w:p>
        </w:tc>
        <w:tc>
          <w:tcPr>
            <w:tcW w:w="4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19,127</w:t>
            </w:r>
          </w:p>
        </w:tc>
        <w:tc>
          <w:tcPr>
            <w:tcW w:w="32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6,618</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Prepaid and other</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320" w:type="dxa"/>
            <w:vAlign w:val="bottom"/>
            <w:tcBorders>
              <w:bottom w:val="single" w:sz="8" w:color="D6F3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134,362</w:t>
            </w:r>
          </w:p>
        </w:tc>
        <w:tc>
          <w:tcPr>
            <w:tcW w:w="32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162,881</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84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34,077</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Long-term investments, less impairments</w:t>
            </w:r>
          </w:p>
        </w:tc>
        <w:tc>
          <w:tcPr>
            <w:tcW w:w="4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33,120</w:t>
            </w:r>
          </w:p>
        </w:tc>
        <w:tc>
          <w:tcPr>
            <w:tcW w:w="32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37,538</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28,660</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Investment in life insurance</w:t>
            </w:r>
          </w:p>
        </w:tc>
        <w:tc>
          <w:tcPr>
            <w:tcW w:w="4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22,476</w:t>
            </w:r>
          </w:p>
        </w:tc>
        <w:tc>
          <w:tcPr>
            <w:tcW w:w="32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22,123</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13,156</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Assets held for sale</w:t>
            </w:r>
          </w:p>
        </w:tc>
        <w:tc>
          <w:tcPr>
            <w:tcW w:w="4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2,276</w:t>
            </w:r>
          </w:p>
        </w:tc>
        <w:tc>
          <w:tcPr>
            <w:tcW w:w="32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4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268,127</w:t>
            </w:r>
          </w:p>
        </w:tc>
        <w:tc>
          <w:tcPr>
            <w:tcW w:w="3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9,806</w:t>
            </w:r>
          </w:p>
        </w:tc>
        <w:tc>
          <w:tcPr>
            <w:tcW w:w="320" w:type="dxa"/>
            <w:vAlign w:val="bottom"/>
            <w:shd w:val="clear" w:color="auto" w:fill="D6F3E8"/>
          </w:tcPr>
          <w:p>
            <w:pPr>
              <w:spacing w:after="0"/>
              <w:rPr>
                <w:sz w:val="22"/>
                <w:szCs w:val="22"/>
                <w:color w:val="auto"/>
              </w:rPr>
            </w:pPr>
          </w:p>
        </w:tc>
        <w:tc>
          <w:tcPr>
            <w:tcW w:w="38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15,631</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Short-term ARS borrowings</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payable</w:t>
            </w:r>
          </w:p>
        </w:tc>
        <w:tc>
          <w:tcPr>
            <w:tcW w:w="4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Accrued expenses</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30,442</w:t>
            </w:r>
          </w:p>
        </w:tc>
        <w:tc>
          <w:tcPr>
            <w:tcW w:w="320" w:type="dxa"/>
            <w:vAlign w:val="bottom"/>
            <w:tcBorders>
              <w:bottom w:val="single" w:sz="8" w:color="D6F3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49,439</w:t>
            </w:r>
          </w:p>
        </w:tc>
        <w:tc>
          <w:tcPr>
            <w:tcW w:w="32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54,333</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8460" w:type="dxa"/>
            <w:vAlign w:val="bottom"/>
          </w:tcPr>
          <w:p>
            <w:pPr>
              <w:spacing w:after="0"/>
              <w:rPr>
                <w:sz w:val="20"/>
                <w:szCs w:val="20"/>
                <w:color w:val="auto"/>
              </w:rPr>
            </w:pPr>
            <w:r>
              <w:rPr>
                <w:rFonts w:ascii="Arial" w:cs="Arial" w:eastAsia="Arial" w:hAnsi="Arial"/>
                <w:sz w:val="18"/>
                <w:szCs w:val="18"/>
                <w:color w:val="auto"/>
              </w:rPr>
              <w:t>Long-term liabilities: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60"/>
              <w:spacing w:after="0"/>
              <w:rPr>
                <w:sz w:val="20"/>
                <w:szCs w:val="20"/>
                <w:color w:val="auto"/>
              </w:rPr>
            </w:pPr>
            <w:r>
              <w:rPr>
                <w:rFonts w:ascii="Arial" w:cs="Arial" w:eastAsia="Arial" w:hAnsi="Arial"/>
                <w:sz w:val="18"/>
                <w:szCs w:val="18"/>
                <w:color w:val="auto"/>
              </w:rPr>
              <w:t>Unrecognized tax benefits</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9,031</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40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64,767</w:t>
            </w:r>
          </w:p>
        </w:tc>
        <w:tc>
          <w:tcPr>
            <w:tcW w:w="320" w:type="dxa"/>
            <w:vAlign w:val="bottom"/>
            <w:shd w:val="clear" w:color="auto" w:fill="D6F3E8"/>
          </w:tcPr>
          <w:p>
            <w:pPr>
              <w:spacing w:after="0"/>
              <w:rPr>
                <w:sz w:val="22"/>
                <w:szCs w:val="22"/>
                <w:color w:val="auto"/>
              </w:rPr>
            </w:pPr>
          </w:p>
        </w:tc>
        <w:tc>
          <w:tcPr>
            <w:tcW w:w="38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67,729</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460" w:type="dxa"/>
            <w:vAlign w:val="bottom"/>
          </w:tcPr>
          <w:p>
            <w:pPr>
              <w:ind w:left="480"/>
              <w:spacing w:after="0"/>
              <w:rPr>
                <w:sz w:val="20"/>
                <w:szCs w:val="20"/>
                <w:color w:val="auto"/>
              </w:rPr>
            </w:pPr>
            <w:r>
              <w:rPr>
                <w:rFonts w:ascii="Arial" w:cs="Arial" w:eastAsia="Arial" w:hAnsi="Arial"/>
                <w:sz w:val="18"/>
                <w:szCs w:val="18"/>
                <w:color w:val="auto"/>
              </w:rPr>
              <w:t>Total long-term liabilities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73,798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144,890</w:t>
            </w:r>
          </w:p>
        </w:tc>
        <w:tc>
          <w:tcPr>
            <w:tcW w:w="320" w:type="dxa"/>
            <w:vAlign w:val="bottom"/>
            <w:shd w:val="clear" w:color="auto" w:fill="D6F3E8"/>
          </w:tcPr>
          <w:p>
            <w:pPr>
              <w:spacing w:after="0"/>
              <w:rPr>
                <w:sz w:val="22"/>
                <w:szCs w:val="22"/>
                <w:color w:val="auto"/>
              </w:rPr>
            </w:pPr>
          </w:p>
        </w:tc>
        <w:tc>
          <w:tcPr>
            <w:tcW w:w="38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173,924</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46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268,127</w:t>
            </w:r>
          </w:p>
        </w:tc>
        <w:tc>
          <w:tcPr>
            <w:tcW w:w="320" w:type="dxa"/>
            <w:vAlign w:val="bottom"/>
          </w:tcPr>
          <w:p>
            <w:pPr>
              <w:spacing w:after="0"/>
              <w:rPr>
                <w:sz w:val="21"/>
                <w:szCs w:val="21"/>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39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40 Weeks Ended</w:t>
            </w:r>
          </w:p>
        </w:tc>
      </w:t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30, 2009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31, 2008</w:t>
            </w:r>
          </w:p>
        </w:tc>
      </w:tr>
      <w:tr>
        <w:trPr>
          <w:trHeight w:val="236"/>
        </w:trPr>
        <w:tc>
          <w:tcPr>
            <w:tcW w:w="84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(28,530)</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shd w:val="clear" w:color="auto" w:fill="D6F3E8"/>
          </w:tcPr>
          <w:p>
            <w:pPr>
              <w:spacing w:after="0"/>
              <w:rPr>
                <w:sz w:val="22"/>
                <w:szCs w:val="22"/>
                <w:color w:val="auto"/>
              </w:rPr>
            </w:pPr>
          </w:p>
        </w:tc>
      </w:tr>
      <w:tr>
        <w:trPr>
          <w:trHeight w:val="255"/>
        </w:trPr>
        <w:tc>
          <w:tcPr>
            <w:tcW w:w="846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8"/>
        </w:trPr>
        <w:tc>
          <w:tcPr>
            <w:tcW w:w="8460" w:type="dxa"/>
            <w:vAlign w:val="bottom"/>
          </w:tcPr>
          <w:p>
            <w:pPr>
              <w:ind w:left="6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2"/>
                <w:szCs w:val="22"/>
                <w:color w:val="auto"/>
              </w:rPr>
            </w:pPr>
          </w:p>
        </w:tc>
      </w:tr>
      <w:tr>
        <w:trPr>
          <w:trHeight w:val="258"/>
        </w:trPr>
        <w:tc>
          <w:tcPr>
            <w:tcW w:w="8460" w:type="dxa"/>
            <w:vAlign w:val="bottom"/>
            <w:shd w:val="clear" w:color="auto" w:fill="D6F3E8"/>
          </w:tcPr>
          <w:p>
            <w:pPr>
              <w:ind w:left="60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D6F3E8"/>
          </w:tcPr>
          <w:p>
            <w:pPr>
              <w:spacing w:after="0"/>
              <w:rPr>
                <w:sz w:val="22"/>
                <w:szCs w:val="22"/>
                <w:color w:val="auto"/>
              </w:rPr>
            </w:pPr>
          </w:p>
        </w:tc>
      </w:tr>
      <w:tr>
        <w:trPr>
          <w:trHeight w:val="256"/>
        </w:trPr>
        <w:tc>
          <w:tcPr>
            <w:tcW w:w="8460" w:type="dxa"/>
            <w:vAlign w:val="bottom"/>
          </w:tcPr>
          <w:p>
            <w:pPr>
              <w:ind w:left="600"/>
              <w:spacing w:after="0"/>
              <w:rPr>
                <w:sz w:val="20"/>
                <w:szCs w:val="20"/>
                <w:color w:val="auto"/>
              </w:rPr>
            </w:pPr>
            <w:r>
              <w:rPr>
                <w:rFonts w:ascii="Arial" w:cs="Arial" w:eastAsia="Arial" w:hAnsi="Arial"/>
                <w:sz w:val="18"/>
                <w:szCs w:val="18"/>
                <w:color w:val="auto"/>
              </w:rPr>
              <w:t>Postretirement benefit income and deferred compensation expense</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2"/>
                <w:szCs w:val="22"/>
                <w:color w:val="auto"/>
              </w:rPr>
            </w:pPr>
          </w:p>
        </w:tc>
      </w:tr>
      <w:tr>
        <w:trPr>
          <w:trHeight w:val="258"/>
        </w:trPr>
        <w:tc>
          <w:tcPr>
            <w:tcW w:w="8460" w:type="dxa"/>
            <w:vAlign w:val="bottom"/>
            <w:shd w:val="clear" w:color="auto" w:fill="D6F3E8"/>
          </w:tcPr>
          <w:p>
            <w:pPr>
              <w:ind w:left="6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D6F3E8"/>
          </w:tcPr>
          <w:p>
            <w:pPr>
              <w:spacing w:after="0"/>
              <w:rPr>
                <w:sz w:val="22"/>
                <w:szCs w:val="22"/>
                <w:color w:val="auto"/>
              </w:rPr>
            </w:pPr>
          </w:p>
        </w:tc>
      </w:tr>
      <w:tr>
        <w:trPr>
          <w:trHeight w:val="256"/>
        </w:trPr>
        <w:tc>
          <w:tcPr>
            <w:tcW w:w="8460" w:type="dxa"/>
            <w:vAlign w:val="bottom"/>
          </w:tcPr>
          <w:p>
            <w:pPr>
              <w:ind w:left="600"/>
              <w:spacing w:after="0"/>
              <w:rPr>
                <w:sz w:val="20"/>
                <w:szCs w:val="20"/>
                <w:color w:val="auto"/>
              </w:rPr>
            </w:pPr>
            <w:r>
              <w:rPr>
                <w:rFonts w:ascii="Arial" w:cs="Arial" w:eastAsia="Arial" w:hAnsi="Arial"/>
                <w:sz w:val="18"/>
                <w:szCs w:val="18"/>
                <w:color w:val="auto"/>
              </w:rPr>
              <w:t>Increase in cash surrender value of life insurance policies</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r>
      <w:tr>
        <w:trPr>
          <w:trHeight w:val="258"/>
        </w:trPr>
        <w:tc>
          <w:tcPr>
            <w:tcW w:w="8460" w:type="dxa"/>
            <w:vAlign w:val="bottom"/>
            <w:shd w:val="clear" w:color="auto" w:fill="D6F3E8"/>
          </w:tcPr>
          <w:p>
            <w:pPr>
              <w:ind w:left="6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D6F3E8"/>
          </w:tcPr>
          <w:p>
            <w:pPr>
              <w:spacing w:after="0"/>
              <w:rPr>
                <w:sz w:val="22"/>
                <w:szCs w:val="22"/>
                <w:color w:val="auto"/>
              </w:rPr>
            </w:pPr>
          </w:p>
        </w:tc>
      </w:tr>
      <w:tr>
        <w:trPr>
          <w:trHeight w:val="255"/>
        </w:trPr>
        <w:tc>
          <w:tcPr>
            <w:tcW w:w="8460" w:type="dxa"/>
            <w:vAlign w:val="bottom"/>
          </w:tcPr>
          <w:p>
            <w:pPr>
              <w:ind w:left="160"/>
              <w:spacing w:after="0"/>
              <w:rPr>
                <w:sz w:val="20"/>
                <w:szCs w:val="20"/>
                <w:color w:val="auto"/>
              </w:rPr>
            </w:pPr>
            <w:r>
              <w:rPr>
                <w:rFonts w:ascii="Arial" w:cs="Arial" w:eastAsia="Arial" w:hAnsi="Arial"/>
                <w:sz w:val="18"/>
                <w:szCs w:val="18"/>
                <w:color w:val="auto"/>
              </w:rPr>
              <w:t>Change in assets and liabilities: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8"/>
        </w:trPr>
        <w:tc>
          <w:tcPr>
            <w:tcW w:w="846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57,366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(9,752)</w:t>
            </w:r>
          </w:p>
        </w:tc>
      </w:tr>
      <w:tr>
        <w:trPr>
          <w:trHeight w:val="258"/>
        </w:trPr>
        <w:tc>
          <w:tcPr>
            <w:tcW w:w="8460" w:type="dxa"/>
            <w:vAlign w:val="bottom"/>
            <w:shd w:val="clear" w:color="auto" w:fill="D6F3E8"/>
          </w:tcPr>
          <w:p>
            <w:pPr>
              <w:ind w:left="600"/>
              <w:spacing w:after="0"/>
              <w:rPr>
                <w:sz w:val="20"/>
                <w:szCs w:val="20"/>
                <w:color w:val="auto"/>
              </w:rPr>
            </w:pPr>
            <w:r>
              <w:rPr>
                <w:rFonts w:ascii="Arial" w:cs="Arial" w:eastAsia="Arial" w:hAnsi="Arial"/>
                <w:sz w:val="18"/>
                <w:szCs w:val="18"/>
                <w:color w:val="auto"/>
              </w:rPr>
              <w:t>Receivables and prepaid assets</w:t>
            </w:r>
          </w:p>
        </w:tc>
        <w:tc>
          <w:tcPr>
            <w:tcW w:w="12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2,164</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shd w:val="clear" w:color="auto" w:fill="D6F3E8"/>
          </w:tcPr>
          <w:p>
            <w:pPr>
              <w:spacing w:after="0"/>
              <w:rPr>
                <w:sz w:val="22"/>
                <w:szCs w:val="22"/>
                <w:color w:val="auto"/>
              </w:rPr>
            </w:pPr>
          </w:p>
        </w:tc>
      </w:tr>
      <w:tr>
        <w:trPr>
          <w:trHeight w:val="256"/>
        </w:trPr>
        <w:tc>
          <w:tcPr>
            <w:tcW w:w="8460" w:type="dxa"/>
            <w:vAlign w:val="bottom"/>
          </w:tcPr>
          <w:p>
            <w:pPr>
              <w:ind w:left="600"/>
              <w:spacing w:after="0"/>
              <w:rPr>
                <w:sz w:val="20"/>
                <w:szCs w:val="20"/>
                <w:color w:val="auto"/>
              </w:rPr>
            </w:pPr>
            <w:r>
              <w:rPr>
                <w:rFonts w:ascii="Arial" w:cs="Arial" w:eastAsia="Arial" w:hAnsi="Arial"/>
                <w:sz w:val="18"/>
                <w:szCs w:val="18"/>
                <w:color w:val="auto"/>
              </w:rPr>
              <w:t>Income taxes payable and unrecognized tax benefits</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(11,929)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(8,871)</w:t>
            </w:r>
          </w:p>
        </w:tc>
      </w:tr>
      <w:tr>
        <w:trPr>
          <w:trHeight w:val="258"/>
        </w:trPr>
        <w:tc>
          <w:tcPr>
            <w:tcW w:w="8460" w:type="dxa"/>
            <w:vAlign w:val="bottom"/>
            <w:shd w:val="clear" w:color="auto" w:fill="D6F3E8"/>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(11,034)</w:t>
            </w: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(21,868)</w:t>
            </w:r>
          </w:p>
        </w:tc>
      </w:tr>
      <w:tr>
        <w:trPr>
          <w:trHeight w:val="256"/>
        </w:trPr>
        <w:tc>
          <w:tcPr>
            <w:tcW w:w="8460" w:type="dxa"/>
            <w:vAlign w:val="bottom"/>
          </w:tcPr>
          <w:p>
            <w:pPr>
              <w:ind w:left="600"/>
              <w:spacing w:after="0"/>
              <w:rPr>
                <w:sz w:val="20"/>
                <w:szCs w:val="20"/>
                <w:color w:val="auto"/>
              </w:rPr>
            </w:pPr>
            <w:r>
              <w:rPr>
                <w:rFonts w:ascii="Arial" w:cs="Arial" w:eastAsia="Arial" w:hAnsi="Arial"/>
                <w:sz w:val="18"/>
                <w:szCs w:val="18"/>
                <w:color w:val="auto"/>
              </w:rPr>
              <w:t>Postretirement and deferred compensation benefits</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(1,123)</w:t>
            </w:r>
          </w:p>
        </w:tc>
      </w:tr>
      <w:tr>
        <w:trPr>
          <w:trHeight w:val="251"/>
        </w:trPr>
        <w:tc>
          <w:tcPr>
            <w:tcW w:w="846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D6F3E8"/>
          </w:tcPr>
          <w:p>
            <w:pPr>
              <w:spacing w:after="0"/>
              <w:rPr>
                <w:sz w:val="21"/>
                <w:szCs w:val="21"/>
                <w:color w:val="auto"/>
              </w:rPr>
            </w:pP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12,474</w:t>
            </w:r>
          </w:p>
        </w:tc>
        <w:tc>
          <w:tcPr>
            <w:tcW w:w="18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spacing w:after="0"/>
              <w:rPr>
                <w:sz w:val="21"/>
                <w:szCs w:val="21"/>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Borders>
              <w:top w:val="single" w:sz="8" w:color="D6F3E8"/>
            </w:tcBorders>
            <w:shd w:val="clear" w:color="auto" w:fill="D6F3E8"/>
          </w:tcPr>
          <w:p>
            <w:pPr>
              <w:spacing w:after="0"/>
              <w:rPr>
                <w:sz w:val="21"/>
                <w:szCs w:val="21"/>
                <w:color w:val="auto"/>
              </w:rPr>
            </w:pPr>
          </w:p>
        </w:tc>
      </w:tr>
      <w:tr>
        <w:trPr>
          <w:trHeight w:val="437"/>
        </w:trPr>
        <w:tc>
          <w:tcPr>
            <w:tcW w:w="8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846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(228,069)</w:t>
            </w: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Proceeds from the sale or maturity of investments</w:t>
            </w:r>
          </w:p>
        </w:tc>
        <w:tc>
          <w:tcPr>
            <w:tcW w:w="12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8,500</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288,119</w:t>
            </w:r>
          </w:p>
        </w:tc>
        <w:tc>
          <w:tcPr>
            <w:tcW w:w="100" w:type="dxa"/>
            <w:vAlign w:val="bottom"/>
            <w:shd w:val="clear" w:color="auto" w:fill="D6F3E8"/>
          </w:tcPr>
          <w:p>
            <w:pPr>
              <w:spacing w:after="0"/>
              <w:rPr>
                <w:sz w:val="22"/>
                <w:szCs w:val="22"/>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(2,522)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(3,025)</w:t>
            </w: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(619)</w:t>
            </w:r>
          </w:p>
        </w:tc>
      </w:tr>
      <w:tr>
        <w:trPr>
          <w:trHeight w:val="248"/>
        </w:trPr>
        <w:tc>
          <w:tcPr>
            <w:tcW w:w="84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180" w:type="dxa"/>
            <w:vAlign w:val="bottom"/>
            <w:tcBorders>
              <w:top w:val="single" w:sz="8" w:color="D6F3E8"/>
            </w:tcBorders>
          </w:tcPr>
          <w:p>
            <w:pPr>
              <w:spacing w:after="0"/>
              <w:rPr>
                <w:sz w:val="21"/>
                <w:szCs w:val="21"/>
                <w:color w:val="auto"/>
              </w:rPr>
            </w:pPr>
          </w:p>
        </w:tc>
        <w:tc>
          <w:tcPr>
            <w:tcW w:w="140" w:type="dxa"/>
            <w:vAlign w:val="bottom"/>
            <w:tcBorders>
              <w:top w:val="single" w:sz="8" w:color="D6F3E8"/>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56,406</w:t>
            </w:r>
          </w:p>
        </w:tc>
        <w:tc>
          <w:tcPr>
            <w:tcW w:w="100" w:type="dxa"/>
            <w:vAlign w:val="bottom"/>
            <w:tcBorders>
              <w:top w:val="single" w:sz="8" w:color="D6F3E8"/>
            </w:tcBorders>
          </w:tcPr>
          <w:p>
            <w:pPr>
              <w:spacing w:after="0"/>
              <w:rPr>
                <w:sz w:val="21"/>
                <w:szCs w:val="21"/>
                <w:color w:val="auto"/>
              </w:rPr>
            </w:pPr>
          </w:p>
        </w:tc>
      </w:tr>
      <w:tr>
        <w:trPr>
          <w:trHeight w:val="440"/>
        </w:trPr>
        <w:tc>
          <w:tcPr>
            <w:tcW w:w="8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Payments for purchase of common stock</w:t>
            </w:r>
          </w:p>
        </w:tc>
        <w:tc>
          <w:tcPr>
            <w:tcW w:w="1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(17,767)</w:t>
            </w: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Payments of cash dividends</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(10,509)</w:t>
            </w: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Borrowings on ARS portfolio</w:t>
            </w:r>
          </w:p>
        </w:tc>
        <w:tc>
          <w:tcPr>
            <w:tcW w:w="12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9,100</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Proceeds from issuance of treasury stock</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-2237740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-2237740</wp:posOffset>
            </wp:positionV>
            <wp:extent cx="214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ectPr>
          <w:pgSz w:w="11900" w:h="16897" w:orient="portrait"/>
          <w:cols w:equalWidth="0" w:num="1">
            <w:col w:w="11420"/>
          </w:cols>
          <w:pgMar w:left="240" w:top="14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
        </w:trPr>
        <w:tc>
          <w:tcPr>
            <w:tcW w:w="84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60" w:type="dxa"/>
            <w:vAlign w:val="bottom"/>
            <w:vMerge w:val="continue"/>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5,447</w:t>
            </w:r>
          </w:p>
        </w:tc>
        <w:tc>
          <w:tcPr>
            <w:tcW w:w="3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(27,554)</w:t>
            </w:r>
          </w:p>
        </w:tc>
        <w:tc>
          <w:tcPr>
            <w:tcW w:w="0" w:type="dxa"/>
            <w:vAlign w:val="bottom"/>
          </w:tcPr>
          <w:p>
            <w:pPr>
              <w:spacing w:after="0"/>
              <w:rPr>
                <w:sz w:val="1"/>
                <w:szCs w:val="1"/>
                <w:color w:val="auto"/>
              </w:rPr>
            </w:pPr>
          </w:p>
        </w:tc>
      </w:tr>
      <w:tr>
        <w:trPr>
          <w:trHeight w:val="438"/>
        </w:trPr>
        <w:tc>
          <w:tcPr>
            <w:tcW w:w="84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23,457</w:t>
            </w: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39,311</w:t>
            </w:r>
          </w:p>
        </w:tc>
        <w:tc>
          <w:tcPr>
            <w:tcW w:w="10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auto"/>
            </w:tcBorders>
            <w:shd w:val="clear" w:color="auto" w:fill="D6F3E8"/>
          </w:tcPr>
          <w:p>
            <w:pPr>
              <w:spacing w:after="0"/>
              <w:rPr>
                <w:sz w:val="22"/>
                <w:szCs w:val="22"/>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17,851</w:t>
            </w:r>
          </w:p>
        </w:tc>
        <w:tc>
          <w:tcPr>
            <w:tcW w:w="32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41,308</w:t>
            </w:r>
          </w:p>
        </w:tc>
        <w:tc>
          <w:tcPr>
            <w:tcW w:w="320" w:type="dxa"/>
            <w:vAlign w:val="bottom"/>
          </w:tcPr>
          <w:p>
            <w:pPr>
              <w:spacing w:after="0"/>
              <w:rPr>
                <w:sz w:val="24"/>
                <w:szCs w:val="24"/>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5"/>
          </w:tcPr>
          <w:p>
            <w:pPr>
              <w:ind w:left="86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5"/>
                <w:szCs w:val="15"/>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8"/>
              </w:rPr>
              <w:t>May 30, 2009</w:t>
            </w:r>
          </w:p>
        </w:tc>
        <w:tc>
          <w:tcPr>
            <w:tcW w:w="10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May 31, 2008</w:t>
            </w:r>
          </w:p>
        </w:tc>
        <w:tc>
          <w:tcPr>
            <w:tcW w:w="280" w:type="dxa"/>
            <w:vAlign w:val="bottom"/>
          </w:tcPr>
          <w:p>
            <w:pPr>
              <w:spacing w:after="0"/>
              <w:rPr>
                <w:sz w:val="17"/>
                <w:szCs w:val="17"/>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Units</w:t>
            </w:r>
          </w:p>
        </w:tc>
        <w:tc>
          <w:tcPr>
            <w:tcW w:w="94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14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Class A Gas</w:t>
            </w: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Borders>
              <w:right w:val="single" w:sz="8" w:color="D6F3E8"/>
            </w:tcBorders>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480"/>
              <w:spacing w:after="0"/>
              <w:rPr>
                <w:sz w:val="20"/>
                <w:szCs w:val="20"/>
                <w:color w:val="auto"/>
              </w:rPr>
            </w:pPr>
            <w:r>
              <w:rPr>
                <w:rFonts w:ascii="Arial" w:cs="Arial" w:eastAsia="Arial" w:hAnsi="Arial"/>
                <w:sz w:val="18"/>
                <w:szCs w:val="18"/>
                <w:color w:val="auto"/>
              </w:rPr>
              <w:t>Total Class A</w:t>
            </w:r>
          </w:p>
        </w:tc>
        <w:tc>
          <w:tcPr>
            <w:tcW w:w="14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D6F3E8"/>
            </w:tcBorders>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vMerge w:val="continue"/>
            <w:shd w:val="clear" w:color="auto" w:fill="D6F3E8"/>
          </w:tcPr>
          <w:p>
            <w:pPr>
              <w:spacing w:after="0"/>
              <w:rPr>
                <w:sz w:val="21"/>
                <w:szCs w:val="21"/>
                <w:color w:val="auto"/>
              </w:rPr>
            </w:pPr>
          </w:p>
        </w:tc>
        <w:tc>
          <w:tcPr>
            <w:tcW w:w="14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Borders>
              <w:right w:val="single" w:sz="8" w:color="D6F3E8"/>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Borders>
              <w:left w:val="single" w:sz="8" w:color="D6F3E8"/>
            </w:tcBorders>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8"/>
                <w:szCs w:val="18"/>
                <w:color w:val="auto"/>
              </w:rPr>
              <w:t>Class B</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Class C</w:t>
            </w: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Borders>
              <w:right w:val="single" w:sz="8" w:color="D6F3E8"/>
            </w:tcBorders>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972</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(584)</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80"/>
              <w:spacing w:after="0"/>
              <w:rPr>
                <w:sz w:val="20"/>
                <w:szCs w:val="20"/>
                <w:color w:val="auto"/>
              </w:rPr>
            </w:pPr>
            <w:r>
              <w:rPr>
                <w:rFonts w:ascii="Arial" w:cs="Arial" w:eastAsia="Arial" w:hAnsi="Arial"/>
                <w:sz w:val="18"/>
                <w:szCs w:val="18"/>
                <w:color w:val="auto"/>
              </w:rPr>
              <w:t>Total deliveries</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1,627</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6"/>
              </w:rPr>
              <w:t>39 Weeks Ended</w:t>
            </w:r>
          </w:p>
        </w:tc>
        <w:tc>
          <w:tcPr>
            <w:tcW w:w="10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40 Weeks Ended</w:t>
            </w:r>
          </w:p>
        </w:tc>
        <w:tc>
          <w:tcPr>
            <w:tcW w:w="280" w:type="dxa"/>
            <w:vAlign w:val="bottom"/>
          </w:tcPr>
          <w:p>
            <w:pPr>
              <w:spacing w:after="0"/>
              <w:rPr>
                <w:sz w:val="24"/>
                <w:szCs w:val="24"/>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8"/>
              </w:rPr>
              <w:t>May 30, 2009</w:t>
            </w:r>
          </w:p>
        </w:tc>
        <w:tc>
          <w:tcPr>
            <w:tcW w:w="10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May 31, 2008</w:t>
            </w:r>
          </w:p>
        </w:tc>
        <w:tc>
          <w:tcPr>
            <w:tcW w:w="280" w:type="dxa"/>
            <w:vAlign w:val="bottom"/>
          </w:tcPr>
          <w:p>
            <w:pPr>
              <w:spacing w:after="0"/>
              <w:rPr>
                <w:sz w:val="15"/>
                <w:szCs w:val="15"/>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Units</w:t>
            </w:r>
          </w:p>
        </w:tc>
        <w:tc>
          <w:tcPr>
            <w:tcW w:w="94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1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Class A Gas</w:t>
            </w: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356</w:t>
            </w:r>
          </w:p>
        </w:tc>
        <w:tc>
          <w:tcPr>
            <w:tcW w:w="360" w:type="dxa"/>
            <w:vAlign w:val="bottom"/>
            <w:tcBorders>
              <w:right w:val="single" w:sz="8" w:color="D6F3E8"/>
            </w:tcBorders>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1,844</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(1,488)</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9"/>
        </w:trPr>
        <w:tc>
          <w:tcPr>
            <w:tcW w:w="386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(576)</w:t>
            </w: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
        </w:trPr>
        <w:tc>
          <w:tcPr>
            <w:tcW w:w="3860" w:type="dxa"/>
            <w:vAlign w:val="bottom"/>
            <w:vMerge w:val="restart"/>
            <w:shd w:val="clear" w:color="auto" w:fill="D6F3E8"/>
          </w:tcPr>
          <w:p>
            <w:pPr>
              <w:ind w:left="480"/>
              <w:spacing w:after="0"/>
              <w:rPr>
                <w:sz w:val="20"/>
                <w:szCs w:val="20"/>
                <w:color w:val="auto"/>
              </w:rPr>
            </w:pPr>
            <w:r>
              <w:rPr>
                <w:rFonts w:ascii="Arial" w:cs="Arial" w:eastAsia="Arial" w:hAnsi="Arial"/>
                <w:sz w:val="18"/>
                <w:szCs w:val="18"/>
                <w:color w:val="auto"/>
              </w:rPr>
              <w:t>Total Class A</w:t>
            </w:r>
          </w:p>
        </w:tc>
        <w:tc>
          <w:tcPr>
            <w:tcW w:w="14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D6F3E8"/>
            </w:tcBorders>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60" w:type="dxa"/>
            <w:vAlign w:val="bottom"/>
            <w:vMerge w:val="continue"/>
            <w:shd w:val="clear" w:color="auto" w:fill="D6F3E8"/>
          </w:tcPr>
          <w:p>
            <w:pPr>
              <w:spacing w:after="0"/>
              <w:rPr>
                <w:sz w:val="22"/>
                <w:szCs w:val="22"/>
                <w:color w:val="auto"/>
              </w:rPr>
            </w:pP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581</w:t>
            </w:r>
          </w:p>
        </w:tc>
        <w:tc>
          <w:tcPr>
            <w:tcW w:w="360" w:type="dxa"/>
            <w:vAlign w:val="bottom"/>
            <w:tcBorders>
              <w:right w:val="single" w:sz="8" w:color="D6F3E8"/>
            </w:tcBorders>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2,645</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(2,064)</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9"/>
        </w:trPr>
        <w:tc>
          <w:tcPr>
            <w:tcW w:w="3860" w:type="dxa"/>
            <w:vAlign w:val="bottom"/>
          </w:tcPr>
          <w:p>
            <w:pPr>
              <w:ind w:left="160"/>
              <w:spacing w:after="0"/>
              <w:rPr>
                <w:sz w:val="20"/>
                <w:szCs w:val="20"/>
                <w:color w:val="auto"/>
              </w:rPr>
            </w:pPr>
            <w:r>
              <w:rPr>
                <w:rFonts w:ascii="Arial" w:cs="Arial" w:eastAsia="Arial" w:hAnsi="Arial"/>
                <w:sz w:val="18"/>
                <w:szCs w:val="18"/>
                <w:color w:val="auto"/>
              </w:rPr>
              <w:t>Class B</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64"/>
        </w:trPr>
        <w:tc>
          <w:tcPr>
            <w:tcW w:w="3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Class C</w:t>
            </w: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911</w:t>
            </w:r>
          </w:p>
        </w:tc>
        <w:tc>
          <w:tcPr>
            <w:tcW w:w="360" w:type="dxa"/>
            <w:vAlign w:val="bottom"/>
            <w:tcBorders>
              <w:right w:val="single" w:sz="8" w:color="D6F3E8"/>
            </w:tcBorders>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2,786</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(1,875)</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80"/>
              <w:spacing w:after="0"/>
              <w:rPr>
                <w:sz w:val="20"/>
                <w:szCs w:val="20"/>
                <w:color w:val="auto"/>
              </w:rPr>
            </w:pPr>
            <w:r>
              <w:rPr>
                <w:rFonts w:ascii="Arial" w:cs="Arial" w:eastAsia="Arial" w:hAnsi="Arial"/>
                <w:sz w:val="18"/>
                <w:szCs w:val="18"/>
                <w:color w:val="auto"/>
              </w:rPr>
              <w:t>Total deliveries</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6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5,479</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(3,888)</w:t>
            </w: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3860" w:type="dxa"/>
            <w:vAlign w:val="bottom"/>
          </w:tcPr>
          <w:p>
            <w:pPr>
              <w:spacing w:after="0"/>
              <w:rPr>
                <w:sz w:val="24"/>
                <w:szCs w:val="24"/>
                <w:color w:val="auto"/>
              </w:rPr>
            </w:pPr>
          </w:p>
        </w:tc>
        <w:tc>
          <w:tcPr>
            <w:tcW w:w="3040" w:type="dxa"/>
            <w:vAlign w:val="bottom"/>
            <w:gridSpan w:val="4"/>
          </w:tcPr>
          <w:p>
            <w:pPr>
              <w:jc w:val="center"/>
              <w:ind w:left="572"/>
              <w:spacing w:after="0"/>
              <w:rPr>
                <w:sz w:val="20"/>
                <w:szCs w:val="20"/>
                <w:color w:val="auto"/>
              </w:rPr>
            </w:pPr>
            <w:r>
              <w:rPr>
                <w:rFonts w:ascii="Arial" w:cs="Arial" w:eastAsia="Arial" w:hAnsi="Arial"/>
                <w:sz w:val="18"/>
                <w:szCs w:val="18"/>
                <w:color w:val="auto"/>
                <w:w w:val="89"/>
              </w:rPr>
              <w:t>Winnebago Industries,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620" w:type="dxa"/>
            <w:vAlign w:val="bottom"/>
            <w:gridSpan w:val="7"/>
          </w:tcPr>
          <w:p>
            <w:pPr>
              <w:jc w:val="center"/>
              <w:ind w:right="920"/>
              <w:spacing w:after="0"/>
              <w:rPr>
                <w:sz w:val="20"/>
                <w:szCs w:val="20"/>
                <w:color w:val="auto"/>
              </w:rPr>
            </w:pPr>
            <w:r>
              <w:rPr>
                <w:rFonts w:ascii="Arial" w:cs="Arial" w:eastAsia="Arial" w:hAnsi="Arial"/>
                <w:sz w:val="18"/>
                <w:szCs w:val="18"/>
                <w:color w:val="auto"/>
                <w:w w:val="89"/>
              </w:rPr>
              <w:t>Unaudited Backlog and Dealer Inventory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812"/>
              <w:spacing w:after="0"/>
              <w:rPr>
                <w:sz w:val="20"/>
                <w:szCs w:val="20"/>
                <w:color w:val="auto"/>
              </w:rPr>
            </w:pPr>
            <w:r>
              <w:rPr>
                <w:rFonts w:ascii="Arial" w:cs="Arial" w:eastAsia="Arial" w:hAnsi="Arial"/>
                <w:sz w:val="18"/>
                <w:szCs w:val="18"/>
                <w:color w:val="auto"/>
                <w:w w:val="94"/>
              </w:rPr>
              <w:t>(Units)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91"/>
              </w:rPr>
              <w:t>May 30, 2009</w:t>
            </w:r>
          </w:p>
        </w:tc>
        <w:tc>
          <w:tcPr>
            <w:tcW w:w="1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May 31, 2008</w:t>
            </w: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Units</w:t>
            </w:r>
          </w:p>
        </w:tc>
        <w:tc>
          <w:tcPr>
            <w:tcW w:w="94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rPr>
              <w:t>Sales order backlog</w:t>
            </w:r>
          </w:p>
        </w:tc>
        <w:tc>
          <w:tcPr>
            <w:tcW w:w="14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Class A Gas</w:t>
            </w: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480"/>
              <w:spacing w:after="0"/>
              <w:rPr>
                <w:sz w:val="20"/>
                <w:szCs w:val="20"/>
                <w:color w:val="auto"/>
              </w:rPr>
            </w:pPr>
            <w:r>
              <w:rPr>
                <w:rFonts w:ascii="Arial" w:cs="Arial" w:eastAsia="Arial" w:hAnsi="Arial"/>
                <w:sz w:val="18"/>
                <w:szCs w:val="18"/>
                <w:color w:val="auto"/>
              </w:rPr>
              <w:t>Total Class A</w:t>
            </w:r>
          </w:p>
        </w:tc>
        <w:tc>
          <w:tcPr>
            <w:tcW w:w="14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D6F3E8"/>
            </w:tcBorders>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vMerge w:val="continue"/>
            <w:shd w:val="clear" w:color="auto" w:fill="D6F3E8"/>
          </w:tcPr>
          <w:p>
            <w:pPr>
              <w:spacing w:after="0"/>
              <w:rPr>
                <w:sz w:val="21"/>
                <w:szCs w:val="21"/>
                <w:color w:val="auto"/>
              </w:rPr>
            </w:pPr>
          </w:p>
        </w:tc>
        <w:tc>
          <w:tcPr>
            <w:tcW w:w="14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Borders>
              <w:left w:val="single" w:sz="8" w:color="D6F3E8"/>
            </w:tcBorders>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8"/>
                <w:szCs w:val="18"/>
                <w:color w:val="auto"/>
              </w:rPr>
              <w:t>Class B</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Class C</w:t>
            </w:r>
          </w:p>
        </w:tc>
        <w:tc>
          <w:tcPr>
            <w:tcW w:w="14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515</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80"/>
              <w:spacing w:after="0"/>
              <w:rPr>
                <w:sz w:val="20"/>
                <w:szCs w:val="20"/>
                <w:color w:val="auto"/>
              </w:rPr>
            </w:pPr>
            <w:r>
              <w:rPr>
                <w:rFonts w:ascii="Arial" w:cs="Arial" w:eastAsia="Arial" w:hAnsi="Arial"/>
                <w:sz w:val="18"/>
                <w:szCs w:val="18"/>
                <w:color w:val="auto"/>
              </w:rPr>
              <w:t>Total backlog*</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D6F3E8"/>
          </w:tcPr>
          <w:p>
            <w:pPr>
              <w:spacing w:after="0"/>
              <w:rPr>
                <w:sz w:val="20"/>
                <w:szCs w:val="20"/>
                <w:color w:val="auto"/>
              </w:rPr>
            </w:pPr>
            <w:r>
              <w:rPr>
                <w:rFonts w:ascii="Arial" w:cs="Arial" w:eastAsia="Arial" w:hAnsi="Arial"/>
                <w:sz w:val="18"/>
                <w:szCs w:val="18"/>
                <w:color w:val="auto"/>
                <w:w w:val="98"/>
              </w:rPr>
              <w:t>Total approximate revenue dollars (in thousands)</w:t>
            </w:r>
          </w:p>
        </w:tc>
        <w:tc>
          <w:tcPr>
            <w:tcW w:w="15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33,556</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93,927</w:t>
            </w:r>
          </w:p>
        </w:tc>
        <w:tc>
          <w:tcPr>
            <w:tcW w:w="340" w:type="dxa"/>
            <w:vAlign w:val="bottom"/>
            <w:tcBorders>
              <w:left w:val="single" w:sz="8" w:color="D6F3E8"/>
            </w:tcBorders>
            <w:shd w:val="clear" w:color="auto" w:fill="D6F3E8"/>
          </w:tcPr>
          <w:p>
            <w:pPr>
              <w:spacing w:after="0"/>
              <w:rPr>
                <w:sz w:val="22"/>
                <w:szCs w:val="22"/>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(60,371)</w:t>
            </w:r>
          </w:p>
        </w:tc>
        <w:tc>
          <w:tcPr>
            <w:tcW w:w="32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444"/>
        </w:trPr>
        <w:tc>
          <w:tcPr>
            <w:tcW w:w="3860" w:type="dxa"/>
            <w:vAlign w:val="bottom"/>
          </w:tcPr>
          <w:p>
            <w:pPr>
              <w:spacing w:after="0"/>
              <w:rPr>
                <w:sz w:val="20"/>
                <w:szCs w:val="20"/>
                <w:color w:val="auto"/>
              </w:rPr>
            </w:pPr>
            <w:r>
              <w:rPr>
                <w:rFonts w:ascii="Arial" w:cs="Arial" w:eastAsia="Arial" w:hAnsi="Arial"/>
                <w:sz w:val="18"/>
                <w:szCs w:val="18"/>
                <w:color w:val="auto"/>
              </w:rPr>
              <w:t>Dealer inventory</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740" w:firstLine="8"/>
        <w:spacing w:after="0" w:line="370" w:lineRule="auto"/>
        <w:tabs>
          <w:tab w:leader="none" w:pos="13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2019-12-10T03:53:17Z</dcterms:created>
  <dcterms:modified xsi:type="dcterms:W3CDTF">2019-12-10T03:53:17Z</dcterms:modified>
</cp:coreProperties>
</file>