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154940</wp:posOffset>
            </wp:positionV>
            <wp:extent cx="297561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Iowa</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001-06403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42-0802678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P.O. Box 152, Forest City, Iowa</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50436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641-585-3535</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WGO</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On October 28, 2019, Winnebago Industries, Inc. (the “Company”) intends to commence a distribution of a confidential preliminary offering memorandum (the “Offering Memorandum”) to potential investors relating to a proposed private offering by the Company (the “Offering”), subject to market and other conditions, of $270.0 million in aggregate principal amount of convertible senior notes due 2025 (the “Notes”). The Company intends to grant the initial purchasers in the Offering a 30-day option to purchase up to an additional $30.0 million in aggregate principal amount of Notes. In connection with the Offering, the Company expects to enter into privately negotiated convertible note hedge and warrant transactions with one or more financial institutions, which may include one or more of the initial purchasers or their respective affiliates.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the Offering is consummated, the Company intends to use a portion of the net proceeds of the Offering to fund the cost of entering into the convertible note hedge transactions (after such cost is partially offset by the proceeds that it receives from entering into certain warrant transactions). The Company intends to use the remainder of the net proceeds from the Offering to fund the purchase price for the previously announced acquisition of Newmar Corporation (the “Newmar Acquisition”), to pay related fees and expenses related thereto and in the event that the Newmar Acquisition does not close, for general corporate purposes (which may include future acquisitions). If the initial purchasers exercise their option to purchase additional Notes, then the Company intends to use a portion of the additional net proceeds to fund the cost of entering into additional convertible note hedge transactions (after such cost is partially offset by the proceeds that it receives from entering into certain additional warrant transactions) and for general corporate purposes.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furnishing under this Item 7.01 the information included in Exhibit 99.1 (Summary Unaudited Pro Forma Condensed Consolidated Financial Information and Other Data and Unaudited Pro Forma Condensed Combined Financial Information), which information is excerpted from the Offering Memorandum related to the Offering.</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Notes will be offered and sold only to qualified institutional buyers pursuant to Rule 144A under the Securities Act of 1933, as amended (the “Securities Act”). The offer and sale of the Notes and the shares of common stock, if any, issuable upon conversion of the Notes have not been registered under the Securities Act or any state securities laws, and the Notes and such shares may not be offered or sold absent registration or an applicable exemption from, or in a transaction not subject to, the registration requirements of the Securities Act and applicable state laws.</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information furnished pursuant to Item 7.01 of this Current Report on Form 8-K (including Exhibit 99.1) is being furnished and shall not be deemed “filed” under the Securities Exchange Act of 1934, as amended (the “Exchange Act”), nor shall it be incorporated by reference into any filings under the Exchange Act or under the Securities Act, except to the extent specifically provided in any such filing. The furnishing of information pursuant to this Item 7.01 will not be deemed an admission as to the materiality of any information in this Current Report on Form 8-K that is required to be disclosed solely by Regulation FD.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October 28, 2019, the Company issued a press release pursuant to Rule 135c under the Securities Act announcing its intent to commence the Offering. In accordance with Rule 135c(d) under the Securities Act, a copy of the press release is attached as Exhibit 99.2 to this Current Report on Form 8-K and is incorporated herein by reference.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the securities described herein, nor shall there be any offer or sale of these securities in any state or jurisdiction in which such offer, solicitation or sale would be unlawful prior to registration or qualification under the securities laws of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4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8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4"/>
                <w:szCs w:val="14"/>
                <w:color w:val="auto"/>
              </w:rPr>
            </w:pPr>
          </w:p>
        </w:tc>
        <w:tc>
          <w:tcPr>
            <w:tcW w:w="9840" w:type="dxa"/>
            <w:vAlign w:val="bottom"/>
            <w:tcBorders>
              <w:top w:val="single" w:sz="8" w:color="auto"/>
            </w:tcBorders>
            <w:gridSpan w:val="4"/>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Summary Unaudited Pro Forma Condensed Consolidated Financial Information and Other Data and Unaudited Pro Forma Condensed</w:t>
              </w:r>
            </w:hyperlink>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Combined Financial Information</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280" w:type="dxa"/>
            <w:vAlign w:val="bottom"/>
          </w:tcPr>
          <w:p>
            <w:pPr>
              <w:spacing w:after="0"/>
              <w:rPr>
                <w:sz w:val="17"/>
                <w:szCs w:val="17"/>
                <w:color w:val="auto"/>
              </w:rPr>
            </w:pPr>
          </w:p>
        </w:tc>
        <w:tc>
          <w:tcPr>
            <w:tcW w:w="984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Press release, dated October 28, 2019</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Borders>
              <w:top w:val="single" w:sz="8" w:color="0000EE"/>
            </w:tcBorders>
            <w:gridSpan w:val="2"/>
          </w:tcPr>
          <w:p>
            <w:pPr>
              <w:spacing w:after="0"/>
              <w:rPr>
                <w:sz w:val="24"/>
                <w:szCs w:val="24"/>
                <w:color w:val="auto"/>
              </w:rPr>
            </w:pPr>
          </w:p>
        </w:tc>
        <w:tc>
          <w:tcPr>
            <w:tcW w:w="6960" w:type="dxa"/>
            <w:vAlign w:val="bottom"/>
          </w:tcPr>
          <w:p>
            <w:pPr>
              <w:jc w:val="right"/>
              <w:ind w:right="5259"/>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9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our proposed acquisition of Newmar Corporation, the Offering contemplated herein,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our Enterprise Resource Planning System,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WINNEBAGO INDUSTRIES, INC.</w:t>
            </w:r>
          </w:p>
        </w:tc>
        <w:tc>
          <w:tcPr>
            <w:tcW w:w="4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Arial" w:cs="Arial" w:eastAsia="Arial" w:hAnsi="Arial"/>
                <w:sz w:val="18"/>
                <w:szCs w:val="18"/>
                <w:color w:val="auto"/>
              </w:rPr>
              <w:t>Date:   October 28, 2019</w:t>
            </w:r>
          </w:p>
        </w:tc>
        <w:tc>
          <w:tcPr>
            <w:tcW w:w="2800" w:type="dxa"/>
            <w:vAlign w:val="bottom"/>
          </w:tcPr>
          <w:p>
            <w:pPr>
              <w:ind w:left="20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Stacy L. Bogart</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80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Stacy L. Bogart</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800" w:type="dxa"/>
            <w:vAlign w:val="bottom"/>
          </w:tcPr>
          <w:p>
            <w:pPr>
              <w:ind w:left="20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General Counsel and Corporate Secretary</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4</w:t>
            </w: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OTHER DATA</w:t>
      </w:r>
    </w:p>
    <w:p>
      <w:pPr>
        <w:spacing w:after="0" w:line="21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summary unaudited pro forma condensed combined financial information and other data of the Company are presented to illustrate the pro forma effects of the Transactions as described in more detail under “Unaudited Pro Forma Combined Financial Information.”</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unaudited pro forma condensed combined balance sheet as of August 31, 2019 combines the historical consolidated balance sheet of Winnebago and Newmar as of August 31, 2019, giving effect to the Transactions as if they had occurred on August 31, 2019. The unaudited pro forma combined statement of income for Fiscal 2019, combines the historical statement of income of Winnebago Fiscal 2019 and the historical statement of income of Newmar for the twelve months ended June 30, 2019 giving effect to the Transactions as if they had occurred on August 26, 2018, the first day of fiscal 2018.</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summary unaudited pro forma condensed combined financial information and other data set forth below give effect to the Newmar Acquisition and the other transactions described in “Unaudited Pro Forma Condensed Combined Financial Information,” as well as, in the case of Pro Forma Adjusted EBITDA, certain other adjustments. The Newmar Acquisition will be treated as a business combination using the acquisition method of accounting under the provisions of Accounting Standards Codification 805, “Business Combinations” (“ASC 805”).</w:t>
      </w:r>
    </w:p>
    <w:p>
      <w:pPr>
        <w:spacing w:after="0" w:line="18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summary unaudited pro forma condensed combined financial information and other data should be read in conjunction with the information included under the headings “— Summary Historical Consolidated Financial Data of Winnebago,” “— Summary Historical Consolidated Financial Data of Newmar,” “The Transactions,” “Unaudited Pro Forma Condensed Combined Financial Information,” and the historical consolidated financial statements of Winnebago and related notes and the historical consolidated financial statements of Newmar and related notes, each of which is included elsewhere in this offering memorandum or incorporated by reference herein.</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summary unaudited pro forma condensed combined financial information and other data are presented for illustrative purposes only and are not necessarily indicative of the operating results or financial position that would have occurred if the relevant transactions had been consummated on the dates indicated, nor are they indicative of future operating results. To the extent the Newmar Acquisition is not consummated, the benefits of such acquisition will not be achieved.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2019 (unaudited)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2,646,784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Non-operating income</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1,493,036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766,611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Pro Forma EBITDA(1)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231,147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Adjusted EBITDA(1)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Pro Forma 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Free Cash Flow(1)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Pro Forma Total Net Leverage Ratio(2)</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9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 w:name="page6"/>
    <w:bookmarkEnd w:id="5"/>
    <w:p>
      <w:pPr>
        <w:ind w:left="660" w:right="40" w:hanging="652"/>
        <w:spacing w:after="0" w:line="269" w:lineRule="auto"/>
        <w:tabs>
          <w:tab w:leader="none" w:pos="667" w:val="left"/>
        </w:tabs>
        <w:numPr>
          <w:ilvl w:val="0"/>
          <w:numId w:val="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t>Pro Forma EBITDA, Pro Forma Adjusted EBITDA and Pro Forma Free Cash Flow are non-GAAP financial measures. Pro Forma EBITDA is derived from the unaudited pro forma financial information contained elsewhere in this offering memorandum or incorporated by reference herein. See “— Summary Historical Consolidated Financial Data of Winnebago,” “— Summary Historical Consolidated Financial Data of Newmar,” and “Unaudited Pro Forma Condensed Combined Financial Information.” Pro Forma Adjusted EBITDA and Pro Forma Free Cash Flow are also derived from the unaudited pro forma financial information contained elsewhere in this offering memorandum or incorporated by reference herein. We have included these non-GAAP performance measures as comparable measures to illustrate the effect of non-recurring transactions occurring during the year and improve comparability of our results from period to period. Pro Forma EBITDA, Pro Forma Adjusted EBITDA and Pro Forma Free Cash Flow are calculated by giving pro forma effect to the Transactions as if they had occurred at the beginning of the fiscal year. Pro Forma EBITDA, Pro Forma Adjusted EBITDA and Pro Forma Free Cash Flow are not the mathematical addition of Winnebago’s and Newmar’s EBITDA, Adjusted EBITDA and Free Cash Flow, respectively. See “Non-GAAP Financial Measures” for a discussion of the reasons why management believes Pro Forma EBITDA, Pro Forma Adjusted EBITDA and Pro Forma Free Cash Flow are useful in evaluating our business and also for a discussion of the analytical limitations of these measures.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pro forma net income to Pro Forma Adjusted EBITDA and Pro Forma Free Cash Flow for the period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99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32,553</w:t>
            </w:r>
          </w:p>
        </w:tc>
        <w:tc>
          <w:tcPr>
            <w:tcW w:w="0" w:type="dxa"/>
            <w:vAlign w:val="bottom"/>
          </w:tcPr>
          <w:p>
            <w:pPr>
              <w:spacing w:after="0"/>
              <w:rPr>
                <w:sz w:val="1"/>
                <w:szCs w:val="1"/>
                <w:color w:val="auto"/>
              </w:rPr>
            </w:pPr>
          </w:p>
        </w:tc>
      </w:tr>
      <w:tr>
        <w:trPr>
          <w:trHeight w:val="216"/>
        </w:trPr>
        <w:tc>
          <w:tcPr>
            <w:tcW w:w="99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EBITDA</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200"/>
              <w:spacing w:after="0"/>
              <w:rPr>
                <w:sz w:val="20"/>
                <w:szCs w:val="20"/>
                <w:color w:val="auto"/>
              </w:rPr>
            </w:pPr>
            <w:r>
              <w:rPr>
                <w:rFonts w:ascii="Arial" w:cs="Arial" w:eastAsia="Arial" w:hAnsi="Arial"/>
                <w:sz w:val="18"/>
                <w:szCs w:val="18"/>
                <w:color w:val="auto"/>
              </w:rPr>
              <w:t>Certain non-recurring expenses</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expense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56"/>
        </w:trPr>
        <w:tc>
          <w:tcPr>
            <w:tcW w:w="9960" w:type="dxa"/>
            <w:vAlign w:val="bottom"/>
            <w:gridSpan w:val="2"/>
          </w:tcPr>
          <w:p>
            <w:pPr>
              <w:ind w:left="200"/>
              <w:spacing w:after="0"/>
              <w:rPr>
                <w:sz w:val="20"/>
                <w:szCs w:val="20"/>
                <w:color w:val="auto"/>
              </w:rPr>
            </w:pPr>
            <w:r>
              <w:rPr>
                <w:rFonts w:ascii="Arial" w:cs="Arial" w:eastAsia="Arial" w:hAnsi="Arial"/>
                <w:sz w:val="18"/>
                <w:szCs w:val="18"/>
                <w:color w:val="auto"/>
              </w:rPr>
              <w:t>Non-operating income</w:t>
            </w:r>
          </w:p>
        </w:tc>
        <w:tc>
          <w:tcPr>
            <w:tcW w:w="30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197"/>
        </w:trPr>
        <w:tc>
          <w:tcPr>
            <w:tcW w:w="99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Pro Forma Adjusted EBITDA</w:t>
            </w: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233,618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200"/>
              <w:spacing w:after="0"/>
              <w:rPr>
                <w:sz w:val="20"/>
                <w:szCs w:val="20"/>
                <w:color w:val="auto"/>
              </w:rPr>
            </w:pPr>
            <w:r>
              <w:rPr>
                <w:rFonts w:ascii="Arial" w:cs="Arial" w:eastAsia="Arial" w:hAnsi="Arial"/>
                <w:sz w:val="18"/>
                <w:szCs w:val="18"/>
                <w:color w:val="auto"/>
              </w:rPr>
              <w:t>Pro Forma Capital Expenditures</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44,246</w:t>
            </w: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Free Cash Flow</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Total Net Leverage Ratio means pro forma total net debt divided by Pro Forma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SUMMARY HISTORICAL CONSOLIDATED FINANCIAL DATA OF NEWMAR</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table sets forth summary historical consolidated financial data for Newmar as of and for each of the periods indicated. The summary historical consolidated statement of income and cash flow data for the year ended December 31, 2018 and the summary historical consolidated balance sheet data as of December 31, 2018 presented below have been derived from Newmar’s audited consolidated financial statements included elsewhere in this offering memorandum.</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summary historical consolidated statement of income data for the six months ended June 30, 2018 and 2019, and the summary historical consolidated balance sheet data as of June 30, 2018 and 2019 also presented below has been derived from Newmar’s unaudited consolidated financial statements included elsewhere in this offering memorandum. Newmar has prepared its unaudited consolidated financial statements on the same basis as its audited consolidated financial statements and have included all adjustments, consisting only of normal recurring adjustments that, in its opinion, are necessary to fairly state the financial information set forth in those statements.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the summary unaudited historical consolidated financial data for the twelve months ended June 30, 2019 were calculated by subtracting the summary unaudited consolidated historical financial information for the six months ended June 30, 2018 from the summary audited consolidated historical financial information for the year ended December 31, 2018, and then adding the summary unaudited consolidated historical financial information for the six months ended June 30, 2019. Results for the twelve-month period ended June 30, 2019 are not necessarily indicative of the results that may be expected for any period.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information is only a summary. The historical results presented below are not necessarily indicative of the results to be expected for any future period. You should read the following summary information in conjunction with Newmar’s audited consolidated financial statements and the related notes included elsewhere in this offering memorandum.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Twelve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98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4"/>
              </w:rPr>
              <w:t>(audited)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Sales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618,913</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287,825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330,022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661,110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541,325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251,508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289,957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579,774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left="613"/>
              <w:spacing w:after="0"/>
              <w:rPr>
                <w:sz w:val="20"/>
                <w:szCs w:val="20"/>
                <w:color w:val="auto"/>
              </w:rPr>
            </w:pPr>
            <w:r>
              <w:rPr>
                <w:rFonts w:ascii="Arial" w:cs="Arial" w:eastAsia="Arial" w:hAnsi="Arial"/>
                <w:sz w:val="18"/>
                <w:szCs w:val="18"/>
                <w:color w:val="auto"/>
                <w:w w:val="87"/>
              </w:rPr>
              <w:t>77,588</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40,065</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7"/>
              </w:rPr>
              <w:t>35,929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20,754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left="613"/>
              <w:spacing w:after="0"/>
              <w:rPr>
                <w:sz w:val="20"/>
                <w:szCs w:val="20"/>
                <w:color w:val="auto"/>
              </w:rPr>
            </w:pPr>
            <w:r>
              <w:rPr>
                <w:rFonts w:ascii="Arial" w:cs="Arial" w:eastAsia="Arial" w:hAnsi="Arial"/>
                <w:sz w:val="18"/>
                <w:szCs w:val="18"/>
                <w:color w:val="auto"/>
                <w:w w:val="87"/>
              </w:rPr>
              <w:t>41,659</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center"/>
              <w:ind w:left="613"/>
              <w:spacing w:after="0"/>
              <w:rPr>
                <w:sz w:val="20"/>
                <w:szCs w:val="20"/>
                <w:color w:val="auto"/>
              </w:rPr>
            </w:pPr>
            <w:r>
              <w:rPr>
                <w:rFonts w:ascii="Arial" w:cs="Arial" w:eastAsia="Arial" w:hAnsi="Arial"/>
                <w:sz w:val="18"/>
                <w:szCs w:val="18"/>
                <w:b w:val="1"/>
                <w:bCs w:val="1"/>
                <w:color w:val="auto"/>
                <w:w w:val="87"/>
              </w:rPr>
              <w:t>41,192</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18,786</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42,780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3,682</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4,328</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5,753</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125,599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Line of credit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left="613"/>
              <w:spacing w:after="0"/>
              <w:rPr>
                <w:sz w:val="20"/>
                <w:szCs w:val="20"/>
                <w:color w:val="auto"/>
              </w:rPr>
            </w:pPr>
            <w:r>
              <w:rPr>
                <w:rFonts w:ascii="Arial" w:cs="Arial" w:eastAsia="Arial" w:hAnsi="Arial"/>
                <w:sz w:val="18"/>
                <w:szCs w:val="18"/>
                <w:color w:val="auto"/>
                <w:w w:val="87"/>
              </w:rPr>
              <w:t>11,000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and redeemable common stock</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7"/>
              </w:rPr>
              <w:t>70,994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76,756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7"/>
              </w:rPr>
              <w:t>26,338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19,260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9"/>
              </w:rPr>
              <w:t>(21,361)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Non-GAAP Financial Data:</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7"/>
              </w:rPr>
              <w:t>43,803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18,281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Adjusted EBITDA(1)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left="313"/>
              <w:spacing w:after="0"/>
              <w:rPr>
                <w:sz w:val="20"/>
                <w:szCs w:val="20"/>
                <w:color w:val="auto"/>
              </w:rPr>
            </w:pPr>
            <w:r>
              <w:rPr>
                <w:rFonts w:ascii="Arial" w:cs="Arial" w:eastAsia="Arial" w:hAnsi="Arial"/>
                <w:sz w:val="18"/>
                <w:szCs w:val="18"/>
                <w:color w:val="auto"/>
                <w:w w:val="87"/>
              </w:rPr>
              <w:t>46,771</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21,382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49,616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59"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and Adjusted EBITDA are non-GAAP financial measures. These non-GAAP financial measures, which are not calculated or presented in accordance with GAAP, have been provided as supplemental information and in addition to the financial measures presented in accordance with GAAP. Such non-GAAP financial measures should not be considered superior to, as a substitute for, or as an alternative to, and should be considered in conjunction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660" w:right="200"/>
        <w:spacing w:after="0" w:line="264" w:lineRule="auto"/>
        <w:rPr>
          <w:sz w:val="20"/>
          <w:szCs w:val="20"/>
          <w:color w:val="auto"/>
        </w:rPr>
      </w:pPr>
      <w:r>
        <w:rPr>
          <w:rFonts w:ascii="Arial" w:cs="Arial" w:eastAsia="Arial" w:hAnsi="Arial"/>
          <w:sz w:val="18"/>
          <w:szCs w:val="18"/>
          <w:color w:val="auto"/>
        </w:rPr>
        <w:t>with, the GAAP financial measures presented herein. The non-GAAP financial measures presented may differ from similar measures used by other companies. See “Non-GAAP Financial Measures” for a discussion of the reasons why management believes EBITDA and Adjusted EBITDA are useful in evaluating our business and also for a discussion of the analytical limitations of these measures.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net income to consolidated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Twelve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2"/>
                <w:szCs w:val="12"/>
                <w:color w:val="auto"/>
              </w:rPr>
            </w:pPr>
          </w:p>
        </w:tc>
        <w:tc>
          <w:tcPr>
            <w:tcW w:w="244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50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tcPr>
          <w:p>
            <w:pPr>
              <w:ind w:left="980"/>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ind w:left="457"/>
              <w:spacing w:after="0" w:line="142"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17,197</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Certain non-recurring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2,968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9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September 15, 2019, Winnebago Industries, Inc. (the “Company” or “Winnebago”), through its wholly owned subsidiary Octavius Corporation, entered into a Stock Purchase Agreement (the “Purchase Agreement”) by and among the Company, Newmar Corporation (“Newmar Corporation”), Dutch Real Estate Corp. (“Dutch”), New-Way Transport Corp. (“New-Way Transport”), and New-Serv, Inc. (“New-Serv”) (Newmar Corporation, Dutch, New-Way Transport, New-Serv, and Newmar Risk Management, as defined below, collectively “Newmar Acquired Companies”), the shareholders of Newmar Corporation, Dutch, New-Way Transport and New-Serv (the “Sellers”), and the sellers agent, regarding the proposed acquisition of the Newmar Acquired Companies by Winnebago (the “Transaction”).</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Newmar Corporation owns all of the issued and outstanding Capital Stock of Newmar Risk Management, Inc. (“Newmar Risk Management”) and Newmar Corporation International (“Newmar International”) (together, “Newmar Corporation and Subsidiaries”). Dutch, New-Way Transport, and New-Serv are related entities of Newmar Corporation (“Newmar Related Entities”).</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Purchase Agreement provides that Winnebago will acquire all of the equity interests of the Newmar Acquired Companies. Following the Transaction, each of the Newmar Acquired Companies will be an indirect wholly-owned subsidiary of Winnebago.</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Subject to the terms and conditions of the Purchase Agreement, as consideration for the acquisition of the Newmar Acquired Companies, Winnebago will, at the close of the Transaction, (i) pay in cash to the Sellers $270.0 million, subject to an upward adjustment (the “Base Cash Amount”) and (ii) transfer to the Sellers an aggregate of 2,000,000 shares of common stock of Winnebago, par value $0.50 per share, valued at a price per share based on the volume weighted average share price of Winnebago of the 5 trailing business days prior to the closing date of the Transaction (the “Closing Stock Consideration”). If the aggregate value of the Closing Stock Consideration is not sufficient for the sum of the Base Cash Amount and the aggregate value of the Closing Stock Consideration to equal at least $330.0 million at the closing, then the amount of cash included in the Base Cash Amount shall be increased so that the sum of the Base Cash Amount and the Closing Stock Consideration is equal to $330.0 million. The Purchase Agreement also calls for a floor to Winnebago stock price of $20 per share, at which point Winnebago has a right to terminate the Transaction.</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unaudited pro forma condensed combined financial information is presented to illustrate the estimated effects of the Transaction and the other activities contemplated by the Purchase Agreement based on the historical financial position and results of operations of Winnebago and Newmar Corporation and Subsidiaries. In addition, the unaudited pro forma condensed combined financial information gives pro forma effect to the issuance of $300.0 million in aggregate principal amount of convertible notes in a private placement (the “Offering”), including the issuance of up to $30.0 million of additional convertible notes pursuant to the initial purchaser’s option to purchase additional convertible notes, and the use of the net proceeds from the Offering to fund the cost of entering into the convertible note hedge transactions (after such cost is partially offset by the proceeds that Winnebago receives from entering into certain warrant transactions), to fund the aggregate cash consideration paid in the Transaction, and to pay related fees and expenses. The unaudited pro forma condensed combined financial information gives effect to the Transaction and the Offering as if they had been completed on August 31, 2019, for balance sheet purposes and August 26, 2018, for statement of income purposes.</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closing of the Offering and issuance of the convertible notes is not conditioned on consummation of the Transaction. While the Company intends to use a substantial majority of the net proceeds from the issuance of the convertible notes to fund the Transaction, to pay fees and expenses related thereto and for general corporate purposes, once issued the convertible notes will remain outstanding whether or not the Transaction is consummated. In addition, the Company may issue less than $300.0 million aggregate principal amount of convertible notes in the Offering, as the Company has no control over the initial purchasers’ exercise of their option to purchase additional convertible notes. See “Use of Proceeds”, “Capitalization” and “Risk Factors — Our management may spend the proceeds of this offering in ways with which you may disagree or that may not be profitable.” The fiscal year end of Newmar Acquired Companies, which is December 31, has been conformed to the fiscal year end of Winnebago, which is the last Saturday in August, for the purpose of presenting the unaudited pro forma condensed combined financial statements, pursuant to Rule 11-02(c) (3) of Regulation S-X, because the fiscal year ends differed by more than 93 days.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financial information is presented as follows:</w:t>
      </w:r>
    </w:p>
    <w:p>
      <w:pPr>
        <w:spacing w:after="0" w:line="225" w:lineRule="exact"/>
        <w:rPr>
          <w:sz w:val="20"/>
          <w:szCs w:val="20"/>
          <w:color w:val="auto"/>
        </w:rPr>
      </w:pPr>
    </w:p>
    <w:p>
      <w:pPr>
        <w:jc w:val="both"/>
        <w:ind w:left="980" w:right="42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unaudited pro forma condensed combined balance sheet as of August 31, 2019, prepared based on (i) the historical audited consolidated balance sheet of Winnebago as of August 31, 2019 and (ii) the historical unaudited consolidated balance sheet of Newmar Corporation and Subsidiaries as of June 30,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left="980" w:right="460" w:hanging="324"/>
        <w:spacing w:after="0" w:line="31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unaudited pro forma condensed combined statement of income for the year ended August 31, 2019 prepared based on (i) the historical audited consolidated statement of income of Winnebago for the year ended August 31, 2019 and (ii) the historical unaudited consolidated statement of income of Newmar Corporation and Subsidiaries for the trailing twelve months ended June 30, 2019 (see Note 2).</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unaudited pro forma condensed combined financial information was derived from and should be read in conjunction with the separate</w:t>
      </w:r>
    </w:p>
    <w:p>
      <w:pPr>
        <w:spacing w:after="0" w:line="23" w:lineRule="exact"/>
        <w:rPr>
          <w:sz w:val="20"/>
          <w:szCs w:val="20"/>
          <w:color w:val="auto"/>
        </w:rPr>
      </w:pPr>
    </w:p>
    <w:p>
      <w:pPr>
        <w:ind w:right="140"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audited consolidated financial statements and accompanying notes of Winnebago as of and for the year ended August 31, 2019 included in Winnebago’s Annual Report on Form 10-K that Winnebago filed with the SEC on October 23, 2019, (ii) Newmar Corporation and Subsidiaries’ unaudited consolidated financial statements as of and for the six months ended June 30, 2019 and 2018, and (iii) Newmar Corporation and Subsidiaries’ audited consolidated financial statements as of and for the year ended December 31, 2018.</w:t>
      </w:r>
    </w:p>
    <w:p>
      <w:pPr>
        <w:spacing w:after="0" w:line="19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pro forma adjustments presented in the unaudited pro forma condensed combined financial statements also include adjustments for the pro forma impact of the Newmar Related Entities, which are not included in the historical Newmar Corporation and Subsidiaries’ financial statements (see Notes 6A and 7A). As part of the Transaction, the Company acquired three related entities (Newmar Related Entities) that are not included in the audited financial statements of Newmar Corporation and Subsidiaries, but which provided services to the entities reflected in the consolidated financial statements. The assets and operations of Newmar Related Entities were not material to the Company or the overall acquisition. The assets of these entities are primarily related to real estate associated with Newmar Corporation’s manufacturing facilities. The majority of the activities of these entities would have been eliminated in consolidation had these entities been included in financial statements of Newmar Corporation on a combined basis. These entities are reflected in the pro forma financial statements and the assets have been fair valued in arriving at the pro forma balance sheet and income statements. Newmar Related Entities account for less than two percent of the assets and operations of the combined total Company post-acquisition and are not material to the pro forma information or the ongoing financial position or operations of the Company.</w:t>
      </w:r>
    </w:p>
    <w:p>
      <w:pPr>
        <w:spacing w:after="0" w:line="17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Transaction will be accounted for using the acquisition method of accounting in accordance with Accounting Standards Codification (“ASC”) 805, “Business Combinations,” (“ASC 805”) with Winnebago being designated as the accounting acquirer of Newmar Acquired Companies. The unaudited pro forma condensed combined financial information set forth below primarily gives effect to the following:</w:t>
      </w:r>
    </w:p>
    <w:p>
      <w:pPr>
        <w:spacing w:after="0" w:line="166"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alignment of accounting policies and financial statement classifications of Newmar Acquired Companies to those of Winnebago;</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Transaction; and</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debt financing in an aggregate principal amount of $300 million (including additional convertible notes issued pursuant to the initial purchasers’ option) in connection with the Transaction.</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unaudited pro forma condensed combined financial information has been presented for informational purposes only and is not necessarily indicative of what the combined company’s financial position or results of operations actually would have been had the Transaction and the Offering been completed as of the dates indicated. In addition, the unaudited pro forma condensed combined financial information does not purport to project the future financial position or operating results of the combined company. The accompanying unaudited pro forma condensed combined statement of income does not include any pro forma adjustments to reflect certain expected financial benefits of the Transaction, such as tax savings, cost synergies, revenue synergies or restructuring actions which may be achievable, the anticipated costs to achieve these benefits, including the cost of integration activities, or the impact of any non-recurring activity and one-time transaction related costs.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existing United States generally accepted accounting principles (“U.S. GAAP”), which are subject to change. Winnebago will be deemed the acquirer for accounting purposes and Newmar Acquired Companies will be treated as the acquiree, based on a number of factors considered at the time of preparation, such as the legal form of the Transaction, relative size (assets, revenues, or earnings), terms of the exchange, relative voting rights in the combined company after the business combination, etc. The acquisition accounting is dependent upon certain valuations and other studies that have yet to progress to a stage where there is sufficient information for a definitive measurement. Winnebago intends to complete the valuations and other studies upon completion of the Transaction and will finalize the purchase price allocation as soon as practicable within the measurement period, but in no event later than one year following the closing date of the Transaction. The assets and liabilities of Newmar Acquired Companies have been measured based on various preliminary estimates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 w:name="page11"/>
    <w:bookmarkEnd w:id="10"/>
    <w:p>
      <w:pPr>
        <w:ind w:right="100"/>
        <w:spacing w:after="0" w:line="257" w:lineRule="auto"/>
        <w:rPr>
          <w:sz w:val="20"/>
          <w:szCs w:val="20"/>
          <w:color w:val="auto"/>
        </w:rPr>
      </w:pPr>
      <w:r>
        <w:rPr>
          <w:rFonts w:ascii="Arial" w:cs="Arial" w:eastAsia="Arial" w:hAnsi="Arial"/>
          <w:sz w:val="18"/>
          <w:szCs w:val="18"/>
          <w:color w:val="auto"/>
        </w:rPr>
        <w:t>assumptions that Winnebago believes are reasonable, based on information that is currently available. Accordingly, the valuations are preliminary and have been made solely for the purpose of providing pro forma condensed combined financial information prepared in accordance with the rules and regulations of the U.S. Securities and Exchange Commission (“SEC”). Differences between these preliminary estimates and the final acquisition accounting will occur, and these differences could have a material impact on the accompanying unaudited pro forma condensed combined financial information and the combined company’s future results of operations and financial position.</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compiled in a manner consistent with the accounting policies adopted by Winnebago in all material aspects. Upon completion of the Transaction, Winnebago will perform a detailed review of Newmar Acquired Companies’ accounting policies. As a result of that review, Winnebago may identify additional differences between the accounting policies of the two companies that, when conformed, could have an impact on the financial statements of the combined company.</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Additionally, certain financial information of Newmar Corporation and Subsidiaries as presented in its historical financial statements has been reclassified to conform to the historical presentation in Winnebago’s financial statements for purposes of preparation of the unaudited pro forma condensed combined financial information (see Note 8). There were no transactions between Winnebago and the Newmar Acquired Companies during the period presented in the unaudited pro forma condensed combined financial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(Note 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Newmar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Winnebago</w:t>
            </w: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Industries, Inc.</w:t>
            </w: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Adjustments</w:t>
            </w:r>
          </w:p>
        </w:tc>
        <w:tc>
          <w:tcPr>
            <w:tcW w:w="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6A,6B</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254,000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6B</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(280,869)</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6B</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Receivables, less allowance for doubtful accounts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158,049</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42,166</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200,164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201,126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275,457</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17,044</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410,657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(33,029)</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15,155</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164,920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274,931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83,387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256,082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175,500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6F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431,582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life insurance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26,846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26,846</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8,143</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81,635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17,424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6A</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98,977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20,328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28,037</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Arial" w:cs="Arial" w:eastAsia="Arial" w:hAnsi="Arial"/>
                <w:sz w:val="18"/>
                <w:szCs w:val="18"/>
                <w:color w:val="auto"/>
              </w:rPr>
              <w:t>Product warranties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44,436</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60,296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Self-insurance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Arial" w:cs="Arial" w:eastAsia="Arial" w:hAnsi="Arial"/>
                <w:sz w:val="18"/>
                <w:szCs w:val="18"/>
                <w:color w:val="auto"/>
              </w:rPr>
              <w:t>Promotional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44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13,678</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197,744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245,402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11,690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(11,690)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6G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442,650</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12,032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5,084</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6H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17,116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tax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w w:val="97"/>
              </w:rPr>
              <w:t>Deferred compensation benefits, net of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12,878</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274,275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190,642</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Contingent liabilities and commitments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Redeemable 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123,740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(123,740)</w:t>
            </w:r>
          </w:p>
        </w:tc>
        <w:tc>
          <w:tcPr>
            <w:tcW w:w="920" w:type="dxa"/>
            <w:vAlign w:val="bottom"/>
          </w:tcPr>
          <w:p>
            <w:pPr>
              <w:jc w:val="center"/>
              <w:spacing w:after="0"/>
              <w:rPr>
                <w:sz w:val="20"/>
                <w:szCs w:val="20"/>
                <w:color w:val="auto"/>
              </w:rPr>
            </w:pPr>
            <w:r>
              <w:rPr>
                <w:rFonts w:ascii="Arial" w:cs="Arial" w:eastAsia="Arial" w:hAnsi="Arial"/>
                <w:sz w:val="18"/>
                <w:szCs w:val="18"/>
                <w:color w:val="auto"/>
              </w:rPr>
              <w:t>6I</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Preferred stock, par value $0.01: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Authorized-10,000 shares; Issued-none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Common stock, par value $0.50: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Authorized-60,000 shares; Issued-51,776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6J</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26,888</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91,185</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144,260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6J</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235,453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866,886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(46,992)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36,123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6J</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856,017</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20,262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(351,256)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(351,256)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632,212</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181,383</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1,104,231</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140,595</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248,210</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August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Winnebago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(Note 8) Newmar</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Corporation and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3"/>
            <w:vMerge w:val="restart"/>
          </w:tcPr>
          <w:p>
            <w:pPr>
              <w:jc w:val="right"/>
              <w:ind w:right="685"/>
              <w:spacing w:after="0"/>
              <w:rPr>
                <w:sz w:val="20"/>
                <w:szCs w:val="20"/>
                <w:color w:val="auto"/>
              </w:rPr>
            </w:pPr>
            <w:r>
              <w:rPr>
                <w:rFonts w:ascii="Arial" w:cs="Arial" w:eastAsia="Arial" w:hAnsi="Arial"/>
                <w:sz w:val="14"/>
                <w:szCs w:val="14"/>
                <w:b w:val="1"/>
                <w:bCs w:val="1"/>
                <w:color w:val="auto"/>
              </w:rPr>
              <w:t>Note</w:t>
            </w: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Industries, Inc.</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Adjustments</w:t>
            </w:r>
          </w:p>
        </w:tc>
        <w:tc>
          <w:tcPr>
            <w:tcW w:w="1360" w:type="dxa"/>
            <w:vAlign w:val="bottom"/>
            <w:gridSpan w:val="3"/>
            <w:vMerge w:val="continue"/>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Combined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1,985,674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2,646,784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1,678,477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579,774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360" w:type="dxa"/>
            <w:vAlign w:val="bottom"/>
            <w:gridSpan w:val="3"/>
          </w:tcPr>
          <w:p>
            <w:pPr>
              <w:jc w:val="center"/>
              <w:ind w:right="345"/>
              <w:spacing w:after="0"/>
              <w:rPr>
                <w:sz w:val="20"/>
                <w:szCs w:val="20"/>
                <w:color w:val="auto"/>
              </w:rPr>
            </w:pPr>
            <w:r>
              <w:rPr>
                <w:rFonts w:ascii="Arial" w:cs="Arial" w:eastAsia="Arial" w:hAnsi="Arial"/>
                <w:sz w:val="18"/>
                <w:szCs w:val="18"/>
                <w:color w:val="auto"/>
                <w:w w:val="99"/>
              </w:rPr>
              <w:t>7A</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360" w:type="dxa"/>
            <w:vAlign w:val="bottom"/>
            <w:gridSpan w:val="3"/>
            <w:shd w:val="clear" w:color="auto" w:fill="CCEEFF"/>
          </w:tcPr>
          <w:p>
            <w:pPr>
              <w:jc w:val="center"/>
              <w:ind w:right="365"/>
              <w:spacing w:after="0"/>
              <w:rPr>
                <w:sz w:val="20"/>
                <w:szCs w:val="20"/>
                <w:color w:val="auto"/>
              </w:rPr>
            </w:pPr>
            <w:r>
              <w:rPr>
                <w:rFonts w:ascii="Arial" w:cs="Arial" w:eastAsia="Arial" w:hAnsi="Arial"/>
                <w:sz w:val="18"/>
                <w:szCs w:val="18"/>
                <w:color w:val="auto"/>
                <w:w w:val="90"/>
              </w:rPr>
              <w:t>7B</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307,197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81,336</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7A</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360" w:type="dxa"/>
            <w:vAlign w:val="bottom"/>
            <w:gridSpan w:val="3"/>
          </w:tcPr>
          <w:p>
            <w:pPr>
              <w:jc w:val="center"/>
              <w:ind w:right="365"/>
              <w:spacing w:after="0"/>
              <w:rPr>
                <w:sz w:val="20"/>
                <w:szCs w:val="20"/>
                <w:color w:val="auto"/>
              </w:rPr>
            </w:pPr>
            <w:r>
              <w:rPr>
                <w:rFonts w:ascii="Arial" w:cs="Arial" w:eastAsia="Arial" w:hAnsi="Arial"/>
                <w:sz w:val="18"/>
                <w:szCs w:val="18"/>
                <w:color w:val="auto"/>
                <w:w w:val="90"/>
              </w:rPr>
              <w:t>7B</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1360" w:type="dxa"/>
            <w:vAlign w:val="bottom"/>
            <w:gridSpan w:val="3"/>
            <w:shd w:val="clear" w:color="auto" w:fill="CCEEFF"/>
          </w:tcPr>
          <w:p>
            <w:pPr>
              <w:jc w:val="center"/>
              <w:ind w:right="365"/>
              <w:spacing w:after="0"/>
              <w:rPr>
                <w:sz w:val="20"/>
                <w:szCs w:val="20"/>
                <w:color w:val="auto"/>
              </w:rPr>
            </w:pPr>
            <w:r>
              <w:rPr>
                <w:rFonts w:ascii="Arial" w:cs="Arial" w:eastAsia="Arial" w:hAnsi="Arial"/>
                <w:sz w:val="18"/>
                <w:szCs w:val="18"/>
                <w:color w:val="auto"/>
                <w:w w:val="86"/>
              </w:rPr>
              <w:t>7C</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5,533</w:t>
            </w:r>
          </w:p>
        </w:tc>
        <w:tc>
          <w:tcPr>
            <w:tcW w:w="280" w:type="dxa"/>
            <w:vAlign w:val="bottom"/>
          </w:tcPr>
          <w:p>
            <w:pPr>
              <w:spacing w:after="0"/>
              <w:rPr>
                <w:sz w:val="18"/>
                <w:szCs w:val="18"/>
                <w:color w:val="auto"/>
              </w:rPr>
            </w:pPr>
          </w:p>
        </w:tc>
        <w:tc>
          <w:tcPr>
            <w:tcW w:w="1360" w:type="dxa"/>
            <w:vAlign w:val="bottom"/>
            <w:gridSpan w:val="3"/>
          </w:tcPr>
          <w:p>
            <w:pPr>
              <w:jc w:val="center"/>
              <w:ind w:right="345"/>
              <w:spacing w:after="0"/>
              <w:rPr>
                <w:sz w:val="20"/>
                <w:szCs w:val="20"/>
                <w:color w:val="auto"/>
              </w:rPr>
            </w:pPr>
            <w:r>
              <w:rPr>
                <w:rFonts w:ascii="Arial" w:cs="Arial" w:eastAsia="Arial" w:hAnsi="Arial"/>
                <w:sz w:val="18"/>
                <w:szCs w:val="18"/>
                <w:color w:val="auto"/>
                <w:w w:val="95"/>
              </w:rPr>
              <w:t>7D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20,134</w:t>
            </w:r>
          </w:p>
        </w:tc>
        <w:tc>
          <w:tcPr>
            <w:tcW w:w="1360" w:type="dxa"/>
            <w:vAlign w:val="bottom"/>
            <w:gridSpan w:val="3"/>
            <w:shd w:val="clear" w:color="auto" w:fill="CCEEFF"/>
          </w:tcPr>
          <w:p>
            <w:pPr>
              <w:jc w:val="center"/>
              <w:ind w:right="365"/>
              <w:spacing w:after="0"/>
              <w:rPr>
                <w:sz w:val="20"/>
                <w:szCs w:val="20"/>
                <w:color w:val="auto"/>
              </w:rPr>
            </w:pPr>
            <w:r>
              <w:rPr>
                <w:rFonts w:ascii="Arial" w:cs="Arial" w:eastAsia="Arial" w:hAnsi="Arial"/>
                <w:sz w:val="18"/>
                <w:szCs w:val="18"/>
                <w:color w:val="auto"/>
                <w:w w:val="90"/>
              </w:rPr>
              <w:t>7E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(21,304)</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4,702</w:t>
            </w:r>
          </w:p>
        </w:tc>
        <w:tc>
          <w:tcPr>
            <w:tcW w:w="280" w:type="dxa"/>
            <w:vAlign w:val="bottom"/>
          </w:tcPr>
          <w:p>
            <w:pPr>
              <w:spacing w:after="0"/>
              <w:rPr>
                <w:sz w:val="18"/>
                <w:szCs w:val="18"/>
                <w:color w:val="auto"/>
              </w:rPr>
            </w:pPr>
          </w:p>
        </w:tc>
        <w:tc>
          <w:tcPr>
            <w:tcW w:w="1360" w:type="dxa"/>
            <w:vAlign w:val="bottom"/>
            <w:gridSpan w:val="3"/>
          </w:tcPr>
          <w:p>
            <w:pPr>
              <w:jc w:val="center"/>
              <w:ind w:right="365"/>
              <w:spacing w:after="0"/>
              <w:rPr>
                <w:sz w:val="20"/>
                <w:szCs w:val="20"/>
                <w:color w:val="auto"/>
              </w:rPr>
            </w:pPr>
            <w:r>
              <w:rPr>
                <w:rFonts w:ascii="Arial" w:cs="Arial" w:eastAsia="Arial" w:hAnsi="Arial"/>
                <w:sz w:val="18"/>
                <w:szCs w:val="18"/>
                <w:color w:val="auto"/>
                <w:w w:val="94"/>
              </w:rPr>
              <w:t>7F</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Income per common share:</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1360" w:type="dxa"/>
            <w:vAlign w:val="bottom"/>
            <w:gridSpan w:val="3"/>
          </w:tcPr>
          <w:p>
            <w:pPr>
              <w:jc w:val="center"/>
              <w:ind w:right="345"/>
              <w:spacing w:after="0"/>
              <w:rPr>
                <w:sz w:val="20"/>
                <w:szCs w:val="20"/>
                <w:color w:val="auto"/>
              </w:rPr>
            </w:pPr>
            <w:r>
              <w:rPr>
                <w:rFonts w:ascii="Arial" w:cs="Arial" w:eastAsia="Arial" w:hAnsi="Arial"/>
                <w:sz w:val="18"/>
                <w:szCs w:val="18"/>
                <w:color w:val="auto"/>
                <w:w w:val="91"/>
              </w:rPr>
              <w:t>7G</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345"/>
              <w:spacing w:after="0"/>
              <w:rPr>
                <w:sz w:val="20"/>
                <w:szCs w:val="20"/>
                <w:color w:val="auto"/>
              </w:rPr>
            </w:pPr>
            <w:r>
              <w:rPr>
                <w:rFonts w:ascii="Arial" w:cs="Arial" w:eastAsia="Arial" w:hAnsi="Arial"/>
                <w:sz w:val="18"/>
                <w:szCs w:val="18"/>
                <w:color w:val="auto"/>
                <w:w w:val="91"/>
              </w:rPr>
              <w:t>7G</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Description of the Transaction and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September 15, 2019, Winnebago entered into the Purchase Agreement by and among Winnebago, Newmar Acquired Companies and the Sellers, pursuant to which Winnebago will acquire Newmar Acquired Companies.</w:t>
      </w:r>
    </w:p>
    <w:p>
      <w:pPr>
        <w:spacing w:after="0" w:line="17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Subject to the terms and conditions of the Purchase Agreement, as consideration for the acquisition of Newmar Acquired Companies, Winnebago will, at the close of the Transaction, (i) pay in cash to the Sellers $270 million, subject to an upward adjustment, referred to as the Base Cash Amount and</w:t>
      </w:r>
    </w:p>
    <w:p>
      <w:pPr>
        <w:ind w:right="20"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to the Sellers an aggregate of 2,000,000 shares of common stock of Winnebago, par value $0.50 per share, valued at a price per share based on the volume weighted average share price of Winnebago of the 5 trailing business days prior to the closing date of the Transaction, which is referred to as the Closing Stock Consideration.</w:t>
      </w:r>
    </w:p>
    <w:p>
      <w:pPr>
        <w:spacing w:after="0" w:line="19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the aggregate value of the Closing Stock Consideration is not sufficient for the sum of the Base Cash Amount and the aggregate value of the Closing Stock Consideration to equal at least $330 million at the closing, then the amount of cash included in the Base Cash Amount shall be increased so that the sum of the Base Cash Amount and the Closing Stock Consideration is equal to $330 million.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of the Sellers have also agreed to a lock-up letter agreement that, subject to certain limited exceptions, restricts such Sellers from transferring their shares of Winnebago common stock for one year from closing.</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Purchase Agreement contains certain termination rights, including that either Winnebago or the Sellers may terminate the Purchase Agreement if the Transaction is not completed by January 31, 2020. The Purchase Agreement also provides that Winnebago may terminate the Purchase Agreement if the Company’s stock price falls below $20.00 per share, in which case Winnebago will pay the Sellers a termination fee of $5.0 million. The acquisition is not subject to approval by Winnebago’s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finance the acquisition consideration, Winnebago expects to sell and issue in a private placement an assumed $300.0 million aggregate principal amount of convertible notes, including the issuance of up to $30.0 million of additional convertible notes pursuant to the initial purchaser’s option to purchase additional convertible notes. The convertible notes will accrue interest at a fixed rate, payable semi-annually, and mature on April 1, 2025, the maturity date. The convertible notes will be convertible, at the holders’ option, in certain circumstances and during specified periods. Conversions of the notes will be settled in cash, shares of Winnebago common stock or a combination of cash and shares of Winnebago common stock (together with cash in lieu of any fractional share, if applicable), at Winnebago’s election. The conversion rate will be subject to adjustment upon the occurrence of certain events. Winnebago cannot redeem the convertible notes at its option prior to the maturity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Pro Forma Presentation</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accompanying unaudited pro forma condensed combined financial information has been prepared in accordance with Article 11 of Regulation S-X and has been derived from the audited and unaudited financial statements of Winnebago and Newmar Corporation and Subsidiaries. The financial information has been adjusted in the accompanying unaudited pro forma condensed combined financial information to give effect to pro forma events that are (1) directly attributable to the Transaction or the Offering, (2) factually supportable and (3) with respect to the unaudited pro forma condensed combined statement of income, expected to have a continuing impact on the combined results of operations of Winnebago.</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fiscal year end of Newmar Acquired Companies, which is December 31, has been conformed to the fiscal year end of Winnebago, which is the last Saturday in August, for the purpose of presenting pro forma condensed combined financial statements, pursuant to Rule 11-02(c)(3) of Regulation S-X, as the fiscal years differed by more than 93 days. The historical statement of income of Newmar Corporation and Subsidiaries used in the unaudited pro forma condensed combined statement of income for the year ended August 31, 2019 was derived by adding the results from the unaudited consolidated statement of income for the six months ended June 30, 2019 to the results from the audited consolidated statement of income for the year ended December 31, 2018 and removing the results from the unaudited consolidated statement of income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right="460" w:firstLine="648"/>
        <w:spacing w:after="0" w:line="277" w:lineRule="auto"/>
        <w:rPr>
          <w:sz w:val="20"/>
          <w:szCs w:val="20"/>
          <w:color w:val="auto"/>
        </w:rPr>
      </w:pPr>
      <w:r>
        <w:rPr>
          <w:rFonts w:ascii="Arial" w:cs="Arial" w:eastAsia="Arial" w:hAnsi="Arial"/>
          <w:sz w:val="18"/>
          <w:szCs w:val="18"/>
          <w:color w:val="auto"/>
        </w:rPr>
        <w:t>The historical balance sheet of Newmar Corporation and Subsidiaries used in the unaudited pro forma condensed combined balance sheet as of August 31, 2019 was the unaudited consolidated balance sheet as of June 30, 2019.</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addition, certain amounts from the historical financial statements of Newmar Corporation and Subsidiaries were reclassified to conform their presentation to that of Winnebago (see Note 8).</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unaudited pro forma condensed combined financial information was prepared using the acquisition method of accounting in accordance with ASC 805, which requires, among other things, that assets acquired and liabilities assumed in a business combination be recognized at their fair values as of the acquisition date. The acquisition method of accounting, in accordance with ASC 805, uses the fair value concepts defined in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(“ASC 820”).</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ASC 820 defines fair value, establishes the framework for measuring fair value for any asset acquired or liability assumed under GAAP, expands disclosures about fair value measurements, and specifies a hierarchy of valuation techniques based on the nature of the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an asset or liability. Market participants are assumed to be buyers or sellers in the most advantageous market for the asset or liability. Fair value measurement for an asset assumes the highest and best use by these market participants, and as a result, assets may be required to be recorded which are not intended to be used or sold. Additionally, the fair value may not reflect management’s intended use for those assets.</w:t>
      </w:r>
    </w:p>
    <w:p>
      <w:pPr>
        <w:spacing w:after="0" w:line="17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Fair value measurements can be highly subjective and it is possible the application of reasonable judgment could develop different assumptions resulting in a range of alternative estimates using the same facts and circumstances.</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allocation of the aggregate transaction consideration, as well as certain amounts relating to the issuance of the convertible notes and the use of proceeds therefrom, used in the unaudited pro forma condensed combined financial information is based on preliminary estimates. The estimates and assumptions are subject to change as of the effective time of the closing of the Transaction and the Offering. The final determination of the allocation of the aggregate transaction consideration will be based on the actual tangible and intangible assets and the liabilities of Newmar Acquired Companies at the effective time of the Transaction (see Note 5).</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Newmar Acquired Companies’ assets acquired and liabilities assumed will be recorded at their fair value at the transaction date. ASC 805 establishes that the consideration transferred shall be measured at the closing date of the Transaction at the then-current market price. This particular requirement will likely result in a per share equity component that is different from the amount assumed in this unaudited pro forma condensed combined financial information. The preliminary purchase price allocation assumes a common stock price of $49.24, the price at market close on October 23, 2019. The fair value of the Closing Stock Consideration also includes an approximate 5% discount for lack of marketability to reflect the one-year lock-up period on the Closing Stock Consideration. If the price of the Company’s common stock increases or decreases by 10%, the purchase price would increase or decrease by $9.3 million and could impact the purchase price allocation.</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unaudited pro forma condensed combined financial information is presented solely for informational purposes and is not necessarily indicative of the combined results of operations or financial position that might have been achieved for the periods or dates indicated, nor is it necessarily indicative of the future results of the combined company. The unaudited pro forma condensed combined financial information has not been adjusted to give effect to certain expected financial benefits of the Transaction, such as tax savings, cost synergies or revenue synergies, or the anticipated costs to achieve these benefits, including the cost of integration activities. Also, the unaudited pro forma condensed combined financial information does not reflect possible adjustments related to restructuring or integration activities that have yet to be determined or transaction or other costs following the combination that are not expected to have a continuing impact on the business of the combined company. Further, one-time Transaction-related expenses anticipated to be incurred prior to, or concurrent with, the closing of the Transaction are not included in the unaudited pro forma condensed combined statement of income. For the year ended August 31, 2019, such acquisition-related expenses were $0.7 million. Management has identified an additional $10.9 million of acquisition-related expenses, not yet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Accounting Policies</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Winnebago has completed a preliminary review of significant accounting policies for purposes of the unaudited pro forma condensed combined financial information. None of the accounting policy differences that have been identified and quantified to date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100" w:firstLine="648"/>
        <w:spacing w:after="0" w:line="279" w:lineRule="auto"/>
        <w:rPr>
          <w:sz w:val="20"/>
          <w:szCs w:val="20"/>
          <w:color w:val="auto"/>
        </w:rPr>
      </w:pPr>
      <w:r>
        <w:rPr>
          <w:rFonts w:ascii="Arial" w:cs="Arial" w:eastAsia="Arial" w:hAnsi="Arial"/>
          <w:sz w:val="17"/>
          <w:szCs w:val="17"/>
          <w:color w:val="auto"/>
        </w:rPr>
        <w:t>Winnebago adopted the Financial Accounting Standards Board (“FASB”) issued Accounting Standard Update (“ASU”) 2014-09, Revenue from Contracts with Customers (Topic 606) on August 26, 2018, utilizing the modified retrospective transition method, whereas Newmar Acquired Companies, as a private company, had not adopted Topic 606 prior to the closing of the Transaction. For the purposes of the unaudited condensed combined pro forma financial statements, the Company did an assessment of Topic 606 and determined that no material adjustments were necessary.</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Winnebago will adopt ASU 2016-02, Leases (Topic 842) in the first quarter of Fiscal 2020 using the modified retrospective basis. Newmar Acquired Companies, as a private company, has not adopted Topic 842. As neither Winnebago nor Newmar Acquired Companies have adopted Topic 842, it has not been reflected in the unaudited pro forma condensed combined financial statements.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Upon completion of the Transaction, Winnebago will perform a detailed review of Newmar Acquired Companies’ accounting policies. As a result of that review, Winnebago may identify differences between the accounting policies of the two companies that, when conformed, could have an impact on the consolidated financial statements of the combined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Note 4: Estimated Transaction Consideration</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tcPr>
          <w:p>
            <w:pPr>
              <w:ind w:left="640"/>
              <w:spacing w:after="0"/>
              <w:rPr>
                <w:sz w:val="20"/>
                <w:szCs w:val="20"/>
                <w:color w:val="auto"/>
              </w:rPr>
            </w:pPr>
            <w:r>
              <w:rPr>
                <w:rFonts w:ascii="Arial" w:cs="Arial" w:eastAsia="Arial" w:hAnsi="Arial"/>
                <w:sz w:val="18"/>
                <w:szCs w:val="18"/>
                <w:color w:val="auto"/>
              </w:rPr>
              <w:t>The estimated consideration is calculated as follows (in thousands):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Closing Stock Consideration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Cash consideration</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estimate of consideration expected to be transferred and reflected in this unaudited pro forma condensed combined financial information does not purport to represent what the actual consideration transferred will be when the Transaction is completed. For purposes of these unaudited pro forma condensed combined financial statements, the market price of Winnebago common stock based on the October 23, 2019 market close of $49.24 was used to calculate the estimate of consideration expected to be transferred. The fair value of the Closing Stock Consideration also includes an approximate 5% discount for lack of marketability to reflect the one-year lock-up period on the Closing Stock Consideration.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Purchase Accounting Adjustments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Winnebago in the Transaction, reconciled to estimated Transaction consideration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Amounts as of Acquisition Date</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Book value of net assets acquired at August 31, 2019: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Newmar Corporation and Subsidiaries</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76,756</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Newmar Related Entities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19,629</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book value of net assets acquired</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Elimination of cash not acquired(1)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right"/>
              <w:ind w:right="40"/>
              <w:spacing w:after="0"/>
              <w:rPr>
                <w:sz w:val="20"/>
                <w:szCs w:val="20"/>
                <w:color w:val="auto"/>
              </w:rPr>
            </w:pPr>
            <w:r>
              <w:rPr>
                <w:rFonts w:ascii="Arial" w:cs="Arial" w:eastAsia="Arial" w:hAnsi="Arial"/>
                <w:sz w:val="18"/>
                <w:szCs w:val="18"/>
                <w:color w:val="auto"/>
              </w:rPr>
              <w:t>(14,413)</w:t>
            </w: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debt not assumed(1)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11,690</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Adjusted book value of net assets acquired</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93,662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3,854</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7,197</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175,500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83,387</w:t>
            </w:r>
          </w:p>
        </w:tc>
        <w:tc>
          <w:tcPr>
            <w:tcW w:w="80" w:type="dxa"/>
            <w:vAlign w:val="bottom"/>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Estimate of consideration expected to be transferred</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0" w:hanging="652"/>
        <w:spacing w:after="0" w:line="308" w:lineRule="auto"/>
        <w:tabs>
          <w:tab w:leader="none" w:pos="66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accordance with the provisions of the Purchase Agreement, Winnebago will not acquire the historical cash or assume the historical debt of Newmar Acquired Companies. As such, cash and debt were removed from the adjusted book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Balance Sheet Adjustments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an explanation of the various adjustments to the unaudited pro forma condensed combined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 Newmar Related Entities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Represents the adjustment to include the assets and liabilities of Newmar Related Entities, net of related entity eliminations, in the unaudited pro forma condensed combined balance sheet.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gridSpan w:val="3"/>
          </w:tcPr>
          <w:p>
            <w:pPr>
              <w:spacing w:after="0"/>
              <w:rPr>
                <w:sz w:val="20"/>
                <w:szCs w:val="20"/>
                <w:color w:val="auto"/>
              </w:rPr>
            </w:pPr>
            <w:r>
              <w:rPr>
                <w:rFonts w:ascii="Arial" w:cs="Arial" w:eastAsia="Arial" w:hAnsi="Arial"/>
                <w:sz w:val="18"/>
                <w:szCs w:val="18"/>
                <w:color w:val="auto"/>
              </w:rPr>
              <w:t>B — Cash and cash equivalents (in thousands):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auto"/>
            </w:tcBorders>
            <w:vMerge w:val="restart"/>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new Winnebago debt issuance(1)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Net cash paid for the convertible notes call spread overlay(1)</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debt issuance costs(1)</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Net cash impact of the Offering</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by Winnebago to Sellers</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Cash paid for acquisition expenses(2)</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impact of the Transaction</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(280,869)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Cash from Newmar Related Entities</w:t>
            </w:r>
          </w:p>
        </w:tc>
        <w:tc>
          <w:tcPr>
            <w:tcW w:w="5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Newmar Acquired Companies cash not acquired</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elimination of Newmar Acquired Companies cash</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 forma adjustment to cash and cash equivalents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6G.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C — Inventories</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Represents an adjustment of $3.9 million to increase the carrying value of Newmar Acquired Companies’ inventories, for the preliminary estimated fair value, which is based on the expected selling price of inventory to customers and adjusted for related costs of disposal and a reasonable profit allowance for the post-acquisition selling effort. The fair value adjustment to inventories is expected to be recognized in the combined company’s statement of income within 90 days following the consummation of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 — Property, plant, and equipment, net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Represents the adjustment in carrying value of Newmar Acquired Companies’ property, plant, and equipment, net from its recorded net book value to its preliminary estimated fair value. The estimated fair value is expected to be depreciated over the estimated useful lives, generally on a straight-line basis. The preliminary amounts assigned to property, plant, and equipment, net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Newmar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Life in</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Years(1)</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Entities(2)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15 - 19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8,444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Construction-in-process</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property, plant, and equipment,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7" w:name="page18"/>
    <w:bookmarkEnd w:id="17"/>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t>Represents preliminary estimated life of assets to be acquired.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assets acquired in the Transaction are owned by Newmar Related Entities and are included in the preliminary estimated fair value.</w:t>
      </w:r>
    </w:p>
    <w:p>
      <w:pPr>
        <w:spacing w:after="0" w:line="23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final determination of fair value of property, plant, and equipment, as well as estimated useful lives, remains subject to change. The finalization may have a material impact on the valuation of property, plant, and equipment and the purchase price allocation, which is expected to be finalized subsequent to the closing of the Transaction.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preliminary estimate of fair value of Newmar Acquired Companies’ property, plant, and equipment was determined using either a direct cost approach analysis for the real property, or an indirect depreciated replacement cost method for the personal property, which is also a form of the “cost approach,” using currently available information, such as Newmar Acquired Companies’ balance sheet, fixed asset registers, or other physical characteristics information of the assets. This method applies asset class specific inflationary / deflationary factors to the original capitalized cost of the personal property assets or construction cost data for the real property assets being valued. The inflationary / deflationary factors and construction cost data used were derived from published sources. The estimated cost was then adjusted for physical depreciation calculated on a straight-line basis, considering the economic useful life and physical age of the assets being valued, for all asset classes.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estimated useful lives used to calculate the physical depreciation reflect the weighted average remaining utility of each asset group based upon the relationship of preliminary value to replacement cost while considering each asset group’s estimated total economic life. The estimate of fair value and estimated useful lives is preliminary and subject to change once Winnebago has sufficient information as to the specific types, nature, age, condition, and location of Newmar Acquired Companies’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 — Goodwill</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preliminary fair value of the underlying net tangible and identifiable intangible assets net of liabilities. Goodwill acquired in the Transaction is estimated to be $83.4 million. The estimated goodwill to be recognized is attributable primarily to expected synergies, expanded market opportunities, and other benefits that Winnebago believes will result from combining its operations with the operations of Newmar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F — Other 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Represents adjustments to record the preliminary estimated fair value of intangibles of approximately $175.5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expected to be acquired consist of the following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 Useful</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624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Life in Years(1)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Dealer network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Estimated fair value of identified other intangible assets, net</w:t>
            </w:r>
          </w:p>
        </w:tc>
        <w:tc>
          <w:tcPr>
            <w:tcW w:w="16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fair value estimate for all identifiable intangible assets is preliminary and is based on assumptions that market participants would use in pricing an asset, based on the most advantageous market for the asset (i.e., its highest and best use). This preliminary fair value estimate could include assets that are not intended to be used, may be sold, or are intended to be used in a manner other than their best use. The final determination of fair value of intangible assets, as well as estimated useful lives, remains subject to change. The finalization may have a material impact on the valuation of intangible assets and the purchase price allocation, which is expected to be finalized subsequent to the Transaction.</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Management relied on methods under the income approach — specifically the relief-from-royalty method for trade names and multi-period excess earnings method for backlog. For the dealer network, management utilized a cost to recreate method.</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preliminary estimated fair value allocated to indefinite-lived intangible assets consists primarily of trademarks. The assumption that these intangibles will not be amortized and will have indefinite remaining useful lives is based on many factors and considerations, including brand awareness and the assumption of the continued use of the Newmar brand as part of the marketing strategy of the combined company. These assumptions and adjustments are preliminary. The actual adjustment may differ materially based on the final determination of fair value and is subject to 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 — Long-term debt, less current maturities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Estimated Amounts as</w:t>
            </w:r>
          </w:p>
        </w:tc>
      </w:tr>
      <w:tr>
        <w:trPr>
          <w:trHeight w:val="171"/>
        </w:trPr>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of Acquisition Date</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Winnebago debt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Principal amount of convertible notes</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Estimated debt discount on convertible notes(1)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(92,752)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Estimated debt issuance costs on convertible notes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0"/>
        </w:trPr>
        <w:tc>
          <w:tcPr>
            <w:tcW w:w="5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new Winnebago debt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Elimination of existing Newmar Acquired Companies debt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(11,690)</w:t>
            </w: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Total pro forma adjustments to long-term debt, less current maturities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73" w:lineRule="auto"/>
        <w:tabs>
          <w:tab w:leader="none" w:pos="6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accordance with the applicable accounting guidance, the convertible offering notes are expected to be subject to separate accounting for their liability and equity components, with the initial liability component determined by estimating the fair value of a similar liability instrument that does not have an associated equity component conversion feature, with the difference recognized as the equity component (see Note 6J). The equity component and the initial value of the debt discount have been approximated based on estimates, including the expected terms of the convertible notes, conversion premium of 30%, comparable non-convertible interest of 9% and market and other factors. Accordingly, the actual financial statement presentation of the convertible notes, if they are issued, may differ from that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H — Deferred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Represents an estimate of net deferred income tax liabilities of $5.1 million related to the issuance of the convertible notes and the call spread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overlay.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 Redeemable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Represents the elimination of $123.7 million of Newmar Acquired Companies redeemable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 — Stockholders’ equity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Represents the elimination of Newmar Acquired Companies capital and retained earnings, as well as adjustments to reflect the capital structure of the combined company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Estimated Amounts as</w:t>
            </w:r>
          </w:p>
        </w:tc>
      </w:tr>
      <w:tr>
        <w:trPr>
          <w:trHeight w:val="17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of Acquisition Date</w:t>
            </w:r>
          </w:p>
        </w:tc>
      </w:tr>
      <w:tr>
        <w:trPr>
          <w:trHeight w:val="182"/>
        </w:trPr>
        <w:tc>
          <w:tcPr>
            <w:tcW w:w="6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Issuance of Winnebago common stock at par value as Closing Stock</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Consideration(1)</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8"/>
                <w:szCs w:val="18"/>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Winnebago common stock in excess of par value as Closing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5"/>
              </w:rPr>
              <w:t>Elimination of historical Newmar Acquired Companies 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Estimated equity component of convertible notes, net of deferred tax liabilities of</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$22,724(3)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70,028</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w w:val="96"/>
              </w:rPr>
              <w:t>Estimated net cost of convertible notes call spread overlay, net of deferred tax</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assets of $17,640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(18,360)</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Elimination of historical Newmar Acquired Companies retained earnings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46,992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Estimate of transaction expenses(4)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(10,869)</w:t>
            </w:r>
          </w:p>
        </w:tc>
      </w:tr>
      <w:tr>
        <w:trPr>
          <w:trHeight w:val="210"/>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Retained earnings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36,123</w:t>
            </w:r>
          </w:p>
        </w:tc>
        <w:tc>
          <w:tcPr>
            <w:tcW w:w="120" w:type="dxa"/>
            <w:vAlign w:val="bottom"/>
            <w:tcBorders>
              <w:bottom w:val="single" w:sz="8" w:color="CCEEFF"/>
            </w:tcBorders>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adjustments to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issuance of 2,000,000 shares $0.50 par value per share, of common stock. (See Note 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fair value of Closing Stock Consideration in excess of par value. (See Note 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6G.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Transactions-related expenses, not yet incurred as of the pro forma balance sheet dated August 31, 2019. Refer to Note 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Statement of Income Adjustments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an explanation of the various adjustments to the unaudited pro forma condensed combined statement of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 Newmar Related Entities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Represents the adjustment to include the income and expenses of Newmar Related Entities, net of related entity eliminations, in the unaudited pro forma condensed combined statement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 Depreciation of property, plant, and equipment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Represents estimated depreciation expense related to the pro forma adjustment to property, plant, and equipment (see Note 6D). Pro forma depreciation has been estimated on a preliminary basis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20" w:name="page21"/>
    <w:bookmarkEnd w:id="20"/>
    <w:tbl>
      <w:tblPr>
        <w:tblLayout w:type="fixed"/>
        <w:tblInd w:w="13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depreciation for acquired property, plant, and equipment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Historical Newmar Acquired Companies depreciation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pro forma adjustment related to depreciation</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Pro forma depreciation adjustment to cost of goods sold</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depreciation adjustment to selling, general, and administrative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pro forma adjustment related to depreciation</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each 10% increase or decrease in the fair value of buildings and leasehold improvements, the annual depreciation expense would increase or decrease by $0.1 million. If the useful life for buildings and leasehold improvements were to increase or decrease by 1 year, the annual depreciation expense will decrease or increase by $0.1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10% increase or decrease in the fair value of machinery and equipment, the annual depreciation expense would increase or decrease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If the useful life for machinery and equipment increases or decreases by 1 year, the annual depreciation expense will decrease or increase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$0.2 million.</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the fair value of all other assets combined increases or decreases by 10% in value, the annual depreciation expense would increase or decrease by $0.1 million. If the useful life for all other assets combined increases or decreases by 1 year, the annual depreciation expense will decrease or increase by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 Transaction costs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Represents the elimination of $0.7 million of non-recurring transaction-related costs directly attributable to the Transaction recorded within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 — Amortization of intangible assets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Represents estimated amortization expense related to the pro forma adjustment to other intangible assets, net (see Note 6F). Pro forma amortization has been estimated on a preliminary basis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Estimated Fair</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Value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August 31, 2019</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Dealer network</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64,000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Less: Backlog which does not have a continuing impact</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line="20" w:lineRule="exact"/>
              <w:rPr>
                <w:sz w:val="1"/>
                <w:szCs w:val="1"/>
                <w:color w:val="auto"/>
              </w:rPr>
            </w:pPr>
          </w:p>
        </w:tc>
      </w:tr>
      <w:tr>
        <w:trPr>
          <w:trHeight w:val="170"/>
        </w:trPr>
        <w:tc>
          <w:tcPr>
            <w:tcW w:w="5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adjustment to amortization of intangible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For each $1 million increase or decrease in the fair value of dealer network, the amortization expense would increase or decrease by $0.1 million. If the useful life for dealer network increases or decreases by 1 year, the annual amortization expense will decrease or increase by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E —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interest expense is comprised of the following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August 31, 2019</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interest on convertible notes(1)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Non-cash 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of convertible notes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Removal of interest expense related to Newmar Acquired Companies debt not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interest expense adjustment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60" w:hanging="652"/>
        <w:spacing w:after="0" w:line="264"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for the convertible notes is assumed to be 1.75% per annum for the year ended August 31, 2019. An increase or decrease in the interest rate assumed above of 0.125% would result in an aggregate increase or decrease to cash interest expense of approximately $0.4 million for the year ended August 31, 2019.</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convertible notes will recognize non-cash interest expense, through accretion of the debt discount and issuance costs over the life of the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 — Income taxes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Reflects the income tax effect on pro forma adjustments and on Newmar Acquired Companies’ historical income of $4.7 million based on the estimated blended federal and state statutory rate of 24.5%. Newmar Acquired Companies, as an S-Corporation, was an entity that passed-through its taxable income to its owners and accordingly, recorded no tax expense on its statements of income. Therefore, this adjustment included the estimated tax that Newmar Acquired Companies would have incurred had it not been a pass-through entity. The tax rate does not reflect the expected effective tax rate, which will include other tax charges and benefits, and does not take into account any historical or possible future tax events that may impact the combined entity.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 Forma statements reflect the increase in the weighted average shares in connection with the issuance of 2,000,000 common shares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convertible notes proposed to be issued in the Offering are convertible to cash, shares of our common stock or a combination of cash and shares, at our election.</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It is management’s intent, upon conversion of the notes, to settle the conversion value in cash up to their principal amount and in shares for any excess over their principal amount. The Company utilizes the treasury stock method to calculate the effects of the notes on diluted earnings per share. However, as the common stock of the Company has not traded above the conversion price of the notes, the application of the treasury stock method for the notes would prove anti-dilutive in calculating diluted earnings per share and should therefore be excluded from its calculation.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Reclassifications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Winnebago has completed a preliminary review of the financial statement presentation of Newmar Corporation and Subsidiaries for purposes of the unaudited pro forma condensed combined financial information. During this review, the following financial statement reclassifications were performed in order to align the presentation of Newmar Corporation and Subsidiaries’ financial information with that of Winnebago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Arial" w:cs="Arial" w:eastAsia="Arial" w:hAnsi="Arial"/>
                <w:sz w:val="14"/>
                <w:szCs w:val="14"/>
                <w:b w:val="1"/>
                <w:bCs w:val="1"/>
                <w:color w:val="auto"/>
              </w:rPr>
              <w:t>Newmar Corporation and Subsidiaries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Presentation</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2"/>
          </w:tcPr>
          <w:p>
            <w:pPr>
              <w:ind w:left="80"/>
              <w:spacing w:after="0"/>
              <w:rPr>
                <w:sz w:val="20"/>
                <w:szCs w:val="20"/>
                <w:color w:val="auto"/>
              </w:rPr>
            </w:pPr>
            <w:r>
              <w:rPr>
                <w:rFonts w:ascii="Arial" w:cs="Arial" w:eastAsia="Arial" w:hAnsi="Arial"/>
                <w:sz w:val="14"/>
                <w:szCs w:val="14"/>
                <w:b w:val="1"/>
                <w:bCs w:val="1"/>
                <w:color w:val="auto"/>
              </w:rPr>
              <w:t>Winnebago Presentation</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b w:val="1"/>
                <w:bCs w:val="1"/>
                <w:color w:val="auto"/>
              </w:rPr>
              <w:t>Presentation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Reclassification</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2"/>
          </w:tcPr>
          <w:p>
            <w:pPr>
              <w:ind w:left="340"/>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4,210</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a</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9,963</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4,210</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(4,210)</w:t>
            </w:r>
          </w:p>
        </w:tc>
        <w:tc>
          <w:tcPr>
            <w:tcW w:w="78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a</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(after allowance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Receivables, less allowance for</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 doubtful accounts)</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42,166</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42,166</w:t>
            </w:r>
          </w:p>
        </w:tc>
        <w:tc>
          <w:tcPr>
            <w:tcW w:w="14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doubtful accounts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70,477</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70,477</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show fees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b</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0"/>
              <w:spacing w:after="0" w:line="201" w:lineRule="exact"/>
              <w:rPr>
                <w:sz w:val="20"/>
                <w:szCs w:val="20"/>
                <w:color w:val="auto"/>
              </w:rPr>
            </w:pPr>
            <w:r>
              <w:rPr>
                <w:rFonts w:ascii="Arial" w:cs="Arial" w:eastAsia="Arial" w:hAnsi="Arial"/>
                <w:sz w:val="18"/>
                <w:szCs w:val="18"/>
                <w:color w:val="auto"/>
                <w:w w:val="98"/>
              </w:rPr>
              <w:t>Prepaid insurance and other current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8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2,332</w:t>
            </w: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661</w:t>
            </w:r>
          </w:p>
        </w:tc>
        <w:tc>
          <w:tcPr>
            <w:tcW w:w="78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b</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2,993</w:t>
            </w:r>
          </w:p>
        </w:tc>
        <w:tc>
          <w:tcPr>
            <w:tcW w:w="14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assets</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intangible assets, net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Investment in life insurance</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140,595</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assets</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Liabilities and Shareholders’ Equity</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w w:val="96"/>
              </w:rPr>
              <w:t>Liabilities and Stockholders’ Equity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17,424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17,424</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Other taxes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Income taxes payable</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Salaries and wages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7,148</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561</w:t>
            </w:r>
          </w:p>
        </w:tc>
        <w:tc>
          <w:tcPr>
            <w:tcW w:w="7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c</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7,709</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Accrued compensation</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profit sharing</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c</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Accrued warranty claims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15,860</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15,860</w:t>
            </w: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Product warranties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group insurance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Self-insurance</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Accrued dealer incentive bonuses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1,583</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(1,583)</w:t>
            </w:r>
          </w:p>
        </w:tc>
        <w:tc>
          <w:tcPr>
            <w:tcW w:w="78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dealer promotions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1,583</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Promotional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Accrued interest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Accrued repurchase obligation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Lease payable — short term</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(511)</w:t>
            </w: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rPr>
              <w:t>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816</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5"/>
              </w:rPr>
              <w:t>e, f</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Current maturities of long-term debt</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Non-current liabilities: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3,690</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11,690</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Long-term debt, less current maturities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Shareholder notes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3,690</w:t>
            </w: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78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Lease payable — long term</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(5,584)</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h</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Unrecognized tax benefits</w:t>
            </w:r>
          </w:p>
        </w:tc>
        <w:tc>
          <w:tcPr>
            <w:tcW w:w="0" w:type="dxa"/>
            <w:vAlign w:val="bottom"/>
          </w:tcPr>
          <w:p>
            <w:pPr>
              <w:spacing w:after="0"/>
              <w:rPr>
                <w:sz w:val="1"/>
                <w:szCs w:val="1"/>
                <w:color w:val="auto"/>
              </w:rPr>
            </w:pPr>
          </w:p>
        </w:tc>
      </w:tr>
      <w:tr>
        <w:trPr>
          <w:trHeight w:val="202"/>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Deferred compensation benefits, net of</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current portion</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5,584</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79"/>
              </w:rPr>
              <w:t>h</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5,584</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non-current liabilities</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common stock</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Stockholders’ equity:</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no par value; voting</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Preferred stock, par value $0.01: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Authorized-10,000 shares; Issued-none</w:t>
            </w:r>
          </w:p>
        </w:tc>
        <w:tc>
          <w:tcPr>
            <w:tcW w:w="0" w:type="dxa"/>
            <w:vAlign w:val="bottom"/>
          </w:tcPr>
          <w:p>
            <w:pPr>
              <w:spacing w:after="0"/>
              <w:rPr>
                <w:sz w:val="1"/>
                <w:szCs w:val="1"/>
                <w:color w:val="auto"/>
              </w:rPr>
            </w:pPr>
          </w:p>
        </w:tc>
      </w:tr>
      <w:tr>
        <w:trPr>
          <w:trHeight w:val="202"/>
        </w:trPr>
        <w:tc>
          <w:tcPr>
            <w:tcW w:w="3060" w:type="dxa"/>
            <w:vAlign w:val="bottom"/>
          </w:tcPr>
          <w:p>
            <w:pPr>
              <w:ind w:left="200"/>
              <w:spacing w:after="0" w:line="201" w:lineRule="exact"/>
              <w:rPr>
                <w:sz w:val="20"/>
                <w:szCs w:val="20"/>
                <w:color w:val="auto"/>
              </w:rPr>
            </w:pPr>
            <w:r>
              <w:rPr>
                <w:rFonts w:ascii="Arial" w:cs="Arial" w:eastAsia="Arial" w:hAnsi="Arial"/>
                <w:sz w:val="18"/>
                <w:szCs w:val="18"/>
                <w:color w:val="auto"/>
              </w:rPr>
              <w:t>Common stock, no par value;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par value $0.50:</w:t>
            </w:r>
          </w:p>
        </w:tc>
        <w:tc>
          <w:tcPr>
            <w:tcW w:w="0" w:type="dxa"/>
            <w:vAlign w:val="bottom"/>
          </w:tcPr>
          <w:p>
            <w:pPr>
              <w:spacing w:after="0"/>
              <w:rPr>
                <w:sz w:val="1"/>
                <w:szCs w:val="1"/>
                <w:color w:val="auto"/>
              </w:rPr>
            </w:pPr>
          </w:p>
        </w:tc>
      </w:tr>
      <w:tr>
        <w:trPr>
          <w:trHeight w:val="216"/>
        </w:trPr>
        <w:tc>
          <w:tcPr>
            <w:tcW w:w="3060" w:type="dxa"/>
            <w:vAlign w:val="bottom"/>
          </w:tcPr>
          <w:p>
            <w:pPr>
              <w:ind w:left="380"/>
              <w:spacing w:after="0"/>
              <w:rPr>
                <w:sz w:val="20"/>
                <w:szCs w:val="20"/>
                <w:color w:val="auto"/>
              </w:rPr>
            </w:pPr>
            <w:r>
              <w:rPr>
                <w:rFonts w:ascii="Arial" w:cs="Arial" w:eastAsia="Arial" w:hAnsi="Arial"/>
                <w:sz w:val="18"/>
                <w:szCs w:val="18"/>
                <w:color w:val="auto"/>
              </w:rPr>
              <w:t>nonvoting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Authorized-60,000 shares; Issued-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51,776 shares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(46,992)</w:t>
            </w: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(46,992)</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Accumulated other comprehensive loss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w w:val="96"/>
              </w:rPr>
              <w:t>Treasury stock, at cost: 20,262 shares</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(46,984)</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0" w:type="dxa"/>
            <w:vAlign w:val="bottom"/>
          </w:tcPr>
          <w:p>
            <w:pPr>
              <w:spacing w:after="0"/>
              <w:rPr>
                <w:sz w:val="1"/>
                <w:szCs w:val="1"/>
                <w:color w:val="auto"/>
              </w:rPr>
            </w:pPr>
          </w:p>
        </w:tc>
      </w:tr>
      <w:tr>
        <w:trPr>
          <w:trHeight w:val="182"/>
        </w:trPr>
        <w:tc>
          <w:tcPr>
            <w:tcW w:w="3060" w:type="dxa"/>
            <w:vAlign w:val="bottom"/>
          </w:tcPr>
          <w:p>
            <w:pPr>
              <w:spacing w:after="0" w:line="182" w:lineRule="exact"/>
              <w:rPr>
                <w:sz w:val="20"/>
                <w:szCs w:val="20"/>
                <w:color w:val="auto"/>
              </w:rPr>
            </w:pPr>
            <w:r>
              <w:rPr>
                <w:rFonts w:ascii="Arial" w:cs="Arial" w:eastAsia="Arial" w:hAnsi="Arial"/>
                <w:sz w:val="18"/>
                <w:szCs w:val="18"/>
                <w:color w:val="auto"/>
                <w:w w:val="96"/>
              </w:rPr>
              <w:t>Total liabilities and shareholders’ equity</w:t>
            </w:r>
          </w:p>
        </w:tc>
        <w:tc>
          <w:tcPr>
            <w:tcW w:w="5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140,595</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140,595</w:t>
            </w:r>
          </w:p>
        </w:tc>
        <w:tc>
          <w:tcPr>
            <w:tcW w:w="140" w:type="dxa"/>
            <w:vAlign w:val="bottom"/>
          </w:tcPr>
          <w:p>
            <w:pPr>
              <w:spacing w:after="0"/>
              <w:rPr>
                <w:sz w:val="15"/>
                <w:szCs w:val="15"/>
                <w:color w:val="auto"/>
              </w:rPr>
            </w:pPr>
          </w:p>
        </w:tc>
        <w:tc>
          <w:tcPr>
            <w:tcW w:w="30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liabilities and stockholders’</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Presentation reclassification notes:</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 of $4.2 million of “Certificates of deposit” to “Cash and cash equivalents”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 of $0.7 million of “Prepaid show fees” to “Prepaid expenses and other assets”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 of $0.6 million of “Accrued profit sharing” to “Accrued compensation”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 of $1.6 million of “Accrued dealer incentive bonuses” to “Promotional”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 of $0.3 million of “Accrued repurchase obligation” to “Other” (current liabilities)</w:t>
      </w:r>
    </w:p>
    <w:p>
      <w:pPr>
        <w:sectPr>
          <w:pgSz w:w="11900" w:h="16838" w:orient="portrait"/>
          <w:cols w:equalWidth="0" w:num="1">
            <w:col w:w="11420"/>
          </w:cols>
          <w:pgMar w:left="240" w:top="320" w:right="239" w:bottom="0" w:gutter="0" w:footer="0" w:header="0"/>
        </w:sectPr>
      </w:pPr>
    </w:p>
    <w:bookmarkStart w:id="23" w:name="page24"/>
    <w:bookmarkEnd w:id="23"/>
    <w:p>
      <w:pPr>
        <w:ind w:left="652" w:hanging="652"/>
        <w:spacing w:after="0"/>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Reclassification of $0.5 million of “Lease payable — short term” to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24" w:name="page25"/>
    <w:bookmarkEnd w:id="24"/>
    <w:p>
      <w:pPr>
        <w:ind w:left="672" w:hanging="672"/>
        <w:spacing w:after="0"/>
        <w:tabs>
          <w:tab w:leader="none" w:pos="6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Reclassification of $3.7 million of “Shareholder notes payable” to “Long-term debt, less current maturities”</w:t>
      </w:r>
    </w:p>
    <w:p>
      <w:pPr>
        <w:spacing w:after="0" w:line="248" w:lineRule="exact"/>
        <w:rPr>
          <w:rFonts w:ascii="Arial" w:cs="Arial" w:eastAsia="Arial" w:hAnsi="Arial"/>
          <w:sz w:val="16"/>
          <w:szCs w:val="16"/>
          <w:color w:val="auto"/>
        </w:rPr>
      </w:pPr>
    </w:p>
    <w:p>
      <w:pPr>
        <w:ind w:left="652" w:hanging="652"/>
        <w:spacing w:after="0"/>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Reclassification of $5.6 million of “Lease payable — long term” to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20"/>
                <w:szCs w:val="20"/>
                <w:color w:val="auto"/>
              </w:rPr>
            </w:pPr>
            <w:r>
              <w:rPr>
                <w:rFonts w:ascii="Arial" w:cs="Arial" w:eastAsia="Arial" w:hAnsi="Arial"/>
                <w:sz w:val="14"/>
                <w:szCs w:val="14"/>
                <w:b w:val="1"/>
                <w:bCs w:val="1"/>
                <w:color w:val="auto"/>
              </w:rPr>
              <w:t>Newmar Corporation and Subsidiaries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Presentation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2"/>
          </w:tcPr>
          <w:p>
            <w:pPr>
              <w:ind w:left="220"/>
              <w:spacing w:after="0"/>
              <w:rPr>
                <w:sz w:val="20"/>
                <w:szCs w:val="20"/>
                <w:color w:val="auto"/>
              </w:rPr>
            </w:pPr>
            <w:r>
              <w:rPr>
                <w:rFonts w:ascii="Arial" w:cs="Arial" w:eastAsia="Arial" w:hAnsi="Arial"/>
                <w:sz w:val="14"/>
                <w:szCs w:val="14"/>
                <w:b w:val="1"/>
                <w:bCs w:val="1"/>
                <w:color w:val="auto"/>
              </w:rPr>
              <w:t>Winnebago Presentation</w:t>
            </w:r>
          </w:p>
        </w:tc>
      </w:tr>
      <w:tr>
        <w:trPr>
          <w:trHeight w:val="171"/>
        </w:trPr>
        <w:tc>
          <w:tcPr>
            <w:tcW w:w="2860" w:type="dxa"/>
            <w:vAlign w:val="bottom"/>
          </w:tcPr>
          <w:p>
            <w:pPr>
              <w:spacing w:after="0"/>
              <w:rPr>
                <w:sz w:val="20"/>
                <w:szCs w:val="20"/>
                <w:color w:val="auto"/>
              </w:rPr>
            </w:pPr>
            <w:r>
              <w:rPr>
                <w:rFonts w:ascii="Arial" w:cs="Arial" w:eastAsia="Arial" w:hAnsi="Arial"/>
                <w:sz w:val="14"/>
                <w:szCs w:val="14"/>
                <w:b w:val="1"/>
                <w:bCs w:val="1"/>
                <w:color w:val="auto"/>
              </w:rPr>
              <w:t>Presentation</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 August 31, 2019</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70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661,110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661,110</w:t>
            </w:r>
          </w:p>
        </w:tc>
        <w:tc>
          <w:tcPr>
            <w:tcW w:w="31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579,774</w:t>
            </w:r>
          </w:p>
        </w:tc>
        <w:tc>
          <w:tcPr>
            <w:tcW w:w="3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579,774</w:t>
            </w:r>
          </w:p>
        </w:tc>
        <w:tc>
          <w:tcPr>
            <w:tcW w:w="3220" w:type="dxa"/>
            <w:vAlign w:val="bottom"/>
            <w:gridSpan w:val="2"/>
          </w:tcPr>
          <w:p>
            <w:pPr>
              <w:ind w:left="260"/>
              <w:spacing w:after="0"/>
              <w:rPr>
                <w:sz w:val="20"/>
                <w:szCs w:val="20"/>
                <w:color w:val="auto"/>
              </w:rPr>
            </w:pPr>
            <w:r>
              <w:rPr>
                <w:rFonts w:ascii="Arial" w:cs="Arial" w:eastAsia="Arial" w:hAnsi="Arial"/>
                <w:sz w:val="18"/>
                <w:szCs w:val="18"/>
                <w:color w:val="auto"/>
              </w:rPr>
              <w:t>Cost of goods sold</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Gross profit</w:t>
            </w:r>
          </w:p>
        </w:tc>
      </w:tr>
      <w:tr>
        <w:trPr>
          <w:trHeight w:val="182"/>
        </w:trPr>
        <w:tc>
          <w:tcPr>
            <w:tcW w:w="2860" w:type="dxa"/>
            <w:vAlign w:val="bottom"/>
          </w:tcPr>
          <w:p>
            <w:pPr>
              <w:spacing w:after="0" w:line="182"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Selling, general, and administrative</w:t>
            </w: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37,708</w:t>
            </w:r>
          </w:p>
        </w:tc>
        <w:tc>
          <w:tcPr>
            <w:tcW w:w="3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(740)</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36,968</w:t>
            </w:r>
          </w:p>
        </w:tc>
        <w:tc>
          <w:tcPr>
            <w:tcW w:w="3220" w:type="dxa"/>
            <w:vAlign w:val="bottom"/>
            <w:gridSpan w:val="2"/>
          </w:tcPr>
          <w:p>
            <w:pPr>
              <w:ind w:left="260"/>
              <w:spacing w:after="0"/>
              <w:rPr>
                <w:sz w:val="20"/>
                <w:szCs w:val="20"/>
                <w:color w:val="auto"/>
              </w:rPr>
            </w:pPr>
            <w:r>
              <w:rPr>
                <w:rFonts w:ascii="Arial" w:cs="Arial" w:eastAsia="Arial" w:hAnsi="Arial"/>
                <w:sz w:val="18"/>
                <w:szCs w:val="18"/>
                <w:color w:val="auto"/>
              </w:rPr>
              <w:t>expenses</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r>
      <w:tr>
        <w:trPr>
          <w:trHeight w:val="210"/>
        </w:trPr>
        <w:tc>
          <w:tcPr>
            <w:tcW w:w="2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37,708</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36,968</w:t>
            </w:r>
          </w:p>
        </w:tc>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operating expenses</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44,368</w:t>
            </w:r>
          </w:p>
        </w:tc>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3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322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Non-operating income</w:t>
            </w:r>
          </w:p>
        </w:tc>
      </w:tr>
      <w:tr>
        <w:trPr>
          <w:trHeight w:val="210"/>
        </w:trPr>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43,520</w:t>
            </w:r>
          </w:p>
        </w:tc>
        <w:tc>
          <w:tcPr>
            <w:tcW w:w="20" w:type="dxa"/>
            <w:vAlign w:val="bottom"/>
          </w:tcPr>
          <w:p>
            <w:pPr>
              <w:spacing w:after="0"/>
              <w:rPr>
                <w:sz w:val="18"/>
                <w:szCs w:val="18"/>
                <w:color w:val="auto"/>
              </w:rPr>
            </w:pPr>
          </w:p>
        </w:tc>
        <w:tc>
          <w:tcPr>
            <w:tcW w:w="3220" w:type="dxa"/>
            <w:vAlign w:val="bottom"/>
            <w:gridSpan w:val="2"/>
          </w:tcPr>
          <w:p>
            <w:pPr>
              <w:ind w:left="260"/>
              <w:spacing w:after="0"/>
              <w:rPr>
                <w:sz w:val="20"/>
                <w:szCs w:val="20"/>
                <w:color w:val="auto"/>
              </w:rPr>
            </w:pPr>
            <w:r>
              <w:rPr>
                <w:rFonts w:ascii="Arial" w:cs="Arial" w:eastAsia="Arial" w:hAnsi="Arial"/>
                <w:sz w:val="18"/>
                <w:szCs w:val="18"/>
                <w:color w:val="auto"/>
              </w:rPr>
              <w:t>Income before income taxes</w:t>
            </w:r>
          </w:p>
        </w:tc>
      </w:tr>
      <w:tr>
        <w:trPr>
          <w:trHeight w:val="216"/>
        </w:trPr>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3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42,780</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42,780</w:t>
            </w:r>
          </w:p>
        </w:tc>
        <w:tc>
          <w:tcPr>
            <w:tcW w:w="20" w:type="dxa"/>
            <w:vAlign w:val="bottom"/>
            <w:tcBorders>
              <w:bottom w:val="single" w:sz="8" w:color="auto"/>
            </w:tcBorders>
          </w:tcPr>
          <w:p>
            <w:pPr>
              <w:spacing w:after="0"/>
              <w:rPr>
                <w:sz w:val="18"/>
                <w:szCs w:val="18"/>
                <w:color w:val="auto"/>
              </w:rPr>
            </w:pPr>
          </w:p>
        </w:tc>
        <w:tc>
          <w:tcPr>
            <w:tcW w:w="322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r>
      <w:tr>
        <w:trPr>
          <w:trHeight w:val="20"/>
        </w:trPr>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Presentation reclassification notes:</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Reclassification of income tax expense from “Selling, general and administrative expenses” to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7266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72665" cy="325755"/>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News Release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Contact: Steve Stuber - Investor Relations - 952-828-8461 - srstuber@wgo.net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Contact: Sam Jefson - Public Relations Specialist — 641-585-6803 - sjefson@wgo.net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ANNOUNCES PROPOSED OFFERING OF $270.0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 OF CONVERTIBLE SENIOR NOTES</w:t>
      </w:r>
    </w:p>
    <w:p>
      <w:pPr>
        <w:spacing w:after="0" w:line="211"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FOREST CITY, IOWA, October 28, 2019 - Winnebago Industries, Inc. (NYSE: WGO) (the “Company”), a leading outdoor lifestyle product manufacturer, announced today that it intends to offer, subject to market conditions and other factors, $270.0 million in aggregate principal amount of convertible senior notes due 2025 (the “notes”) in a private offering to qualified institutional buyers pursuant to Rule 144A under the Securities Act of 1933, as amended (the “Securities Act”). In connection with the offering, the Company expects to grant the initial purchasers a 30-day option to purchase up to an additional $30.0 million in aggregate principal amount of notes.</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Final terms of the notes, including the initial conversion price, interest rate and certain other terms of the notes will be determined at the time of pricing. The notes will bear interest semi-annually and will mature on April 1, 2025, unless repurchased or converted in accordance with their terms prior to such date. Prior to October 1, 2024, the notes will be convertible only upon satisfaction of certain conditions and during certain periods, and on and after October 1, 2024, at any time until the close of business on the second scheduled trading day immediately before the maturity date.</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will settle conversions by paying or delivering, as applicable, cash, shares of its common stock or a combination of cash and shares of its common stock, at its election, based on the applicable conversion rate(s). Holders of the notes will have the right to require the Company to repurchase all or any portion of their notes at 100% of their principal amount, plus any accrued and unpaid interest, upon the occurrence of certain fundamental changes.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offering of the notes, the Company expects to enter into privately negotiated convertible note hedge transactions with one or more financial institutions, which may include one or more of the initial purchasers or their respective affiliates (the “option counterparties”). These transactions will cover, subject to customary anti-dilution adjustments, the number of shares of the Company’s common stock that will initially underlie the notes, and are expected generally to reduce the potential equity dilution, and/or offset any cash payments in excess of the principal amount due, as the case may be, upon conversion of the notes.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expects to enter into separate, privately negotiated warrant transactions with the option counterparties at a higher strike price relating to the same number of shares of the Company’s common stock, subject to customary anti-dilution adjustments, pursuant to which the Company will sell warrants to the option counterparties. The warrants could have a dilutive effect on the Company’s common stock and the Company’s earnings per share to the extent that the price of the Company’s common stock exceeds the strike price of those warrants.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the initial purchasers exercise their option to purchase additional notes, the Company expects to enter into additional convertible note hedge transactions and additional warrant transactions with the option counterparties, which will initially cover the number of shares of the Company’s common stock that will initially underlie the additional notes sold to the initial purchasers.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intends to use a portion of the net proceeds from the offering to fund the cost of entering into the convertible note hedge transactions (after such cost is partially offset by the proceeds that we receive from entering into certain warrant transactions). We intend to use the remainder of the net proceeds from the offering to fund the purchase price for the previously announced acquisition of Newmar Corporation (the “Newmar Acquisition”), to pay related fees and expenses related thereto and in the event that the Newmar Acquisition does not close, for general corporate purposes (which may include future acquisitions). If the initial purchasers exercise their option to purchase additional notes, then the Company intends to use a portion of the additional net proceeds to fund the cost of entering into additional convertible note hedge transactions (after such cost is partially offset by the proceeds that we receive from entering into certain additional warrant transactions) and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The Company has been advised that in connection with establishing their initial hedges of the convertible note hedge and warrant transactions, the option counterparties and/or their respective affiliates expect to enter into various derivative transactions with respect to the Company’s common stock concurrently with or shortly after the pricing of the notes. This activity could have the effect of increasing (or reducing the size of any decrease in) the market price of the Company’s common stock and/or the notes, and could result in a higher effective conversion price for the notes, at that time. The option counterparties and/or their respective affiliates may modify their hedge positions by entering into or unwinding various derivatives with respect to the Company’s common stock and/or purchasing or selling the Company’s common stock or other securities of the Company in secondary market transactions following the pricing of the notes and prior to maturity of the notes (and the option counterparties and/or their respective affiliates are likely to do so during any observation period related to any conversion of the notes).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potential effect, if any, of these transactions and activities on the market price of the Company’s common stock or the notes will depend in part on market conditions and cannot be ascertained at this time, but any of these activities could adversely affect the value of the Company’s common stock, which could affect the ability to convert the notes, the value of the notes and the amount of cash, if any, and the number of and value of the shares of the Company’s common stock, if any, holders would receive upon conversion of the notes.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offer and sale of the notes and the shares of common stock, if any, issuable upon conversion of the notes have not been registered under the Securities Act or any state securities laws, and the notes and such shares may not be offered or sold absent registration or an applicable exemption from, or in a transaction not subject to, the registration requirements of the Securities Act and applicable state laws.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press release does not constitute an offer to sell or a solicitation of an offer to buy the securities described herein, nor shall there be any sale of these securities in any state or jurisdiction in which such offer, solicitation or sale would be unlawful prior to registration or qualification under the securities laws of such jurisdiction.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the offering of the notes, our proposed acquisition of Newmar Corporation,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our Enterprise Resource Planning System,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6"/>
    </w:lvl>
  </w:abstractNum>
  <w:abstractNum w:abstractNumId="16">
    <w:nsid w:val="519B500D"/>
    <w:multiLevelType w:val="hybridMultilevel"/>
    <w:lvl w:ilvl="0">
      <w:lvlJc w:val="left"/>
      <w:lvlText w:val="(%1)"/>
      <w:numFmt w:val="lowerLetter"/>
      <w:start w:val="7"/>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2019-12-28T04:42:52Z</dcterms:created>
  <dcterms:modified xsi:type="dcterms:W3CDTF">2019-12-28T04:42:52Z</dcterms:modified>
</cp:coreProperties>
</file>