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333256d1_s8.htm"/>
      <w:bookmarkStart w:id="1" w:name="kstm2333256d1_s8"/>
      <w:bookmarkEnd w:id="0"/>
      <w:bookmarkEnd w:id="1"/>
      <w:r>
        <w:rPr/>
        <w:t> </w:t>
      </w:r>
    </w:p>
    <w:p>
      <w:pPr>
        <w:pStyle w:val="TextBody"/>
        <w:bidi w:val="0"/>
        <w:spacing w:before="0" w:after="0"/>
        <w:ind w:left="100" w:right="0" w:hanging="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As filed with the Securities and Exchange Commission on December 20, 2023</w:t>
      </w:r>
    </w:p>
    <w:p>
      <w:pPr>
        <w:pStyle w:val="TextBody"/>
        <w:bidi w:val="0"/>
        <w:spacing w:before="0" w:after="0"/>
        <w:ind w:left="0" w:right="0" w:hanging="0"/>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Registration No. 333-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90" w:right="108"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UNITED STATES</w:t>
      </w:r>
    </w:p>
    <w:p>
      <w:pPr>
        <w:pStyle w:val="TextBody"/>
        <w:bidi w:val="0"/>
        <w:spacing w:before="0" w:after="0"/>
        <w:ind w:left="90" w:right="108"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SECURITIES AND EXCHANGE COMMISSION</w:t>
      </w:r>
    </w:p>
    <w:p>
      <w:pPr>
        <w:pStyle w:val="TextBody"/>
        <w:bidi w:val="0"/>
        <w:spacing w:before="0" w:after="0"/>
        <w:ind w:left="90" w:right="115"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Washington, D.C. 20549</w:t>
      </w:r>
    </w:p>
    <w:p>
      <w:pPr>
        <w:pStyle w:val="TextBody"/>
        <w:bidi w:val="0"/>
        <w:spacing w:before="0" w:after="0"/>
        <w:ind w:left="90" w:right="115"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90" w:right="115"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FORM S-8</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8100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 cy="9525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89" w:right="108"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WINNEBAGO INDUSTRIES, INC.</w:t>
      </w:r>
    </w:p>
    <w:p>
      <w:pPr>
        <w:pStyle w:val="TextBody"/>
        <w:bidi w:val="0"/>
        <w:spacing w:before="0" w:after="0"/>
        <w:ind w:left="90" w:right="108" w:hanging="0"/>
        <w:jc w:val="center"/>
        <w:rPr>
          <w:rFonts w:ascii="Arial;Helvetica;Sans-Serif" w:hAnsi="Arial;Helvetica;Sans-Serif"/>
          <w:b w:val="false"/>
          <w:i w:val="false"/>
          <w:caps w:val="false"/>
          <w:smallCaps w:val="false"/>
          <w:sz w:val="18"/>
        </w:rPr>
      </w:pPr>
      <w:r>
        <w:rPr>
          <w:rFonts w:ascii="Times New Roman;Times;Serif" w:hAnsi="Times New Roman;Times;Serif"/>
          <w:b w:val="false"/>
          <w:i w:val="false"/>
          <w:caps w:val="false"/>
          <w:smallCaps w:val="false"/>
          <w:sz w:val="20"/>
        </w:rPr>
        <w:t>(</w:t>
      </w:r>
      <w:r>
        <w:rPr>
          <w:rFonts w:ascii="Arial;Helvetica;Sans-Serif" w:hAnsi="Arial;Helvetica;Sans-Serif"/>
          <w:b w:val="false"/>
          <w:i w:val="false"/>
          <w:caps w:val="false"/>
          <w:smallCaps w:val="false"/>
          <w:sz w:val="18"/>
        </w:rPr>
        <w:t>Exact name of registrant as specified in its charter</w:t>
      </w:r>
      <w:r>
        <w:rPr>
          <w:rFonts w:ascii="Times New Roman;Times;Serif" w:hAnsi="Times New Roman;Times;Serif"/>
          <w:b w:val="false"/>
          <w:i w:val="false"/>
          <w:caps w:val="false"/>
          <w:smallCaps w:val="false"/>
          <w:sz w:val="20"/>
        </w:rPr>
        <w:t>)</w:t>
      </w:r>
    </w:p>
    <w:p>
      <w:pPr>
        <w:pStyle w:val="TextBody"/>
        <w:bidi w:val="0"/>
        <w:spacing w:before="0" w:after="0"/>
        <w:ind w:left="90" w:right="108" w:hanging="0"/>
        <w:jc w:val="center"/>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75"/>
        <w:gridCol w:w="4235"/>
        <w:gridCol w:w="60"/>
        <w:gridCol w:w="2525"/>
        <w:gridCol w:w="75"/>
      </w:tblGrid>
      <w:tr>
        <w:trPr/>
        <w:tc>
          <w:tcPr>
            <w:tcW w:w="75" w:type="dxa"/>
            <w:tcBorders/>
            <w:vAlign w:val="center"/>
          </w:tcPr>
          <w:p>
            <w:pPr>
              <w:pStyle w:val="TableContents"/>
              <w:bidi w:val="0"/>
              <w:spacing w:before="0" w:after="283"/>
              <w:jc w:val="left"/>
              <w:rPr/>
            </w:pPr>
            <w:r>
              <w:rPr/>
              <w:t> </w:t>
            </w:r>
          </w:p>
        </w:tc>
        <w:tc>
          <w:tcPr>
            <w:tcW w:w="42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Minnesota</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42-0802678</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(I.R.S. Employer Identification 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13200 Pioneer Trail, Eden Prairie, Minnesota</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55347</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(Address of Principal Executive Offices)</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90" w:right="108" w:hanging="0"/>
        <w:jc w:val="center"/>
        <w:rPr>
          <w:caps w:val="false"/>
          <w:smallCaps w:val="false"/>
        </w:rPr>
      </w:pPr>
      <w:r>
        <w:rPr>
          <w:caps w:val="false"/>
          <w:smallCaps w:val="false"/>
        </w:rPr>
        <w:t> </w:t>
      </w:r>
    </w:p>
    <w:p>
      <w:pPr>
        <w:pStyle w:val="TextBody"/>
        <w:bidi w:val="0"/>
        <w:spacing w:before="0" w:after="0"/>
        <w:ind w:left="90" w:right="108"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WINNEBAGO INDUSTRIES, INC. AMENDED AND RESTATED 2019 OMNIBUS INCENTIVE PLAN</w:t>
      </w:r>
    </w:p>
    <w:p>
      <w:pPr>
        <w:pStyle w:val="TextBody"/>
        <w:pBdr>
          <w:bottom w:val="single" w:sz="8" w:space="1" w:color="000000"/>
        </w:pBdr>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WINNEBAGO INDUSTRIES, INC. EMPLOYEE STOCK PURCHASE PLAN AS AMENDED ON MAY 17, 2023</w:t>
      </w:r>
    </w:p>
    <w:p>
      <w:pPr>
        <w:pStyle w:val="TextBody"/>
        <w:bidi w:val="0"/>
        <w:spacing w:before="0" w:after="0"/>
        <w:ind w:left="108" w:right="108" w:hanging="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Stacy L. Bogart</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Senior Vice President, General Counsel, Secretary and Corporate Responsibility</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Winnebago Industries, Inc.</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13200 Pioneer Trail, Eden Prairie, Minnesota 55347</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(952) 829-8600</w:t>
      </w:r>
    </w:p>
    <w:p>
      <w:pPr>
        <w:pStyle w:val="TextBody"/>
        <w:bidi w:val="0"/>
        <w:spacing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20"/>
        </w:rPr>
        <w:t>(</w:t>
      </w:r>
      <w:r>
        <w:rPr>
          <w:rFonts w:ascii="Arial;Helvetica;Sans-Serif" w:hAnsi="Arial;Helvetica;Sans-Serif"/>
          <w:b w:val="false"/>
          <w:i w:val="false"/>
          <w:caps w:val="false"/>
          <w:smallCaps w:val="false"/>
          <w:sz w:val="16"/>
        </w:rPr>
        <w:t>Name, address, and telephone number, including area code, of agent for service</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075"/>
        <w:gridCol w:w="60"/>
        <w:gridCol w:w="2495"/>
      </w:tblGrid>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sz w:val="18"/>
              </w:rPr>
              <w:t>Large accelerated filer </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sz w:val="18"/>
              </w:rPr>
              <w:t xml:space="preserve">Accelerated filer </w:t>
            </w:r>
            <w:r>
              <w:rPr>
                <w:rFonts w:ascii="Times New Roman;Times;Serif" w:hAnsi="Times New Roman;Times;Serif"/>
                <w:b w:val="false"/>
                <w:i w:val="false"/>
                <w:caps w:val="false"/>
                <w:smallCaps w:val="false"/>
                <w:sz w:val="18"/>
              </w:rPr>
              <w:t>☐</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sz w:val="18"/>
              </w:rPr>
              <w:t>Non-accelerated filer </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sz w:val="18"/>
              </w:rPr>
              <w:t>Smaller reporting company</w:t>
            </w:r>
            <w:r>
              <w:rPr>
                <w:rFonts w:ascii="Times New Roman;Times;Serif" w:hAnsi="Times New Roman;Times;Serif"/>
                <w:b w:val="false"/>
                <w:i w:val="false"/>
                <w:caps w:val="false"/>
                <w:smallCaps w:val="false"/>
                <w:sz w:val="18"/>
              </w:rPr>
              <w:t xml:space="preserve">  ☐</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sz w:val="18"/>
              </w:rPr>
              <w:t xml:space="preserve">Emerging growth company </w:t>
            </w:r>
            <w:r>
              <w:rPr>
                <w:rFonts w:ascii="Times New Roman;Times;Serif" w:hAnsi="Times New Roman;Times;Serif"/>
                <w:b w:val="false"/>
                <w:i w:val="false"/>
                <w:caps w:val="false"/>
                <w:smallCaps w:val="false"/>
                <w:sz w:val="18"/>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8"/>
        </w:rPr>
      </w:pPr>
      <w:r>
        <w:rPr>
          <w:rFonts w:ascii="Arial;Helvetica;Sans-Serif" w:hAnsi="Arial;Helvetica;Sans-Serif"/>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b w:val="false"/>
          <w:i w:val="false"/>
          <w:caps w:val="false"/>
          <w:smallCaps w:val="false"/>
          <w:sz w:val="18"/>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shareholders of Winnebago Industries, Inc. (the “Company” or the “Registrant”) approved the Winnebago Industries, Inc. Amended and Restated 2019 Omnibus Incentive Plan (as amended and restated, the “2019 Plan”) and the Winnebago Industries, Inc. Employee Stock Purchase Plan as Amended on May 17, 2023 (as amended, the “ESPP”) on December 14, 2023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Arial;Helvetica;Sans-Serif" w:hAnsi="Arial;Helvetica;Sans-Serif"/>
          <w:b w:val="false"/>
          <w:i w:val="false"/>
          <w:caps w:val="false"/>
          <w:smallCaps w:val="false"/>
          <w:sz w:val="18"/>
        </w:rPr>
        <w:t xml:space="preserve">This Registration Statement on Form S-8 is being filed with the Securities and Exchange Commission (the “Commission”) for the purpose of registering an additional 2,400,000 shares of common stock, $0.50 par value per share, of the Registrant (“Common Stock”) for issuance pursuant to the 2019 Plan and an additional 400,000 shares of Common Stock for issuance pursuant to the ESPP as of the Effective Date. These shares are in addition to the shares previously registered on Registrant’s Registration Statements on Form S-8 with respect to the 2019 Plan pursuant to a Registration Statement on </w:t>
      </w:r>
      <w:hyperlink r:id="rId3">
        <w:r>
          <w:rPr>
            <w:rStyle w:val="InternetLink"/>
            <w:rFonts w:ascii="Arial;Helvetica;Sans-Serif" w:hAnsi="Arial;Helvetica;Sans-Serif"/>
            <w:b w:val="false"/>
            <w:i w:val="false"/>
            <w:caps w:val="false"/>
            <w:smallCaps w:val="false"/>
            <w:sz w:val="18"/>
          </w:rPr>
          <w:t>Form S-8 (No. 333-232220)</w:t>
        </w:r>
      </w:hyperlink>
      <w:r>
        <w:rPr>
          <w:rFonts w:ascii="Arial;Helvetica;Sans-Serif" w:hAnsi="Arial;Helvetica;Sans-Serif"/>
          <w:b w:val="false"/>
          <w:i w:val="false"/>
          <w:caps w:val="false"/>
          <w:smallCaps w:val="false"/>
          <w:sz w:val="18"/>
        </w:rPr>
        <w:t xml:space="preserve"> and the ESPP pursuant to Registration Statement on </w:t>
      </w:r>
      <w:hyperlink r:id="rId4">
        <w:r>
          <w:rPr>
            <w:rStyle w:val="InternetLink"/>
            <w:rFonts w:ascii="Arial;Helvetica;Sans-Serif" w:hAnsi="Arial;Helvetica;Sans-Serif"/>
            <w:b w:val="false"/>
            <w:i w:val="false"/>
            <w:caps w:val="false"/>
            <w:smallCaps w:val="false"/>
            <w:sz w:val="18"/>
          </w:rPr>
          <w:t>Form S-8 (No. 333-222261)</w:t>
        </w:r>
      </w:hyperlink>
      <w:r>
        <w:rPr>
          <w:rFonts w:ascii="Arial;Helvetica;Sans-Serif" w:hAnsi="Arial;Helvetica;Sans-Serif"/>
          <w:b w:val="false"/>
          <w:i w:val="false"/>
          <w:caps w:val="false"/>
          <w:smallCaps w:val="false"/>
          <w:sz w:val="18"/>
        </w:rPr>
        <w:t>.</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PART I</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documents containing the information specified in Part I of Form S-8 have been or will be sent or given to participants as specified by Rule 428(b)(1) under the Securities Act of 1933, as amended (the “Securities Act”). These documents and the documents incorporated by reference herein pursuant to Item 3 of Part II hereof, taken together, constitute a prospectus that meets the requirements of Section 10(a) of the Securities Act.</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PART II</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Registrant hereby incorporates by reference into this Registration Statement the following documents filed with the Securities and Exchange Commission (the “Commission”):</w:t>
      </w:r>
    </w:p>
    <w:p>
      <w:pPr>
        <w:pStyle w:val="TextBody"/>
        <w:bidi w:val="0"/>
        <w:spacing w:before="0" w:after="0"/>
        <w:ind w:left="130" w:right="13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left"/>
              <w:rPr/>
            </w:pPr>
            <w:r>
              <w:rPr/>
              <w:t xml:space="preserve">The Registrant’s Annual Report on </w:t>
            </w:r>
            <w:hyperlink r:id="rId5">
              <w:r>
                <w:rPr>
                  <w:rStyle w:val="InternetLink"/>
                </w:rPr>
                <w:t>Form 10-K for the year ended August 26, 2023</w:t>
              </w:r>
            </w:hyperlink>
            <w:r>
              <w:rPr/>
              <w:t>, including information specifically incorporated by reference into our Annual Report from our definitive proxy statement on Schedule 14A for our 2023 Annual Meeting of Shareholders, filed with the Commission on October 18, 2023;</w:t>
            </w:r>
          </w:p>
        </w:tc>
      </w:tr>
    </w:tbl>
    <w:p>
      <w:pPr>
        <w:pStyle w:val="TextBody"/>
        <w:bidi w:val="0"/>
        <w:spacing w:before="0" w:after="0"/>
        <w:ind w:left="0" w:right="0" w:hanging="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305"/>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w:t>
            </w:r>
          </w:p>
        </w:tc>
        <w:tc>
          <w:tcPr>
            <w:tcW w:w="9680" w:type="dxa"/>
            <w:tcBorders/>
            <w:vAlign w:val="center"/>
          </w:tcPr>
          <w:p>
            <w:pPr>
              <w:pStyle w:val="TableContents"/>
              <w:bidi w:val="0"/>
              <w:spacing w:before="0" w:after="283"/>
              <w:jc w:val="left"/>
              <w:rPr/>
            </w:pPr>
            <w:r>
              <w:rPr>
                <w:rFonts w:ascii="Arial;Helvetica;Sans-Serif" w:hAnsi="Arial;Helvetica;Sans-Serif"/>
              </w:rPr>
              <w:t xml:space="preserve">The Registrant’s Quarterly Report on Form 10-Q for the quarter ended </w:t>
            </w:r>
            <w:hyperlink r:id="rId6">
              <w:r>
                <w:rPr>
                  <w:rStyle w:val="InternetLink"/>
                  <w:rFonts w:ascii="Arial;Helvetica;Sans-Serif" w:hAnsi="Arial;Helvetica;Sans-Serif"/>
                </w:rPr>
                <w:t>November 25, 2023</w:t>
              </w:r>
            </w:hyperlink>
            <w:r>
              <w:rPr>
                <w:rFonts w:ascii="Arial;Helvetica;Sans-Serif" w:hAnsi="Arial;Helvetica;Sans-Serif"/>
              </w:rPr>
              <w:t xml:space="preserve">; </w:t>
            </w:r>
          </w:p>
        </w:tc>
      </w:tr>
    </w:tbl>
    <w:p>
      <w:pPr>
        <w:pStyle w:val="TextBody"/>
        <w:bidi w:val="0"/>
        <w:spacing w:before="0" w:after="0"/>
        <w:ind w:left="130" w:right="13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29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9785" w:type="dxa"/>
            <w:tcBorders/>
            <w:vAlign w:val="center"/>
          </w:tcPr>
          <w:p>
            <w:pPr>
              <w:pStyle w:val="TableContents"/>
              <w:bidi w:val="0"/>
              <w:spacing w:before="0" w:after="283"/>
              <w:jc w:val="left"/>
              <w:rPr/>
            </w:pPr>
            <w:r>
              <w:rPr/>
              <w:t xml:space="preserve">The Registrant’s Current Reports on Form 8-K filed on </w:t>
            </w:r>
            <w:hyperlink r:id="rId7">
              <w:r>
                <w:rPr>
                  <w:rStyle w:val="InternetLink"/>
                </w:rPr>
                <w:t>October 13, 2023</w:t>
              </w:r>
            </w:hyperlink>
            <w:r>
              <w:rPr/>
              <w:t xml:space="preserve"> and </w:t>
            </w:r>
            <w:hyperlink r:id="rId8">
              <w:r>
                <w:rPr>
                  <w:rStyle w:val="InternetLink"/>
                </w:rPr>
                <w:t>December 18, 2023</w:t>
              </w:r>
            </w:hyperlink>
            <w:r>
              <w:rPr/>
              <w:t>; and</w:t>
            </w:r>
          </w:p>
        </w:tc>
      </w:tr>
    </w:tbl>
    <w:p>
      <w:pPr>
        <w:pStyle w:val="TextBody"/>
        <w:bidi w:val="0"/>
        <w:spacing w:before="0" w:after="0"/>
        <w:ind w:left="1170" w:right="0" w:hanging="45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(4)</w:t>
            </w:r>
          </w:p>
        </w:tc>
        <w:tc>
          <w:tcPr>
            <w:tcW w:w="9928" w:type="dxa"/>
            <w:tcBorders/>
            <w:vAlign w:val="center"/>
          </w:tcPr>
          <w:p>
            <w:pPr>
              <w:pStyle w:val="TableContents"/>
              <w:bidi w:val="0"/>
              <w:spacing w:before="0" w:after="283"/>
              <w:jc w:val="left"/>
              <w:rPr/>
            </w:pPr>
            <w:r>
              <w:rPr/>
              <w:t xml:space="preserve">The description of the Registrant’s Common Stock contained in </w:t>
            </w:r>
            <w:hyperlink r:id="rId9">
              <w:r>
                <w:rPr>
                  <w:rStyle w:val="InternetLink"/>
                </w:rPr>
                <w:t>Exhibit 4.1</w:t>
              </w:r>
            </w:hyperlink>
            <w:r>
              <w:rPr/>
              <w:t xml:space="preserve"> to the Registrant’s Annual Report on Form 10-K for the year ended August 26, 2023 filed with the Commission on October 18, 2023, and any amendment or report filed for the purpose of updating such description.</w:t>
            </w:r>
          </w:p>
        </w:tc>
      </w:tr>
    </w:tbl>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All reports and other documents filed by the Company pursuant to Sections 13(a), 13(c), 14, or 15(d) of the Exchange Act prior to the filing of a post-effective amendment that indicates that all of the shares of Common Stock offered have been sold or that deregisters all shares of the Common Stock then remaining unsold shall be deemed to be incorporated by reference in and a part of this Registration Statement from the date of filing of such documents.</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Notwithstanding the foregoing, nothing in this Registration Statement shall be deemed to incorporate any information deemed to be furnished and not filed with the Commission and exhibits furnished in connection with such items, including the information we disclose under Item 2.02 or Item 7.01 of any Current Report on Form 8-K that we may from time to time furnish with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4. Description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Company’s Common Stock is registered under Section 12 of the Exchange Act and, therefore, the description of securities is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5. Interests of Named Experts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is subject to Minnesota Statutes Chapter 302A, the Minnesota Business Corporation Act (the “Corporation Act”). Section 302A.521 of the Corporation Act provides in substance that the Company must indemnify a person, including an officer or director, who is made or threatened to be made a party to a proceeding by reason of the former or present official capacity of the person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seeking indemnification, are (i) that such person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(ii) that such person must have acted in good faith; (iii) that no improper personal benefit was obtained by such person and such person satisfied certain statutory conflicts of interest provisions, if applicable; (iv) that in the case of a criminal proceeding, such person had no reasonable cause to believe that the conduct was unlawful; and (v) that, in the case of acts or omissions occurring in such person’s performance in an official capacity, such person must have acted in a manner such person reasonably believed was in the best interests of the corporation or, in certain limited circumstances, not opposed to the best interests of the corporation. In addition, Section 302A.521, Subdivision 3, requires payment by the Company, upon written request, of reasonable expenses in advance of final disposition in certain instances. A decision as to required indemnification is made by a majority of the disinterested board of directors present at a meeting at which a disinterested quorum is present, or by a designated committee of disinterested directors, by special legal counsel, by the disinterested shareholders, or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also maintains a director and officer insurance policy to insure its directors and officers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7. Exemption from Registration Claimed.</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130" w:right="13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Not applicable. No securities are to be re-offered or resold pursuant to this Registration Statement.</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8. Exhibits.</w:t>
      </w:r>
    </w:p>
    <w:p>
      <w:pPr>
        <w:pStyle w:val="TextBody"/>
        <w:bidi w:val="0"/>
        <w:spacing w:before="0" w:after="0"/>
        <w:ind w:left="130" w:right="13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2"/>
        <w:gridCol w:w="9463"/>
      </w:tblGrid>
      <w:tr>
        <w:trPr/>
        <w:tc>
          <w:tcPr>
            <w:tcW w:w="742" w:type="dxa"/>
            <w:tcBorders/>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 xml:space="preserve">Exhibit </w:t>
              <w:br/>
              <w:t xml:space="preserve">Number </w:t>
            </w:r>
          </w:p>
        </w:tc>
        <w:tc>
          <w:tcPr>
            <w:tcW w:w="946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Description</w:t>
            </w:r>
          </w:p>
        </w:tc>
      </w:tr>
      <w:tr>
        <w:trPr/>
        <w:tc>
          <w:tcPr>
            <w:tcW w:w="742" w:type="dxa"/>
            <w:tcBorders>
              <w:top w:val="single" w:sz="8" w:space="0" w:color="000000"/>
            </w:tcBorders>
            <w:tcMar>
              <w:top w:w="30" w:type="dxa"/>
            </w:tcMar>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4.1</w:t>
            </w:r>
          </w:p>
        </w:tc>
        <w:tc>
          <w:tcPr>
            <w:tcW w:w="9463" w:type="dxa"/>
            <w:tcBorders>
              <w:top w:val="single" w:sz="8" w:space="0" w:color="000000"/>
            </w:tcBorders>
            <w:tcMar>
              <w:top w:w="30" w:type="dxa"/>
            </w:tcMar>
            <w:vAlign w:val="center"/>
          </w:tcPr>
          <w:p>
            <w:pPr>
              <w:pStyle w:val="TableContents"/>
              <w:bidi w:val="0"/>
              <w:spacing w:before="0" w:after="283"/>
              <w:jc w:val="left"/>
              <w:rPr/>
            </w:pPr>
            <w:hyperlink r:id="rId10">
              <w:r>
                <w:rPr>
                  <w:rStyle w:val="InternetLink"/>
                  <w:rFonts w:ascii="Arial;Helvetica;Sans-Serif" w:hAnsi="Arial;Helvetica;Sans-Serif"/>
                  <w:b w:val="false"/>
                </w:rPr>
                <w:t>Articles of Incorporation of the Registrant. (Incorporated by reference to Exhibit 3.1 of the Company’s Current Report on Form 8-K filed on January 5, 2022.)</w:t>
              </w:r>
            </w:hyperlink>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4.2</w:t>
            </w:r>
          </w:p>
        </w:tc>
        <w:tc>
          <w:tcPr>
            <w:tcW w:w="9463" w:type="dxa"/>
            <w:tcBorders/>
            <w:vAlign w:val="center"/>
          </w:tcPr>
          <w:p>
            <w:pPr>
              <w:pStyle w:val="TableContents"/>
              <w:bidi w:val="0"/>
              <w:spacing w:before="0" w:after="283"/>
              <w:jc w:val="left"/>
              <w:rPr/>
            </w:pPr>
            <w:hyperlink r:id="rId11">
              <w:r>
                <w:rPr>
                  <w:rStyle w:val="InternetLink"/>
                  <w:rFonts w:ascii="Arial;Helvetica;Sans-Serif" w:hAnsi="Arial;Helvetica;Sans-Serif"/>
                  <w:b w:val="false"/>
                </w:rPr>
                <w:t>Bylaws of the Registrant. (Incorporated by reference to Exhibit 3.2 of the Company’s Current Report on Form 8-K filed on August 17, 2023.)</w:t>
              </w:r>
            </w:hyperlink>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5.1</w:t>
            </w:r>
          </w:p>
        </w:tc>
        <w:tc>
          <w:tcPr>
            <w:tcW w:w="9463" w:type="dxa"/>
            <w:tcBorders/>
            <w:vAlign w:val="center"/>
          </w:tcPr>
          <w:p>
            <w:pPr>
              <w:pStyle w:val="TableContents"/>
              <w:bidi w:val="0"/>
              <w:spacing w:before="0" w:after="283"/>
              <w:jc w:val="left"/>
              <w:rPr/>
            </w:pPr>
            <w:hyperlink w:anchor="tm2333256d1_ex5-1.htm">
              <w:r>
                <w:rPr>
                  <w:rStyle w:val="InternetLink"/>
                  <w:rFonts w:ascii="Arial;Helvetica;Sans-Serif" w:hAnsi="Arial;Helvetica;Sans-Serif"/>
                  <w:b w:val="false"/>
                </w:rPr>
                <w:t>Opinion of Faegre Drinker Biddle &amp; Reath LLP. (Filed herewith.)</w:t>
              </w:r>
            </w:hyperlink>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10.1</w:t>
            </w:r>
          </w:p>
        </w:tc>
        <w:tc>
          <w:tcPr>
            <w:tcW w:w="9463" w:type="dxa"/>
            <w:tcBorders/>
            <w:vAlign w:val="center"/>
          </w:tcPr>
          <w:p>
            <w:pPr>
              <w:pStyle w:val="TableContents"/>
              <w:bidi w:val="0"/>
              <w:spacing w:before="0" w:after="283"/>
              <w:jc w:val="left"/>
              <w:rPr/>
            </w:pPr>
            <w:r>
              <w:fldChar w:fldCharType="begin"/>
            </w:r>
            <w:r>
              <w:rPr>
                <w:rStyle w:val="InternetLink"/>
                <w:b w:val="false"/>
                <w:rFonts w:ascii="Arial;Helvetica;Sans-Serif" w:hAnsi="Arial;Helvetica;Sans-Serif"/>
              </w:rPr>
              <w:instrText xml:space="preserve"> HYPERLINK "https://www.sec.gov/Archives/edgar/data/107687/000114036123051281/ny20008674x1_def14a.htm" \l "tAPPA"</w:instrText>
            </w:r>
            <w:r>
              <w:rPr>
                <w:rStyle w:val="InternetLink"/>
                <w:b w:val="false"/>
                <w:rFonts w:ascii="Arial;Helvetica;Sans-Serif" w:hAnsi="Arial;Helvetica;Sans-Serif"/>
              </w:rPr>
              <w:fldChar w:fldCharType="separate"/>
            </w:r>
            <w:r>
              <w:rPr>
                <w:rStyle w:val="InternetLink"/>
                <w:rFonts w:ascii="Arial;Helvetica;Sans-Serif" w:hAnsi="Arial;Helvetica;Sans-Serif"/>
                <w:b w:val="false"/>
              </w:rPr>
              <w:t>Winnebago Industries, Inc. Amended and Restated 2019 Omnibus Incentive Plan. (Incorporated by reference to Appendix A of the Company’s Proxy Statement on Definitive 14A filed on November 3, 2023.)</w:t>
            </w:r>
            <w:r>
              <w:rPr>
                <w:rStyle w:val="InternetLink"/>
                <w:b w:val="false"/>
                <w:rFonts w:ascii="Arial;Helvetica;Sans-Serif" w:hAnsi="Arial;Helvetica;Sans-Serif"/>
              </w:rPr>
              <w:fldChar w:fldCharType="end"/>
            </w:r>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10.2</w:t>
            </w:r>
          </w:p>
        </w:tc>
        <w:tc>
          <w:tcPr>
            <w:tcW w:w="9463" w:type="dxa"/>
            <w:tcBorders/>
            <w:vAlign w:val="center"/>
          </w:tcPr>
          <w:p>
            <w:pPr>
              <w:pStyle w:val="TableContents"/>
              <w:bidi w:val="0"/>
              <w:spacing w:before="0" w:after="283"/>
              <w:jc w:val="left"/>
              <w:rPr/>
            </w:pPr>
            <w:r>
              <w:fldChar w:fldCharType="begin"/>
            </w:r>
            <w:r>
              <w:rPr>
                <w:rStyle w:val="InternetLink"/>
                <w:b w:val="false"/>
                <w:rFonts w:ascii="Arial;Helvetica;Sans-Serif" w:hAnsi="Arial;Helvetica;Sans-Serif"/>
              </w:rPr>
              <w:instrText xml:space="preserve"> HYPERLINK "https://www.sec.gov/Archives/edgar/data/107687/000114036123051281/ny20008674x1_def14a.htm" \l "tAPPB"</w:instrText>
            </w:r>
            <w:r>
              <w:rPr>
                <w:rStyle w:val="InternetLink"/>
                <w:b w:val="false"/>
                <w:rFonts w:ascii="Arial;Helvetica;Sans-Serif" w:hAnsi="Arial;Helvetica;Sans-Serif"/>
              </w:rPr>
              <w:fldChar w:fldCharType="separate"/>
            </w:r>
            <w:r>
              <w:rPr>
                <w:rStyle w:val="InternetLink"/>
                <w:rFonts w:ascii="Arial;Helvetica;Sans-Serif" w:hAnsi="Arial;Helvetica;Sans-Serif"/>
                <w:b w:val="false"/>
              </w:rPr>
              <w:t>Winnebago Industries, Inc. Employee Stock Purchase Plan as Amended on May 17, 2023. (Incorporated by reference to Appendix B of the Company’s Proxy Statement on Definitive 14A filed on November 3, 2023.)</w:t>
            </w:r>
            <w:r>
              <w:rPr>
                <w:rStyle w:val="InternetLink"/>
                <w:b w:val="false"/>
                <w:rFonts w:ascii="Arial;Helvetica;Sans-Serif" w:hAnsi="Arial;Helvetica;Sans-Serif"/>
              </w:rPr>
              <w:fldChar w:fldCharType="end"/>
            </w:r>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23.1</w:t>
            </w:r>
          </w:p>
        </w:tc>
        <w:tc>
          <w:tcPr>
            <w:tcW w:w="9463" w:type="dxa"/>
            <w:tcBorders/>
            <w:vAlign w:val="center"/>
          </w:tcPr>
          <w:p>
            <w:pPr>
              <w:pStyle w:val="TableContents"/>
              <w:bidi w:val="0"/>
              <w:spacing w:before="0" w:after="283"/>
              <w:jc w:val="left"/>
              <w:rPr/>
            </w:pPr>
            <w:hyperlink w:anchor="tm2333256d1_ex23-1.htm">
              <w:r>
                <w:rPr>
                  <w:rStyle w:val="InternetLink"/>
                  <w:rFonts w:ascii="Arial;Helvetica;Sans-Serif" w:hAnsi="Arial;Helvetica;Sans-Serif"/>
                  <w:b w:val="false"/>
                </w:rPr>
                <w:t>Consent of Independent Registered Public Accounting Firm. (Filed herewith.)</w:t>
              </w:r>
            </w:hyperlink>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23.2</w:t>
            </w:r>
          </w:p>
        </w:tc>
        <w:tc>
          <w:tcPr>
            <w:tcW w:w="9463" w:type="dxa"/>
            <w:tcBorders/>
            <w:vAlign w:val="center"/>
          </w:tcPr>
          <w:p>
            <w:pPr>
              <w:pStyle w:val="TableContents"/>
              <w:bidi w:val="0"/>
              <w:spacing w:before="0" w:after="283"/>
              <w:jc w:val="left"/>
              <w:rPr/>
            </w:pPr>
            <w:hyperlink w:anchor="tm2333256d1_ex5-1.htm">
              <w:r>
                <w:rPr>
                  <w:rStyle w:val="InternetLink"/>
                  <w:rFonts w:ascii="Arial;Helvetica;Sans-Serif" w:hAnsi="Arial;Helvetica;Sans-Serif"/>
                  <w:b w:val="false"/>
                </w:rPr>
                <w:t>Consent of Faegre Drinker Biddle &amp; Reath LLP. (Included in Exhibit 5.1.)</w:t>
              </w:r>
            </w:hyperlink>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24</w:t>
            </w:r>
          </w:p>
        </w:tc>
        <w:tc>
          <w:tcPr>
            <w:tcW w:w="9463" w:type="dxa"/>
            <w:tcBorders/>
            <w:vAlign w:val="center"/>
          </w:tcPr>
          <w:p>
            <w:pPr>
              <w:pStyle w:val="TableContents"/>
              <w:bidi w:val="0"/>
              <w:spacing w:before="0" w:after="283"/>
              <w:jc w:val="left"/>
              <w:rPr/>
            </w:pPr>
            <w:hyperlink w:anchor="a_001">
              <w:r>
                <w:rPr>
                  <w:rStyle w:val="InternetLink"/>
                  <w:rFonts w:ascii="Arial;Helvetica;Sans-Serif" w:hAnsi="Arial;Helvetica;Sans-Serif"/>
                  <w:b w:val="false"/>
                </w:rPr>
                <w:t>Power of Attorney. (Included on the Signature Page of this Registration Statement.)</w:t>
              </w:r>
            </w:hyperlink>
          </w:p>
        </w:tc>
      </w:tr>
      <w:tr>
        <w:trPr/>
        <w:tc>
          <w:tcPr>
            <w:tcW w:w="742" w:type="dxa"/>
            <w:tcBorders/>
            <w:vAlign w:val="center"/>
          </w:tcPr>
          <w:p>
            <w:pPr>
              <w:pStyle w:val="TableContents"/>
              <w:bidi w:val="0"/>
              <w:spacing w:before="0" w:after="283"/>
              <w:jc w:val="center"/>
              <w:rPr>
                <w:rFonts w:ascii="Arial;Helvetica;Sans-Serif" w:hAnsi="Arial;Helvetica;Sans-Serif"/>
                <w:b w:val="false"/>
              </w:rPr>
            </w:pPr>
            <w:r>
              <w:rPr>
                <w:rFonts w:ascii="Arial;Helvetica;Sans-Serif" w:hAnsi="Arial;Helvetica;Sans-Serif"/>
                <w:b w:val="false"/>
              </w:rPr>
              <w:t>107</w:t>
            </w:r>
          </w:p>
        </w:tc>
        <w:tc>
          <w:tcPr>
            <w:tcW w:w="9463" w:type="dxa"/>
            <w:tcBorders/>
            <w:vAlign w:val="center"/>
          </w:tcPr>
          <w:p>
            <w:pPr>
              <w:pStyle w:val="TableContents"/>
              <w:bidi w:val="0"/>
              <w:spacing w:before="0" w:after="283"/>
              <w:jc w:val="left"/>
              <w:rPr/>
            </w:pPr>
            <w:hyperlink w:anchor="tm2333256d1_ex-filingfees.htm">
              <w:r>
                <w:rPr>
                  <w:rStyle w:val="InternetLink"/>
                  <w:rFonts w:ascii="Arial;Helvetica;Sans-Serif" w:hAnsi="Arial;Helvetica;Sans-Serif"/>
                  <w:b w:val="false"/>
                </w:rPr>
                <w:t>Calculation of Filing Fee Table. (Filed herewith.)</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Item 9. Undertakings.</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18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    The Company hereby undertakes:</w:t>
      </w:r>
    </w:p>
    <w:p>
      <w:pPr>
        <w:pStyle w:val="TextBody"/>
        <w:bidi w:val="0"/>
        <w:spacing w:before="0" w:after="0"/>
        <w:ind w:left="130" w:right="13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1260" w:right="0" w:hanging="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3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090" w:type="dxa"/>
            <w:tcBorders/>
            <w:vAlign w:val="center"/>
          </w:tcPr>
          <w:p>
            <w:pPr>
              <w:pStyle w:val="TableContents"/>
              <w:bidi w:val="0"/>
              <w:spacing w:before="0" w:after="283"/>
              <w:jc w:val="left"/>
              <w:rPr/>
            </w:pPr>
            <w:r>
              <w:rPr/>
              <w:t>To include any prospectus required by Section 10(a)(3) of the Securities Act of 1933;</w:t>
            </w:r>
          </w:p>
        </w:tc>
      </w:tr>
    </w:tbl>
    <w:p>
      <w:pPr>
        <w:pStyle w:val="TextBody"/>
        <w:bidi w:val="0"/>
        <w:spacing w:before="0" w:after="0"/>
        <w:ind w:left="12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left"/>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w:t>
            </w:r>
          </w:p>
        </w:tc>
      </w:tr>
    </w:tbl>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left"/>
              <w:rPr/>
            </w:pPr>
            <w:r>
              <w:rPr/>
              <w:t>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tc>
      </w:tr>
    </w:tbl>
    <w:p>
      <w:pPr>
        <w:pStyle w:val="TextBody"/>
        <w:bidi w:val="0"/>
        <w:spacing w:before="0" w:after="0"/>
        <w:ind w:left="16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1260" w:right="0" w:hanging="18"/>
        <w:jc w:val="left"/>
        <w:rPr>
          <w:caps w:val="false"/>
          <w:smallCaps w:val="false"/>
        </w:rPr>
      </w:pPr>
      <w:r>
        <w:rPr>
          <w:caps w:val="false"/>
          <w:smallCaps w:val="false"/>
        </w:rPr>
        <w:t> </w:t>
      </w:r>
    </w:p>
    <w:p>
      <w:pPr>
        <w:pStyle w:val="TextBody"/>
        <w:bidi w:val="0"/>
        <w:spacing w:before="0" w:after="0"/>
        <w:ind w:left="126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caps w:val="false"/>
          <w:smallCaps w:val="false"/>
          <w:sz w:val="18"/>
        </w:rPr>
        <w:t>provided, however</w:t>
      </w:r>
      <w:r>
        <w:rPr>
          <w:rFonts w:ascii="Arial;Helvetica;Sans-Serif" w:hAnsi="Arial;Helvetica;Sans-Serif"/>
          <w:b w:val="false"/>
          <w:i w:val="false"/>
          <w:caps w:val="false"/>
          <w:smallCaps w:val="false"/>
          <w:sz w:val="18"/>
        </w:rPr>
        <w:t>, that paragraphs (A)(1)(i) and (A)(1)(ii) do not apply if the Registration Statement is on Form S-8 and the information required to be included in a post-effective amendment by those paragraphs is contained in reports filed with or furnished to the Securities and Exchange Commission by the Company pursuant to Section 13 or Section 15(d) of the Securities Exchange Act of 1934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43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ind w:left="130" w:right="13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left"/>
              <w:rPr/>
            </w:pPr>
            <w:r>
              <w:rPr/>
              <w:t>The Company hereby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left"/>
              <w:rPr/>
            </w:pPr>
            <w:r>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Eden Prairie, State of Minnesota, on December 20, 2023.</w:t>
      </w:r>
    </w:p>
    <w:p>
      <w:pPr>
        <w:pStyle w:val="TextBody"/>
        <w:bidi w:val="0"/>
        <w:spacing w:before="0" w:after="0"/>
        <w:ind w:left="4320" w:right="130" w:firstLine="432"/>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275"/>
        <w:gridCol w:w="657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WINNEBAGO INDUSTRIES,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8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w:t>
            </w:r>
          </w:p>
        </w:tc>
        <w:tc>
          <w:tcPr>
            <w:tcW w:w="6575"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 Stacy L. Bogart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Stacy L. Bogart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5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Senior Vice President, General Counsel, Secretary and Corporate Responsibility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30" w:right="130" w:hanging="0"/>
        <w:jc w:val="center"/>
        <w:rPr>
          <w:rFonts w:ascii="Arial;Helvetica;Sans-Serif" w:hAnsi="Arial;Helvetica;Sans-Serif"/>
          <w:b/>
          <w:i w:val="false"/>
          <w:caps w:val="false"/>
          <w:smallCaps w:val="false"/>
          <w:sz w:val="18"/>
        </w:rPr>
      </w:pPr>
      <w:bookmarkStart w:id="2" w:name="a_001"/>
      <w:bookmarkEnd w:id="2"/>
      <w:r>
        <w:rPr>
          <w:rFonts w:ascii="Arial;Helvetica;Sans-Serif" w:hAnsi="Arial;Helvetica;Sans-Serif"/>
          <w:b/>
          <w:i w:val="false"/>
          <w:caps w:val="false"/>
          <w:smallCaps w:val="false"/>
          <w:sz w:val="18"/>
        </w:rPr>
        <w:t>SIGNATURES AND POWER OF ATTORNEY</w:t>
      </w:r>
    </w:p>
    <w:p>
      <w:pPr>
        <w:pStyle w:val="TextBody"/>
        <w:bidi w:val="0"/>
        <w:spacing w:before="0" w:after="0"/>
        <w:ind w:left="130" w:right="13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undersigned director and/or officer of Winnebago Industries, Inc., a Minnesota corporation (the “Company”), does hereby make, constitute and appoint Michael J. Happe, Bryan L. Hughes and Stacy L. Bogart, and each of them, his or her true and lawful attorneys-in-fact, with full power of substitution, for the undersigned and in his or her name, place and stead, to sign and affix the undersigned’s name as director and/or officer of the Company to a Registration Statement or Registration Statements, on Form S-8 or other applicable form, and all amendments (including post-effective amendments) thereto, to be filed by the Company with the Securities and Exchange Commission (the “SEC”), in connection with the registration under the Securities Act of 1933, as amended, of shares of Common Stock or other securities proposed to be issued or sold by the Company pursuant to the Winnebago Industries, Inc. Amended and Restated 2019 Omnibus Incentive Plan and the Winnebago Industries, Inc. Employee Stock Purchase Program and to file the same with the SEC, granting unto these attorneys-in-fact, full power and authority to do and perform any and all acts necessary or incidental to the performance and execution of the powers herein expressly granted.</w:t>
      </w:r>
    </w:p>
    <w:p>
      <w:pPr>
        <w:pStyle w:val="TextBody"/>
        <w:bidi w:val="0"/>
        <w:spacing w:before="0" w:after="0"/>
        <w:ind w:left="130" w:right="13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Pursuant to the requirements of the Securities Act of 1933, this Registration Statement has been signed by the following persons in the capacities indicated on December 20, 2023.</w:t>
      </w:r>
    </w:p>
    <w:p>
      <w:pPr>
        <w:pStyle w:val="TextBody"/>
        <w:bidi w:val="0"/>
        <w:spacing w:before="0" w:after="0"/>
        <w:ind w:left="130" w:right="13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1940"/>
        <w:gridCol w:w="60"/>
        <w:gridCol w:w="3800"/>
      </w:tblGrid>
      <w:tr>
        <w:trPr/>
        <w:tc>
          <w:tcPr>
            <w:tcW w:w="1940" w:type="dxa"/>
            <w:tcBorders/>
            <w:vAlign w:val="center"/>
          </w:tcPr>
          <w:p>
            <w:pPr>
              <w:pStyle w:val="TableContents"/>
              <w:bidi w:val="0"/>
              <w:spacing w:before="0" w:after="283"/>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SIGNATURE</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TITLE</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Michael J. Happe</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Chief Executive Officer, President and 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Michael J. Happe</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(Principal Executive Officer)</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Bryan L. Hughes</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Senior Vice President, Chief Financial Officer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Bryan L. Hughes</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(Principal Financial and Accounting Officer)</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Sara E. Armbruster</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Sara E. Armbruster</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Christopher J. Braun</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Christopher J. Braun</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Kevin E. Bryant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Kevin E. Bryant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William C. Fisher</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William C. Fisher</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Staci L. Kroon</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Staci L. Kroon</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David W. Miles</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David W. Miles</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Richard D. Moss</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19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Richard D. Moss</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2680" w:type="dxa"/>
        <w:jc w:val="left"/>
        <w:tblInd w:w="0" w:type="dxa"/>
        <w:tblLayout w:type="fixed"/>
        <w:tblCellMar>
          <w:top w:w="0" w:type="dxa"/>
          <w:left w:w="0" w:type="dxa"/>
          <w:bottom w:w="28" w:type="dxa"/>
          <w:right w:w="0" w:type="dxa"/>
        </w:tblCellMar>
      </w:tblPr>
      <w:tblGrid>
        <w:gridCol w:w="2000"/>
        <w:gridCol w:w="680"/>
      </w:tblGrid>
      <w:tr>
        <w:trPr/>
        <w:tc>
          <w:tcPr>
            <w:tcW w:w="200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John M. Murabito</w:t>
            </w:r>
          </w:p>
        </w:tc>
        <w:tc>
          <w:tcPr>
            <w:tcW w:w="68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200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John M. Murabito</w:t>
            </w:r>
          </w:p>
        </w:tc>
        <w:tc>
          <w:tcPr>
            <w:tcW w:w="6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Jacqueline D. Woods</w:t>
            </w:r>
          </w:p>
        </w:tc>
        <w:tc>
          <w:tcPr>
            <w:tcW w:w="68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Director</w:t>
            </w:r>
          </w:p>
        </w:tc>
      </w:tr>
      <w:tr>
        <w:trPr/>
        <w:tc>
          <w:tcPr>
            <w:tcW w:w="200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Jacqueline D. Woods</w:t>
            </w:r>
          </w:p>
        </w:tc>
        <w:tc>
          <w:tcPr>
            <w:tcW w:w="6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130" w:right="130" w:hanging="0"/>
        <w:jc w:val="center"/>
        <w:rPr>
          <w:rFonts w:ascii="Arial;Helvetica;Sans-Serif" w:hAnsi="Arial;Helvetica;Sans-Serif"/>
          <w:b w:val="false"/>
          <w:i w:val="false"/>
          <w:caps w:val="false"/>
          <w:smallCaps w:val="false"/>
          <w:sz w:val="18"/>
          <w:bdr w:val="single" w:sz="8" w:space="1" w:color="000000"/>
        </w:rPr>
      </w:pPr>
      <w:r>
        <w:rPr>
          <w:rFonts w:ascii="Arial;Helvetica;Sans-Serif" w:hAnsi="Arial;Helvetica;Sans-Serif"/>
          <w:b w:val="false"/>
          <w:i w:val="false"/>
          <w:caps w:val="false"/>
          <w:smallCaps w:val="false"/>
          <w:sz w:val="18"/>
          <w:bdr w:val="single" w:sz="8" w:space="1" w:color="000000"/>
        </w:rPr>
        <w:t>6</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rPr>
      </w:pPr>
      <w:bookmarkStart w:id="3" w:name="tm2333256d1_ex5-1.htm"/>
      <w:bookmarkStart w:id="4" w:name="kstm2333256d1_ex51"/>
      <w:bookmarkEnd w:id="3"/>
      <w:bookmarkEnd w:id="4"/>
      <w:r>
        <w:rPr>
          <w:rFonts w:ascii="Arial;Helvetica;Sans-Serif" w:hAnsi="Arial;Helvetica;Sans-Serif"/>
          <w:b/>
          <w:i w:val="false"/>
          <w:caps w:val="false"/>
          <w:smallCaps w:val="false"/>
          <w:sz w:val="18"/>
        </w:rPr>
        <w:t>Exhibit 5.1</w:t>
      </w:r>
      <w:r>
        <w:br w:type="page"/>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Faegre Drinker Biddle &amp; Reath LLP</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2200 Wells Fargo Center, 90 South Seventh Street</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Minneapolis, Minnesota 55402-3901</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Phone +1 612 766 7000</w:t>
      </w:r>
    </w:p>
    <w:p>
      <w:pPr>
        <w:pStyle w:val="TextBody"/>
        <w:bidi w:val="0"/>
        <w:spacing w:before="0" w:after="0"/>
        <w:ind w:left="0" w:right="0" w:hanging="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Fax +1 612 766 1600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December 20, 2023</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Winnebago Industries, Inc.</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13200 Pioneer Trail</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Eden Prairie, Minnesota 55347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Re: </w:t>
      </w:r>
      <w:r>
        <w:rPr>
          <w:rFonts w:ascii="Arial;Helvetica;Sans-Serif" w:hAnsi="Arial;Helvetica;Sans-Serif"/>
          <w:b w:val="false"/>
          <w:i w:val="false"/>
          <w:caps w:val="false"/>
          <w:smallCaps w:val="false"/>
          <w:sz w:val="18"/>
          <w:u w:val="single"/>
        </w:rPr>
        <w:t>Registration Statement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have acted as counsel to Winnebago Industries, Inc., a Minnesota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(i) an additional 2,400,000 shares of the Company’s Common Stock, $.50 par value per share (the “2019 Plan Shares”), which may be issued pursuant to the Winnebago Industries, Inc. 2019 Amended and Restated Omnibus Incentive Plan (as amended and restated, the “2019 Plan”), and (ii) an additional 400,000 shares of the Company’s Common Stock, $.50 par value per share (the “ESPP Shares” and, together with the 2019 Shares, the “Shares”), which may be issued pursuant to the Winnebago Industries, Inc. Employee Stock Purchase Program as Amended on May 17, 2023 (as amended, the “ESPP” and, together with the 2019 Plan,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purposes of this opinion letter, we have examined the Plans, the Registration Statement, the Articles of Incorporation, as currently in effect, and the Bylaws, as currently in effect, of the Company, the resolutions of the Company’s board of directors authorizing the issuance of the Shares and such corporate and other records, agreements, instruments, certificates of public officials and documents as we have deemed necessary as a basis for the opinions hereinafter expressed and have made such examination of statutes as we have deemed relevant and necessary in connection with the opinions hereinafter expressed. As to facts material to this opinion letter, we have relied upon certificates, statements, or representations of public officials, of officers and representatives of the Company and of others, without any independent verification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records, documents, instruments, certificates and records we have reviewed; and (vii) the absence of any undisclosed modifications to the agreements and instruments reviewed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Based on and subject to the foregoing and to the other qualifications, assumptions and limitations set forth herein, we are of the opinion that all necessary corporate action on the part of the Company has been taken to authorize the issuance and sale of the Shares to be issued in accordance with the applicable Plan and that, when (a) the Shares have been issued and sold as contemplated in the Registration Statement and related prospectus and in accordance with the applicable Plan, and (b) the consideration for the Shares specified in the applicable Plan has been received by the Company, the Shares will be validly issued, fully paid and nonassessable.</w:t>
      </w:r>
    </w:p>
    <w:p>
      <w:pPr>
        <w:pStyle w:val="TextBody"/>
        <w:bidi w:val="0"/>
        <w:spacing w:before="0" w:after="0"/>
        <w:ind w:left="0" w:right="0" w:firstLine="432"/>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are admitted to the practice of law in the State of Minnesota.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Yours very truly,</w:t>
      </w:r>
    </w:p>
    <w:p>
      <w:pPr>
        <w:pStyle w:val="TextBody"/>
        <w:bidi w:val="0"/>
        <w:spacing w:before="0" w:after="0"/>
        <w:ind w:left="0" w:right="0" w:hanging="0"/>
        <w:jc w:val="left"/>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579"/>
        <w:gridCol w:w="295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FAEGRE DRINKER BIDDLE &amp; REATH LLP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5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By:</w:t>
            </w:r>
          </w:p>
        </w:tc>
        <w:tc>
          <w:tcPr>
            <w:tcW w:w="295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Amy C. Seidel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79"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Amy C. Seidel</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rPr>
      </w:pPr>
      <w:bookmarkStart w:id="5" w:name="tm2333256d1_ex23-1.htm"/>
      <w:bookmarkStart w:id="6" w:name="kstm2333256d1_ex231"/>
      <w:bookmarkEnd w:id="5"/>
      <w:bookmarkEnd w:id="6"/>
      <w:r>
        <w:rPr>
          <w:rFonts w:ascii="Arial;Helvetica;Sans-Serif" w:hAnsi="Arial;Helvetica;Sans-Serif"/>
          <w:b/>
          <w:i w:val="false"/>
          <w:caps w:val="false"/>
          <w:smallCaps w:val="false"/>
          <w:sz w:val="18"/>
        </w:rPr>
        <w:t>Exhibit 23.1</w:t>
      </w:r>
      <w:r>
        <w:br w:type="page"/>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CONSENT OF INDEPENDENT REGISTERED PUBLIC ACCOUNTING FIRM</w:t>
      </w:r>
    </w:p>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We consent to the incorporation by reference in this Registration Statement on Form S-8 of our reports dated October 18, 2023, relating to the financial statements of Winnebago Industries, Inc. and the effectiveness of Winnebago Industries, Inc.’s internal control over financial reporting, appearing in the Annual Report on Form 10-K of Winnebago Industries, Inc. for the year ended August 26,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18"/>
        </w:rPr>
      </w:pPr>
      <w:r>
        <w:rPr>
          <w:rFonts w:ascii="Arial;Helvetica;Sans-Serif" w:hAnsi="Arial;Helvetica;Sans-Serif"/>
          <w:b w:val="false"/>
          <w:i/>
          <w:caps w:val="false"/>
          <w:smallCaps w:val="false"/>
          <w:sz w:val="18"/>
        </w:rPr>
        <w:t>/s/ Deloitte &amp; Touch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Minneapolis, Minnesota</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December 20,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Arial;Helvetica;Sans-Serif" w:hAnsi="Arial;Helvetica;Sans-Serif"/>
          <w:b/>
          <w:i w:val="false"/>
          <w:caps w:val="false"/>
          <w:smallCaps w:val="false"/>
          <w:sz w:val="18"/>
        </w:rPr>
      </w:pPr>
      <w:bookmarkStart w:id="7" w:name="tm2333256d1_ex-filingfees.htm"/>
      <w:bookmarkStart w:id="8" w:name="kstm2333256d1_exfilingfees"/>
      <w:bookmarkEnd w:id="7"/>
      <w:bookmarkEnd w:id="8"/>
      <w:r>
        <w:rPr>
          <w:rFonts w:ascii="Arial;Helvetica;Sans-Serif" w:hAnsi="Arial;Helvetica;Sans-Serif"/>
          <w:b/>
          <w:i w:val="false"/>
          <w:caps w:val="false"/>
          <w:smallCaps w:val="false"/>
          <w:sz w:val="18"/>
        </w:rPr>
        <w:t>Exhibit 107</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1980" w:right="1664"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CALCULATION OF FILING FEE TABLE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Form S-8</w:t>
      </w:r>
    </w:p>
    <w:p>
      <w:pPr>
        <w:pStyle w:val="TextBody"/>
        <w:bidi w:val="0"/>
        <w:spacing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60" w:right="117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WINNEBAGO INDUSTRIES, INC.</w:t>
      </w:r>
    </w:p>
    <w:p>
      <w:pPr>
        <w:pStyle w:val="TextBody"/>
        <w:bidi w:val="0"/>
        <w:spacing w:before="0" w:after="0"/>
        <w:ind w:left="1260" w:right="117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66" w:right="1664" w:hanging="0"/>
        <w:jc w:val="center"/>
        <w:rPr>
          <w:rFonts w:ascii="Arial;Helvetica;Sans-Serif" w:hAnsi="Arial;Helvetica;Sans-Serif"/>
          <w:b w:val="false"/>
          <w:i w:val="false"/>
          <w:caps w:val="false"/>
          <w:smallCaps w:val="false"/>
          <w:sz w:val="18"/>
          <w:u w:val="single"/>
        </w:rPr>
      </w:pPr>
      <w:r>
        <w:rPr>
          <w:rFonts w:ascii="Arial;Helvetica;Sans-Serif" w:hAnsi="Arial;Helvetica;Sans-Serif"/>
          <w:b w:val="false"/>
          <w:i w:val="false"/>
          <w:caps w:val="false"/>
          <w:smallCaps w:val="false"/>
          <w:sz w:val="18"/>
          <w:u w:val="single"/>
        </w:rPr>
        <w:t>Table 1: Newly Registered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90" w:type="dxa"/>
          <w:bottom w:w="28" w:type="dxa"/>
          <w:right w:w="74" w:type="dxa"/>
        </w:tblCellMar>
      </w:tblPr>
      <w:tblGrid>
        <w:gridCol w:w="982"/>
        <w:gridCol w:w="1168"/>
        <w:gridCol w:w="1339"/>
        <w:gridCol w:w="1349"/>
        <w:gridCol w:w="1145"/>
        <w:gridCol w:w="1494"/>
        <w:gridCol w:w="1295"/>
        <w:gridCol w:w="1433"/>
      </w:tblGrid>
      <w:tr>
        <w:trPr/>
        <w:tc>
          <w:tcPr>
            <w:tcW w:w="98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 xml:space="preserve">Security </w:t>
              <w:br/>
              <w:t>Type</w:t>
            </w:r>
          </w:p>
        </w:tc>
        <w:tc>
          <w:tcPr>
            <w:tcW w:w="1168"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ind w:left="0" w:right="0" w:hanging="1"/>
              <w:jc w:val="center"/>
              <w:rPr>
                <w:rFonts w:ascii="Arial;Helvetica;Sans-Serif" w:hAnsi="Arial;Helvetica;Sans-Serif"/>
                <w:b/>
              </w:rPr>
            </w:pPr>
            <w:r>
              <w:rPr>
                <w:rFonts w:ascii="Arial;Helvetica;Sans-Serif" w:hAnsi="Arial;Helvetica;Sans-Serif"/>
                <w:b/>
              </w:rPr>
              <w:t>Security</w:t>
              <w:br/>
              <w:t>Class Title</w:t>
            </w:r>
          </w:p>
        </w:tc>
        <w:tc>
          <w:tcPr>
            <w:tcW w:w="1339"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 xml:space="preserve">Fee </w:t>
              <w:br/>
              <w:t>Calculation</w:t>
              <w:br/>
              <w:t>Rule</w:t>
            </w:r>
          </w:p>
        </w:tc>
        <w:tc>
          <w:tcPr>
            <w:tcW w:w="1349" w:type="dxa"/>
            <w:tcBorders>
              <w:top w:val="single" w:sz="8" w:space="0" w:color="000000"/>
              <w:bottom w:val="single" w:sz="8" w:space="0" w:color="000000"/>
              <w:right w:val="single" w:sz="8" w:space="0" w:color="000000"/>
            </w:tcBorders>
            <w:tcMar>
              <w:left w:w="0" w:type="dxa"/>
              <w:right w:w="75" w:type="dxa"/>
            </w:tcMar>
            <w:vAlign w:val="center"/>
          </w:tcPr>
          <w:p>
            <w:pPr>
              <w:pStyle w:val="TableContents"/>
              <w:bidi w:val="0"/>
              <w:spacing w:before="0" w:after="283"/>
              <w:ind w:left="0" w:right="0" w:hanging="1"/>
              <w:jc w:val="center"/>
              <w:rPr>
                <w:rFonts w:ascii="Arial;Helvetica;Sans-Serif" w:hAnsi="Arial;Helvetica;Sans-Serif"/>
                <w:b/>
              </w:rPr>
            </w:pPr>
            <w:r>
              <w:rPr>
                <w:rFonts w:ascii="Arial;Helvetica;Sans-Serif" w:hAnsi="Arial;Helvetica;Sans-Serif"/>
                <w:b/>
              </w:rPr>
              <w:t>Amount</w:t>
              <w:br/>
              <w:t>Registered(1)</w:t>
            </w:r>
          </w:p>
        </w:tc>
        <w:tc>
          <w:tcPr>
            <w:tcW w:w="114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Proposed</w:t>
              <w:br/>
              <w:t>Maximum</w:t>
              <w:br/>
              <w:t>Offering</w:t>
              <w:br/>
              <w:t>Price Per</w:t>
              <w:br/>
              <w:t>Unit</w:t>
            </w:r>
          </w:p>
        </w:tc>
        <w:tc>
          <w:tcPr>
            <w:tcW w:w="1494" w:type="dxa"/>
            <w:tcBorders>
              <w:top w:val="single" w:sz="8" w:space="0" w:color="000000"/>
              <w:bottom w:val="single" w:sz="8" w:space="0" w:color="000000"/>
              <w:right w:val="single" w:sz="8" w:space="0" w:color="000000"/>
            </w:tcBorders>
            <w:tcMar>
              <w:left w:w="0" w:type="dxa"/>
              <w:right w:w="93"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 xml:space="preserve">Maximum </w:t>
              <w:br/>
              <w:t>Aggregate</w:t>
              <w:br/>
              <w:t>Offering Price</w:t>
            </w:r>
          </w:p>
        </w:tc>
        <w:tc>
          <w:tcPr>
            <w:tcW w:w="1295" w:type="dxa"/>
            <w:tcBorders>
              <w:top w:val="single" w:sz="8" w:space="0" w:color="000000"/>
              <w:bottom w:val="single" w:sz="8" w:space="0" w:color="000000"/>
              <w:right w:val="single" w:sz="8" w:space="0" w:color="000000"/>
            </w:tcBorders>
            <w:tcMar>
              <w:left w:w="0" w:type="dxa"/>
              <w:right w:w="111" w:type="dxa"/>
            </w:tcMar>
            <w:vAlign w:val="center"/>
          </w:tcPr>
          <w:p>
            <w:pPr>
              <w:pStyle w:val="TableContents"/>
              <w:bidi w:val="0"/>
              <w:spacing w:before="0" w:after="283"/>
              <w:ind w:left="0" w:right="0" w:hanging="3"/>
              <w:jc w:val="center"/>
              <w:rPr>
                <w:rFonts w:ascii="Arial;Helvetica;Sans-Serif" w:hAnsi="Arial;Helvetica;Sans-Serif"/>
                <w:b/>
              </w:rPr>
            </w:pPr>
            <w:r>
              <w:rPr>
                <w:rFonts w:ascii="Arial;Helvetica;Sans-Serif" w:hAnsi="Arial;Helvetica;Sans-Serif"/>
                <w:b/>
              </w:rPr>
              <w:t>Fee Rate</w:t>
            </w:r>
          </w:p>
        </w:tc>
        <w:tc>
          <w:tcPr>
            <w:tcW w:w="1433" w:type="dxa"/>
            <w:tcBorders>
              <w:top w:val="single" w:sz="8" w:space="0" w:color="000000"/>
              <w:bottom w:val="single" w:sz="8" w:space="0" w:color="000000"/>
              <w:right w:val="single" w:sz="8" w:space="0" w:color="000000"/>
            </w:tcBorders>
            <w:tcMar>
              <w:left w:w="0" w:type="dxa"/>
              <w:right w:w="93" w:type="dxa"/>
            </w:tcMar>
            <w:vAlign w:val="center"/>
          </w:tcPr>
          <w:p>
            <w:pPr>
              <w:pStyle w:val="TableContents"/>
              <w:bidi w:val="0"/>
              <w:spacing w:before="0" w:after="283"/>
              <w:jc w:val="center"/>
              <w:rPr>
                <w:rFonts w:ascii="Arial;Helvetica;Sans-Serif" w:hAnsi="Arial;Helvetica;Sans-Serif"/>
                <w:b/>
              </w:rPr>
            </w:pPr>
            <w:r>
              <w:rPr>
                <w:rFonts w:ascii="Arial;Helvetica;Sans-Serif" w:hAnsi="Arial;Helvetica;Sans-Serif"/>
                <w:b/>
              </w:rPr>
              <w:t>Amount of</w:t>
              <w:br/>
              <w:t>Registration</w:t>
              <w:br/>
              <w:t>Fee</w:t>
            </w:r>
          </w:p>
        </w:tc>
      </w:tr>
      <w:tr>
        <w:trPr/>
        <w:tc>
          <w:tcPr>
            <w:tcW w:w="982" w:type="dxa"/>
            <w:tcBorders>
              <w:left w:val="single" w:sz="8"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Equity</w:t>
            </w:r>
          </w:p>
        </w:tc>
        <w:tc>
          <w:tcPr>
            <w:tcW w:w="116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par value $0.50 per share</w:t>
            </w:r>
          </w:p>
        </w:tc>
        <w:tc>
          <w:tcPr>
            <w:tcW w:w="1339"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457(c) and 457(h)</w:t>
            </w:r>
          </w:p>
        </w:tc>
        <w:tc>
          <w:tcPr>
            <w:tcW w:w="1349"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2,400,000 (2)</w:t>
            </w:r>
          </w:p>
        </w:tc>
        <w:tc>
          <w:tcPr>
            <w:tcW w:w="114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$68.72(4)</w:t>
            </w:r>
          </w:p>
        </w:tc>
        <w:tc>
          <w:tcPr>
            <w:tcW w:w="1494"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$164,928,000</w:t>
            </w:r>
          </w:p>
        </w:tc>
        <w:tc>
          <w:tcPr>
            <w:tcW w:w="12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0.00014760</w:t>
            </w:r>
          </w:p>
        </w:tc>
        <w:tc>
          <w:tcPr>
            <w:tcW w:w="14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$24,343.38</w:t>
            </w:r>
          </w:p>
        </w:tc>
      </w:tr>
      <w:tr>
        <w:trPr/>
        <w:tc>
          <w:tcPr>
            <w:tcW w:w="982" w:type="dxa"/>
            <w:tcBorders>
              <w:left w:val="single" w:sz="8" w:space="0" w:color="000000"/>
              <w:bottom w:val="single" w:sz="8" w:space="0" w:color="000000"/>
              <w:right w:val="single" w:sz="8" w:space="0" w:color="000000"/>
            </w:tcBorders>
            <w:tcMar>
              <w:top w:w="0" w:type="dxa"/>
              <w:left w:w="28"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Equity</w:t>
            </w:r>
          </w:p>
        </w:tc>
        <w:tc>
          <w:tcPr>
            <w:tcW w:w="116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Common Stock, par value $0.50 per share</w:t>
            </w:r>
          </w:p>
        </w:tc>
        <w:tc>
          <w:tcPr>
            <w:tcW w:w="1339"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457(c) and 457(h)</w:t>
            </w:r>
          </w:p>
        </w:tc>
        <w:tc>
          <w:tcPr>
            <w:tcW w:w="1349"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400,000 (3)</w:t>
            </w:r>
          </w:p>
        </w:tc>
        <w:tc>
          <w:tcPr>
            <w:tcW w:w="114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$68.72(4)</w:t>
            </w:r>
          </w:p>
        </w:tc>
        <w:tc>
          <w:tcPr>
            <w:tcW w:w="1494"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$27,488,000</w:t>
            </w:r>
          </w:p>
        </w:tc>
        <w:tc>
          <w:tcPr>
            <w:tcW w:w="129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0.00014760</w:t>
            </w:r>
          </w:p>
        </w:tc>
        <w:tc>
          <w:tcPr>
            <w:tcW w:w="143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$4,057.23</w:t>
            </w:r>
          </w:p>
        </w:tc>
      </w:tr>
      <w:tr>
        <w:trPr/>
        <w:tc>
          <w:tcPr>
            <w:tcW w:w="4838" w:type="dxa"/>
            <w:gridSpan w:val="4"/>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Offering Amounts</w:t>
            </w:r>
          </w:p>
        </w:tc>
        <w:tc>
          <w:tcPr>
            <w:tcW w:w="114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494"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$192,416,000</w:t>
            </w:r>
          </w:p>
        </w:tc>
        <w:tc>
          <w:tcPr>
            <w:tcW w:w="129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433"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$28,400.61</w:t>
            </w:r>
          </w:p>
        </w:tc>
      </w:tr>
      <w:tr>
        <w:trPr/>
        <w:tc>
          <w:tcPr>
            <w:tcW w:w="4838" w:type="dxa"/>
            <w:gridSpan w:val="4"/>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Total Fee Offsets</w:t>
            </w:r>
          </w:p>
        </w:tc>
        <w:tc>
          <w:tcPr>
            <w:tcW w:w="114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494"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29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433"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$0</w:t>
            </w:r>
          </w:p>
        </w:tc>
      </w:tr>
      <w:tr>
        <w:trPr/>
        <w:tc>
          <w:tcPr>
            <w:tcW w:w="4838" w:type="dxa"/>
            <w:gridSpan w:val="4"/>
            <w:tcBorders>
              <w:left w:val="single" w:sz="8" w:space="0" w:color="000000"/>
              <w:bottom w:val="single" w:sz="8" w:space="0" w:color="000000"/>
              <w:right w:val="single" w:sz="8" w:space="0" w:color="000000"/>
            </w:tcBorders>
            <w:tcMar>
              <w:top w:w="0" w:type="dxa"/>
              <w:left w:w="28"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Net Fee Due</w:t>
            </w:r>
          </w:p>
        </w:tc>
        <w:tc>
          <w:tcPr>
            <w:tcW w:w="114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494"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295"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pPr>
            <w:r>
              <w:rPr/>
              <w:t> </w:t>
            </w:r>
          </w:p>
        </w:tc>
        <w:tc>
          <w:tcPr>
            <w:tcW w:w="1433" w:type="dxa"/>
            <w:tcBorders>
              <w:bottom w:val="single" w:sz="8" w:space="0" w:color="000000"/>
              <w:right w:val="single" w:sz="8" w:space="0" w:color="000000"/>
            </w:tcBorders>
            <w:tcMar>
              <w:top w:w="0" w:type="dxa"/>
              <w:left w:w="0" w:type="dxa"/>
              <w:bottom w:w="40" w:type="dxa"/>
              <w:right w:w="28" w:type="dxa"/>
            </w:tcMar>
            <w:vAlign w:val="center"/>
          </w:tcPr>
          <w:p>
            <w:pPr>
              <w:pStyle w:val="TableContents"/>
              <w:bidi w:val="0"/>
              <w:spacing w:before="0" w:after="283"/>
              <w:jc w:val="left"/>
              <w:rPr>
                <w:rFonts w:ascii="Arial;Helvetica;Sans-Serif" w:hAnsi="Arial;Helvetica;Sans-Serif"/>
              </w:rPr>
            </w:pPr>
            <w:r>
              <w:rPr>
                <w:rFonts w:ascii="Arial;Helvetica;Sans-Serif" w:hAnsi="Arial;Helvetica;Sans-Serif"/>
              </w:rPr>
              <w:t>$28,400.61</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left"/>
              <w:rPr/>
            </w:pPr>
            <w:r>
              <w:rPr/>
              <w:t>Pursuant to Rule 416(a) under the Securities Act of 1933, as amended (the “Securities Act”), this Registration Statement shall also cover any additional shares of Common Stock that become issuable under the Winnebago Industries, Inc. Amended and Restated 2019 Omnibus Incentive Plan (as amended and restated, the “2019 Plan”) and the Winnebago Industries, Inc. Employee Stock Purchase Program as Amended on May 17, 2023 (as amended, the “ESPP”) by reason of any stock split, stock dividend or other similar transaction effected without the receipt of consideration which results in an increase in the number of shares of outstanding Common Stock.</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left"/>
              <w:rPr/>
            </w:pPr>
            <w:r>
              <w:rPr/>
              <w:t>Represents shares of Common Stock registered pursuant to the 2019 Plan.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3" w:type="dxa"/>
            <w:tcBorders/>
            <w:vAlign w:val="center"/>
          </w:tcPr>
          <w:p>
            <w:pPr>
              <w:pStyle w:val="TableContents"/>
              <w:bidi w:val="0"/>
              <w:spacing w:before="0" w:after="283"/>
              <w:jc w:val="left"/>
              <w:rPr/>
            </w:pPr>
            <w:r>
              <w:rPr/>
              <w:t>Represents shares of Common Stock registered pursuant to the ESPP.</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283"/>
              <w:jc w:val="left"/>
              <w:rPr/>
            </w:pPr>
            <w:r>
              <w:rPr>
                <w:shd w:fill="FFFFFF" w:val="clear"/>
              </w:rPr>
              <w:t>Estimated solely for the purpose of calculating the registration fee in accordance with Rule 457(c) and Rule 457(h) of the Securities Act. The proposed maximum offering price per share is calculated on the basis of $68.72, the average of the high and low price of the Company’s common stock on December 13</w:t>
            </w:r>
            <w:r>
              <w:rPr/>
              <w:t>, 2023</w:t>
            </w:r>
            <w:r>
              <w:rPr>
                <w:shd w:fill="FFFFFF" w:val="clear"/>
              </w:rPr>
              <w:t>, as reported on the New York Stock Exchange, which is within five business days prior to filing this Registration Statement.</w:t>
            </w:r>
          </w:p>
        </w:tc>
      </w:tr>
    </w:tbl>
    <w:p>
      <w:pPr>
        <w:pStyle w:val="TextBody"/>
        <w:bidi w:val="0"/>
        <w:spacing w:before="0" w:after="0"/>
        <w:ind w:left="130" w:right="130" w:hanging="0"/>
        <w:jc w:val="left"/>
        <w:rPr>
          <w:caps w:val="false"/>
          <w:smallCaps w:val="false"/>
        </w:rPr>
      </w:pPr>
      <w:r>
        <w:rPr>
          <w:caps w:val="false"/>
          <w:smallCaps w:val="false"/>
        </w:rPr>
        <w:t> </w:t>
      </w:r>
    </w:p>
    <w:p>
      <w:pPr>
        <w:pStyle w:val="TextBody"/>
        <w:bidi w:val="0"/>
        <w:spacing w:before="0" w:after="0"/>
        <w:ind w:left="130" w:right="13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7687/000010768719000013/a2019s-8registration.htm" TargetMode="External"/><Relationship Id="rId4" Type="http://schemas.openxmlformats.org/officeDocument/2006/relationships/hyperlink" Target="https://www.sec.gov/Archives/edgar/data/107687/000010768717000131/wgo2017s-8.htm" TargetMode="External"/><Relationship Id="rId5" Type="http://schemas.openxmlformats.org/officeDocument/2006/relationships/hyperlink" Target="https://www.sec.gov/ix?doc=/Archives/edgar/data/0000107687/000010768723000028/wgo-20230826.htm" TargetMode="External"/><Relationship Id="rId6" Type="http://schemas.openxmlformats.org/officeDocument/2006/relationships/hyperlink" Target="https://www.sec.gov/ix?doc=/Archives/edgar/data/0000107687/000010768723000037/wgo-20231125.htm" TargetMode="External"/><Relationship Id="rId7" Type="http://schemas.openxmlformats.org/officeDocument/2006/relationships/hyperlink" Target="https://www.sec.gov/ix?doc=/Archives/edgar/data/0000107687/000010768723000021/wgo-20231011.htm" TargetMode="External"/><Relationship Id="rId8" Type="http://schemas.openxmlformats.org/officeDocument/2006/relationships/hyperlink" Target="https://www.sec.gov/ix?doc=/Archives/edgar/data/107687/000010768723000031/wgo-20231214.htm" TargetMode="External"/><Relationship Id="rId9" Type="http://schemas.openxmlformats.org/officeDocument/2006/relationships/hyperlink" Target="https://www.sec.gov/Archives/edgar/data/107687/000010768722000024/exh4a202210-k.htm" TargetMode="External"/><Relationship Id="rId10" Type="http://schemas.openxmlformats.org/officeDocument/2006/relationships/hyperlink" Target="https://www.sec.gov/Archives/edgar/data/107687/000010768722000004/wgo-mnarticlesreincorporat.htm" TargetMode="External"/><Relationship Id="rId11" Type="http://schemas.openxmlformats.org/officeDocument/2006/relationships/hyperlink" Target="https://www.sec.gov/Archives/edgar/data/107687/000010768723000018/wgo-bylawsxaugust152023xfi.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3660</Words>
  <Characters>19886</Characters>
  <CharactersWithSpaces>23544</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