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ectPr>
          <w:pgSz w:w="11900" w:h="16838" w:orient="portrait"/>
          <w:cols w:equalWidth="0" w:num="1">
            <w:col w:w="10219"/>
          </w:cols>
          <w:pgMar w:left="240" w:top="655" w:right="1440" w:bottom="254"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_X_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320" w:space="220"/>
            <w:col w:w="9679"/>
          </w:cols>
          <w:pgMar w:left="240" w:top="655" w:right="1440" w:bottom="254"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November 25, 2000</w:t>
      </w:r>
    </w:p>
    <w:p>
      <w:pPr>
        <w:spacing w:after="0" w:line="21" w:lineRule="exact"/>
        <w:rPr>
          <w:sz w:val="24"/>
          <w:szCs w:val="24"/>
          <w:color w:val="auto"/>
        </w:rPr>
      </w:pPr>
    </w:p>
    <w:p>
      <w:pPr>
        <w:sectPr>
          <w:pgSz w:w="11900" w:h="16838" w:orient="portrait"/>
          <w:cols w:equalWidth="0" w:num="2">
            <w:col w:w="4020" w:space="720"/>
            <w:col w:w="5479"/>
          </w:cols>
          <w:pgMar w:left="240" w:top="655" w:right="1440" w:bottom="254"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___</w:t>
        <w:tab/>
        <w:t>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 to ______________________</w:t>
      </w:r>
    </w:p>
    <w:p>
      <w:pPr>
        <w:spacing w:after="0" w:line="218"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254" w:gutter="0" w:footer="0" w:header="0"/>
          <w:type w:val="continuous"/>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42-0803978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440" w:space="720"/>
            <w:col w:w="5059"/>
          </w:cols>
          <w:pgMar w:left="240" w:top="655" w:right="1440" w:bottom="254" w:gutter="0" w:footer="0" w:header="0"/>
          <w:type w:val="continuous"/>
        </w:sectPr>
      </w:pPr>
    </w:p>
    <w:p>
      <w:pPr>
        <w:spacing w:after="0" w:line="7" w:lineRule="exact"/>
        <w:rPr>
          <w:sz w:val="24"/>
          <w:szCs w:val="24"/>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4760" w:space="720"/>
            <w:col w:w="4739"/>
          </w:cols>
          <w:pgMar w:left="240" w:top="655" w:right="1440" w:bottom="254"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(641) 585-3535</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20,543,424 shares of $.50 par value common stock outstanding on January 4,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320" w:type="dxa"/>
            <w:vAlign w:val="bottom"/>
          </w:tcPr>
          <w:p>
            <w:pPr>
              <w:ind w:left="1780"/>
              <w:spacing w:after="0"/>
              <w:rPr>
                <w:sz w:val="20"/>
                <w:szCs w:val="20"/>
                <w:color w:val="auto"/>
              </w:rPr>
            </w:pPr>
            <w:r>
              <w:rPr>
                <w:rFonts w:ascii="Courier New" w:cs="Courier New" w:eastAsia="Courier New" w:hAnsi="Courier New"/>
                <w:sz w:val="18"/>
                <w:szCs w:val="18"/>
                <w:color w:val="auto"/>
              </w:rPr>
              <w:t>INDEX TO REPORT ON FORM 10-Q</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9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Consolidated Balance Sheets (Interim period information</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&amp; 2</w:t>
            </w:r>
          </w:p>
        </w:tc>
      </w:tr>
      <w:tr>
        <w:trPr>
          <w:trHeight w:val="203"/>
        </w:trPr>
        <w:tc>
          <w:tcPr>
            <w:tcW w:w="96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unaudited)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Statements of Income</w:t>
            </w:r>
          </w:p>
        </w:tc>
        <w:tc>
          <w:tcPr>
            <w:tcW w:w="58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r>
      <w:tr>
        <w:trPr>
          <w:trHeight w:val="405"/>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58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Unaudited Condensed Notes to Consolidated Financial</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- 7</w:t>
            </w:r>
          </w:p>
        </w:tc>
      </w:tr>
      <w:tr>
        <w:trPr>
          <w:trHeight w:val="203"/>
        </w:trPr>
        <w:tc>
          <w:tcPr>
            <w:tcW w:w="96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7"/>
              </w:rPr>
              <w:t>Management's Discussion and Analysis of Financial Condition</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- 10</w:t>
            </w:r>
          </w:p>
        </w:tc>
      </w:tr>
      <w:tr>
        <w:trPr>
          <w:trHeight w:val="203"/>
        </w:trPr>
        <w:tc>
          <w:tcPr>
            <w:tcW w:w="96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&amp; 12</w:t>
            </w:r>
          </w:p>
        </w:tc>
      </w:tr>
    </w:tbl>
    <w:p>
      <w:pPr>
        <w:sectPr>
          <w:pgSz w:w="11900" w:h="16838" w:orient="portrait"/>
          <w:cols w:equalWidth="0" w:num="1">
            <w:col w:w="10219"/>
          </w:cols>
          <w:pgMar w:left="240" w:top="655" w:right="1440" w:bottom="25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25,</w:t>
            </w:r>
          </w:p>
        </w:tc>
        <w:tc>
          <w:tcPr>
            <w:tcW w:w="2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AUGUST 26,</w:t>
            </w:r>
          </w:p>
        </w:tc>
      </w:tr>
      <w:tr>
        <w:trPr>
          <w:trHeight w:val="203"/>
        </w:trPr>
        <w:tc>
          <w:tcPr>
            <w:tcW w:w="5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62,208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51,443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($1,050 and $1,168, respectively)</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15,592</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32,045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($35 and $27, respectively)</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37,946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32,696</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91,268</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85,707</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4,164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3,952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7,675</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7,675</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218,853</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213,518</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1,138</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45,680</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45,219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80,075</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78,099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5,526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5,414</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132,419</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129,870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6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85,806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84,415</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26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46,613</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45,455</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26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21,402</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21,028</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26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20,635</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20,635</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7,704</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8,050</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315,207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308,686</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NOVEMBER 25,</w:t>
            </w:r>
          </w:p>
        </w:tc>
        <w:tc>
          <w:tcPr>
            <w:tcW w:w="2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AUGUST 26,</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31,494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26,212</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13,677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10,381</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5,384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9,470</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13,924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4,933</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3,145</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3,924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4,675</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76,559</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71,835</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62,928</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61,942</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25,883,000 and 25,878,000</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12,941</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12,939</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22,057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21,994</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204,095</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195,556</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239,093</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230,489</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63,373</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55,580</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175,720</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174,909</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315,207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308,686</w:t>
            </w:r>
          </w:p>
        </w:tc>
      </w:tr>
      <w:tr>
        <w:trPr>
          <w:trHeight w:val="203"/>
        </w:trPr>
        <w:tc>
          <w:tcPr>
            <w:tcW w:w="618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ind w:right="1779" w:firstLine="2002"/>
        <w:spacing w:after="0" w:line="275"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INCOME ================================================================================ In thousands except per share data</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5960" w:type="dxa"/>
            <w:vAlign w:val="bottom"/>
          </w:tcPr>
          <w:p>
            <w:pPr>
              <w:spacing w:after="0"/>
              <w:rPr>
                <w:sz w:val="17"/>
                <w:szCs w:val="17"/>
                <w:color w:val="auto"/>
              </w:rPr>
            </w:pP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NOVEMBER 25,</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NOVEMBER 27,</w:t>
            </w:r>
          </w:p>
        </w:tc>
      </w:tr>
      <w:tr>
        <w:trPr>
          <w:trHeight w:val="203"/>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164,167</w:t>
            </w:r>
          </w:p>
        </w:tc>
        <w:tc>
          <w:tcPr>
            <w:tcW w:w="48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184,946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141,684</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155,797</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22,483</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29,149</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6,339</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6,489</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2,764</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9,103</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11,089</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13,380</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18,060</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42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971</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653</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Income before tax and cumulative effect of a change in</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method</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14,351</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18,713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4,755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6,332</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Income before cumulative effect of a change in</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method</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9,596</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12,381</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Cumulative effect on prior years of the accounting</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method change</w:t>
            </w:r>
          </w:p>
        </w:tc>
        <w:tc>
          <w:tcPr>
            <w:tcW w:w="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8,546</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12,381</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Earnings per share-basic (Note 8):</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cumulative effect of a change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 accounting method</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Cumulative effect on prior years of the accounting</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method change</w:t>
            </w:r>
          </w:p>
        </w:tc>
        <w:tc>
          <w:tcPr>
            <w:tcW w:w="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Number of shares used in per share</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calculations-basic (Note 8)</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21,101</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22,114</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Earnings per share-diluted (Note 8):</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cumulative effect of a change in</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accounting method</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effect on prior years of the accounting</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method change</w:t>
            </w:r>
          </w:p>
        </w:tc>
        <w:tc>
          <w:tcPr>
            <w:tcW w:w="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Number of shares used in per share</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calculations-diluted (Note 8)</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21,280</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22,531</w:t>
            </w:r>
          </w:p>
        </w:tc>
      </w:tr>
      <w:tr>
        <w:trPr>
          <w:trHeight w:val="203"/>
        </w:trPr>
        <w:tc>
          <w:tcPr>
            <w:tcW w:w="596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Proforma information for the adoption of SAB101</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revenues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164,167</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187,096</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9,596</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12,436</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4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bl>
    <w:p>
      <w:pPr>
        <w:sectPr>
          <w:pgSz w:w="11900" w:h="16838" w:orient="portrait"/>
          <w:cols w:equalWidth="0" w:num="1">
            <w:col w:w="10219"/>
          </w:cols>
          <w:pgMar w:left="240" w:top="925" w:right="1440" w:bottom="15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1440" w:gutter="0" w:footer="0" w:header="0"/>
        </w:sectPr>
      </w:pPr>
    </w:p>
    <w:bookmarkStart w:id="5" w:name="page6"/>
    <w:bookmarkEnd w:id="5"/>
    <w:p>
      <w:pPr>
        <w:jc w:val="center"/>
        <w:ind w:right="19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900"/>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480" w:type="dxa"/>
            <w:vAlign w:val="bottom"/>
          </w:tcPr>
          <w:p>
            <w:pPr>
              <w:spacing w:after="0"/>
              <w:rPr>
                <w:sz w:val="17"/>
                <w:szCs w:val="17"/>
                <w:color w:val="auto"/>
              </w:rPr>
            </w:pPr>
          </w:p>
        </w:tc>
        <w:tc>
          <w:tcPr>
            <w:tcW w:w="29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7060" w:type="dxa"/>
            <w:vAlign w:val="bottom"/>
          </w:tcPr>
          <w:p>
            <w:pPr>
              <w:spacing w:after="0"/>
              <w:rPr>
                <w:sz w:val="17"/>
                <w:szCs w:val="17"/>
                <w:color w:val="auto"/>
              </w:rPr>
            </w:pP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NOVEMBER 25,</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27,</w:t>
            </w:r>
          </w:p>
        </w:tc>
      </w:tr>
      <w:tr>
        <w:trPr>
          <w:trHeight w:val="203"/>
        </w:trPr>
        <w:tc>
          <w:tcPr>
            <w:tcW w:w="7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9,596</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 method</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1,791</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1,526</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receivable and other assets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16,112</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2,470</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(5,561)</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accounts payable and accrued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1,428</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(16,110)</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3,296</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2,323</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1,619</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28,052</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9,236</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investing activities: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(2,971)</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(24,254)</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(28,971)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18,998</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24,953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(9,552)</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(8,523)</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(8,317)</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(9,280)</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589</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(7,735)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(8,660)</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10,765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(7,947)</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48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51,443</w:t>
            </w:r>
          </w:p>
        </w:tc>
        <w:tc>
          <w:tcPr>
            <w:tcW w:w="4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48,160</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62,208</w:t>
            </w:r>
          </w:p>
        </w:tc>
        <w:tc>
          <w:tcPr>
            <w:tcW w:w="48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40,213</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919" w:right="1219" w:bottom="1440" w:gutter="0" w:footer="0" w:header="0"/>
        </w:sectPr>
      </w:pPr>
    </w:p>
    <w:bookmarkStart w:id="6" w:name="page7"/>
    <w:bookmarkEnd w:id="6"/>
    <w:p>
      <w:pPr>
        <w:ind w:left="1992"/>
        <w:spacing w:after="0"/>
        <w:rPr>
          <w:sz w:val="20"/>
          <w:szCs w:val="20"/>
          <w:color w:val="auto"/>
        </w:rPr>
      </w:pPr>
      <w:r>
        <w:rPr>
          <w:rFonts w:ascii="Courier New" w:cs="Courier New" w:eastAsia="Courier New" w:hAnsi="Courier New"/>
          <w:sz w:val="18"/>
          <w:szCs w:val="18"/>
          <w:color w:val="auto"/>
        </w:rPr>
        <w:t>WINNEBAGO INDUSTRIES, INC. AND SUBSIDIARIES</w:t>
      </w:r>
    </w:p>
    <w:p>
      <w:pPr>
        <w:ind w:left="952"/>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2" w:right="1779" w:hanging="532"/>
        <w:spacing w:after="0" w:line="238"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November 25, 2000, the consolidated results of operations and the consolidated cash flows for the 13 weeks ended November 25, 2000 and November 27, 1999. The statement of income for the 13 weeks ended November 25, 2000, are not necessarily indicative of the results to be expected for the full year. The balance sheet data as of August 26, 2000 was derived from audited financial statements, but does not include all disclosures contained in the Company's Annual Report to Shareholders for the year ended August 26, 2000. These interim consolidated financial statements should be read in conjunction with the audited financial statements and notes thereto appearing in the Company's Annual Report to Shareholders for the year ended August 26, 2000.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32" w:right="1779" w:hanging="532"/>
        <w:spacing w:after="0" w:line="270" w:lineRule="auto"/>
        <w:tabs>
          <w:tab w:leader="none" w:pos="5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 in the first quarter of fiscal 2001, the Company elected to adopt the Securities and Exchange Commission's (SEC) Staff Accounting Bulletin No. 101 ("SAB 101") - Revenue Recognition in Financial Statements, which the SEC staff issued in December 1999. SAB 101 sets forth the SEC's views concerning revenue recognition, the effect of which on the Company is to record revenue upon delivery of products to Winnebago Industries' dealers rather than upon shipment by the Company. This change requires an adjustment to retained earnings in the Company's first quarter 2001 results, which reflects the cumulative effect on the prior year's results due to the application of SAB 101. Pro forma information for the first quarter of fiscal 2000 is disclosed on the Company's Unaudited Consolidated Statements of Income (page 3 of this report).</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532" w:right="1779" w:hanging="532"/>
        <w:spacing w:after="0" w:line="236"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November 25,</w:t>
            </w:r>
          </w:p>
        </w:tc>
        <w:tc>
          <w:tcPr>
            <w:tcW w:w="32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August 26,</w:t>
            </w:r>
          </w:p>
        </w:tc>
      </w:tr>
      <w:tr>
        <w:trPr>
          <w:trHeight w:val="203"/>
        </w:trPr>
        <w:tc>
          <w:tcPr>
            <w:tcW w:w="2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2000</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860" w:type="dxa"/>
            <w:vAlign w:val="bottom"/>
          </w:tcPr>
          <w:p>
            <w:pPr>
              <w:spacing w:after="0"/>
              <w:rPr>
                <w:sz w:val="17"/>
                <w:szCs w:val="17"/>
                <w:color w:val="auto"/>
              </w:rPr>
            </w:pP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30,257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28,286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6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20,632</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19,577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6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62,543</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59,674</w:t>
            </w:r>
          </w:p>
        </w:tc>
      </w:tr>
      <w:tr>
        <w:trPr>
          <w:trHeight w:val="203"/>
        </w:trPr>
        <w:tc>
          <w:tcPr>
            <w:tcW w:w="2860" w:type="dxa"/>
            <w:vAlign w:val="bottom"/>
          </w:tcPr>
          <w:p>
            <w:pPr>
              <w:spacing w:after="0"/>
              <w:rPr>
                <w:sz w:val="17"/>
                <w:szCs w:val="17"/>
                <w:color w:val="auto"/>
              </w:rPr>
            </w:pP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113,432</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107,537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(22,164)</w:t>
            </w:r>
          </w:p>
        </w:tc>
        <w:tc>
          <w:tcPr>
            <w:tcW w:w="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(21,830)</w:t>
            </w:r>
          </w:p>
        </w:tc>
      </w:tr>
      <w:tr>
        <w:trPr>
          <w:trHeight w:val="203"/>
        </w:trPr>
        <w:tc>
          <w:tcPr>
            <w:tcW w:w="2860" w:type="dxa"/>
            <w:vAlign w:val="bottom"/>
          </w:tcPr>
          <w:p>
            <w:pPr>
              <w:spacing w:after="0"/>
              <w:rPr>
                <w:sz w:val="17"/>
                <w:szCs w:val="17"/>
                <w:color w:val="auto"/>
              </w:rPr>
            </w:pP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91,268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85,707</w:t>
            </w:r>
          </w:p>
        </w:tc>
      </w:tr>
      <w:tr>
        <w:trPr>
          <w:trHeight w:val="203"/>
        </w:trPr>
        <w:tc>
          <w:tcPr>
            <w:tcW w:w="2860" w:type="dxa"/>
            <w:vAlign w:val="bottom"/>
          </w:tcPr>
          <w:p>
            <w:pPr>
              <w:spacing w:after="0"/>
              <w:rPr>
                <w:sz w:val="17"/>
                <w:szCs w:val="17"/>
                <w:color w:val="auto"/>
              </w:rPr>
            </w:pP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32" w:right="1779" w:hanging="532"/>
        <w:spacing w:after="0" w:line="270" w:lineRule="auto"/>
        <w:tabs>
          <w:tab w:leader="none" w:pos="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19, 2000, the Company entered into an unsecured Credit Agreement with Wells Fargo Bank, National Association. The Credit Agreement provides the Company with a line of credit of $20,000,000 until January 31, 2002, at an interest rate of either (1) a variable rate per annum of one percent below the Bank's prime rate in effect from time to time or (2) a fixed rate per annum determined by the Bank to be one percent above LIBOR, as selected by the Company in accordance with the Credit Agreement. The Credit Agreement contains covenants that, among other matters, impose certain limitations on mergers, transfers of assets and encumbering or otherwise pledging the Company's assets. In addition, the Company is required to satisfy certain financial covenants and tests relating to tangible net worth, total liabilities and current ratio. As of November 25, 2000, the Company was in compliance with these financial covenants. There were no outstanding borrowings under the line of credit at November 25, 2000.</w:t>
      </w:r>
    </w:p>
    <w:p>
      <w:pPr>
        <w:spacing w:after="0" w:line="200" w:lineRule="exact"/>
        <w:rPr>
          <w:sz w:val="20"/>
          <w:szCs w:val="20"/>
          <w:color w:val="auto"/>
        </w:rPr>
      </w:pPr>
    </w:p>
    <w:p>
      <w:pPr>
        <w:spacing w:after="0" w:line="38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919" w:right="1440" w:bottom="564" w:gutter="0" w:footer="0" w:header="0"/>
        </w:sectPr>
      </w:pPr>
    </w:p>
    <w:bookmarkStart w:id="7" w:name="page8"/>
    <w:bookmarkEnd w:id="7"/>
    <w:p>
      <w:pPr>
        <w:ind w:left="532" w:right="1999" w:hanging="532"/>
        <w:spacing w:after="0" w:line="270"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$216,763,000 and $219,873,000 under repurchase agreements with lending institutions as of November 25, 2000 and August 26, 2000, respectively. Included in these contingent liabilities as of November 25, 2000 and August 26, 2000 are approximately $4,974,000 and $6,846,000, respectively, of certain dealer receivables subject to recourse agreements with Bank of America Specialty Group (formerly NationsBank Specialty Lending Unit) and Conseco Finance Servicing Group (formerly Green Tree Financial).</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532" w:right="1779" w:hanging="532"/>
        <w:spacing w:after="0" w:line="235"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periods indicated, the Company paid cash for the following (dollars in thousands):</w:t>
      </w:r>
    </w:p>
    <w:p>
      <w:pPr>
        <w:sectPr>
          <w:pgSz w:w="11900" w:h="16838" w:orient="portrait"/>
          <w:cols w:equalWidth="0" w:num="1">
            <w:col w:w="10211"/>
          </w:cols>
          <w:pgMar w:left="248" w:top="9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Interest</w:t>
      </w:r>
    </w:p>
    <w:p>
      <w:pPr>
        <w:spacing w:after="0" w:line="4"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THIRTEEN WEEKS ENDED</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159"/>
        <w:spacing w:after="0"/>
        <w:tabs>
          <w:tab w:leader="none" w:pos="620" w:val="left"/>
        </w:tabs>
        <w:rPr>
          <w:sz w:val="20"/>
          <w:szCs w:val="20"/>
          <w:color w:val="auto"/>
        </w:rPr>
      </w:pPr>
      <w:r>
        <w:rPr>
          <w:rFonts w:ascii="Courier New" w:cs="Courier New" w:eastAsia="Courier New" w:hAnsi="Courier New"/>
          <w:sz w:val="18"/>
          <w:szCs w:val="18"/>
          <w:color w:val="auto"/>
        </w:rPr>
        <w:t>November 25,</w:t>
      </w:r>
      <w:r>
        <w:rPr>
          <w:sz w:val="20"/>
          <w:szCs w:val="20"/>
          <w:color w:val="auto"/>
        </w:rPr>
        <w:tab/>
      </w:r>
      <w:r>
        <w:rPr>
          <w:rFonts w:ascii="Courier New" w:cs="Courier New" w:eastAsia="Courier New" w:hAnsi="Courier New"/>
          <w:sz w:val="16"/>
          <w:szCs w:val="16"/>
          <w:color w:val="auto"/>
        </w:rPr>
        <w:t>November 27,</w:t>
      </w:r>
    </w:p>
    <w:p>
      <w:pPr>
        <w:jc w:val="center"/>
        <w:ind w:right="2739"/>
        <w:spacing w:after="0" w:line="238" w:lineRule="auto"/>
        <w:tabs>
          <w:tab w:leader="none" w:pos="146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jc w:val="center"/>
        <w:ind w:right="3159"/>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center"/>
        <w:ind w:right="3159"/>
        <w:spacing w:after="0"/>
        <w:tabs>
          <w:tab w:leader="none" w:pos="920" w:val="left"/>
          <w:tab w:leader="none" w:pos="620" w:val="left"/>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jc w:val="center"/>
        <w:ind w:right="2099"/>
        <w:spacing w:after="0" w:line="238" w:lineRule="auto"/>
        <w:tabs>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172" w:space="720"/>
            <w:col w:w="6319"/>
          </w:cols>
          <w:pgMar w:left="248" w:top="925" w:right="1440" w:bottom="0" w:gutter="0" w:footer="0" w:header="0"/>
          <w:type w:val="continuous"/>
        </w:sectPr>
      </w:pPr>
    </w:p>
    <w:p>
      <w:pPr>
        <w:spacing w:after="0" w:line="210" w:lineRule="exact"/>
        <w:rPr>
          <w:sz w:val="20"/>
          <w:szCs w:val="20"/>
          <w:color w:val="auto"/>
        </w:rPr>
      </w:pPr>
    </w:p>
    <w:p>
      <w:pPr>
        <w:ind w:left="532" w:right="1879" w:hanging="532"/>
        <w:spacing w:after="0" w:line="237"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15, 2000, the Board of Directors authorized the repurchase of outstanding shares of the Company's common stock for an aggregate purchase price of up to $15,000,000. As of January 4, 2001, 1,099,066 shares were repurchased for an aggregate consideration of $13,932,000 under this repurchase authorization.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32" w:right="1879" w:hanging="532"/>
        <w:spacing w:after="0" w:line="290" w:lineRule="auto"/>
        <w:tabs>
          <w:tab w:leader="none" w:pos="5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reflects the calculation of basic and diluted earnings per share for the 13 weeks ended November 25, 2000 and November 27, 1999:</w:t>
      </w:r>
    </w:p>
    <w:p>
      <w:pPr>
        <w:spacing w:after="0" w:line="16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THIRTEEN WEEKS ENDED</w:t>
            </w:r>
          </w:p>
        </w:tc>
      </w:tr>
      <w:tr>
        <w:trPr>
          <w:trHeight w:val="203"/>
        </w:trPr>
        <w:tc>
          <w:tcPr>
            <w:tcW w:w="426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rPr>
                <w:sz w:val="17"/>
                <w:szCs w:val="17"/>
                <w:color w:val="auto"/>
              </w:rPr>
            </w:pP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NOVEMBER 25,</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NOVEMBER 27,</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58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2000</w:t>
            </w:r>
          </w:p>
        </w:tc>
        <w:tc>
          <w:tcPr>
            <w:tcW w:w="4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8,546</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12,381</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21,101</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22,114</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8,546</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12,381</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21,101</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22,114</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5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5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21,280</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22,531</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426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32" w:right="1779" w:hanging="532"/>
        <w:spacing w:after="0" w:line="270" w:lineRule="auto"/>
        <w:tabs>
          <w:tab w:leader="none" w:pos="5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w:t>
      </w:r>
    </w:p>
    <w:p>
      <w:pPr>
        <w:sectPr>
          <w:pgSz w:w="11900" w:h="16838" w:orient="portrait"/>
          <w:cols w:equalWidth="0" w:num="1">
            <w:col w:w="10211"/>
          </w:cols>
          <w:pgMar w:left="248" w:top="925" w:right="1440" w:bottom="0" w:gutter="0" w:footer="0" w:header="0"/>
          <w:type w:val="continuous"/>
        </w:sectPr>
      </w:pPr>
    </w:p>
    <w:bookmarkStart w:id="8" w:name="page9"/>
    <w:bookmarkEnd w:id="8"/>
    <w:p>
      <w:pPr>
        <w:ind w:right="2099"/>
        <w:spacing w:after="0" w:line="272" w:lineRule="auto"/>
        <w:rPr>
          <w:sz w:val="20"/>
          <w:szCs w:val="20"/>
          <w:color w:val="auto"/>
        </w:rPr>
      </w:pPr>
      <w:r>
        <w:rPr>
          <w:rFonts w:ascii="Courier New" w:cs="Courier New" w:eastAsia="Courier New" w:hAnsi="Courier New"/>
          <w:sz w:val="16"/>
          <w:szCs w:val="16"/>
          <w:color w:val="auto"/>
        </w:rPr>
        <w:t>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14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For the 13 weeks ended November 25, 2000 and November 27, 1999, the</w:t>
      </w:r>
    </w:p>
    <w:p>
      <w:pPr>
        <w:spacing w:after="0" w:line="238" w:lineRule="auto"/>
        <w:rPr>
          <w:sz w:val="20"/>
          <w:szCs w:val="20"/>
          <w:color w:val="auto"/>
        </w:rPr>
      </w:pPr>
      <w:r>
        <w:rPr>
          <w:rFonts w:ascii="Courier New" w:cs="Courier New" w:eastAsia="Courier New" w:hAnsi="Courier New"/>
          <w:sz w:val="18"/>
          <w:szCs w:val="18"/>
          <w:color w:val="auto"/>
        </w:rPr>
        <w:t>Company's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RECREATION</w:t>
      </w:r>
    </w:p>
    <w:p>
      <w:pPr>
        <w:ind w:left="3360"/>
        <w:spacing w:after="0" w:line="238" w:lineRule="auto"/>
        <w:rPr>
          <w:sz w:val="20"/>
          <w:szCs w:val="20"/>
          <w:color w:val="auto"/>
        </w:rPr>
      </w:pPr>
      <w:r>
        <w:rPr>
          <w:rFonts w:ascii="Courier New" w:cs="Courier New" w:eastAsia="Courier New" w:hAnsi="Courier New"/>
          <w:sz w:val="18"/>
          <w:szCs w:val="18"/>
          <w:color w:val="auto"/>
        </w:rPr>
        <w:t>VEHICLES &amp; OTHER</w:t>
      </w:r>
    </w:p>
    <w:p>
      <w:pPr>
        <w:ind w:left="3580"/>
        <w:spacing w:after="0"/>
        <w:tabs>
          <w:tab w:leader="none" w:pos="5460" w:val="left"/>
          <w:tab w:leader="none" w:pos="6820" w:val="left"/>
        </w:tabs>
        <w:rPr>
          <w:sz w:val="20"/>
          <w:szCs w:val="20"/>
          <w:color w:val="auto"/>
        </w:rPr>
      </w:pPr>
      <w:r>
        <w:rPr>
          <w:rFonts w:ascii="Courier New" w:cs="Courier New" w:eastAsia="Courier New" w:hAnsi="Courier New"/>
          <w:sz w:val="18"/>
          <w:szCs w:val="18"/>
          <w:color w:val="auto"/>
        </w:rPr>
        <w:t>MANUFACTURED</w:t>
      </w:r>
      <w:r>
        <w:rPr>
          <w:sz w:val="20"/>
          <w:szCs w:val="20"/>
          <w:color w:val="auto"/>
        </w:rPr>
        <w:tab/>
      </w:r>
      <w:r>
        <w:rPr>
          <w:rFonts w:ascii="Courier New" w:cs="Courier New" w:eastAsia="Courier New" w:hAnsi="Courier New"/>
          <w:sz w:val="18"/>
          <w:szCs w:val="18"/>
          <w:color w:val="auto"/>
        </w:rPr>
        <w:t>DEALER</w:t>
      </w:r>
      <w:r>
        <w:rPr>
          <w:sz w:val="20"/>
          <w:szCs w:val="20"/>
          <w:color w:val="auto"/>
        </w:rPr>
        <w:tab/>
      </w:r>
      <w:r>
        <w:rPr>
          <w:rFonts w:ascii="Courier New" w:cs="Courier New" w:eastAsia="Courier New" w:hAnsi="Courier New"/>
          <w:sz w:val="16"/>
          <w:szCs w:val="16"/>
          <w:color w:val="auto"/>
        </w:rPr>
        <w:t>GENERAL</w:t>
      </w:r>
    </w:p>
    <w:p>
      <w:pPr>
        <w:spacing w:after="0"/>
        <w:tabs>
          <w:tab w:leader="none" w:pos="3760" w:val="left"/>
          <w:tab w:leader="none" w:pos="5340" w:val="left"/>
          <w:tab w:leader="none" w:pos="6820" w:val="left"/>
          <w:tab w:leader="none" w:pos="8620" w:val="left"/>
        </w:tabs>
        <w:rPr>
          <w:sz w:val="20"/>
          <w:szCs w:val="20"/>
          <w:color w:val="auto"/>
        </w:rPr>
      </w:pPr>
      <w:r>
        <w:rPr>
          <w:rFonts w:ascii="Courier New" w:cs="Courier New" w:eastAsia="Courier New" w:hAnsi="Courier New"/>
          <w:sz w:val="18"/>
          <w:szCs w:val="18"/>
          <w:color w:val="auto"/>
        </w:rPr>
        <w:t>(DOLLARS IN THOUSANDS)</w:t>
      </w:r>
      <w:r>
        <w:rPr>
          <w:sz w:val="20"/>
          <w:szCs w:val="20"/>
          <w:color w:val="auto"/>
        </w:rPr>
        <w:tab/>
      </w:r>
      <w:r>
        <w:rPr>
          <w:rFonts w:ascii="Courier New" w:cs="Courier New" w:eastAsia="Courier New" w:hAnsi="Courier New"/>
          <w:sz w:val="18"/>
          <w:szCs w:val="18"/>
          <w:color w:val="auto"/>
        </w:rPr>
        <w:t>PRODUCTS</w:t>
      </w:r>
      <w:r>
        <w:rPr>
          <w:sz w:val="20"/>
          <w:szCs w:val="20"/>
          <w:color w:val="auto"/>
        </w:rPr>
        <w:tab/>
      </w:r>
      <w:r>
        <w:rPr>
          <w:rFonts w:ascii="Courier New" w:cs="Courier New" w:eastAsia="Courier New" w:hAnsi="Courier New"/>
          <w:sz w:val="18"/>
          <w:szCs w:val="18"/>
          <w:color w:val="auto"/>
        </w:rPr>
        <w:t>FINANCING</w:t>
      </w:r>
      <w:r>
        <w:rPr>
          <w:sz w:val="20"/>
          <w:szCs w:val="20"/>
          <w:color w:val="auto"/>
        </w:rPr>
        <w:tab/>
      </w:r>
      <w:r>
        <w:rPr>
          <w:rFonts w:ascii="Courier New" w:cs="Courier New" w:eastAsia="Courier New" w:hAnsi="Courier New"/>
          <w:sz w:val="18"/>
          <w:szCs w:val="18"/>
          <w:color w:val="auto"/>
        </w:rPr>
        <w:t>CORPORATE</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13 WEEKS ENDED NOVEMBER 25, 2000</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163,138</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1,029</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164,167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12,484</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1,022</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13,380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182,171</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38,634</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94,402</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315,207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13 WEEKS ENDED NOVEMBER 27, 1999</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184,076</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184,946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17,345</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181,790</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29,527</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70,485</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281,802</w:t>
            </w:r>
          </w:p>
        </w:tc>
      </w:tr>
      <w:tr>
        <w:trPr>
          <w:trHeight w:val="810"/>
        </w:trPr>
        <w:tc>
          <w:tcPr>
            <w:tcW w:w="3480" w:type="dxa"/>
            <w:vAlign w:val="bottom"/>
          </w:tcPr>
          <w:p>
            <w:pPr>
              <w:spacing w:after="0"/>
              <w:rPr>
                <w:sz w:val="24"/>
                <w:szCs w:val="24"/>
                <w:color w:val="auto"/>
              </w:rPr>
            </w:pPr>
          </w:p>
        </w:tc>
        <w:tc>
          <w:tcPr>
            <w:tcW w:w="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679"/>
          </w:cols>
          <w:pgMar w:left="780" w:top="919" w:right="1440" w:bottom="1440" w:gutter="0" w:footer="0" w:header="0"/>
        </w:sectPr>
      </w:pPr>
    </w:p>
    <w:bookmarkStart w:id="10" w:name="page11"/>
    <w:bookmarkEnd w:id="10"/>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Thirteen Weeks Ended November 25, 2000 Compared to Thirteen Weeks Ended November 27, 1999</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revenues for recreation vehicles and other manufactured products for the 13 weeks ended November 25, 2000 were $163,138,000, a decrease of $20,938,000, or 11.4 percent from the 13-week period ended November 27, 1999. Motor home unit sales (Class A and C) were 2,197 units, a decrease of 428 units, or 16.3 percent, during the first quarter of fiscal 2001 compared to the first quarter of fiscal 2000. The percentage decrease in net revenues in the first quarter of fiscal 2001 was less than the percentage decrease in motor home unit sales for that period as a result of the Company's sales of more units, as a percentage of the total unit sales, with the higher-priced slideout option during the first quarter of fiscal 2001. A slowing U.S. economy, increased interest rates and a decline in consumer confidence levels contributed to reductions in the Company's net revenues and unit sales. The Company's expectations for the next couple of quarters remain below prior year levels. However, due to demographic studies, the long-term outlook for motor home sales continues to appear very favorable as the industry's prime target market of people age 50 and older is growing and is expected to continue to grow over the next 30 years. Order backlog for the Company's Class A and Class C motor homes was approximately 1,420 orders and 2,700 orders at November 25, 2000 and November 27, 1999, respectively.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00" w:lineRule="exact"/>
        <w:rPr>
          <w:sz w:val="20"/>
          <w:szCs w:val="20"/>
          <w:color w:val="auto"/>
        </w:rPr>
      </w:pP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for dealer financing of Winnebago Acceptance Corporation (WAC) were $1,029,000 for the 13 weeks ended November 25, 2000, an increase of $159,000 or 18.3 percent from the 13-week period ended November 27, 1999. Increased revenues for dealer financing reflect an increase in interest rates charged and to a lesser extent, an increase in dealer receivable balances when comparing the first quarter of 2001 to the first quarter of 2000.</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13.7 percent for the 13 weeks ended November 25, 2000 compared to 15.8 percent for the 13 weeks ended November 27, 1999. The Company's lower volume of production and sales of motor homes resulted in the lower margins.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expenses were $6,339,000 or 3.9 percent of net revenues during the first quarter of fiscal 2001 compared to $6,489,000 or 3.5 percent of net revenues during the first quarter of fiscal 2000. The decrease in dollars can be attributed primarily to reductions in the Company's advertising costs. The increase in percentage was caused by the decreased sales volume during the first quarter of fiscal 2001.</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General and administrative expenses were $2,764,000 or 1.7 percent of net revenues during the 13 weeks ended November 25, 2000 compared to $4,600,000 or 2.5 percent of net revenues during the 13 weeks ended November 27, 1999. The decreases in dollars and percentage when comparing the two quarters were primarily due to reductions in employee incentive programs. Also impacting the two quarter comparison were commitments by the Company to corporate donations during the first quarter ended November 27, 1999.</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had net financial income of $971,000 for the first quarter of fiscal 2001 compared to net financial income of $653,000 for the comparable quarter of fiscal 2000. During the 13 weeks ended November 25, 2000, the Company recorded $952,000 of net interest income and gains of $19,000 in foreign currency transactions. During the 13 weeks ended November 27, 1999, the Company recorded $626,000 of net interest income and gains of $27,000 in foreign currency transactions. The increase in interest income when comparing the two periods was due primarily to higher rates of return earned on available invested cash and larger cash balances during the first quarter of fiscal 2001.</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11" w:name="page12"/>
    <w:bookmarkEnd w:id="11"/>
    <w:p>
      <w:pPr>
        <w:ind w:right="1779"/>
        <w:spacing w:after="0" w:line="275" w:lineRule="auto"/>
        <w:rPr>
          <w:sz w:val="20"/>
          <w:szCs w:val="20"/>
          <w:color w:val="auto"/>
        </w:rPr>
      </w:pPr>
      <w:r>
        <w:rPr>
          <w:rFonts w:ascii="Courier New" w:cs="Courier New" w:eastAsia="Courier New" w:hAnsi="Courier New"/>
          <w:sz w:val="16"/>
          <w:szCs w:val="16"/>
          <w:color w:val="auto"/>
        </w:rPr>
        <w:t>The effective income tax rate decreased to 33.1 percent during the first quarter of fiscal 2001 from 33.8 percent during the first quarter of fiscal 2000. The primary reason for the decrease was due to larger amounts of tax-free income recorded from financial investments during the first quarter of fiscal 2001.</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For the 13 weeks ended November 25, 2000, the Company had income before cumulative effect of a change in accounting method (SAB No. 101) of $9,596,000, or $.45 per diluted share. The comparable results for the 13 weeks ended November 27, 1999 was income of $12,381,000, or $.55 per diluted share.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Beginning the first quarter of fiscal 2001, the Company elected to adopt SAB 101 issued by the SEC in December 1999. SAB 101 sets forth the views of the SEC concerning revenue recognition, the effect of which on the Company is to record revenue upon delivery of products to dealers rather than upon shipment by the Company. Adoption of SAB 101 during the 13 weeks ended November 25, 2000 resulted in an adjustment to the Company's income of $1,050,000, or $.05 per diluted share.</w:t>
      </w:r>
    </w:p>
    <w:p>
      <w:pPr>
        <w:spacing w:after="0" w:line="21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For the first quarter of fiscal 2001, the Company had net income of $8,546,000, or $.40 per diluted share compared to the first quarter of fiscal 2000's net income of $12,381,000, or $.55 per diluted share. Net income and earnings per diluted share decreased by 31.0 percent and 27.3 percent, respectively, when comparing the first quarter of fiscal 2001 to the first quarter of fiscal 2000.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The Company meets its working capital requirements, capital equipment requirements and cash requirements of subsidiaries with funds generated internally and funds from agreements with financial institutions.</w:t>
      </w:r>
    </w:p>
    <w:p>
      <w:pPr>
        <w:spacing w:after="0" w:line="17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At November 25, 2000, working capital was $142,294,000, an increase of $611,000 from the amount at August 26, 2000. The Company's principal uses of cash during the 13 weeks ended November 25, 2000 were $24,254,000 of dealer receivable investments, $8,317,000 for the purchase of shares of the Company's Common Stock and $2,971,000 for the purchase of property and equipment. The Company's principal sources of cash during the 13 weeks ended November 25, 2000 were the collection of $18,998,000 in dealer receivables, decrease in receivable levels of $16,112,000 and income from operations. The Company's sources and uses of cash during the 13 weeks ended November 25, 2000 are set forth in the unaudited consolidated condensed statement of cash flows for that period.</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known demands at November 25, 2000 on the Company's liquid assets for the remainder of fiscal 2001 include approximately $8,300,000 of capital expenditures and payments of cash dividends. In addition, on March 15, 2000, the Board of Directors authorized the repurchase of outstanding shares of the Company's common stock for an aggregate purchase price of up to $15,000,000. As of January 4, 2001, 1,099,066 shares had been repurchased for an aggregate consideration of $13,932,000 under this authorization.</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and price of fuel, significant increase in interest rates, a general slowdown in the economy, availability of chassis, slower than anticipated sales of new or existing products, new product introductions by competitors, collections of dealer receivables, and other factors which may be disclosed throughout this Form 10-Q or in the Company's Annual Report on Form 10-K for the year ended August 26, 2000. Any forecasts and projections in this report are "forward looking statements," and are based on management's current expectations of the Company's near-term</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2" w:name="page13"/>
    <w:bookmarkEnd w:id="12"/>
    <w:p>
      <w:pPr>
        <w:ind w:right="2419"/>
        <w:spacing w:after="0" w:line="236" w:lineRule="auto"/>
        <w:rPr>
          <w:sz w:val="20"/>
          <w:szCs w:val="20"/>
          <w:color w:val="auto"/>
        </w:rPr>
      </w:pPr>
      <w:r>
        <w:rPr>
          <w:rFonts w:ascii="Courier New" w:cs="Courier New" w:eastAsia="Courier New" w:hAnsi="Courier New"/>
          <w:sz w:val="18"/>
          <w:szCs w:val="18"/>
          <w:color w:val="auto"/>
        </w:rPr>
        <w:t>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3" w:name="page14"/>
    <w:bookmarkEnd w:id="13"/>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January 5,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238" w:lineRule="auto"/>
        <w:rPr>
          <w:sz w:val="20"/>
          <w:szCs w:val="20"/>
          <w:color w:val="auto"/>
        </w:rPr>
      </w:pPr>
      <w:r>
        <w:rPr>
          <w:rFonts w:ascii="Courier New" w:cs="Courier New" w:eastAsia="Courier New" w:hAnsi="Courier New"/>
          <w:sz w:val="18"/>
          <w:szCs w:val="18"/>
          <w:color w:val="auto"/>
        </w:rPr>
        <w:t>Chairman of the Board, Chief Executive</w:t>
      </w:r>
    </w:p>
    <w:p>
      <w:pPr>
        <w:spacing w:after="0"/>
        <w:rPr>
          <w:sz w:val="20"/>
          <w:szCs w:val="20"/>
          <w:color w:val="auto"/>
        </w:rPr>
      </w:pPr>
      <w:r>
        <w:rPr>
          <w:rFonts w:ascii="Courier New" w:cs="Courier New" w:eastAsia="Courier New" w:hAnsi="Courier New"/>
          <w:sz w:val="18"/>
          <w:szCs w:val="18"/>
          <w:color w:val="auto"/>
        </w:rPr>
        <w:t>Officer, and President</w:t>
      </w:r>
    </w:p>
    <w:p>
      <w:pPr>
        <w:ind w:left="4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420" w:space="120"/>
            <w:col w:w="2960" w:space="720"/>
            <w:col w:w="59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January 5,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420" w:space="120"/>
            <w:col w:w="2960" w:space="720"/>
            <w:col w:w="599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2019-12-13T08:30:49Z</dcterms:created>
  <dcterms:modified xsi:type="dcterms:W3CDTF">2019-12-13T08:30:49Z</dcterms:modified>
</cp:coreProperties>
</file>