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1"/>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1"/>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2941320</wp:posOffset>
            </wp:positionH>
            <wp:positionV relativeFrom="paragraph">
              <wp:posOffset>224790</wp:posOffset>
            </wp:positionV>
            <wp:extent cx="13722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1"/>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2941320</wp:posOffset>
            </wp:positionH>
            <wp:positionV relativeFrom="paragraph">
              <wp:posOffset>196215</wp:posOffset>
            </wp:positionV>
            <wp:extent cx="13722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1"/>
        <w:spacing w:after="0"/>
        <w:rPr>
          <w:sz w:val="20"/>
          <w:szCs w:val="20"/>
          <w:color w:val="auto"/>
        </w:rPr>
      </w:pPr>
      <w:r>
        <w:rPr>
          <w:rFonts w:ascii="Arial" w:cs="Arial" w:eastAsia="Arial" w:hAnsi="Arial"/>
          <w:sz w:val="22"/>
          <w:szCs w:val="22"/>
          <w:b w:val="1"/>
          <w:bCs w:val="1"/>
          <w:color w:val="auto"/>
        </w:rPr>
        <w:t>CURRENT REPORT</w:t>
      </w:r>
    </w:p>
    <w:p>
      <w:pPr>
        <w:spacing w:after="0" w:line="30" w:lineRule="exact"/>
        <w:rPr>
          <w:sz w:val="24"/>
          <w:szCs w:val="24"/>
          <w:color w:val="auto"/>
        </w:rPr>
      </w:pPr>
    </w:p>
    <w:p>
      <w:pPr>
        <w:jc w:val="center"/>
        <w:ind w:right="-11"/>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60" w:lineRule="exact"/>
        <w:rPr>
          <w:sz w:val="24"/>
          <w:szCs w:val="24"/>
          <w:color w:val="auto"/>
        </w:rPr>
      </w:pPr>
    </w:p>
    <w:p>
      <w:pPr>
        <w:jc w:val="center"/>
        <w:ind w:right="-11"/>
        <w:spacing w:after="0"/>
        <w:rPr>
          <w:sz w:val="20"/>
          <w:szCs w:val="20"/>
          <w:color w:val="auto"/>
        </w:rPr>
      </w:pPr>
      <w:r>
        <w:rPr>
          <w:rFonts w:ascii="Arial" w:cs="Arial" w:eastAsia="Arial" w:hAnsi="Arial"/>
          <w:sz w:val="22"/>
          <w:szCs w:val="22"/>
          <w:color w:val="auto"/>
        </w:rPr>
        <w:t>Date of report (Date of earliest event reported) June 11,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2933065</wp:posOffset>
            </wp:positionH>
            <wp:positionV relativeFrom="paragraph">
              <wp:posOffset>881380</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2006600</wp:posOffset>
            </wp:positionH>
            <wp:positionV relativeFrom="paragraph">
              <wp:posOffset>160655</wp:posOffset>
            </wp:positionV>
            <wp:extent cx="3267075" cy="462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1"/>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1"/>
        <w:spacing w:after="0"/>
        <w:rPr>
          <w:sz w:val="20"/>
          <w:szCs w:val="20"/>
          <w:color w:val="auto"/>
        </w:rPr>
      </w:pPr>
      <w:r>
        <w:rPr>
          <w:rFonts w:ascii="Arial" w:cs="Arial" w:eastAsia="Arial" w:hAnsi="Arial"/>
          <w:sz w:val="18"/>
          <w:szCs w:val="18"/>
          <w:color w:val="auto"/>
        </w:rPr>
        <w:t>(Exact Name of Registrant as Specified in its Charter)</w:t>
      </w:r>
    </w:p>
    <w:p>
      <w:pPr>
        <w:spacing w:after="0" w:line="384" w:lineRule="exact"/>
        <w:rPr>
          <w:sz w:val="24"/>
          <w:szCs w:val="24"/>
          <w:color w:val="auto"/>
        </w:rPr>
      </w:pPr>
    </w:p>
    <w:tbl>
      <w:tblPr>
        <w:tblLayout w:type="fixed"/>
        <w:tblInd w:w="1092" w:type="dxa"/>
        <w:tblCellMar>
          <w:top w:w="0" w:type="dxa"/>
          <w:left w:w="0" w:type="dxa"/>
          <w:bottom w:w="0" w:type="dxa"/>
          <w:right w:w="0" w:type="dxa"/>
        </w:tblCellMar>
      </w:tblPr>
      <w:tr>
        <w:trPr>
          <w:trHeight w:val="228"/>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264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001-06403</w:t>
            </w:r>
          </w:p>
        </w:tc>
        <w:tc>
          <w:tcPr>
            <w:tcW w:w="3260" w:type="dxa"/>
            <w:vAlign w:val="bottom"/>
            <w:tcBorders>
              <w:bottom w:val="single" w:sz="8" w:color="auto"/>
            </w:tcBorders>
            <w:gridSpan w:val="2"/>
          </w:tcPr>
          <w:p>
            <w:pPr>
              <w:jc w:val="right"/>
              <w:ind w:right="1059"/>
              <w:spacing w:after="0"/>
              <w:rPr>
                <w:sz w:val="20"/>
                <w:szCs w:val="20"/>
                <w:color w:val="auto"/>
              </w:rPr>
            </w:pPr>
            <w:r>
              <w:rPr>
                <w:rFonts w:ascii="Arial" w:cs="Arial" w:eastAsia="Arial" w:hAnsi="Arial"/>
                <w:sz w:val="16"/>
                <w:szCs w:val="16"/>
                <w:b w:val="1"/>
                <w:bCs w:val="1"/>
                <w:color w:val="auto"/>
              </w:rPr>
              <w:t>42-0802678</w:t>
            </w:r>
          </w:p>
        </w:tc>
      </w:tr>
      <w:tr>
        <w:trPr>
          <w:trHeight w:val="218"/>
        </w:trPr>
        <w:tc>
          <w:tcPr>
            <w:tcW w:w="332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40" w:type="dxa"/>
            <w:vAlign w:val="bottom"/>
          </w:tcPr>
          <w:p>
            <w:pPr>
              <w:jc w:val="center"/>
              <w:ind w:left="19"/>
              <w:spacing w:after="0"/>
              <w:rPr>
                <w:sz w:val="20"/>
                <w:szCs w:val="20"/>
                <w:color w:val="auto"/>
              </w:rPr>
            </w:pPr>
            <w:r>
              <w:rPr>
                <w:rFonts w:ascii="Arial" w:cs="Arial" w:eastAsia="Arial" w:hAnsi="Arial"/>
                <w:sz w:val="16"/>
                <w:szCs w:val="16"/>
                <w:color w:val="auto"/>
              </w:rPr>
              <w:t>(Commission File Number)</w:t>
            </w:r>
          </w:p>
        </w:tc>
        <w:tc>
          <w:tcPr>
            <w:tcW w:w="10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Arial" w:cs="Arial" w:eastAsia="Arial" w:hAnsi="Arial"/>
                <w:sz w:val="16"/>
                <w:szCs w:val="16"/>
                <w:color w:val="auto"/>
                <w:w w:val="99"/>
              </w:rPr>
              <w:t>(IRS Employer</w:t>
            </w:r>
          </w:p>
        </w:tc>
      </w:tr>
      <w:tr>
        <w:trPr>
          <w:trHeight w:val="195"/>
        </w:trPr>
        <w:tc>
          <w:tcPr>
            <w:tcW w:w="332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tcPr>
          <w:p>
            <w:pPr>
              <w:jc w:val="center"/>
              <w:spacing w:after="0"/>
              <w:rPr>
                <w:sz w:val="20"/>
                <w:szCs w:val="20"/>
                <w:color w:val="auto"/>
              </w:rPr>
            </w:pPr>
            <w:r>
              <w:rPr>
                <w:rFonts w:ascii="Arial" w:cs="Arial" w:eastAsia="Arial" w:hAnsi="Arial"/>
                <w:sz w:val="16"/>
                <w:szCs w:val="16"/>
                <w:color w:val="auto"/>
              </w:rPr>
              <w:t>Identification No.)</w:t>
            </w:r>
          </w:p>
        </w:tc>
      </w:tr>
      <w:tr>
        <w:trPr>
          <w:trHeight w:val="499"/>
        </w:trPr>
        <w:tc>
          <w:tcPr>
            <w:tcW w:w="3320" w:type="dxa"/>
            <w:vAlign w:val="bottom"/>
          </w:tcPr>
          <w:p>
            <w:pPr>
              <w:jc w:val="center"/>
              <w:spacing w:after="0"/>
              <w:rPr>
                <w:sz w:val="20"/>
                <w:szCs w:val="20"/>
                <w:color w:val="auto"/>
              </w:rPr>
            </w:pPr>
            <w:r>
              <w:rPr>
                <w:rFonts w:ascii="Arial" w:cs="Arial" w:eastAsia="Arial" w:hAnsi="Arial"/>
                <w:sz w:val="16"/>
                <w:szCs w:val="16"/>
                <w:b w:val="1"/>
                <w:bCs w:val="1"/>
                <w:color w:val="auto"/>
                <w:w w:val="99"/>
              </w:rPr>
              <w:t>P.O. Box 152, Forest City, Iowa</w:t>
            </w:r>
          </w:p>
        </w:tc>
        <w:tc>
          <w:tcPr>
            <w:tcW w:w="2640" w:type="dxa"/>
            <w:vAlign w:val="bottom"/>
          </w:tcPr>
          <w:p>
            <w:pPr>
              <w:spacing w:after="0"/>
              <w:rPr>
                <w:sz w:val="24"/>
                <w:szCs w:val="24"/>
                <w:color w:val="auto"/>
              </w:rPr>
            </w:pPr>
          </w:p>
        </w:tc>
        <w:tc>
          <w:tcPr>
            <w:tcW w:w="3260" w:type="dxa"/>
            <w:vAlign w:val="bottom"/>
            <w:gridSpan w:val="2"/>
          </w:tcPr>
          <w:p>
            <w:pPr>
              <w:jc w:val="right"/>
              <w:ind w:right="1279"/>
              <w:spacing w:after="0"/>
              <w:rPr>
                <w:sz w:val="20"/>
                <w:szCs w:val="20"/>
                <w:color w:val="auto"/>
              </w:rPr>
            </w:pPr>
            <w:r>
              <w:rPr>
                <w:rFonts w:ascii="Arial" w:cs="Arial" w:eastAsia="Arial" w:hAnsi="Arial"/>
                <w:sz w:val="16"/>
                <w:szCs w:val="16"/>
                <w:b w:val="1"/>
                <w:bCs w:val="1"/>
                <w:color w:val="auto"/>
              </w:rPr>
              <w:t>50436</w:t>
            </w:r>
          </w:p>
        </w:tc>
      </w:tr>
      <w:tr>
        <w:trPr>
          <w:trHeight w:val="224"/>
        </w:trPr>
        <w:tc>
          <w:tcPr>
            <w:tcW w:w="33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(Zip Code)</w:t>
            </w:r>
          </w:p>
        </w:tc>
      </w:tr>
      <w:tr>
        <w:trPr>
          <w:trHeight w:val="473"/>
        </w:trPr>
        <w:tc>
          <w:tcPr>
            <w:tcW w:w="5960" w:type="dxa"/>
            <w:vAlign w:val="bottom"/>
            <w:gridSpan w:val="2"/>
          </w:tcPr>
          <w:p>
            <w:pPr>
              <w:ind w:left="220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gridSpan w:val="2"/>
          </w:tcPr>
          <w:p>
            <w:pPr>
              <w:jc w:val="right"/>
              <w:ind w:right="2099"/>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52"/>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1"/>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2941320</wp:posOffset>
            </wp:positionH>
            <wp:positionV relativeFrom="paragraph">
              <wp:posOffset>250825</wp:posOffset>
            </wp:positionV>
            <wp:extent cx="1363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ind w:left="652" w:hanging="647"/>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492" w:hanging="492"/>
        <w:spacing w:after="0"/>
        <w:tabs>
          <w:tab w:leader="none" w:pos="492"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492" w:hanging="492"/>
        <w:spacing w:after="0"/>
        <w:tabs>
          <w:tab w:leader="none" w:pos="492"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492" w:hanging="492"/>
        <w:spacing w:after="0"/>
        <w:tabs>
          <w:tab w:leader="none" w:pos="492"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492" w:hanging="492"/>
        <w:spacing w:after="0"/>
        <w:tabs>
          <w:tab w:leader="none" w:pos="492"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412"/>
          </w:cols>
          <w:pgMar w:left="248" w:top="676"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7.01 Regulation FD Disclosure.</w:t>
      </w:r>
    </w:p>
    <w:p>
      <w:pPr>
        <w:spacing w:after="0" w:line="24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Winnebago Industries, Inc. (Winnebago Industries) is filing herewith a press release issued on June 11, 2015, as Exhibit 99.1 which is included herein. The press release was issued to report that on June 25, 2015 Winnebago Industries anticipates announcing its financial results for its third quarter Fiscal 2015 ended May 30, 2015. In connection with the announcement, Winnebago Industries will host a conference call on June 25, 2015 at 9:00 a.m. CDT. Details regarding the conference call are contained in the press release included herein.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45"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Exhibit</w:t>
      </w:r>
    </w:p>
    <w:p>
      <w:pPr>
        <w:spacing w:after="0" w:line="31"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6"/>
          <w:szCs w:val="16"/>
          <w:b w:val="1"/>
          <w:bCs w:val="1"/>
          <w:u w:val="single" w:color="auto"/>
          <w:color w:val="auto"/>
        </w:rPr>
        <w:t>Number</w:t>
        <w:tab/>
        <w:t>Description</w:t>
      </w:r>
    </w:p>
    <w:p>
      <w:pPr>
        <w:spacing w:after="0" w:line="13"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Press release of Winnebago Industries, Inc. dated June 11, 2015</w:t>
      </w:r>
    </w:p>
    <w:p>
      <w:pPr>
        <w:sectPr>
          <w:pgSz w:w="11900" w:h="16838" w:orient="portrait"/>
          <w:cols w:equalWidth="0" w:num="1">
            <w:col w:w="11100"/>
          </w:cols>
          <w:pgMar w:left="240" w:top="787" w:right="55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22"/>
          <w:szCs w:val="22"/>
          <w:b w:val="1"/>
          <w:bCs w:val="1"/>
          <w:color w:val="auto"/>
        </w:rPr>
        <w:t>SIGNATURES</w:t>
      </w:r>
    </w:p>
    <w:p>
      <w:pPr>
        <w:spacing w:after="0" w:line="17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58" w:lineRule="exact"/>
        <w:rPr>
          <w:sz w:val="20"/>
          <w:szCs w:val="20"/>
          <w:color w:val="auto"/>
        </w:rPr>
      </w:pPr>
    </w:p>
    <w:p>
      <w:pPr>
        <w:ind w:left="3400"/>
        <w:spacing w:after="0"/>
        <w:rPr>
          <w:sz w:val="20"/>
          <w:szCs w:val="20"/>
          <w:color w:val="auto"/>
        </w:rPr>
      </w:pPr>
      <w:r>
        <w:rPr>
          <w:rFonts w:ascii="Arial" w:cs="Arial" w:eastAsia="Arial" w:hAnsi="Arial"/>
          <w:sz w:val="16"/>
          <w:szCs w:val="16"/>
          <w:color w:val="auto"/>
        </w:rPr>
        <w:t>WINNEBAGO INDUSTRIES, INC.</w:t>
      </w:r>
    </w:p>
    <w:p>
      <w:pPr>
        <w:spacing w:after="0" w:line="86" w:lineRule="exact"/>
        <w:rPr>
          <w:sz w:val="20"/>
          <w:szCs w:val="20"/>
          <w:color w:val="auto"/>
        </w:rPr>
      </w:pPr>
    </w:p>
    <w:p>
      <w:pPr>
        <w:ind w:left="3400"/>
        <w:spacing w:after="0"/>
        <w:rPr>
          <w:sz w:val="20"/>
          <w:szCs w:val="20"/>
          <w:color w:val="auto"/>
        </w:rPr>
      </w:pPr>
      <w:r>
        <w:rPr>
          <w:rFonts w:ascii="Arial" w:cs="Arial" w:eastAsia="Arial" w:hAnsi="Arial"/>
          <w:sz w:val="16"/>
          <w:szCs w:val="16"/>
          <w:color w:val="auto"/>
        </w:rPr>
        <w:t>(Registrant)</w:t>
      </w:r>
    </w:p>
    <w:p>
      <w:pPr>
        <w:spacing w:after="0" w:line="353" w:lineRule="exact"/>
        <w:rPr>
          <w:sz w:val="20"/>
          <w:szCs w:val="20"/>
          <w:color w:val="auto"/>
        </w:rPr>
      </w:pPr>
    </w:p>
    <w:p>
      <w:pPr>
        <w:ind w:left="40"/>
        <w:spacing w:after="0"/>
        <w:tabs>
          <w:tab w:leader="none" w:pos="680" w:val="left"/>
          <w:tab w:leader="none" w:pos="3380" w:val="left"/>
          <w:tab w:leader="none" w:pos="410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8"/>
          <w:szCs w:val="18"/>
          <w:color w:val="auto"/>
        </w:rPr>
        <w:t>June 11, 2015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14605</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9" w:lineRule="exact"/>
        <w:rPr>
          <w:sz w:val="20"/>
          <w:szCs w:val="20"/>
          <w:color w:val="auto"/>
        </w:rPr>
      </w:pPr>
    </w:p>
    <w:p>
      <w:pPr>
        <w:ind w:left="3400"/>
        <w:spacing w:after="0"/>
        <w:tabs>
          <w:tab w:leader="none" w:pos="4100" w:val="left"/>
        </w:tabs>
        <w:rPr>
          <w:sz w:val="20"/>
          <w:szCs w:val="20"/>
          <w:color w:val="auto"/>
        </w:rPr>
      </w:pPr>
      <w:r>
        <w:rPr>
          <w:rFonts w:ascii="Arial" w:cs="Arial" w:eastAsia="Arial" w:hAnsi="Arial"/>
          <w:sz w:val="16"/>
          <w:szCs w:val="16"/>
          <w:color w:val="auto"/>
        </w:rPr>
        <w:t>Name:</w:t>
        <w:tab/>
        <w:t>Randy J. Potts</w:t>
      </w:r>
    </w:p>
    <w:p>
      <w:pPr>
        <w:spacing w:after="0" w:line="86" w:lineRule="exact"/>
        <w:rPr>
          <w:sz w:val="20"/>
          <w:szCs w:val="20"/>
          <w:color w:val="auto"/>
        </w:rPr>
      </w:pPr>
    </w:p>
    <w:p>
      <w:pPr>
        <w:ind w:left="3400"/>
        <w:spacing w:after="0"/>
        <w:tabs>
          <w:tab w:leader="none" w:pos="41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Chairman of the Board, Chief Executive Officer and President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220"/>
          </w:cols>
          <w:pgMar w:left="240" w:top="580" w:right="439" w:bottom="1440" w:gutter="0" w:footer="0" w:header="0"/>
        </w:sectPr>
      </w:pPr>
    </w:p>
    <w:bookmarkStart w:id="3" w:name="page4"/>
    <w:bookmarkEnd w:id="3"/>
    <w:p>
      <w:pPr>
        <w:spacing w:after="0" w:line="1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466090</wp:posOffset>
            </wp:positionH>
            <wp:positionV relativeFrom="page">
              <wp:posOffset>500380</wp:posOffset>
            </wp:positionV>
            <wp:extent cx="1629410" cy="222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629410" cy="222885"/>
                    </a:xfrm>
                    <a:prstGeom prst="rect">
                      <a:avLst/>
                    </a:prstGeom>
                    <a:noFill/>
                  </pic:spPr>
                </pic:pic>
              </a:graphicData>
            </a:graphic>
          </wp:anchor>
        </w:drawing>
        <w:drawing>
          <wp:anchor simplePos="0" relativeHeight="251657728" behindDoc="1" locked="0" layoutInCell="0" allowOverlap="1">
            <wp:simplePos x="0" y="0"/>
            <wp:positionH relativeFrom="page">
              <wp:posOffset>3750945</wp:posOffset>
            </wp:positionH>
            <wp:positionV relativeFrom="page">
              <wp:posOffset>483235</wp:posOffset>
            </wp:positionV>
            <wp:extent cx="2315210" cy="257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315210" cy="25717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Contact: Don Heidemann, Treasurer - 641-585-6186 - dheidemann@wgo.net</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WINNEBAGO INDUSTRIES' THIRD QUARTER FISCAL 2015 FINANCIAL RESULTS ANNOUNCEMENT</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MADE ON JUNE 25, 2015</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Conference Call Scheduled for 9:00 a.m. CDT --</w:t>
      </w:r>
    </w:p>
    <w:p>
      <w:pPr>
        <w:spacing w:after="0" w:line="22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FOREST CITY, IOWA, June 11, 2015 - Winnebago Industries, Inc. (NYSE: WGO), a leading United States (U.S.) recreation vehicle manufacturer, will issue an advisory release and host a conference call on Thursday, June 25, 2015. Winnebago Industries plans to issue an advisory release before the market opens on June 25, 2015 notifying the public that a complete and full-text press release discussing the financial results for the Company's third quarter of Fiscal 2015 ended May 30, 2015 will be available no earlier than 6:00 a.m. CDT in the “Investor Relations” section of the Company's website at: http://investor.wgo.net.</w:t>
      </w:r>
    </w:p>
    <w:p>
      <w:pPr>
        <w:spacing w:after="0" w:line="176"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Company will also host a conference call on June 25, 2015 at 9 a.m. CDT to discuss the financial results for its third quarter Fiscal 2015. Winnebago Industries' conference call may be heard live via the Company's website, http://investor.wgo.net. The event will be archived and available for replay for the next 90 days. To access the replay, click on http://investor.wgo.net.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Minimum requirements to listen to the webcast: either Microsoft Windows Media Player or Adobe Flash Player and an internet connection speed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approximately 32 kbps. The Microsoft Windows Media Player software is downloadable free at: </w:t>
      </w:r>
      <w:r>
        <w:rPr>
          <w:rFonts w:ascii="Arial" w:cs="Arial" w:eastAsia="Arial" w:hAnsi="Arial"/>
          <w:sz w:val="16"/>
          <w:szCs w:val="16"/>
          <w:u w:val="single" w:color="auto"/>
          <w:color w:val="0000CC"/>
        </w:rPr>
        <w:t>http://windows.microsoft.com/en-us/windows/windows-media-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CC"/>
        </w:rPr>
        <w:t>player</w:t>
      </w:r>
      <w:r>
        <w:rPr>
          <w:rFonts w:ascii="Arial" w:cs="Arial" w:eastAsia="Arial" w:hAnsi="Arial"/>
          <w:sz w:val="16"/>
          <w:szCs w:val="16"/>
          <w:color w:val="000000"/>
        </w:rPr>
        <w:t>, and the Adobe Flash Player software is downloadable free at:</w:t>
      </w:r>
      <w:r>
        <w:rPr>
          <w:rFonts w:ascii="Arial" w:cs="Arial" w:eastAsia="Arial" w:hAnsi="Arial"/>
          <w:sz w:val="16"/>
          <w:szCs w:val="16"/>
          <w:color w:val="0000CC"/>
        </w:rPr>
        <w:t xml:space="preserve"> </w:t>
      </w:r>
      <w:r>
        <w:rPr>
          <w:rFonts w:ascii="Arial" w:cs="Arial" w:eastAsia="Arial" w:hAnsi="Arial"/>
          <w:sz w:val="16"/>
          <w:szCs w:val="16"/>
          <w:u w:val="single" w:color="auto"/>
          <w:color w:val="0000FF"/>
        </w:rPr>
        <w:t>http://get.adobe.com/flashplayer/</w:t>
      </w:r>
      <w:r>
        <w:rPr>
          <w:rFonts w:ascii="Arial" w:cs="Arial" w:eastAsia="Arial" w:hAnsi="Arial"/>
          <w:sz w:val="16"/>
          <w:szCs w:val="16"/>
          <w:color w:val="000000"/>
        </w:rPr>
        <w: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Winnebago Industries</w:t>
      </w:r>
    </w:p>
    <w:p>
      <w:pPr>
        <w:spacing w:after="0" w:line="20" w:lineRule="exact"/>
        <w:rPr>
          <w:sz w:val="20"/>
          <w:szCs w:val="20"/>
          <w:color w:val="auto"/>
        </w:rPr>
      </w:pPr>
    </w:p>
    <w:p>
      <w:pPr>
        <w:ind w:right="80"/>
        <w:spacing w:after="0" w:line="236" w:lineRule="auto"/>
        <w:rPr>
          <w:sz w:val="20"/>
          <w:szCs w:val="20"/>
          <w:color w:val="auto"/>
        </w:rPr>
      </w:pPr>
      <w:r>
        <w:rPr>
          <w:rFonts w:ascii="Arial" w:cs="Arial" w:eastAsia="Arial" w:hAnsi="Arial"/>
          <w:sz w:val="16"/>
          <w:szCs w:val="16"/>
          <w:color w:val="auto"/>
        </w:rPr>
        <w:t>Winnebago Industries, Inc., "The Most Recognized Name In Motorhomes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is a leading U.S. manufacturer of recreation vehicles, which are used primarily in leisure travel and outdoor recreation activities. The Company and its subsidiary build quality motorhomes, travel trailers, fifth wheel products and transit buses under the Winnebago, Itasca, Winnebago Touring Coach and Metro brand names. Winnebago Industries has received the Quality Circle Award from the Recreation Vehicle Dealers Association every year since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6"/>
          <w:szCs w:val="16"/>
          <w:u w:val="single" w:color="auto"/>
          <w:color w:val="auto"/>
        </w:rPr>
        <w:t>http://investor.wgo.net</w:t>
      </w:r>
      <w:r>
        <w:rPr>
          <w:rFonts w:ascii="Arial" w:cs="Arial" w:eastAsia="Arial" w:hAnsi="Arial"/>
          <w:sz w:val="16"/>
          <w:szCs w:val="16"/>
          <w:color w:val="auto"/>
        </w:rPr>
        <w: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 # #</w:t>
      </w:r>
    </w:p>
    <w:sectPr>
      <w:pgSz w:w="11900" w:h="16838" w:orient="portrait"/>
      <w:cols w:equalWidth="0" w:num="1">
        <w:col w:w="11380"/>
      </w:cols>
      <w:pgMar w:left="240" w:top="144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2019-12-05T17:57:42Z</dcterms:created>
  <dcterms:modified xsi:type="dcterms:W3CDTF">2019-12-05T17:57:42Z</dcterms:modified>
</cp:coreProperties>
</file>