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February 25, 2006</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85" w:lineRule="exact"/>
        <w:rPr>
          <w:sz w:val="24"/>
          <w:szCs w:val="24"/>
          <w:color w:val="auto"/>
        </w:rPr>
      </w:pPr>
    </w:p>
    <w:p>
      <w:pPr>
        <w:ind w:firstLine="432"/>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5" w:lineRule="exact"/>
        <w:rPr>
          <w:sz w:val="24"/>
          <w:szCs w:val="24"/>
          <w:color w:val="auto"/>
        </w:rPr>
      </w:pPr>
    </w:p>
    <w:p>
      <w:pPr>
        <w:ind w:right="200" w:firstLine="432"/>
        <w:spacing w:after="0" w:line="239"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w:t>
      </w:r>
    </w:p>
    <w:p>
      <w:pPr>
        <w:spacing w:after="0"/>
        <w:tabs>
          <w:tab w:leader="none" w:pos="2740" w:val="left"/>
          <w:tab w:leader="none" w:pos="5000" w:val="left"/>
        </w:tabs>
        <w:rPr>
          <w:sz w:val="20"/>
          <w:szCs w:val="20"/>
          <w:color w:val="auto"/>
        </w:rPr>
      </w:pPr>
      <w:r>
        <w:rPr>
          <w:rFonts w:ascii="Arial" w:cs="Arial" w:eastAsia="Arial" w:hAnsi="Arial"/>
          <w:sz w:val="22"/>
          <w:szCs w:val="22"/>
          <w:color w:val="auto"/>
        </w:rPr>
        <w:t>Large accelerated filer x</w:t>
      </w:r>
      <w:r>
        <w:rPr>
          <w:sz w:val="20"/>
          <w:szCs w:val="20"/>
          <w:color w:val="auto"/>
        </w:rPr>
        <w:tab/>
      </w:r>
      <w:r>
        <w:rPr>
          <w:rFonts w:ascii="Arial" w:cs="Arial" w:eastAsia="Arial" w:hAnsi="Arial"/>
          <w:sz w:val="22"/>
          <w:szCs w:val="22"/>
          <w:color w:val="auto"/>
        </w:rPr>
        <w:t>Accelerated filer o</w:t>
      </w:r>
      <w:r>
        <w:rPr>
          <w:sz w:val="20"/>
          <w:szCs w:val="20"/>
          <w:color w:val="auto"/>
        </w:rPr>
        <w:tab/>
      </w:r>
      <w:r>
        <w:rPr>
          <w:rFonts w:ascii="Arial" w:cs="Arial" w:eastAsia="Arial" w:hAnsi="Arial"/>
          <w:sz w:val="19"/>
          <w:szCs w:val="19"/>
          <w:color w:val="auto"/>
        </w:rPr>
        <w:t>Non-accelerated filer o</w:t>
      </w:r>
    </w:p>
    <w:p>
      <w:pPr>
        <w:spacing w:after="0" w:line="188" w:lineRule="exact"/>
        <w:rPr>
          <w:sz w:val="24"/>
          <w:szCs w:val="24"/>
          <w:color w:val="auto"/>
        </w:rPr>
      </w:pPr>
    </w:p>
    <w:p>
      <w:pPr>
        <w:ind w:right="940" w:firstLine="432"/>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ind w:left="440"/>
        <w:spacing w:after="0"/>
        <w:rPr>
          <w:sz w:val="20"/>
          <w:szCs w:val="20"/>
          <w:color w:val="auto"/>
        </w:rPr>
      </w:pPr>
      <w:r>
        <w:rPr>
          <w:rFonts w:ascii="Arial" w:cs="Arial" w:eastAsia="Arial" w:hAnsi="Arial"/>
          <w:sz w:val="21"/>
          <w:szCs w:val="21"/>
          <w:color w:val="auto"/>
        </w:rPr>
        <w:t>The number of shares of common stock, par value $0.50 per share, outstanding on April 3, 2006 was 32,551,201.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INDEX TO REPORT ON FORM 10-Q</w:t>
      </w:r>
    </w:p>
    <w:p>
      <w:pPr>
        <w:spacing w:after="0" w:line="302" w:lineRule="exact"/>
        <w:rPr>
          <w:sz w:val="24"/>
          <w:szCs w:val="24"/>
          <w:color w:val="auto"/>
        </w:rPr>
      </w:pPr>
    </w:p>
    <w:p>
      <w:pPr>
        <w:ind w:left="10400"/>
        <w:spacing w:after="0"/>
        <w:rPr>
          <w:sz w:val="20"/>
          <w:szCs w:val="20"/>
          <w:color w:val="auto"/>
        </w:rPr>
      </w:pPr>
      <w:r>
        <w:rPr>
          <w:rFonts w:ascii="Arial" w:cs="Arial" w:eastAsia="Arial" w:hAnsi="Arial"/>
          <w:sz w:val="12"/>
          <w:szCs w:val="12"/>
          <w:b w:val="1"/>
          <w:bCs w:val="1"/>
          <w:color w:val="auto"/>
        </w:rPr>
        <w:t>Page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6608445</wp:posOffset>
            </wp:positionH>
            <wp:positionV relativeFrom="paragraph">
              <wp:posOffset>83185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25" w:lineRule="exact"/>
        <w:rPr>
          <w:sz w:val="24"/>
          <w:szCs w:val="24"/>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PART I.</w:t>
      </w:r>
      <w:r>
        <w:rPr>
          <w:sz w:val="20"/>
          <w:szCs w:val="20"/>
          <w:color w:val="auto"/>
        </w:rPr>
        <w:tab/>
      </w:r>
      <w:hyperlink w:anchor="page2">
        <w:r>
          <w:rPr>
            <w:rFonts w:ascii="Arial" w:cs="Arial" w:eastAsia="Arial" w:hAnsi="Arial"/>
            <w:sz w:val="16"/>
            <w:szCs w:val="16"/>
            <w:u w:val="single" w:color="auto"/>
            <w:color w:val="0000EE"/>
          </w:rPr>
          <w:t>FINANCIAL INFORMATION:</w:t>
        </w:r>
      </w:hyperlink>
    </w:p>
    <w:p>
      <w:pPr>
        <w:sectPr>
          <w:pgSz w:w="11900" w:h="16838" w:orient="portrait"/>
          <w:cols w:equalWidth="0" w:num="1">
            <w:col w:w="11280"/>
          </w:cols>
          <w:pgMar w:left="240" w:top="239" w:right="37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95"/>
              </w:rPr>
              <w:t>1 &amp; 2</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79"/>
              </w:rPr>
              <w:t>3</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Cash Flows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79"/>
              </w:rPr>
              <w:t>4</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Notes to Condensed Consolidated Financial Statements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7"/>
              </w:rPr>
              <w:t>5 – 11</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788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6"/>
              </w:rPr>
              <w:t>12 – 18</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Quantitative and Qualitative Disclosures About Market Risk</w:t>
              </w:r>
            </w:hyperlink>
          </w:p>
        </w:tc>
        <w:tc>
          <w:tcPr>
            <w:tcW w:w="2020" w:type="dxa"/>
            <w:vAlign w:val="bottom"/>
            <w:tcBorders>
              <w:top w:val="single" w:sz="8" w:color="0000EE"/>
            </w:tcBorders>
            <w:gridSpan w:val="3"/>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18</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Controls and Procedures</w:t>
              </w:r>
            </w:hyperlink>
          </w:p>
        </w:tc>
        <w:tc>
          <w:tcPr>
            <w:tcW w:w="6140" w:type="dxa"/>
            <w:vAlign w:val="bottom"/>
            <w:gridSpan w:val="12"/>
          </w:tcPr>
          <w:p>
            <w:pPr>
              <w:spacing w:after="0"/>
              <w:rPr>
                <w:sz w:val="24"/>
                <w:szCs w:val="24"/>
                <w:color w:val="auto"/>
              </w:rPr>
            </w:pPr>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6"/>
              </w:rPr>
              <w:t>18 – 19</w:t>
            </w:r>
          </w:p>
        </w:tc>
      </w:tr>
      <w:tr>
        <w:trPr>
          <w:trHeight w:val="439"/>
        </w:trPr>
        <w:tc>
          <w:tcPr>
            <w:tcW w:w="108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Report of Independent Registered Public Accounting Firm</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20</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PART II.</w:t>
            </w:r>
          </w:p>
        </w:tc>
        <w:tc>
          <w:tcPr>
            <w:tcW w:w="4120" w:type="dxa"/>
            <w:vAlign w:val="bottom"/>
            <w:tcBorders>
              <w:top w:val="single" w:sz="8" w:color="0000EE"/>
            </w:tcBorders>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3760" w:type="dxa"/>
            <w:vAlign w:val="bottom"/>
            <w:gridSpan w:val="6"/>
          </w:tcPr>
          <w:p>
            <w:pPr>
              <w:spacing w:after="0"/>
              <w:rPr>
                <w:sz w:val="24"/>
                <w:szCs w:val="24"/>
                <w:color w:val="auto"/>
              </w:rPr>
            </w:pPr>
          </w:p>
        </w:tc>
        <w:tc>
          <w:tcPr>
            <w:tcW w:w="2100" w:type="dxa"/>
            <w:vAlign w:val="bottom"/>
          </w:tcPr>
          <w:p>
            <w:pPr>
              <w:spacing w:after="0"/>
              <w:rPr>
                <w:sz w:val="24"/>
                <w:szCs w:val="24"/>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6040" w:type="dxa"/>
            <w:vAlign w:val="bottom"/>
            <w:gridSpan w:val="11"/>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Unregistered Sales of Equity Securities and Use of Proceeds</w:t>
              </w:r>
            </w:hyperlink>
          </w:p>
        </w:tc>
        <w:tc>
          <w:tcPr>
            <w:tcW w:w="3620" w:type="dxa"/>
            <w:vAlign w:val="bottom"/>
            <w:gridSpan w:val="5"/>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788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Submission of Matters to a Vote of Security Holders</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 and Reports on Form 8-K</w:t>
              </w:r>
            </w:hyperlink>
          </w:p>
        </w:tc>
        <w:tc>
          <w:tcPr>
            <w:tcW w:w="4200" w:type="dxa"/>
            <w:vAlign w:val="bottom"/>
            <w:gridSpan w:val="7"/>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4"/>
                <w:szCs w:val="24"/>
                <w:color w:val="auto"/>
              </w:rPr>
            </w:pPr>
          </w:p>
        </w:tc>
        <w:tc>
          <w:tcPr>
            <w:tcW w:w="2440" w:type="dxa"/>
            <w:vAlign w:val="bottom"/>
            <w:tcBorders>
              <w:top w:val="single" w:sz="8" w:color="0000EE"/>
            </w:tcBorders>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5440" w:type="dxa"/>
            <w:vAlign w:val="bottom"/>
            <w:gridSpan w:val="10"/>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22</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23</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25,</w:t>
            </w:r>
          </w:p>
        </w:tc>
        <w:tc>
          <w:tcPr>
            <w:tcW w:w="2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2006</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18,825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Short-term investments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144,250</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93,100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Receivables, less allowance for doubtful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accounts ($159 and $270, respectively)</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29,225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90,888</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120,655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5,005</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297,026</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at cost:</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Land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Buildings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60,366</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60,282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101,722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Transportation equipment</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9,510</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172,598</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Less accumulated depreciation</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112,249</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107,517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60,349</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24,236</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24,997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96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8"/>
                <w:szCs w:val="18"/>
                <w:color w:val="auto"/>
              </w:rPr>
              <w:t>20,437</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shd w:val="clear" w:color="auto" w:fill="D6F3E8"/>
          </w:tcPr>
          <w:p>
            <w:pPr>
              <w:spacing w:after="0"/>
              <w:rPr>
                <w:sz w:val="15"/>
                <w:szCs w:val="15"/>
                <w:color w:val="auto"/>
              </w:rPr>
            </w:pPr>
          </w:p>
        </w:tc>
        <w:tc>
          <w:tcPr>
            <w:tcW w:w="126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1160" w:type="dxa"/>
            <w:vAlign w:val="bottom"/>
            <w:shd w:val="clear" w:color="auto" w:fill="D6F3E8"/>
          </w:tcPr>
          <w:p>
            <w:pPr>
              <w:spacing w:after="0"/>
              <w:rPr>
                <w:sz w:val="15"/>
                <w:szCs w:val="15"/>
                <w:color w:val="auto"/>
              </w:rPr>
            </w:pPr>
          </w:p>
        </w:tc>
        <w:tc>
          <w:tcPr>
            <w:tcW w:w="1260" w:type="dxa"/>
            <w:vAlign w:val="bottom"/>
            <w:shd w:val="clear" w:color="auto" w:fill="D6F3E8"/>
          </w:tcPr>
          <w:p>
            <w:pPr>
              <w:spacing w:after="0"/>
              <w:rPr>
                <w:sz w:val="15"/>
                <w:szCs w:val="15"/>
                <w:color w:val="auto"/>
              </w:rPr>
            </w:pPr>
          </w:p>
        </w:tc>
        <w:tc>
          <w:tcPr>
            <w:tcW w:w="240" w:type="dxa"/>
            <w:vAlign w:val="bottom"/>
            <w:shd w:val="clear" w:color="auto" w:fill="D6F3E8"/>
          </w:tcPr>
          <w:p>
            <w:pPr>
              <w:spacing w:after="0"/>
              <w:rPr>
                <w:sz w:val="15"/>
                <w:szCs w:val="15"/>
                <w:color w:val="auto"/>
              </w:rPr>
            </w:pPr>
          </w:p>
        </w:tc>
        <w:tc>
          <w:tcPr>
            <w:tcW w:w="110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15,849</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D6F3E8"/>
          </w:tcPr>
          <w:p>
            <w:pPr>
              <w:spacing w:after="0"/>
              <w:rPr>
                <w:sz w:val="18"/>
                <w:szCs w:val="18"/>
                <w:color w:val="auto"/>
              </w:rPr>
            </w:pPr>
          </w:p>
        </w:tc>
      </w:tr>
      <w:tr>
        <w:trPr>
          <w:trHeight w:val="108"/>
        </w:trPr>
        <w:tc>
          <w:tcPr>
            <w:tcW w:w="72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559"/>
        </w:trPr>
        <w:tc>
          <w:tcPr>
            <w:tcW w:w="72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417,897</w:t>
            </w:r>
          </w:p>
        </w:tc>
        <w:tc>
          <w:tcPr>
            <w:tcW w:w="126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tcPr>
          <w:p>
            <w:pPr>
              <w:spacing w:after="0"/>
              <w:rPr>
                <w:sz w:val="24"/>
                <w:szCs w:val="24"/>
                <w:color w:val="auto"/>
              </w:rPr>
            </w:pPr>
          </w:p>
        </w:tc>
      </w:tr>
      <w:tr>
        <w:trPr>
          <w:trHeight w:val="134"/>
        </w:trPr>
        <w:tc>
          <w:tcPr>
            <w:tcW w:w="72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778"/>
        </w:trPr>
        <w:tc>
          <w:tcPr>
            <w:tcW w:w="7220" w:type="dxa"/>
            <w:vAlign w:val="bottom"/>
          </w:tcPr>
          <w:p>
            <w:pPr>
              <w:spacing w:after="0"/>
              <w:rPr>
                <w:sz w:val="20"/>
                <w:szCs w:val="20"/>
                <w:color w:val="auto"/>
              </w:rPr>
            </w:pPr>
            <w:r>
              <w:rPr>
                <w:rFonts w:ascii="Arial" w:cs="Arial" w:eastAsia="Arial" w:hAnsi="Arial"/>
                <w:sz w:val="18"/>
                <w:szCs w:val="18"/>
                <w:color w:val="auto"/>
              </w:rPr>
              <w:t>See Unaudited Notes to Condensed Consolidated Financial Statements.</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-523240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-523240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-523240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-523240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per share data)</w:t>
      </w:r>
    </w:p>
    <w:p>
      <w:pPr>
        <w:sectPr>
          <w:pgSz w:w="11900" w:h="16838" w:orient="portrait"/>
          <w:cols w:equalWidth="0" w:num="1">
            <w:col w:w="11420"/>
          </w:cols>
          <w:pgMar w:left="240" w:top="140" w:right="239" w:bottom="144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773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tabs>
          <w:tab w:leader="none" w:pos="2660" w:val="left"/>
        </w:tabs>
        <w:rPr>
          <w:sz w:val="20"/>
          <w:szCs w:val="20"/>
          <w:color w:val="auto"/>
        </w:rPr>
      </w:pPr>
      <w:r>
        <w:rPr>
          <w:rFonts w:ascii="Arial" w:cs="Arial" w:eastAsia="Arial" w:hAnsi="Arial"/>
          <w:sz w:val="14"/>
          <w:szCs w:val="14"/>
          <w:b w:val="1"/>
          <w:bCs w:val="1"/>
          <w:color w:val="auto"/>
        </w:rPr>
        <w:t>February 25,</w:t>
      </w:r>
      <w:r>
        <w:rPr>
          <w:sz w:val="20"/>
          <w:szCs w:val="20"/>
          <w:color w:val="auto"/>
        </w:rPr>
        <w:tab/>
      </w:r>
      <w:r>
        <w:rPr>
          <w:rFonts w:ascii="Arial" w:cs="Arial" w:eastAsia="Arial" w:hAnsi="Arial"/>
          <w:sz w:val="12"/>
          <w:szCs w:val="12"/>
          <w:b w:val="1"/>
          <w:bCs w:val="1"/>
          <w:color w:val="auto"/>
        </w:rPr>
        <w:t>August 27,</w:t>
      </w:r>
    </w:p>
    <w:p>
      <w:pPr>
        <w:spacing w:after="0" w:line="1" w:lineRule="exact"/>
        <w:rPr>
          <w:sz w:val="20"/>
          <w:szCs w:val="20"/>
          <w:color w:val="auto"/>
        </w:rPr>
      </w:pPr>
    </w:p>
    <w:p>
      <w:pPr>
        <w:ind w:left="240"/>
        <w:spacing w:after="0"/>
        <w:tabs>
          <w:tab w:leader="none" w:pos="28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60325</wp:posOffset>
            </wp:positionV>
            <wp:extent cx="875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60325</wp:posOffset>
            </wp:positionV>
            <wp:extent cx="857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880"/>
          </w:cols>
          <w:pgMar w:left="240" w:top="140"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Accounts payable, trade</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33,436</w:t>
            </w:r>
          </w:p>
        </w:tc>
        <w:tc>
          <w:tcPr>
            <w:tcW w:w="126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7,523</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Accrued compensation</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11,920</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16,380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Product warranties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11,284</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Self-insurance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6,389</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6,728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Promotional</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Dividend payable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2,948</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4,396</w:t>
            </w: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83,176</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90,623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Postretirement health care and deferred</w:t>
            </w: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72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compensation benefits, net of current portion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86,541</w:t>
            </w: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Contingent liabilities and commitments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2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Capital stock, common, par value $0.50; authorized</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60,000 shares, issued 51,776 shares</w:t>
            </w:r>
          </w:p>
        </w:tc>
        <w:tc>
          <w:tcPr>
            <w:tcW w:w="44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12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20,142</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Reinvested earnings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463,881</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447,518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509,911</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490,217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Less treasury stock, at cost (19,014 and 18,787 shares)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261,731</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254,330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248,180</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235,887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417,897</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See Unaudited Notes to Condensed Consolidated Financial Statements.</w:t>
      </w:r>
    </w:p>
    <w:p>
      <w:pPr>
        <w:sectPr>
          <w:pgSz w:w="11900" w:h="16838" w:orient="portrait"/>
          <w:cols w:equalWidth="0" w:num="1">
            <w:col w:w="11420"/>
          </w:cols>
          <w:pgMar w:left="240" w:top="140" w:right="239" w:bottom="1440" w:gutter="0" w:footer="0" w:header="0"/>
          <w:type w:val="continuous"/>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6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CONSOLIDATED STATEMENTS OF INCOME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February 25,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w w:val="88"/>
              </w:rPr>
              <w:t>February 26,</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February 25,</w:t>
            </w: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February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206,425</w:t>
            </w: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239,359</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438,680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505,492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186,105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210,098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387,196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436,167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20,320</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29,261</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51,484</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69,325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5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Selling</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4,505</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4,564</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9,178</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9,118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9,789</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10,362</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19,511</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20,473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1,314</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639</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2,236</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19,538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4,145</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6,967</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11,939</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17,870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12,571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22,270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0.23</w:t>
            </w: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0.37</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0.67</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18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32,806</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33,672</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32,870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33,147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34,254</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Dividend per common share</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0.09</w:t>
            </w: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0.07</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0.18</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5180" w:type="dxa"/>
            <w:vAlign w:val="bottom"/>
            <w:gridSpan w:val="3"/>
          </w:tcPr>
          <w:p>
            <w:pPr>
              <w:spacing w:after="0"/>
              <w:rPr>
                <w:sz w:val="20"/>
                <w:szCs w:val="20"/>
                <w:color w:val="auto"/>
              </w:rPr>
            </w:pPr>
            <w:r>
              <w:rPr>
                <w:rFonts w:ascii="Arial" w:cs="Arial" w:eastAsia="Arial" w:hAnsi="Arial"/>
                <w:sz w:val="18"/>
                <w:szCs w:val="18"/>
                <w:color w:val="auto"/>
                <w:w w:val="89"/>
              </w:rPr>
              <w:t>See Unaudited Notes to Condensed Consolidated Financial Statements.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-1946910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-1946910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-1946910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-1946910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-1946910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-1946910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-1946910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-1946910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CONSOLIDATED STATEMENTS OF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25, 2006</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26,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22,270</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400" w:type="dxa"/>
            <w:vAlign w:val="bottom"/>
            <w:shd w:val="clear" w:color="auto" w:fill="D6F3E8"/>
          </w:tcPr>
          <w:p>
            <w:pPr>
              <w:spacing w:after="0"/>
              <w:rPr>
                <w:sz w:val="19"/>
                <w:szCs w:val="19"/>
                <w:color w:val="auto"/>
              </w:rPr>
            </w:pPr>
          </w:p>
        </w:tc>
        <w:tc>
          <w:tcPr>
            <w:tcW w:w="7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48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40" w:type="dxa"/>
            <w:vAlign w:val="bottom"/>
            <w:shd w:val="clear" w:color="auto" w:fill="D6F3E8"/>
          </w:tcPr>
          <w:p>
            <w:pPr>
              <w:spacing w:after="0"/>
              <w:rPr>
                <w:sz w:val="4"/>
                <w:szCs w:val="4"/>
                <w:color w:val="auto"/>
              </w:rPr>
            </w:pPr>
          </w:p>
        </w:tc>
        <w:tc>
          <w:tcPr>
            <w:tcW w:w="400" w:type="dxa"/>
            <w:vAlign w:val="bottom"/>
            <w:shd w:val="clear" w:color="auto" w:fill="D6F3E8"/>
          </w:tcPr>
          <w:p>
            <w:pPr>
              <w:spacing w:after="0"/>
              <w:rPr>
                <w:sz w:val="4"/>
                <w:szCs w:val="4"/>
                <w:color w:val="auto"/>
              </w:rPr>
            </w:pPr>
          </w:p>
        </w:tc>
        <w:tc>
          <w:tcPr>
            <w:tcW w:w="760" w:type="dxa"/>
            <w:vAlign w:val="bottom"/>
            <w:shd w:val="clear" w:color="auto" w:fill="D6F3E8"/>
          </w:tcPr>
          <w:p>
            <w:pPr>
              <w:spacing w:after="0"/>
              <w:rPr>
                <w:sz w:val="4"/>
                <w:szCs w:val="4"/>
                <w:color w:val="auto"/>
              </w:rPr>
            </w:pPr>
          </w:p>
        </w:tc>
        <w:tc>
          <w:tcPr>
            <w:tcW w:w="440" w:type="dxa"/>
            <w:vAlign w:val="bottom"/>
            <w:shd w:val="clear" w:color="auto" w:fill="D6F3E8"/>
          </w:tcPr>
          <w:p>
            <w:pPr>
              <w:spacing w:after="0"/>
              <w:rPr>
                <w:sz w:val="4"/>
                <w:szCs w:val="4"/>
                <w:color w:val="auto"/>
              </w:rPr>
            </w:pPr>
          </w:p>
        </w:tc>
        <w:tc>
          <w:tcPr>
            <w:tcW w:w="480" w:type="dxa"/>
            <w:vAlign w:val="bottom"/>
            <w:shd w:val="clear" w:color="auto" w:fill="D6F3E8"/>
          </w:tcPr>
          <w:p>
            <w:pPr>
              <w:spacing w:after="0"/>
              <w:rPr>
                <w:sz w:val="4"/>
                <w:szCs w:val="4"/>
                <w:color w:val="auto"/>
              </w:rPr>
            </w:pPr>
          </w:p>
        </w:tc>
        <w:tc>
          <w:tcPr>
            <w:tcW w:w="660" w:type="dxa"/>
            <w:vAlign w:val="bottom"/>
            <w:shd w:val="clear" w:color="auto" w:fill="D6F3E8"/>
          </w:tcPr>
          <w:p>
            <w:pPr>
              <w:spacing w:after="0"/>
              <w:rPr>
                <w:sz w:val="4"/>
                <w:szCs w:val="4"/>
                <w:color w:val="auto"/>
              </w:rPr>
            </w:pPr>
          </w:p>
        </w:tc>
        <w:tc>
          <w:tcPr>
            <w:tcW w:w="220" w:type="dxa"/>
            <w:vAlign w:val="bottom"/>
            <w:shd w:val="clear" w:color="auto" w:fill="D6F3E8"/>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4" w:name="page5"/>
    <w:bookmarkEnd w:id="4"/>
    <w:p>
      <w:pPr>
        <w:ind w:left="10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2,895</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Deferred compensation and postretirement expense</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Receivables and other assets</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10,986</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29,767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(10,336)</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Postretirement and deferred compensation benefits</w:t>
            </w: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08"/>
        </w:trPr>
        <w:tc>
          <w:tcPr>
            <w:tcW w:w="8460" w:type="dxa"/>
            <w:vAlign w:val="bottom"/>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65,294</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(110,100)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(147,473)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58,950</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101,094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(1,968)</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08"/>
        </w:trPr>
        <w:tc>
          <w:tcPr>
            <w:tcW w:w="8460" w:type="dxa"/>
            <w:vAlign w:val="bottom"/>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(53,048)</w:t>
            </w:r>
          </w:p>
        </w:tc>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(50,922)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Payments for purchase of common stock</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(8,284)</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Payment of cash dividends</w:t>
            </w: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(5,922)</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174</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460" w:type="dxa"/>
            <w:vAlign w:val="bottom"/>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(12,905)</w:t>
            </w:r>
          </w:p>
        </w:tc>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457"/>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19,484</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 end of period</w:t>
            </w:r>
          </w:p>
        </w:tc>
        <w:tc>
          <w:tcPr>
            <w:tcW w:w="3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18,825</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3"/>
        </w:trPr>
        <w:tc>
          <w:tcPr>
            <w:tcW w:w="846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260"/>
              <w:spacing w:after="0"/>
              <w:rPr>
                <w:sz w:val="20"/>
                <w:szCs w:val="20"/>
                <w:color w:val="auto"/>
              </w:rPr>
            </w:pPr>
            <w:r>
              <w:rPr>
                <w:rFonts w:ascii="Arial" w:cs="Arial" w:eastAsia="Arial" w:hAnsi="Arial"/>
                <w:sz w:val="18"/>
                <w:szCs w:val="18"/>
                <w:color w:val="auto"/>
              </w:rPr>
              <w:t>Income taxes paid</w:t>
            </w:r>
          </w:p>
        </w:tc>
        <w:tc>
          <w:tcPr>
            <w:tcW w:w="34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44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11,058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-524510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-524510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-524510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-524510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NOTES TO CONDENSED CONSOLIDATED</w:t>
      </w: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99"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213"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February 25, 2006, and the consolidated results of operations and consolidated statements of cash flows for the six months ended February 25, 2006 and February 26, 2005. The consolidated statements of income for the six months ended February 25, 2006, are not necessarily indicative of the results to be expected for the full year. The balance sheet data as of August 27, 2005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27, 2005. Certain prior period information has been reclassified to conform to the current year presentation.</w:t>
      </w:r>
    </w:p>
    <w:p>
      <w:pPr>
        <w:sectPr>
          <w:pgSz w:w="11900" w:h="16838" w:orient="portrait"/>
          <w:cols w:equalWidth="0" w:num="1">
            <w:col w:w="11420"/>
          </w:cols>
          <w:pgMar w:left="240" w:top="131" w:right="239" w:bottom="122"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299"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We have an Incentive Compensation Plan (the “Plan”) in place which allows us to grant stock options and other equity compensation to employees. To date, we have only granted options under the Plan. The Plan also allows us to provide equity compensation to our nonemployee directors. The grant price of an option under the Plan may not be less than the fair market value of the common stock subject to such option. The term of any options granted under the Plan may not exceed 10 years from the date of the grant. Options issued to employees generally vest over a three-year period in equal annual installments with immediate vesting upon retirement or upon a change of control (as defined in the Plan), if earlier. Options issued to directors prior to 2006 vested six months after grant. Options issued to directors in Fiscal 2006 will vest one year after grant.</w:t>
      </w:r>
    </w:p>
    <w:p>
      <w:pPr>
        <w:spacing w:after="0" w:line="201" w:lineRule="exact"/>
        <w:rPr>
          <w:sz w:val="20"/>
          <w:szCs w:val="20"/>
          <w:color w:val="auto"/>
        </w:rPr>
      </w:pPr>
    </w:p>
    <w:p>
      <w:pPr>
        <w:ind w:left="580" w:right="460"/>
        <w:spacing w:after="0" w:line="306" w:lineRule="auto"/>
        <w:rPr>
          <w:sz w:val="20"/>
          <w:szCs w:val="20"/>
          <w:color w:val="auto"/>
        </w:rPr>
      </w:pPr>
      <w:r>
        <w:rPr>
          <w:rFonts w:ascii="Arial" w:cs="Arial" w:eastAsia="Arial" w:hAnsi="Arial"/>
          <w:sz w:val="16"/>
          <w:szCs w:val="16"/>
          <w:color w:val="auto"/>
        </w:rPr>
        <w:t xml:space="preserve">Prior to August 28, 2005, we applied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in accounting for options. No stock-based compensation expense for stock options was recognized in our consolidated statements of income prior to Fiscal 2006, as the exercise price was equal to the market price of our stock on the date of grant.</w:t>
      </w:r>
    </w:p>
    <w:p>
      <w:pPr>
        <w:spacing w:after="0" w:line="188" w:lineRule="exact"/>
        <w:rPr>
          <w:sz w:val="20"/>
          <w:szCs w:val="20"/>
          <w:color w:val="auto"/>
        </w:rPr>
      </w:pPr>
    </w:p>
    <w:p>
      <w:pPr>
        <w:ind w:left="580" w:right="380"/>
        <w:spacing w:after="0" w:line="256" w:lineRule="auto"/>
        <w:rPr>
          <w:sz w:val="20"/>
          <w:szCs w:val="20"/>
          <w:color w:val="auto"/>
        </w:rPr>
      </w:pPr>
      <w:r>
        <w:rPr>
          <w:rFonts w:ascii="Arial" w:cs="Arial" w:eastAsia="Arial" w:hAnsi="Arial"/>
          <w:sz w:val="18"/>
          <w:szCs w:val="18"/>
          <w:color w:val="auto"/>
        </w:rPr>
        <w:t>Effective August 28, 2005, we adopted Statement of Financial Accounting Standards (SFAS) No. 123 (revised 2004), Share-Based Payment (123R), requiring us to recognize expense related to the fair value of our stock-based compensation awards. We elected the modified prospective transition method as permitted by SFAS No. 123R; accordingly, results from prior periods have not been restated. Under this transition method, stock-based compensation expense for the six months ended February 25, 2006 includes:</w:t>
      </w:r>
    </w:p>
    <w:p>
      <w:pPr>
        <w:spacing w:after="0" w:line="224" w:lineRule="exact"/>
        <w:rPr>
          <w:sz w:val="20"/>
          <w:szCs w:val="20"/>
          <w:color w:val="auto"/>
        </w:rPr>
      </w:pPr>
    </w:p>
    <w:p>
      <w:pPr>
        <w:ind w:left="1180" w:right="60" w:hanging="618"/>
        <w:spacing w:after="0" w:line="332" w:lineRule="auto"/>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compensation expense for all stock-based compensation awards granted prior to August 27, 2005, but not yet vested, based on the grant date fair value estimated in accordance with the original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ind w:left="1180" w:right="520" w:hanging="618"/>
        <w:spacing w:after="0" w:line="268"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compensation expense for all stock-based compensation awards granted subsequent to August 27, 2005, based on the grant-date fair value estimated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right="20"/>
        <w:spacing w:after="0" w:line="286" w:lineRule="auto"/>
        <w:rPr>
          <w:sz w:val="20"/>
          <w:szCs w:val="20"/>
          <w:color w:val="auto"/>
        </w:rPr>
      </w:pPr>
      <w:r>
        <w:rPr>
          <w:rFonts w:ascii="Arial" w:cs="Arial" w:eastAsia="Arial" w:hAnsi="Arial"/>
          <w:sz w:val="16"/>
          <w:szCs w:val="16"/>
          <w:color w:val="auto"/>
        </w:rPr>
        <w:t>Historically, for SFAS No. 123 pro forma disclosure on stock-based compensation, we have recognized compensation expense for stock option awards issued to employees on a straight-line basis over the vesting period of three years. This policy differs from the policy required to be applied to awards granted after the adoption of SFAS No. 123R, which requires that compensation expense be recognized for awards over the requisite service period of the award or to an employee’s eligible retirement date, if earlier.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 Total stock option expense included in our statements of income for the quarters ended February 25, 2006 and February 26, 2005, was $979,000 ($804,000, net of tax or 2 cents per diluted share) and $-0-, respectively. Of the $979,000 option expense included in our statements of income for the quarter ended February 25, 2006, $587,000 relates to awards granted prior to Fiscal 2006 which continued to be expensed over the three-year vesting period. Total stock option expense included in our statements of income for the six months ended February 25, 2006 and February 26, 2005 was $2.8 million ($2.3 million, net of tax or 7 cents per diluted share) and $-0-, respectively. Of the $2.8 million option expense included in our statements of income for the six months ended February 25, 2006, $1.3 million relates to awards granted prior to Fiscal 2006 which continued to be expensed over the three-year vesting period.</w:t>
      </w:r>
    </w:p>
    <w:p>
      <w:pPr>
        <w:spacing w:after="0" w:line="205"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Prior to the adoption of SFAS No. 123R, we reported all tax benefits resulting from the exercise of stock options as operating cash flows in our consolidated statements of cash flows. In accordance with SFAS No. 123R, for the six months ended February 25, 2006, the presentation of our statement of cash flows has changed from prior periods to report the excess tax benefits from the exercise of stock options as financing cash flows. For the six months ended February 25, 2006, $174,000 of excess tax benefits were reported as financing cash flows rather than operating cash flows.</w:t>
      </w:r>
    </w:p>
    <w:p>
      <w:pPr>
        <w:spacing w:after="0" w:line="194"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 table below illustrates the effect on net earnings and earnings per share as if we had applied the fair value recognition provisions of SFAS No. 123 to stock-based compensation during the quarter and six months ended February 26, 2005.</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Quarter Ended</w:t>
            </w:r>
          </w:p>
        </w:tc>
        <w:tc>
          <w:tcPr>
            <w:tcW w:w="26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February 26, 2005</w:t>
            </w:r>
          </w:p>
        </w:tc>
        <w:tc>
          <w:tcPr>
            <w:tcW w:w="26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26, 2005</w:t>
            </w:r>
          </w:p>
        </w:tc>
        <w:tc>
          <w:tcPr>
            <w:tcW w:w="0" w:type="dxa"/>
            <w:vAlign w:val="bottom"/>
          </w:tcPr>
          <w:p>
            <w:pPr>
              <w:spacing w:after="0"/>
              <w:rPr>
                <w:sz w:val="1"/>
                <w:szCs w:val="1"/>
                <w:color w:val="auto"/>
              </w:rPr>
            </w:pPr>
          </w:p>
        </w:tc>
      </w:tr>
      <w:tr>
        <w:trPr>
          <w:trHeight w:val="89"/>
        </w:trPr>
        <w:tc>
          <w:tcPr>
            <w:tcW w:w="7220" w:type="dxa"/>
            <w:vAlign w:val="bottom"/>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color w:val="auto"/>
              </w:rPr>
              <w:t>Net earnings, as reported</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12,571</w:t>
            </w:r>
          </w:p>
        </w:tc>
        <w:tc>
          <w:tcPr>
            <w:tcW w:w="3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32,115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Deduct: Stock-based compensation expense determined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under fair value method for all awards, net of tax</w:t>
            </w:r>
            <w:r>
              <w:rPr>
                <w:rFonts w:ascii="Arial" w:cs="Arial" w:eastAsia="Arial" w:hAnsi="Arial"/>
                <w:sz w:val="29"/>
                <w:szCs w:val="29"/>
                <w:color w:val="auto"/>
                <w:vertAlign w:val="superscript"/>
              </w:rPr>
              <w:t>(1)</w:t>
            </w:r>
          </w:p>
        </w:tc>
        <w:tc>
          <w:tcPr>
            <w:tcW w:w="10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color w:val="auto"/>
              </w:rPr>
              <w:t>Net earnings, pro forma</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11,610</w:t>
            </w:r>
          </w:p>
        </w:tc>
        <w:tc>
          <w:tcPr>
            <w:tcW w:w="3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30,586</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7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D6F3E8"/>
          </w:tcPr>
          <w:p>
            <w:pPr>
              <w:ind w:left="200"/>
              <w:spacing w:after="0"/>
              <w:rPr>
                <w:sz w:val="20"/>
                <w:szCs w:val="20"/>
                <w:color w:val="auto"/>
              </w:rPr>
            </w:pPr>
            <w:r>
              <w:rPr>
                <w:rFonts w:ascii="Arial" w:cs="Arial" w:eastAsia="Arial" w:hAnsi="Arial"/>
                <w:sz w:val="18"/>
                <w:szCs w:val="18"/>
                <w:color w:val="auto"/>
              </w:rPr>
              <w:t>Basic – as reported</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Basic – pro forma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D6F3E8"/>
          </w:tcPr>
          <w:p>
            <w:pPr>
              <w:ind w:left="200"/>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Diluted – pro forma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3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900" w:right="600" w:hanging="318"/>
        <w:spacing w:after="0" w:line="194" w:lineRule="auto"/>
        <w:tabs>
          <w:tab w:leader="none" w:pos="9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For purposes of this pro forma disclosure, the value of the stock-based compensation is amortized to expense on a straight-line basis over the period it is vested. Forfeitures are estimated based on historical experience.</w:t>
      </w:r>
    </w:p>
    <w:p>
      <w:pPr>
        <w:sectPr>
          <w:pgSz w:w="11900" w:h="16838" w:orient="portrait"/>
          <w:cols w:equalWidth="0" w:num="1">
            <w:col w:w="11400"/>
          </w:cols>
          <w:pgMar w:left="240" w:top="125" w:right="259" w:bottom="417" w:gutter="0" w:footer="0" w:header="0"/>
        </w:sectPr>
      </w:pPr>
    </w:p>
    <w:bookmarkStart w:id="6" w:name="page7"/>
    <w:bookmarkEnd w:id="6"/>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stock option activity for the six months ended February 25, 2006:</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Weighted-</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Exercise</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 and years)</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5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9"/>
        </w:trPr>
        <w:tc>
          <w:tcPr>
            <w:tcW w:w="5060" w:type="dxa"/>
            <w:vAlign w:val="bottom"/>
            <w:gridSpan w:val="2"/>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August 27, 2005</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1,374</w:t>
            </w:r>
          </w:p>
        </w:tc>
        <w:tc>
          <w:tcPr>
            <w:tcW w:w="28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22.24</w:t>
            </w:r>
          </w:p>
        </w:tc>
        <w:tc>
          <w:tcPr>
            <w:tcW w:w="5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18.56</w:t>
            </w:r>
          </w:p>
        </w:tc>
        <w:tc>
          <w:tcPr>
            <w:tcW w:w="5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Forfeited/Canceled</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February 25, 2006</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1,653</w:t>
            </w:r>
          </w:p>
        </w:tc>
        <w:tc>
          <w:tcPr>
            <w:tcW w:w="28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23.49</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7.29</w:t>
            </w:r>
          </w:p>
        </w:tc>
        <w:tc>
          <w:tcPr>
            <w:tcW w:w="6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13,431</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060" w:type="dxa"/>
            <w:vAlign w:val="bottom"/>
            <w:gridSpan w:val="2"/>
          </w:tcPr>
          <w:p>
            <w:pPr>
              <w:spacing w:after="0"/>
              <w:rPr>
                <w:sz w:val="20"/>
                <w:szCs w:val="20"/>
                <w:color w:val="auto"/>
              </w:rPr>
            </w:pPr>
            <w:r>
              <w:rPr>
                <w:rFonts w:ascii="Arial" w:cs="Arial" w:eastAsia="Arial" w:hAnsi="Arial"/>
                <w:sz w:val="18"/>
                <w:szCs w:val="18"/>
                <w:color w:val="auto"/>
              </w:rPr>
              <w:t>Exercisable on February 25, 2006</w:t>
            </w:r>
          </w:p>
        </w:tc>
        <w:tc>
          <w:tcPr>
            <w:tcW w:w="940" w:type="dxa"/>
            <w:vAlign w:val="bottom"/>
          </w:tcPr>
          <w:p>
            <w:pPr>
              <w:jc w:val="right"/>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11,492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80" w:right="20"/>
        <w:spacing w:after="0" w:line="370" w:lineRule="auto"/>
        <w:rPr>
          <w:sz w:val="20"/>
          <w:szCs w:val="20"/>
          <w:color w:val="auto"/>
        </w:rPr>
      </w:pPr>
      <w:r>
        <w:rPr>
          <w:rFonts w:ascii="Arial" w:cs="Arial" w:eastAsia="Arial" w:hAnsi="Arial"/>
          <w:sz w:val="15"/>
          <w:szCs w:val="15"/>
          <w:color w:val="auto"/>
        </w:rPr>
        <w:t>The aggregate intrinsic value of options (the amount by which the market price of the stock on the date of exercise exceeded the market price of the stock on the date of grant) exercised during the six months ended February 25, 2006 and February 26, 2005 was $815,000 and $3.3 million, respectively.</w:t>
      </w:r>
    </w:p>
    <w:p>
      <w:pPr>
        <w:spacing w:after="0" w:line="143" w:lineRule="exact"/>
        <w:rPr>
          <w:sz w:val="20"/>
          <w:szCs w:val="20"/>
          <w:color w:val="auto"/>
        </w:rPr>
      </w:pPr>
    </w:p>
    <w:p>
      <w:pPr>
        <w:ind w:left="580" w:right="600"/>
        <w:spacing w:after="0" w:line="268" w:lineRule="auto"/>
        <w:rPr>
          <w:sz w:val="20"/>
          <w:szCs w:val="20"/>
          <w:color w:val="auto"/>
        </w:rPr>
      </w:pPr>
      <w:r>
        <w:rPr>
          <w:rFonts w:ascii="Arial" w:cs="Arial" w:eastAsia="Arial" w:hAnsi="Arial"/>
          <w:sz w:val="18"/>
          <w:szCs w:val="18"/>
          <w:color w:val="auto"/>
        </w:rPr>
        <w:t>As of February 25, 2006, there was $4.0 million of unrecognized compensation expense related to nonvested option awards that is expected to be recognized over a weighted average period of 1.4 years.</w:t>
      </w:r>
    </w:p>
    <w:p>
      <w:pPr>
        <w:spacing w:after="0" w:line="213"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The fair value of each stock option was estimated on the date of the grant using the Black-Scholes option-pricing model. The weighted-average grant date fair value of stock options granted during the six months ended February 25, 2006 and February 26, 2005, was $8.68 and $10.87, respectively.</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60" w:type="dxa"/>
            <w:vAlign w:val="bottom"/>
            <w:gridSpan w:val="3"/>
          </w:tcPr>
          <w:p>
            <w:pPr>
              <w:ind w:left="780"/>
              <w:spacing w:after="0"/>
              <w:rPr>
                <w:sz w:val="20"/>
                <w:szCs w:val="20"/>
                <w:color w:val="auto"/>
              </w:rPr>
            </w:pPr>
            <w:r>
              <w:rPr>
                <w:rFonts w:ascii="Arial" w:cs="Arial" w:eastAsia="Arial" w:hAnsi="Arial"/>
                <w:sz w:val="14"/>
                <w:szCs w:val="14"/>
                <w:b w:val="1"/>
                <w:bCs w:val="1"/>
                <w:color w:val="auto"/>
                <w:w w:val="87"/>
              </w:rPr>
              <w:t>Six Months Ended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r>
              <w:rPr>
                <w:rFonts w:ascii="Arial" w:cs="Arial" w:eastAsia="Arial" w:hAnsi="Arial"/>
                <w:sz w:val="22"/>
                <w:szCs w:val="22"/>
                <w:b w:val="1"/>
                <w:bCs w:val="1"/>
                <w:color w:val="auto"/>
                <w:vertAlign w:val="superscript"/>
              </w:rPr>
              <w:t>(1)</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25,</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February 26,</w:t>
            </w:r>
          </w:p>
        </w:tc>
        <w:tc>
          <w:tcPr>
            <w:tcW w:w="0" w:type="dxa"/>
            <w:vAlign w:val="bottom"/>
          </w:tcPr>
          <w:p>
            <w:pPr>
              <w:spacing w:after="0"/>
              <w:rPr>
                <w:sz w:val="1"/>
                <w:szCs w:val="1"/>
                <w:color w:val="auto"/>
              </w:rPr>
            </w:pPr>
          </w:p>
        </w:tc>
      </w:tr>
      <w:tr>
        <w:trPr>
          <w:trHeight w:val="266"/>
        </w:trPr>
        <w:tc>
          <w:tcPr>
            <w:tcW w:w="7420" w:type="dxa"/>
            <w:vAlign w:val="bottom"/>
            <w:gridSpan w:val="3"/>
            <w:vMerge w:val="continue"/>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Borders>
              <w:top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0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(2)</w:t>
            </w:r>
          </w:p>
        </w:tc>
        <w:tc>
          <w:tcPr>
            <w:tcW w:w="1840" w:type="dxa"/>
            <w:vAlign w:val="bottom"/>
            <w:gridSpan w:val="2"/>
            <w:shd w:val="clear" w:color="auto" w:fill="D6F3E8"/>
          </w:tcPr>
          <w:p>
            <w:pPr>
              <w:jc w:val="right"/>
              <w:ind w:right="88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9"/>
                <w:szCs w:val="29"/>
                <w:color w:val="auto"/>
                <w:vertAlign w:val="superscript"/>
              </w:rPr>
              <w:t>(3)</w:t>
            </w:r>
          </w:p>
        </w:tc>
        <w:tc>
          <w:tcPr>
            <w:tcW w:w="1840" w:type="dxa"/>
            <w:vAlign w:val="bottom"/>
            <w:gridSpan w:val="2"/>
            <w:shd w:val="clear" w:color="auto" w:fill="D6F3E8"/>
          </w:tcPr>
          <w:p>
            <w:pPr>
              <w:jc w:val="right"/>
              <w:ind w:right="880"/>
              <w:spacing w:after="0"/>
              <w:rPr>
                <w:sz w:val="20"/>
                <w:szCs w:val="20"/>
                <w:color w:val="auto"/>
              </w:rPr>
            </w:pPr>
            <w:r>
              <w:rPr>
                <w:rFonts w:ascii="Arial" w:cs="Arial" w:eastAsia="Arial" w:hAnsi="Arial"/>
                <w:sz w:val="18"/>
                <w:szCs w:val="18"/>
                <w:color w:val="auto"/>
              </w:rPr>
              <w:t>35.73%</w:t>
            </w:r>
          </w:p>
        </w:tc>
        <w:tc>
          <w:tcPr>
            <w:tcW w:w="2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29"/>
                <w:szCs w:val="29"/>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hanging="318"/>
        <w:spacing w:after="0" w:line="238" w:lineRule="auto"/>
        <w:tabs>
          <w:tab w:leader="none" w:pos="9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Forfeitures are estimated based on historical experience.</w:t>
      </w:r>
    </w:p>
    <w:p>
      <w:pPr>
        <w:spacing w:after="0" w:line="8" w:lineRule="exact"/>
        <w:rPr>
          <w:rFonts w:ascii="Arial" w:cs="Arial" w:eastAsia="Arial" w:hAnsi="Arial"/>
          <w:sz w:val="29"/>
          <w:szCs w:val="29"/>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Based on the Treasury Securities constant maturity interest rate whose term is consistent with the expected life of our stock options.</w:t>
      </w:r>
    </w:p>
    <w:p>
      <w:pPr>
        <w:spacing w:after="0" w:line="7" w:lineRule="exact"/>
        <w:rPr>
          <w:rFonts w:ascii="Arial" w:cs="Arial" w:eastAsia="Arial" w:hAnsi="Arial"/>
          <w:sz w:val="24"/>
          <w:szCs w:val="24"/>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Expected stock price volatility is based on historical experience.</w:t>
      </w:r>
    </w:p>
    <w:p>
      <w:pPr>
        <w:spacing w:after="0" w:line="7" w:lineRule="exact"/>
        <w:rPr>
          <w:rFonts w:ascii="Arial" w:cs="Arial" w:eastAsia="Arial" w:hAnsi="Arial"/>
          <w:sz w:val="24"/>
          <w:szCs w:val="24"/>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We estimate the expected life of stock options based upon historical experience.</w:t>
      </w:r>
    </w:p>
    <w:p>
      <w:pPr>
        <w:spacing w:after="0" w:line="237" w:lineRule="exact"/>
        <w:rPr>
          <w:sz w:val="20"/>
          <w:szCs w:val="20"/>
          <w:color w:val="auto"/>
        </w:rPr>
      </w:pPr>
    </w:p>
    <w:p>
      <w:pPr>
        <w:ind w:left="580" w:right="80"/>
        <w:spacing w:after="0" w:line="370" w:lineRule="auto"/>
        <w:rPr>
          <w:sz w:val="20"/>
          <w:szCs w:val="20"/>
          <w:color w:val="auto"/>
        </w:rPr>
      </w:pPr>
      <w:r>
        <w:rPr>
          <w:rFonts w:ascii="Arial" w:cs="Arial" w:eastAsia="Arial" w:hAnsi="Arial"/>
          <w:sz w:val="15"/>
          <w:szCs w:val="15"/>
          <w:color w:val="auto"/>
        </w:rPr>
        <w:t>Net cash proceeds from the exercise of stock options were $1.1 million and $2.8 million for the six months ended February 25, 2006 and February 26, 2005, respectively. The actual income tax benefit realized from stock option exercises total $174,000 and $687,000, respectively, for those same periods.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312"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In December 2004, the FASB staff issued FASB Staff Position (FSP) FASB 109-1 that provides guidance on the application of FASB Statement No. 109, Accounting for Income Taxes, to the provision within the American Jobs Creations Act of 2004 that provides a tax deduction on qualified production activities. This FSP was effective upon issuance. The tax deduction on qualified production activities is expected to reduce our effective tax rate by approximately one percentage point for Fiscal 2006.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Short-Term Investments – Available-For-Sale-Securities</w:t>
      </w:r>
    </w:p>
    <w:p>
      <w:pPr>
        <w:spacing w:after="0" w:line="312" w:lineRule="exact"/>
        <w:rPr>
          <w:sz w:val="20"/>
          <w:szCs w:val="20"/>
          <w:color w:val="auto"/>
        </w:rPr>
      </w:pPr>
    </w:p>
    <w:p>
      <w:pPr>
        <w:jc w:val="both"/>
        <w:ind w:left="580" w:right="140"/>
        <w:spacing w:after="0" w:line="335" w:lineRule="auto"/>
        <w:rPr>
          <w:sz w:val="20"/>
          <w:szCs w:val="20"/>
          <w:color w:val="auto"/>
        </w:rPr>
      </w:pPr>
      <w:r>
        <w:rPr>
          <w:rFonts w:ascii="Arial" w:cs="Arial" w:eastAsia="Arial" w:hAnsi="Arial"/>
          <w:sz w:val="15"/>
          <w:szCs w:val="15"/>
          <w:color w:val="auto"/>
        </w:rPr>
        <w:t>Our short-term investments consist of auction rate preferred securities, variable rate auction preferred stock and other investment-grade marketable debt securities. These investments, a portion of which have original maturities beyond one year, may be classified as short-term based on their highly liquid nature and because these securities represent the investment of cash that is available for current operations. These securities have certain economic</w:t>
      </w:r>
    </w:p>
    <w:p>
      <w:pPr>
        <w:sectPr>
          <w:pgSz w:w="11900" w:h="16963" w:orient="portrait"/>
          <w:cols w:equalWidth="0" w:num="1">
            <w:col w:w="11400"/>
          </w:cols>
          <w:pgMar w:left="240" w:top="1320" w:right="259" w:bottom="0" w:gutter="0" w:footer="0" w:header="0"/>
        </w:sectPr>
      </w:pPr>
    </w:p>
    <w:bookmarkStart w:id="7" w:name="page8"/>
    <w:bookmarkEnd w:id="7"/>
    <w:p>
      <w:pPr>
        <w:spacing w:after="0" w:line="22" w:lineRule="exact"/>
        <w:rPr>
          <w:sz w:val="20"/>
          <w:szCs w:val="20"/>
          <w:color w:val="auto"/>
        </w:rPr>
      </w:pPr>
    </w:p>
    <w:p>
      <w:pPr>
        <w:ind w:left="580" w:right="80"/>
        <w:spacing w:after="0" w:line="255" w:lineRule="auto"/>
        <w:rPr>
          <w:sz w:val="20"/>
          <w:szCs w:val="20"/>
          <w:color w:val="auto"/>
        </w:rPr>
      </w:pPr>
      <w:r>
        <w:rPr>
          <w:rFonts w:ascii="Arial" w:cs="Arial" w:eastAsia="Arial" w:hAnsi="Arial"/>
          <w:sz w:val="18"/>
          <w:szCs w:val="18"/>
          <w:color w:val="auto"/>
        </w:rPr>
        <w:t>characteristics of short-term investments due to a rate-setting mechanism and the ability to sell them through a Dutch auction process that occurs at pre-determined intervals of less than one year. Our short-term investments are classified as available-for-sale securities and the carrying value of these securities approximates fair market value due to their liquidity profile. As of February 25, 2006 and August 27, 2005, there were no unrealized gains or losses associated with these investments. We had approximately $144.3 million and $93.1 million in short-term investments as of February 25, 2006 and August 27, 2005, respectively.</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312"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(in thousands):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6"/>
              </w:rPr>
              <w:t>February 25,</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August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44,739</w:t>
            </w: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67,998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38,636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40,648</w:t>
            </w: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38,461</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124,023</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2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(33,135)</w:t>
            </w:r>
          </w:p>
        </w:tc>
        <w:tc>
          <w:tcPr>
            <w:tcW w:w="140" w:type="dxa"/>
            <w:vAlign w:val="bottom"/>
            <w:shd w:val="clear" w:color="auto" w:fill="D6F3E8"/>
          </w:tcPr>
          <w:p>
            <w:pPr>
              <w:spacing w:after="0"/>
              <w:rPr>
                <w:sz w:val="18"/>
                <w:szCs w:val="18"/>
                <w:color w:val="auto"/>
              </w:rPr>
            </w:pPr>
          </w:p>
        </w:tc>
        <w:tc>
          <w:tcPr>
            <w:tcW w:w="7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8"/>
              </w:rPr>
              <w:t>(31,461)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90,888</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Warranties</w:t>
      </w:r>
    </w:p>
    <w:p>
      <w:pPr>
        <w:spacing w:after="0" w:line="312" w:lineRule="exact"/>
        <w:rPr>
          <w:sz w:val="20"/>
          <w:szCs w:val="20"/>
          <w:color w:val="auto"/>
        </w:rPr>
      </w:pPr>
    </w:p>
    <w:p>
      <w:pPr>
        <w:ind w:left="580" w:right="60"/>
        <w:spacing w:after="0" w:line="332" w:lineRule="auto"/>
        <w:rPr>
          <w:sz w:val="20"/>
          <w:szCs w:val="20"/>
          <w:color w:val="auto"/>
        </w:rPr>
      </w:pPr>
      <w:r>
        <w:rPr>
          <w:rFonts w:ascii="Arial" w:cs="Arial" w:eastAsia="Arial" w:hAnsi="Arial"/>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periods shown are as follows (in thousands):</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w w:val="90"/>
              </w:rPr>
              <w:t>Six Months Ended</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6"/>
              </w:rPr>
              <w:t>February 25,</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fiscal year</w:t>
            </w:r>
          </w:p>
        </w:tc>
        <w:tc>
          <w:tcPr>
            <w:tcW w:w="200" w:type="dxa"/>
            <w:vAlign w:val="bottom"/>
            <w:shd w:val="clear" w:color="auto" w:fill="D6F3E8"/>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6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13,356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D6F3E8"/>
          </w:tcPr>
          <w:p>
            <w:pPr>
              <w:spacing w:after="0"/>
              <w:rPr>
                <w:sz w:val="20"/>
                <w:szCs w:val="20"/>
                <w:color w:val="auto"/>
              </w:rPr>
            </w:pPr>
            <w:r>
              <w:rPr>
                <w:rFonts w:ascii="Arial" w:cs="Arial" w:eastAsia="Arial" w:hAnsi="Arial"/>
                <w:sz w:val="18"/>
                <w:szCs w:val="18"/>
                <w:color w:val="auto"/>
              </w:rPr>
              <w:t>Claims paid</w:t>
            </w:r>
          </w:p>
        </w:tc>
        <w:tc>
          <w:tcPr>
            <w:tcW w:w="20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(6,478)</w:t>
            </w:r>
          </w:p>
        </w:tc>
        <w:tc>
          <w:tcPr>
            <w:tcW w:w="18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108"/>
        </w:trPr>
        <w:tc>
          <w:tcPr>
            <w:tcW w:w="442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11,284</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Postretirement Health Care Benefits</w:t>
      </w:r>
    </w:p>
    <w:p>
      <w:pPr>
        <w:spacing w:after="0" w:line="299" w:lineRule="exact"/>
        <w:rPr>
          <w:sz w:val="20"/>
          <w:szCs w:val="20"/>
          <w:color w:val="auto"/>
        </w:rPr>
      </w:pPr>
    </w:p>
    <w:p>
      <w:pPr>
        <w:ind w:left="580" w:right="140"/>
        <w:spacing w:after="0" w:line="298"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their age. Effective September 2004, we amended our postretirement health care benefit plan to establish a maximum monthly amount we will pay per retiree. The plan amendment will significantly reduce the cost of the plan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resulted in a $40.4 million reduction in the accumulated postretirement benefit obligation as of September 2004 which was deferred and is being amortized over the approximate remaining service period of active participants. Net postretirement benefit income consisted of the following components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8"/>
              </w:rPr>
              <w:t>February 25,</w:t>
            </w:r>
          </w:p>
        </w:tc>
        <w:tc>
          <w:tcPr>
            <w:tcW w:w="198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26,</w:t>
            </w:r>
          </w:p>
        </w:tc>
        <w:tc>
          <w:tcPr>
            <w:tcW w:w="17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February 25,</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February 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456</w:t>
            </w:r>
          </w:p>
        </w:tc>
        <w:tc>
          <w:tcPr>
            <w:tcW w:w="8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453</w:t>
            </w:r>
          </w:p>
        </w:tc>
        <w:tc>
          <w:tcPr>
            <w:tcW w:w="10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913</w:t>
            </w:r>
          </w:p>
        </w:tc>
        <w:tc>
          <w:tcPr>
            <w:tcW w:w="80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220" w:type="dxa"/>
            <w:vAlign w:val="bottom"/>
            <w:shd w:val="clear" w:color="auto" w:fill="D6F3E8"/>
          </w:tcPr>
          <w:p>
            <w:pPr>
              <w:spacing w:after="0"/>
              <w:rPr>
                <w:sz w:val="18"/>
                <w:szCs w:val="18"/>
                <w:color w:val="auto"/>
              </w:rPr>
            </w:pPr>
          </w:p>
        </w:tc>
        <w:tc>
          <w:tcPr>
            <w:tcW w:w="1540" w:type="dxa"/>
            <w:vAlign w:val="bottom"/>
            <w:gridSpan w:val="2"/>
            <w:shd w:val="clear" w:color="auto" w:fill="D6F3E8"/>
          </w:tcPr>
          <w:p>
            <w:pPr>
              <w:jc w:val="right"/>
              <w:ind w:right="78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980"/>
              <w:spacing w:after="0"/>
              <w:rPr>
                <w:sz w:val="20"/>
                <w:szCs w:val="20"/>
                <w:color w:val="auto"/>
              </w:rPr>
            </w:pPr>
            <w:r>
              <w:rPr>
                <w:rFonts w:ascii="Arial" w:cs="Arial" w:eastAsia="Arial" w:hAnsi="Arial"/>
                <w:sz w:val="18"/>
                <w:szCs w:val="18"/>
                <w:color w:val="auto"/>
              </w:rPr>
              <w:t>(745)</w:t>
            </w: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760"/>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rPr>
              <w:t>Net periodic benefit income</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(48)</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(95)</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0" w:orient="portrait"/>
          <w:cols w:equalWidth="0" w:num="1">
            <w:col w:w="11380"/>
          </w:cols>
          <w:pgMar w:left="240" w:top="131" w:right="279" w:bottom="0" w:gutter="0" w:footer="0" w:header="0"/>
        </w:sectPr>
      </w:pPr>
    </w:p>
    <w:bookmarkStart w:id="8" w:name="page9"/>
    <w:bookmarkEnd w:id="8"/>
    <w:p>
      <w:pPr>
        <w:ind w:left="580" w:right="180"/>
        <w:spacing w:after="0" w:line="256" w:lineRule="auto"/>
        <w:rPr>
          <w:sz w:val="20"/>
          <w:szCs w:val="20"/>
          <w:color w:val="auto"/>
        </w:rPr>
      </w:pPr>
      <w:r>
        <w:rPr>
          <w:rFonts w:ascii="Arial" w:cs="Arial" w:eastAsia="Arial" w:hAnsi="Arial"/>
          <w:sz w:val="18"/>
          <w:szCs w:val="18"/>
          <w:color w:val="auto"/>
        </w:rPr>
        <w:t>For accounting purposes, we recognized income from the plan in Fiscal 2005 and will recognize income from the Plan in Fiscal 2006 due to the amortization of the cost savings from the September 2004 amendment. However, we are still obligated to pay the cost of previously accrued and earned retiree benefits and paid approximately $560,000 and $262,000 of such benefits for the six months ended February 25, 2006 and February 26, 2005, respectively.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312"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Our contingent liability on outstanding repurchase agreements was approximately $348.8 million and $345.2 million at February 25, 2006 and August 27, 2005, respectively. Our actual losses under these repurchase agreements were approximately $24,000 and $33,000 during the six months ended February 25, 2006 and February 26, 2005, respectively, and were charged against the reserve we carry on our balance sheet. The reserve for repurchases at February 25, 2006 and August 27, 2005 was approximately $191,000 and $225,000, respectively. (See further discussion of our repurchase commitments within the “Critical Accounting Policies” on page 13.)</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312"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one of our suppliers (the “Supplier”) and Forest City Economic Development, Inc., an Iowa nonprofit corporation (the “FCED”), requiring the Supplier to provide RV paint services to us. Under the terms of the Agreement in the event of a default by the Supplier, we would be obligated to purchase from the Supplier approximately $525,000 of equipment installed in the paint facility at net book value and would be obligated to assume payment obligations for approximately $45,000 in capital equipment leases ($12,000 remaining to be paid at February 25, 2006). As of February 25, 2006, the Supplier is current with its lease payment obligations to the FCED with approximately $3,232,000 (principal and interest) remaining to be paid through August 2012.</w:t>
      </w:r>
    </w:p>
    <w:p>
      <w:pPr>
        <w:spacing w:after="0" w:line="201" w:lineRule="exact"/>
        <w:rPr>
          <w:sz w:val="20"/>
          <w:szCs w:val="20"/>
          <w:color w:val="auto"/>
        </w:rPr>
      </w:pPr>
    </w:p>
    <w:p>
      <w:pPr>
        <w:ind w:left="580" w:right="120"/>
        <w:spacing w:after="0" w:line="332" w:lineRule="auto"/>
        <w:rPr>
          <w:sz w:val="20"/>
          <w:szCs w:val="20"/>
          <w:color w:val="auto"/>
        </w:rPr>
      </w:pPr>
      <w:r>
        <w:rPr>
          <w:rFonts w:ascii="Arial" w:cs="Arial" w:eastAsia="Arial" w:hAnsi="Arial"/>
          <w:sz w:val="16"/>
          <w:szCs w:val="16"/>
          <w:color w:val="auto"/>
        </w:rPr>
        <w:t>Also in the second quarter of Fiscal 2002, we guaranteed $700,000 of the FCED $2,200,000 bank debt for the construction of the paint facility leased by the Supplier. We also pledged a $500,000 certificate of deposit to the bank to collateralize a portion of our $700,000 guarantee.</w:t>
      </w:r>
    </w:p>
    <w:p>
      <w:pPr>
        <w:spacing w:after="0" w:line="166"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(“Guarantee Agreement”) with a leasing corporation (“Landlord”) and the Supplier. The Landlord constructed a paint facility for the Supplier through debt financing on land adjoining one of our manufacturing plants. The Landlord and the Supplier have signed a ten-year lease agreement which commenced on August 1, 2004. The Guarantee Agreement states that we will guarantee the first 60 monthly lease payments (totaling approximately $1.6 million of which $987,000 was remaining as of February 25, 2006). In the event of a payment default before August 2009 and the Supplier’s failure to correct the default, the Landlord shall give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us (Guarantor) written notice of its intent to terminate said lease. At the time of this notification, we will have various options that we must exercise in a timely manner. One is to exercise an option to purchase the real estate with improvements from the landlord. The price the Company would pay would be the outstanding loan owed by the landlord to construct the paint facility which was approximately $1.9 million as of February 25, 2006. As of February 25, 2006, the Supplier is current with its lease payment obligations to the Landlord. The estimated fair value of the guarantee as of February 25, 2006 was approximately $213,000.</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Certain legal proceedings in which we are involved are described in our Annual Report on Form 10-K for the year ended August 27, 2005.</w:t>
      </w:r>
    </w:p>
    <w:p>
      <w:pPr>
        <w:spacing w:after="0" w:line="275"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We are also involved in various other legal proceedings which are ordinary routine litigation incident to our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 Declared</w:t>
      </w:r>
    </w:p>
    <w:p>
      <w:pPr>
        <w:spacing w:after="0" w:line="299" w:lineRule="exact"/>
        <w:rPr>
          <w:sz w:val="20"/>
          <w:szCs w:val="20"/>
          <w:color w:val="auto"/>
        </w:rPr>
      </w:pPr>
    </w:p>
    <w:p>
      <w:pPr>
        <w:ind w:left="580" w:right="360"/>
        <w:spacing w:after="0" w:line="332" w:lineRule="auto"/>
        <w:rPr>
          <w:sz w:val="20"/>
          <w:szCs w:val="20"/>
          <w:color w:val="auto"/>
        </w:rPr>
      </w:pPr>
      <w:r>
        <w:rPr>
          <w:rFonts w:ascii="Arial" w:cs="Arial" w:eastAsia="Arial" w:hAnsi="Arial"/>
          <w:sz w:val="16"/>
          <w:szCs w:val="16"/>
          <w:color w:val="auto"/>
        </w:rPr>
        <w:t>On January 11, 2006, the Board of Directors declared a quarterly cash dividend of $0.09 per common share, payable April 3, 2006 to shareholders of record on March 3, 2006, which has been recorded as an accrued liability in the accompanying February 25, 2006 balance sheet.</w:t>
      </w:r>
    </w:p>
    <w:p>
      <w:pPr>
        <w:spacing w:after="0" w:line="166" w:lineRule="exact"/>
        <w:rPr>
          <w:sz w:val="20"/>
          <w:szCs w:val="20"/>
          <w:color w:val="auto"/>
        </w:rPr>
      </w:pPr>
    </w:p>
    <w:p>
      <w:pPr>
        <w:ind w:left="580" w:right="440"/>
        <w:spacing w:after="0" w:line="268" w:lineRule="auto"/>
        <w:rPr>
          <w:sz w:val="20"/>
          <w:szCs w:val="20"/>
          <w:color w:val="auto"/>
        </w:rPr>
      </w:pPr>
      <w:r>
        <w:rPr>
          <w:rFonts w:ascii="Arial" w:cs="Arial" w:eastAsia="Arial" w:hAnsi="Arial"/>
          <w:sz w:val="18"/>
          <w:szCs w:val="18"/>
          <w:color w:val="auto"/>
        </w:rPr>
        <w:t>On March 22, 2006, the Board of Directors declared a quarterly cash dividend of $0.09 per common share, payable July 10, 2006 to shareholders of record on June 9, 2006.</w:t>
      </w:r>
    </w:p>
    <w:p>
      <w:pPr>
        <w:sectPr>
          <w:pgSz w:w="11900" w:h="16838" w:orient="portrait"/>
          <w:cols w:equalWidth="0" w:num="1">
            <w:col w:w="11420"/>
          </w:cols>
          <w:pgMar w:left="240" w:top="428" w:right="239"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Repurchase of Outstanding Stock</w:t>
      </w:r>
    </w:p>
    <w:p>
      <w:pPr>
        <w:sectPr>
          <w:pgSz w:w="11900" w:h="16838" w:orient="portrait"/>
          <w:cols w:equalWidth="0" w:num="1">
            <w:col w:w="11420"/>
          </w:cols>
          <w:pgMar w:left="240" w:top="428" w:right="239" w:bottom="0" w:gutter="0" w:footer="0" w:header="0"/>
          <w:type w:val="continuous"/>
        </w:sectPr>
      </w:pPr>
    </w:p>
    <w:bookmarkStart w:id="9" w:name="page10"/>
    <w:bookmarkEnd w:id="9"/>
    <w:p>
      <w:pPr>
        <w:ind w:left="580" w:right="20"/>
        <w:spacing w:after="0" w:line="259" w:lineRule="auto"/>
        <w:rPr>
          <w:sz w:val="20"/>
          <w:szCs w:val="20"/>
          <w:color w:val="auto"/>
        </w:rPr>
      </w:pPr>
      <w:r>
        <w:rPr>
          <w:rFonts w:ascii="Arial" w:cs="Arial" w:eastAsia="Arial" w:hAnsi="Arial"/>
          <w:sz w:val="18"/>
          <w:szCs w:val="18"/>
          <w:color w:val="auto"/>
        </w:rPr>
        <w:t>On June 15, 2005, the Board of Directors authorized the repurchase of outstanding shares of our common stock, at the discretion of management, for an aggregate consideration of up to $30 million. In the first half of Fiscal 2006, 292,000 shares were repurchased for an aggregate consideration of approximately $8.3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Common Share</w:t>
      </w:r>
    </w:p>
    <w:p>
      <w:pPr>
        <w:spacing w:after="0" w:line="312"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following table reflects the calculation of basic and diluted income per share for the quarters and six months ended February 25, 2006 and February 26, 2005.</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5"/>
          </w:tcPr>
          <w:p>
            <w:pPr>
              <w:ind w:lef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4"/>
                <w:szCs w:val="14"/>
                <w:b w:val="1"/>
                <w:bCs w:val="1"/>
                <w:color w:val="auto"/>
                <w:w w:val="93"/>
              </w:rPr>
              <w:t>February 25,</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February 26,</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4"/>
                <w:szCs w:val="14"/>
                <w:b w:val="1"/>
                <w:bCs w:val="1"/>
                <w:color w:val="auto"/>
                <w:w w:val="93"/>
              </w:rPr>
              <w:t>February 25,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26,</w:t>
            </w:r>
          </w:p>
        </w:tc>
        <w:tc>
          <w:tcPr>
            <w:tcW w:w="0" w:type="dxa"/>
            <w:vAlign w:val="bottom"/>
          </w:tcPr>
          <w:p>
            <w:pPr>
              <w:spacing w:after="0"/>
              <w:rPr>
                <w:sz w:val="1"/>
                <w:szCs w:val="1"/>
                <w:color w:val="auto"/>
              </w:rPr>
            </w:pPr>
          </w:p>
        </w:tc>
      </w:tr>
      <w:tr>
        <w:trPr>
          <w:trHeight w:val="174"/>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5"/>
                <w:szCs w:val="15"/>
                <w:color w:val="auto"/>
              </w:rPr>
            </w:pPr>
          </w:p>
        </w:tc>
        <w:tc>
          <w:tcPr>
            <w:tcW w:w="1000" w:type="dxa"/>
            <w:vAlign w:val="bottom"/>
          </w:tcPr>
          <w:p>
            <w:pPr>
              <w:jc w:val="right"/>
              <w:ind w:right="358"/>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8"/>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3420" w:type="dxa"/>
            <w:vAlign w:val="bottom"/>
            <w:gridSpan w:val="4"/>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0" w:type="dxa"/>
            <w:vAlign w:val="bottom"/>
            <w:gridSpan w:val="3"/>
            <w:shd w:val="clear" w:color="auto" w:fill="D6F3E8"/>
          </w:tcPr>
          <w:p>
            <w:pPr>
              <w:spacing w:after="0" w:line="176" w:lineRule="exact"/>
              <w:rPr>
                <w:sz w:val="20"/>
                <w:szCs w:val="20"/>
                <w:color w:val="auto"/>
              </w:rPr>
            </w:pPr>
            <w:r>
              <w:rPr>
                <w:rFonts w:ascii="Arial" w:cs="Arial" w:eastAsia="Arial" w:hAnsi="Arial"/>
                <w:sz w:val="18"/>
                <w:szCs w:val="18"/>
                <w:color w:val="auto"/>
              </w:rPr>
              <w:t>Income per share – basic</w:t>
            </w:r>
          </w:p>
        </w:tc>
        <w:tc>
          <w:tcPr>
            <w:tcW w:w="14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60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020" w:type="dxa"/>
            <w:vAlign w:val="bottom"/>
            <w:shd w:val="clear" w:color="auto" w:fill="D6F3E8"/>
          </w:tcPr>
          <w:p>
            <w:pPr>
              <w:spacing w:after="0"/>
              <w:rPr>
                <w:sz w:val="17"/>
                <w:szCs w:val="17"/>
                <w:color w:val="auto"/>
              </w:rPr>
            </w:pPr>
          </w:p>
        </w:tc>
        <w:tc>
          <w:tcPr>
            <w:tcW w:w="6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0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1680" w:type="dxa"/>
            <w:vAlign w:val="bottom"/>
            <w:tcBorders>
              <w:top w:val="single" w:sz="8" w:color="D6F3E8"/>
            </w:tcBorders>
            <w:gridSpan w:val="2"/>
          </w:tcPr>
          <w:p>
            <w:pPr>
              <w:spacing w:after="0"/>
              <w:rPr>
                <w:sz w:val="19"/>
                <w:szCs w:val="19"/>
                <w:color w:val="auto"/>
              </w:rPr>
            </w:pPr>
          </w:p>
        </w:tc>
        <w:tc>
          <w:tcPr>
            <w:tcW w:w="14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7,700</w:t>
            </w:r>
          </w:p>
        </w:tc>
        <w:tc>
          <w:tcPr>
            <w:tcW w:w="760" w:type="dxa"/>
            <w:vAlign w:val="bottom"/>
            <w:tcBorders>
              <w:top w:val="single" w:sz="8" w:color="D6F3E8"/>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12,571</w:t>
            </w:r>
          </w:p>
        </w:tc>
        <w:tc>
          <w:tcPr>
            <w:tcW w:w="960" w:type="dxa"/>
            <w:vAlign w:val="bottom"/>
            <w:tcBorders>
              <w:top w:val="single" w:sz="8" w:color="D6F3E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22,270</w:t>
            </w:r>
          </w:p>
        </w:tc>
        <w:tc>
          <w:tcPr>
            <w:tcW w:w="760" w:type="dxa"/>
            <w:vAlign w:val="bottom"/>
            <w:tcBorders>
              <w:top w:val="single" w:sz="8" w:color="D6F3E8"/>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Borders>
              <w:top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32,806</w:t>
            </w:r>
          </w:p>
        </w:tc>
        <w:tc>
          <w:tcPr>
            <w:tcW w:w="6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33,672</w:t>
            </w:r>
          </w:p>
        </w:tc>
        <w:tc>
          <w:tcPr>
            <w:tcW w:w="8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32,870</w:t>
            </w: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20" w:type="dxa"/>
            <w:vAlign w:val="bottom"/>
            <w:gridSpan w:val="4"/>
          </w:tcPr>
          <w:p>
            <w:pPr>
              <w:spacing w:after="0"/>
              <w:rPr>
                <w:sz w:val="20"/>
                <w:szCs w:val="20"/>
                <w:color w:val="auto"/>
              </w:rPr>
            </w:pPr>
            <w:r>
              <w:rPr>
                <w:rFonts w:ascii="Arial" w:cs="Arial" w:eastAsia="Arial" w:hAnsi="Arial"/>
                <w:sz w:val="18"/>
                <w:szCs w:val="18"/>
                <w:color w:val="auto"/>
              </w:rPr>
              <w:t>Income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gridSpan w:val="2"/>
            <w:shd w:val="clear" w:color="auto" w:fill="D6F3E8"/>
          </w:tcPr>
          <w:p>
            <w:pPr>
              <w:spacing w:after="0" w:line="176" w:lineRule="exact"/>
              <w:rPr>
                <w:sz w:val="20"/>
                <w:szCs w:val="20"/>
                <w:color w:val="auto"/>
              </w:rPr>
            </w:pPr>
            <w:r>
              <w:rPr>
                <w:rFonts w:ascii="Arial" w:cs="Arial" w:eastAsia="Arial" w:hAnsi="Arial"/>
                <w:sz w:val="18"/>
                <w:szCs w:val="18"/>
                <w:color w:val="auto"/>
                <w:w w:val="86"/>
              </w:rPr>
              <w:t>Income per share – assuming dilution</w:t>
            </w:r>
          </w:p>
        </w:tc>
        <w:tc>
          <w:tcPr>
            <w:tcW w:w="780" w:type="dxa"/>
            <w:vAlign w:val="bottom"/>
            <w:tcBorders>
              <w:bottom w:val="single" w:sz="8" w:color="D6F3E8"/>
            </w:tcBorders>
            <w:shd w:val="clear" w:color="auto" w:fill="D6F3E8"/>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7,700</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12,571</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22,270</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32,115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32,806</w:t>
            </w:r>
          </w:p>
        </w:tc>
        <w:tc>
          <w:tcPr>
            <w:tcW w:w="6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33,672</w:t>
            </w:r>
          </w:p>
        </w:tc>
        <w:tc>
          <w:tcPr>
            <w:tcW w:w="8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32,870</w:t>
            </w: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and potential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D6F3E8"/>
          </w:tcPr>
          <w:p>
            <w:pPr>
              <w:ind w:left="60"/>
              <w:spacing w:after="0"/>
              <w:rPr>
                <w:sz w:val="20"/>
                <w:szCs w:val="20"/>
                <w:color w:val="auto"/>
              </w:rPr>
            </w:pPr>
            <w:r>
              <w:rPr>
                <w:rFonts w:ascii="Arial" w:cs="Arial" w:eastAsia="Arial" w:hAnsi="Arial"/>
                <w:sz w:val="18"/>
                <w:szCs w:val="18"/>
                <w:color w:val="auto"/>
              </w:rPr>
              <w:t>dilutive shares outstanding</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33,147</w:t>
            </w:r>
          </w:p>
        </w:tc>
        <w:tc>
          <w:tcPr>
            <w:tcW w:w="6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34,254</w:t>
            </w:r>
          </w:p>
        </w:tc>
        <w:tc>
          <w:tcPr>
            <w:tcW w:w="8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33,167</w:t>
            </w: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34,224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20" w:type="dxa"/>
            <w:vAlign w:val="bottom"/>
            <w:gridSpan w:val="4"/>
          </w:tcPr>
          <w:p>
            <w:pPr>
              <w:spacing w:after="0"/>
              <w:rPr>
                <w:sz w:val="20"/>
                <w:szCs w:val="20"/>
                <w:color w:val="auto"/>
              </w:rPr>
            </w:pPr>
            <w:r>
              <w:rPr>
                <w:rFonts w:ascii="Arial" w:cs="Arial" w:eastAsia="Arial" w:hAnsi="Arial"/>
                <w:sz w:val="18"/>
                <w:szCs w:val="18"/>
                <w:color w:val="auto"/>
              </w:rPr>
              <w:t>Income per share – assuming dilution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580" w:right="60"/>
        <w:spacing w:after="0" w:line="306" w:lineRule="auto"/>
        <w:rPr>
          <w:sz w:val="20"/>
          <w:szCs w:val="20"/>
          <w:color w:val="auto"/>
        </w:rPr>
      </w:pPr>
      <w:r>
        <w:rPr>
          <w:rFonts w:ascii="Arial" w:cs="Arial" w:eastAsia="Arial" w:hAnsi="Arial"/>
          <w:sz w:val="16"/>
          <w:szCs w:val="16"/>
          <w:color w:val="auto"/>
        </w:rPr>
        <w:t xml:space="preserve">For the quarter and six months ended February 25, 2006, there were options outstanding to purchase 514,624 and 736,142 shares, respectively, of common stock at an average exercise price of $31.35 and $30.43,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88"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As of February 26, 2005, all options were included in the computation of diluted earnings per share because no option’s exercise price was greater than the average market price of the common stock.</w:t>
      </w:r>
    </w:p>
    <w:p>
      <w:pPr>
        <w:sectPr>
          <w:pgSz w:w="11900" w:h="16838" w:orient="portrait"/>
          <w:cols w:equalWidth="0" w:num="1">
            <w:col w:w="11280"/>
          </w:cols>
          <w:pgMar w:left="240" w:top="13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131" w:right="37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9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27,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 was incorporated under the laws of the state of Iowa on February 12, 1958, and adopted its present name on February 28, 1961.</w:t>
      </w:r>
    </w:p>
    <w:p>
      <w:pPr>
        <w:spacing w:after="0" w:line="1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Our products are subjected to what we believe is the most rigorous testing in the RV Industry. We market our recreation vehicles on a wholesale basis to independent dealers in approximately 295 dealer locations in the U.S. and Canada as of February 25, 2006.</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Motorized products represented 54 percent of the RV industry revenues in Calendar 2005. We continue to focus on the motorized segment of the RV industry because it comprises such a large portion of the RV industry and we believe there are further growth opportunities in this segment. Funds for RV purchases, especially the motorized segment, usually come from a buyer’s discretionary income. The RV industry, long known as a cyclical market, is historically impacted by what we believe to be two economic factors: consumer confidence levels and interest rates. As consumer confidence levels decline, so may the number of units sold. In the same respect, motor home sales tend to decline as interest rates rise. Recent experience has also led us to believe that volatility in fuel prices also has a dampening effect on motor home sales. The RV industry as a whole is currently experiencing decreased sales of units in the motorized segment. We will continue to adjust our factory schedule as necessary to reflect the demand for our products.</w:t>
      </w:r>
    </w:p>
    <w:p>
      <w:pPr>
        <w:spacing w:after="0" w:line="1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manufacture and sell a variety of motor homes throughout the U.S. and Canada, as well as retail parts and accessories. RV classifications are based upon standards established by the Recreation Vehicle Industry Association. The only types of RVs that we produce are Class A and Class C motor homes. We are the leader in the combined retail sales of Class A and Class C motor homes, with a retail market share of 17.9 percent for Calendar Year 2005.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of America, which in many cases require us to make assumptions, estimates and judgments that affect the amounts reported. Actual results could differ from estimates in amounts that may be material to our financial statements. Some of our accounting policies are critical because they are important in determining our financial condition and results of operations. These policies are described below and involve significant management judgment due to the sensitivity of the methods, assumptions and estimates necessary in determining the related income statement, asset and/or liability amounts.</w:t>
      </w:r>
    </w:p>
    <w:p>
      <w:pPr>
        <w:spacing w:after="0" w:line="164"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color w:val="auto"/>
        </w:rPr>
        <w:t>Revenue</w:t>
      </w:r>
      <w:r>
        <w:rPr>
          <w:rFonts w:ascii="Arial" w:cs="Arial" w:eastAsia="Arial" w:hAnsi="Arial"/>
          <w:sz w:val="15"/>
          <w:szCs w:val="15"/>
          <w:color w:val="auto"/>
        </w:rPr>
        <w:t>. Generally, revenues for motor homes are recorded when all of the following conditions are met: an order for a product has been received from a</w:t>
      </w:r>
      <w:r>
        <w:rPr>
          <w:rFonts w:ascii="Arial" w:cs="Arial" w:eastAsia="Arial" w:hAnsi="Arial"/>
          <w:sz w:val="15"/>
          <w:szCs w:val="15"/>
          <w:b w:val="1"/>
          <w:bCs w:val="1"/>
          <w:color w:val="auto"/>
        </w:rPr>
        <w:t xml:space="preserve"> </w:t>
      </w:r>
      <w:r>
        <w:rPr>
          <w:rFonts w:ascii="Arial" w:cs="Arial" w:eastAsia="Arial" w:hAnsi="Arial"/>
          <w:sz w:val="15"/>
          <w:szCs w:val="15"/>
          <w:color w:val="auto"/>
        </w:rPr>
        <w:t>dealer; written or verbal approval for payment has been received from the dealer’s floorplan financing institution; and the product has been delivered to the dealer who placed the order. Sales are generally made to dealers who finance their purchases under floorplan financing arrangements with banks or finance companies.</w:t>
      </w:r>
    </w:p>
    <w:p>
      <w:pPr>
        <w:spacing w:after="0" w:line="13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Revenues for our original equipment manufacturing (OEM) components and recreation vehicle 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Postretirement Benefits Obligations and Costs</w:t>
      </w:r>
      <w:r>
        <w:rPr>
          <w:rFonts w:ascii="Arial" w:cs="Arial" w:eastAsia="Arial" w:hAnsi="Arial"/>
          <w:sz w:val="18"/>
          <w:szCs w:val="18"/>
          <w:color w:val="auto"/>
        </w:rPr>
        <w:t>. We provide certain health care and other benefits for retired employees, hired before April 1, 2001,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fulfilled eligibility requirements at age 55 with at least 15 years of continuous service. Postretirement benefit liabilities are determined by actuaries using assumptions about the discount rate and health care cost-trend rates. A significant increase or decrease in interest rates could have a significant impact on the calculation of the postretirement benefit liability and, therefore, on our operating results. For further discussion of our postretirement benefit plan and related assumptions, see Note 6 to our 2005 Annual Report to Shareholders and Note 7 of the Unaudited Notes to Condensed Financial Statements for the period ended February 25, 2006.</w:t>
      </w:r>
    </w:p>
    <w:p>
      <w:pPr>
        <w:spacing w:after="0" w:line="193"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b w:val="1"/>
          <w:bCs w:val="1"/>
          <w:color w:val="auto"/>
        </w:rPr>
        <w:t>Warranty</w:t>
      </w:r>
      <w:r>
        <w:rPr>
          <w:rFonts w:ascii="Arial" w:cs="Arial" w:eastAsia="Arial" w:hAnsi="Arial"/>
          <w:sz w:val="15"/>
          <w:szCs w:val="15"/>
          <w:color w:val="auto"/>
        </w:rPr>
        <w:t>. We offer with the purchase of any new Winnebago or Itasca motor home, a comprehensive 12-month/15,000-mile warranty and a 3-year/36,000-mile warranty on sidewalls and floors. Estimated costs related to product warranty are accrued at the time of sale and included in cost of sales in the Company’s Statements of Income and as a separate line item, product warranties, in the Company’s Balance Sheets. Estimates of future warranty costs are based upon past</w:t>
      </w:r>
    </w:p>
    <w:p>
      <w:pPr>
        <w:sectPr>
          <w:pgSz w:w="11900" w:h="16838" w:orient="portrait"/>
          <w:cols w:equalWidth="0" w:num="1">
            <w:col w:w="11400"/>
          </w:cols>
          <w:pgMar w:left="240" w:top="131" w:right="259" w:bottom="0" w:gutter="0" w:footer="0" w:header="0"/>
        </w:sectPr>
      </w:pPr>
    </w:p>
    <w:bookmarkStart w:id="11" w:name="page12"/>
    <w:bookmarkEnd w:id="11"/>
    <w:p>
      <w:pPr>
        <w:spacing w:after="0" w:line="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6 of the Unaudited Notes to Condensed Consolidated Financial Statements for the period ended February 25, 2006.)</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implemented and included in cost of sales in the Company’s Statements of Income and as other accrued expenses in the Company’s Balance Sheets.</w:t>
      </w:r>
    </w:p>
    <w:p>
      <w:pPr>
        <w:spacing w:after="0" w:line="16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Generally, companies in the RV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exposure under these repurchase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8 of the Unaudited Notes to Condensed Consolidated Financial Statements for the period ended February 25, 2006.)</w:t>
      </w:r>
    </w:p>
    <w:p>
      <w:pPr>
        <w:spacing w:after="0" w:line="1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We grant stock options to our employees and non-employee directors as part of their compensation. The amount of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incurred and to be incurred in future periods is dependent upon a number of factors, such as the number of options granted, the timing of incentive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the determination of stock option compensation expense. These assumptions include our expected stock price volatility and the expected life of our stock options, which are based primarily on our historical experience. The fair value of each option is amortized into compensation expense on a straight-line basis over the requisite service period or to an employee’s eligible retirement date, if earlier. This is because our options typically vest over three years or upon retirement, thus, options are expensed immediately upon grant for retirement eligible employees which results in relatively higher expense in the period of grant (typically our first fiscal quarter) and relatively less expense in the remaining quarters in a fiscal year. (See Note 2 of the Unaudited Notes to Condensed Consolidated Financial Statements for the period ended February 25, 2006.)</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 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in these areas using consistent and appropriate methods; however, changes in assumptions could materially affect our recorded liabilities for loss.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Current Quarter Compared to the Same Quarter Last Year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February 25, 2006 compared to the quarter ended February 26,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20"/>
                <w:szCs w:val="20"/>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88"/>
              </w:rPr>
              <w:t>Feb. 25,</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 26,</w:t>
            </w: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 of Net</w:t>
            </w:r>
          </w:p>
        </w:tc>
        <w:tc>
          <w:tcPr>
            <w:tcW w:w="14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4"/>
              </w:rPr>
              <w:t>(Decrease)</w:t>
            </w: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0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7"/>
                <w:szCs w:val="7"/>
                <w:color w:val="auto"/>
              </w:rPr>
            </w:pPr>
          </w:p>
        </w:tc>
        <w:tc>
          <w:tcPr>
            <w:tcW w:w="14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Revenues</w:t>
            </w:r>
          </w:p>
        </w:tc>
        <w:tc>
          <w:tcPr>
            <w:tcW w:w="140" w:type="dxa"/>
            <w:vAlign w:val="bottom"/>
          </w:tcPr>
          <w:p>
            <w:pPr>
              <w:spacing w:after="0"/>
              <w:rPr>
                <w:sz w:val="7"/>
                <w:szCs w:val="7"/>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3"/>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percent and per share data)</w:t>
            </w: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000" w:type="dxa"/>
            <w:vAlign w:val="bottom"/>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206,425</w:t>
            </w:r>
          </w:p>
        </w:tc>
        <w:tc>
          <w:tcPr>
            <w:tcW w:w="2180" w:type="dxa"/>
            <w:vAlign w:val="bottom"/>
            <w:gridSpan w:val="4"/>
            <w:shd w:val="clear" w:color="auto" w:fill="D6F3E8"/>
          </w:tcPr>
          <w:p>
            <w:pPr>
              <w:jc w:val="right"/>
              <w:ind w:right="54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239,359</w:t>
            </w:r>
          </w:p>
        </w:tc>
        <w:tc>
          <w:tcPr>
            <w:tcW w:w="6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5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(32,934)</w:t>
            </w:r>
          </w:p>
        </w:tc>
        <w:tc>
          <w:tcPr>
            <w:tcW w:w="10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186,105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90.2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210,098</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(23,993)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20,320</w:t>
            </w:r>
          </w:p>
        </w:tc>
        <w:tc>
          <w:tcPr>
            <w:tcW w:w="15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29,261</w:t>
            </w:r>
          </w:p>
        </w:tc>
        <w:tc>
          <w:tcPr>
            <w:tcW w:w="68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(8,941)</w:t>
            </w: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4,564</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5,284</w:t>
            </w:r>
          </w:p>
        </w:tc>
        <w:tc>
          <w:tcPr>
            <w:tcW w:w="15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5,798</w:t>
            </w:r>
          </w:p>
        </w:tc>
        <w:tc>
          <w:tcPr>
            <w:tcW w:w="68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(514)</w:t>
            </w: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18,899</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(8,368)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1,314</w:t>
            </w:r>
          </w:p>
        </w:tc>
        <w:tc>
          <w:tcPr>
            <w:tcW w:w="15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639</w:t>
            </w:r>
          </w:p>
        </w:tc>
        <w:tc>
          <w:tcPr>
            <w:tcW w:w="68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w:t>
            </w: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675</w:t>
            </w:r>
          </w:p>
        </w:tc>
        <w:tc>
          <w:tcPr>
            <w:tcW w:w="68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6,967</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(2,822)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7,700</w:t>
            </w:r>
          </w:p>
        </w:tc>
        <w:tc>
          <w:tcPr>
            <w:tcW w:w="2180" w:type="dxa"/>
            <w:vAlign w:val="bottom"/>
            <w:gridSpan w:val="4"/>
            <w:shd w:val="clear" w:color="auto" w:fill="D6F3E8"/>
          </w:tcPr>
          <w:p>
            <w:pPr>
              <w:jc w:val="right"/>
              <w:ind w:right="540"/>
              <w:spacing w:after="0"/>
              <w:rPr>
                <w:sz w:val="20"/>
                <w:szCs w:val="20"/>
                <w:color w:val="auto"/>
              </w:rPr>
            </w:pPr>
            <w:r>
              <w:rPr>
                <w:rFonts w:ascii="Arial" w:cs="Arial" w:eastAsia="Arial" w:hAnsi="Arial"/>
                <w:sz w:val="18"/>
                <w:szCs w:val="18"/>
                <w:color w:val="auto"/>
              </w:rPr>
              <w:t>3.7%</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12,571</w:t>
            </w:r>
          </w:p>
        </w:tc>
        <w:tc>
          <w:tcPr>
            <w:tcW w:w="6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5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(4,871)</w:t>
            </w:r>
          </w:p>
        </w:tc>
        <w:tc>
          <w:tcPr>
            <w:tcW w:w="10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32"/>
        </w:trPr>
        <w:tc>
          <w:tcPr>
            <w:tcW w:w="29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000" w:type="dxa"/>
            <w:vAlign w:val="bottom"/>
            <w:gridSpan w:val="3"/>
          </w:tcPr>
          <w:p>
            <w:pPr>
              <w:spacing w:after="0"/>
              <w:rPr>
                <w:sz w:val="20"/>
                <w:szCs w:val="20"/>
                <w:color w:val="auto"/>
              </w:rPr>
            </w:pPr>
            <w:r>
              <w:rPr>
                <w:rFonts w:ascii="Arial" w:cs="Arial" w:eastAsia="Arial" w:hAnsi="Arial"/>
                <w:sz w:val="18"/>
                <w:szCs w:val="18"/>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Fully diluted average</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shares outstanding</w:t>
            </w:r>
          </w:p>
        </w:tc>
        <w:tc>
          <w:tcPr>
            <w:tcW w:w="140" w:type="dxa"/>
            <w:vAlign w:val="bottom"/>
            <w:shd w:val="clear" w:color="auto" w:fill="D6F3E8"/>
          </w:tcPr>
          <w:p>
            <w:pPr>
              <w:spacing w:after="0"/>
              <w:rPr>
                <w:sz w:val="19"/>
                <w:szCs w:val="19"/>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33,147</w:t>
            </w:r>
          </w:p>
        </w:tc>
        <w:tc>
          <w:tcPr>
            <w:tcW w:w="68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80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34,254</w:t>
            </w:r>
          </w:p>
        </w:tc>
        <w:tc>
          <w:tcPr>
            <w:tcW w:w="680" w:type="dxa"/>
            <w:vAlign w:val="bottom"/>
            <w:shd w:val="clear" w:color="auto" w:fill="D6F3E8"/>
          </w:tcPr>
          <w:p>
            <w:pPr>
              <w:spacing w:after="0"/>
              <w:rPr>
                <w:sz w:val="19"/>
                <w:szCs w:val="19"/>
                <w:color w:val="auto"/>
              </w:rPr>
            </w:pPr>
          </w:p>
        </w:tc>
        <w:tc>
          <w:tcPr>
            <w:tcW w:w="80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32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(1,107)</w:t>
            </w:r>
          </w:p>
        </w:tc>
        <w:tc>
          <w:tcPr>
            <w:tcW w:w="10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-507365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-507365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-507365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-507365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-507365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-507365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-507365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-507365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-507365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-507365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-507365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Motor Home Deliveries: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360" w:type="dxa"/>
            <w:vAlign w:val="bottom"/>
            <w:gridSpan w:val="3"/>
          </w:tcPr>
          <w:p>
            <w:pPr>
              <w:ind w:left="740"/>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5"/>
        </w:trPr>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37"/>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February 25,</w:t>
            </w:r>
          </w:p>
        </w:tc>
        <w:tc>
          <w:tcPr>
            <w:tcW w:w="7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February 26,</w:t>
            </w:r>
          </w:p>
        </w:tc>
        <w:tc>
          <w:tcPr>
            <w:tcW w:w="10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15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w:t>
            </w:r>
          </w:p>
        </w:tc>
      </w:tr>
      <w:tr>
        <w:trPr>
          <w:trHeight w:val="174"/>
        </w:trPr>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5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7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95"/>
        </w:trPr>
        <w:tc>
          <w:tcPr>
            <w:tcW w:w="8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ectPr>
          <w:pgSz w:w="11900" w:h="16843" w:orient="portrait"/>
          <w:cols w:equalWidth="0" w:num="2">
            <w:col w:w="3620" w:space="720"/>
            <w:col w:w="7080"/>
          </w:cols>
          <w:pgMar w:left="240" w:top="131" w:right="2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658</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1,117</w:t>
            </w:r>
          </w:p>
        </w:tc>
        <w:tc>
          <w:tcPr>
            <w:tcW w:w="1020" w:type="dxa"/>
            <w:vAlign w:val="bottom"/>
            <w:shd w:val="clear" w:color="auto" w:fill="D6F3E8"/>
          </w:tcPr>
          <w:p>
            <w:pPr>
              <w:spacing w:after="0"/>
              <w:rPr>
                <w:sz w:val="18"/>
                <w:szCs w:val="18"/>
                <w:color w:val="auto"/>
              </w:rPr>
            </w:pPr>
          </w:p>
        </w:tc>
        <w:tc>
          <w:tcPr>
            <w:tcW w:w="1520" w:type="dxa"/>
            <w:vAlign w:val="bottom"/>
            <w:gridSpan w:val="3"/>
            <w:shd w:val="clear" w:color="auto" w:fill="D6F3E8"/>
          </w:tcPr>
          <w:p>
            <w:pPr>
              <w:jc w:val="right"/>
              <w:ind w:right="660"/>
              <w:spacing w:after="0"/>
              <w:rPr>
                <w:sz w:val="20"/>
                <w:szCs w:val="20"/>
                <w:color w:val="auto"/>
              </w:rPr>
            </w:pPr>
            <w:r>
              <w:rPr>
                <w:rFonts w:ascii="Arial" w:cs="Arial" w:eastAsia="Arial" w:hAnsi="Arial"/>
                <w:sz w:val="18"/>
                <w:szCs w:val="18"/>
                <w:color w:val="auto"/>
              </w:rPr>
              <w:t>(459)</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(41.1)%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1020" w:type="dxa"/>
            <w:vAlign w:val="bottom"/>
          </w:tcPr>
          <w:p>
            <w:pPr>
              <w:spacing w:after="0"/>
              <w:rPr>
                <w:sz w:val="18"/>
                <w:szCs w:val="18"/>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(79)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Class C motor homes</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1,139</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887</w:t>
            </w:r>
          </w:p>
        </w:tc>
        <w:tc>
          <w:tcPr>
            <w:tcW w:w="10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28.4%</w:t>
            </w:r>
          </w:p>
        </w:tc>
      </w:tr>
      <w:tr>
        <w:trPr>
          <w:trHeight w:val="108"/>
        </w:trPr>
        <w:tc>
          <w:tcPr>
            <w:tcW w:w="4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29"/>
        </w:trPr>
        <w:tc>
          <w:tcPr>
            <w:tcW w:w="434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820" w:type="dxa"/>
            <w:vAlign w:val="bottom"/>
          </w:tcPr>
          <w:p>
            <w:pPr>
              <w:jc w:val="right"/>
              <w:spacing w:after="0"/>
              <w:rPr>
                <w:sz w:val="20"/>
                <w:szCs w:val="20"/>
                <w:color w:val="auto"/>
              </w:rPr>
            </w:pPr>
            <w:r>
              <w:rPr>
                <w:rFonts w:ascii="Arial" w:cs="Arial" w:eastAsia="Arial" w:hAnsi="Arial"/>
                <w:sz w:val="18"/>
                <w:szCs w:val="18"/>
                <w:color w:val="auto"/>
              </w:rPr>
              <w:t>2,268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2,554</w:t>
            </w:r>
          </w:p>
        </w:tc>
        <w:tc>
          <w:tcPr>
            <w:tcW w:w="1020" w:type="dxa"/>
            <w:vAlign w:val="bottom"/>
          </w:tcPr>
          <w:p>
            <w:pPr>
              <w:spacing w:after="0"/>
              <w:rPr>
                <w:sz w:val="24"/>
                <w:szCs w:val="24"/>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(286)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134"/>
        </w:trPr>
        <w:tc>
          <w:tcPr>
            <w:tcW w:w="43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revenues for the quarter ended February 25, 2006 decreased $32.9 million, or 13.8 percent primarily as a result of an 11.2 percent decrease in unit deliveries. Net revenues declined at a higher rate than deliveries due to the shift in product mix weighted more heavily towards lower-priced products, which resulted in a 4.8 percent decrease in our average selling price of motor homes when compared to last year’s comparable quarter.</w:t>
      </w:r>
    </w:p>
    <w:p>
      <w:pPr>
        <w:spacing w:after="0" w:line="16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Gross profit margin decreased from 12.2 percent in the second quarter of Fiscal 2005 to 9.8 percent in the second quarter of Fiscal 2006. The deterioration of margin was primarily due to increased fixed costs absorption related to lower production volumes and due to the change in our mix to lower-priced products with lower margins. Also, contributing to a lesser extent to the reduced margin was stock option expense recorded as a result of the adoption of SFAS No. 123R.</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expenses decreased $59,000, or 1.3 percent, during the second quarter ended February 25, 2006. As a percent of net revenues, selling expenses were 2.2 percent during the second quarter ended February 25, 2006 and 1.9 percent during the quarter ended February 26, 2005. The decrease in dollars was due primarily to a reduction in advertising expense, partially offset by stock option expense.</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General and administrative expenses decreased $514,000, or 8.9 percent, during the second quarter ended February 25, 2006. The decrease in this expense was due primarily to a reduction in management incentive compensation expense, partially offset by stock option expense and increased professional fees.</w:t>
      </w:r>
    </w:p>
    <w:p>
      <w:pPr>
        <w:spacing w:after="0" w:line="13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Financial income increased $675,000, or 105.6 percent, during the second quarter ended February 25, 2006. The increase in financial income during the second quarter of Fiscal 2006 was due to a higher average interest rate earned on investments and a higher average short-term investment balance.</w:t>
      </w:r>
    </w:p>
    <w:p>
      <w:pPr>
        <w:spacing w:after="0" w:line="13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overall effective income tax rate decreased to 35.0 percent for the second quarter ended February 25, 2006 from 35.7 percent for the second quarter ended February 26, 2005. The decrease was primarily a result of the domestic production activities credit of the American Jobs Creation Act.</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decreased by 38.7 percent and income per diluted share decreased by 37.8 percent when comparing the second quarter ended February 25, 2006 to the second quarter ended February 26, 2005. The smaller percentage decrease in income per diluted share was due to a lower number of shares of common stock outstanding during the second quarter ended February 25, 2006, as a result of shares of common stock repurchased by the Company. (See Note 10 of the Unaudited Notes to Condensed Consolidated Financial Statements for the period ended February 25,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the Same Period Last Year</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six months ended February 25, 2006 compared to the six months ended February 26,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20" w:type="dxa"/>
            <w:vAlign w:val="bottom"/>
            <w:gridSpan w:val="6"/>
          </w:tcPr>
          <w:p>
            <w:pPr>
              <w:ind w:left="60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 25,</w:t>
            </w: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20"/>
                <w:szCs w:val="20"/>
                <w:color w:val="auto"/>
              </w:rPr>
            </w:pPr>
          </w:p>
        </w:tc>
        <w:tc>
          <w:tcPr>
            <w:tcW w:w="13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Feb. 26,</w:t>
            </w:r>
          </w:p>
        </w:tc>
        <w:tc>
          <w:tcPr>
            <w:tcW w:w="14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 of Net</w:t>
            </w:r>
          </w:p>
        </w:tc>
        <w:tc>
          <w:tcPr>
            <w:tcW w:w="14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4"/>
              </w:rPr>
              <w:t>(Decrease)</w:t>
            </w: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7"/>
                <w:szCs w:val="7"/>
                <w:color w:val="auto"/>
              </w:rPr>
            </w:pPr>
          </w:p>
        </w:tc>
        <w:tc>
          <w:tcPr>
            <w:tcW w:w="14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9"/>
              </w:rPr>
              <w:t>Revenues</w:t>
            </w:r>
          </w:p>
        </w:tc>
        <w:tc>
          <w:tcPr>
            <w:tcW w:w="140" w:type="dxa"/>
            <w:vAlign w:val="bottom"/>
          </w:tcPr>
          <w:p>
            <w:pPr>
              <w:spacing w:after="0"/>
              <w:rPr>
                <w:sz w:val="7"/>
                <w:szCs w:val="7"/>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6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9"/>
              </w:rPr>
              <w:t>Revenues</w:t>
            </w:r>
          </w:p>
        </w:tc>
        <w:tc>
          <w:tcPr>
            <w:tcW w:w="140" w:type="dxa"/>
            <w:vAlign w:val="bottom"/>
          </w:tcPr>
          <w:p>
            <w:pPr>
              <w:spacing w:after="0"/>
              <w:rPr>
                <w:sz w:val="7"/>
                <w:szCs w:val="7"/>
                <w:color w:val="auto"/>
              </w:rPr>
            </w:pPr>
          </w:p>
        </w:tc>
        <w:tc>
          <w:tcPr>
            <w:tcW w:w="132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3"/>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percent and per share data)</w:t>
            </w: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240" w:type="dxa"/>
            <w:vAlign w:val="bottom"/>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324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438,680</w:t>
            </w:r>
          </w:p>
        </w:tc>
        <w:tc>
          <w:tcPr>
            <w:tcW w:w="66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505,492</w:t>
            </w:r>
          </w:p>
        </w:tc>
        <w:tc>
          <w:tcPr>
            <w:tcW w:w="660" w:type="dxa"/>
            <w:vAlign w:val="bottom"/>
          </w:tcPr>
          <w:p>
            <w:pPr>
              <w:spacing w:after="0"/>
              <w:rPr>
                <w:sz w:val="24"/>
                <w:szCs w:val="2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(66,812)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387,196</w:t>
            </w:r>
          </w:p>
        </w:tc>
        <w:tc>
          <w:tcPr>
            <w:tcW w:w="6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88.3</w:t>
            </w: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w w:val="95"/>
              </w:rPr>
              <w:t>436,167</w:t>
            </w:r>
          </w:p>
        </w:tc>
        <w:tc>
          <w:tcPr>
            <w:tcW w:w="6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86.3</w:t>
            </w: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3"/>
            <w:shd w:val="clear" w:color="auto" w:fill="D6F3E8"/>
          </w:tcPr>
          <w:p>
            <w:pPr>
              <w:jc w:val="right"/>
              <w:ind w:right="620"/>
              <w:spacing w:after="0"/>
              <w:rPr>
                <w:sz w:val="20"/>
                <w:szCs w:val="20"/>
                <w:color w:val="auto"/>
              </w:rPr>
            </w:pPr>
            <w:r>
              <w:rPr>
                <w:rFonts w:ascii="Arial" w:cs="Arial" w:eastAsia="Arial" w:hAnsi="Arial"/>
                <w:sz w:val="18"/>
                <w:szCs w:val="18"/>
                <w:color w:val="auto"/>
              </w:rPr>
              <w:t>(48,971)</w:t>
            </w:r>
          </w:p>
        </w:tc>
        <w:tc>
          <w:tcPr>
            <w:tcW w:w="8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rPr>
                <w:sz w:val="9"/>
                <w:szCs w:val="9"/>
                <w:color w:val="auto"/>
              </w:rPr>
            </w:pPr>
          </w:p>
        </w:tc>
        <w:tc>
          <w:tcPr>
            <w:tcW w:w="1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51,484</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69,325</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(17,841)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9,178</w:t>
            </w:r>
          </w:p>
        </w:tc>
        <w:tc>
          <w:tcPr>
            <w:tcW w:w="6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w:t>
            </w: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9,118</w:t>
            </w:r>
          </w:p>
        </w:tc>
        <w:tc>
          <w:tcPr>
            <w:tcW w:w="6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10,333</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11,355</w:t>
            </w: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(1,022)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31,973</w:t>
            </w:r>
          </w:p>
        </w:tc>
        <w:tc>
          <w:tcPr>
            <w:tcW w:w="6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w:t>
            </w: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48,852</w:t>
            </w:r>
          </w:p>
        </w:tc>
        <w:tc>
          <w:tcPr>
            <w:tcW w:w="6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3"/>
            <w:shd w:val="clear" w:color="auto" w:fill="D6F3E8"/>
          </w:tcPr>
          <w:p>
            <w:pPr>
              <w:jc w:val="right"/>
              <w:ind w:right="620"/>
              <w:spacing w:after="0"/>
              <w:rPr>
                <w:sz w:val="20"/>
                <w:szCs w:val="20"/>
                <w:color w:val="auto"/>
              </w:rPr>
            </w:pPr>
            <w:r>
              <w:rPr>
                <w:rFonts w:ascii="Arial" w:cs="Arial" w:eastAsia="Arial" w:hAnsi="Arial"/>
                <w:sz w:val="18"/>
                <w:szCs w:val="18"/>
                <w:color w:val="auto"/>
              </w:rPr>
              <w:t>(16,879)</w:t>
            </w:r>
          </w:p>
        </w:tc>
        <w:tc>
          <w:tcPr>
            <w:tcW w:w="8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11,939</w:t>
            </w:r>
          </w:p>
        </w:tc>
        <w:tc>
          <w:tcPr>
            <w:tcW w:w="6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17,870</w:t>
            </w:r>
          </w:p>
        </w:tc>
        <w:tc>
          <w:tcPr>
            <w:tcW w:w="66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3"/>
            <w:shd w:val="clear" w:color="auto" w:fill="D6F3E8"/>
          </w:tcPr>
          <w:p>
            <w:pPr>
              <w:jc w:val="right"/>
              <w:ind w:right="620"/>
              <w:spacing w:after="0"/>
              <w:rPr>
                <w:sz w:val="20"/>
                <w:szCs w:val="20"/>
                <w:color w:val="auto"/>
              </w:rPr>
            </w:pPr>
            <w:r>
              <w:rPr>
                <w:rFonts w:ascii="Arial" w:cs="Arial" w:eastAsia="Arial" w:hAnsi="Arial"/>
                <w:sz w:val="18"/>
                <w:szCs w:val="18"/>
                <w:color w:val="auto"/>
              </w:rPr>
              <w:t>(5,931)</w:t>
            </w:r>
          </w:p>
        </w:tc>
        <w:tc>
          <w:tcPr>
            <w:tcW w:w="8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rPr>
                <w:sz w:val="9"/>
                <w:szCs w:val="9"/>
                <w:color w:val="auto"/>
              </w:rPr>
            </w:pPr>
          </w:p>
        </w:tc>
        <w:tc>
          <w:tcPr>
            <w:tcW w:w="1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22,270</w:t>
            </w:r>
          </w:p>
        </w:tc>
        <w:tc>
          <w:tcPr>
            <w:tcW w:w="66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32,115</w:t>
            </w:r>
          </w:p>
        </w:tc>
        <w:tc>
          <w:tcPr>
            <w:tcW w:w="660" w:type="dxa"/>
            <w:vAlign w:val="bottom"/>
          </w:tcPr>
          <w:p>
            <w:pPr>
              <w:spacing w:after="0"/>
              <w:rPr>
                <w:sz w:val="24"/>
                <w:szCs w:val="2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(9,845)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Diluted income per share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0.67</w:t>
            </w:r>
          </w:p>
        </w:tc>
        <w:tc>
          <w:tcPr>
            <w:tcW w:w="66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0.94</w:t>
            </w:r>
          </w:p>
        </w:tc>
        <w:tc>
          <w:tcPr>
            <w:tcW w:w="66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D6F3E8"/>
          </w:tcPr>
          <w:p>
            <w:pPr>
              <w:jc w:val="right"/>
              <w:ind w:right="620"/>
              <w:spacing w:after="0"/>
              <w:rPr>
                <w:sz w:val="20"/>
                <w:szCs w:val="20"/>
                <w:color w:val="auto"/>
              </w:rPr>
            </w:pPr>
            <w:r>
              <w:rPr>
                <w:rFonts w:ascii="Arial" w:cs="Arial" w:eastAsia="Arial" w:hAnsi="Arial"/>
                <w:sz w:val="18"/>
                <w:szCs w:val="18"/>
                <w:color w:val="auto"/>
              </w:rPr>
              <w:t>(0.27)</w:t>
            </w:r>
          </w:p>
        </w:tc>
        <w:tc>
          <w:tcPr>
            <w:tcW w:w="8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Fully diluted average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33,167</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34,224</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(1,057)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bottom w:val="single" w:sz="8" w:color="808080"/>
            </w:tcBorders>
            <w:gridSpan w:val="2"/>
          </w:tcPr>
          <w:p>
            <w:pPr>
              <w:spacing w:after="0"/>
              <w:rPr>
                <w:sz w:val="21"/>
                <w:szCs w:val="21"/>
                <w:color w:val="auto"/>
              </w:rPr>
            </w:pPr>
          </w:p>
        </w:tc>
        <w:tc>
          <w:tcPr>
            <w:tcW w:w="19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-1510665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-1510665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-1510665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-1510665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-1510665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-1510665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-1510665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-1510665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-1510665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-1510665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-1510665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-1510665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-284480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-284480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80" w:right="239" w:bottom="0" w:gutter="0" w:footer="0" w:header="0"/>
        </w:sectPr>
      </w:pPr>
    </w:p>
    <w:p>
      <w:pPr>
        <w:spacing w:after="0" w:line="230"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83185</wp:posOffset>
            </wp:positionV>
            <wp:extent cx="14922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ectPr>
          <w:pgSz w:w="11900" w:h="16838" w:orient="portrait"/>
          <w:cols w:equalWidth="0" w:num="1">
            <w:col w:w="11420"/>
          </w:cols>
          <w:pgMar w:left="240" w:top="180"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Motor Home Deliveries: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February 25,</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26,</w:t>
            </w: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15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5"/>
                <w:szCs w:val="15"/>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2,443</w:t>
            </w:r>
          </w:p>
        </w:tc>
        <w:tc>
          <w:tcPr>
            <w:tcW w:w="1020" w:type="dxa"/>
            <w:vAlign w:val="bottom"/>
            <w:shd w:val="clear" w:color="auto" w:fill="D6F3E8"/>
          </w:tcPr>
          <w:p>
            <w:pPr>
              <w:spacing w:after="0"/>
              <w:rPr>
                <w:sz w:val="18"/>
                <w:szCs w:val="18"/>
                <w:color w:val="auto"/>
              </w:rPr>
            </w:pPr>
          </w:p>
        </w:tc>
        <w:tc>
          <w:tcPr>
            <w:tcW w:w="1520" w:type="dxa"/>
            <w:vAlign w:val="bottom"/>
            <w:gridSpan w:val="3"/>
            <w:shd w:val="clear" w:color="auto" w:fill="D6F3E8"/>
          </w:tcPr>
          <w:p>
            <w:pPr>
              <w:jc w:val="center"/>
              <w:ind w:right="180"/>
              <w:spacing w:after="0"/>
              <w:rPr>
                <w:sz w:val="20"/>
                <w:szCs w:val="20"/>
                <w:color w:val="auto"/>
              </w:rPr>
            </w:pPr>
            <w:r>
              <w:rPr>
                <w:rFonts w:ascii="Arial" w:cs="Arial" w:eastAsia="Arial" w:hAnsi="Arial"/>
                <w:sz w:val="18"/>
                <w:szCs w:val="18"/>
                <w:color w:val="auto"/>
                <w:w w:val="90"/>
              </w:rPr>
              <w:t>(884)</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820" w:type="dxa"/>
            <w:vAlign w:val="bottom"/>
          </w:tcPr>
          <w:p>
            <w:pPr>
              <w:jc w:val="right"/>
              <w:spacing w:after="0"/>
              <w:rPr>
                <w:sz w:val="20"/>
                <w:szCs w:val="20"/>
                <w:color w:val="auto"/>
              </w:rPr>
            </w:pPr>
            <w:r>
              <w:rPr>
                <w:rFonts w:ascii="Arial" w:cs="Arial" w:eastAsia="Arial" w:hAnsi="Arial"/>
                <w:sz w:val="18"/>
                <w:szCs w:val="18"/>
                <w:color w:val="auto"/>
              </w:rPr>
              <w:t>893</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1,146</w:t>
            </w:r>
          </w:p>
        </w:tc>
        <w:tc>
          <w:tcPr>
            <w:tcW w:w="102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(253)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6F3E8"/>
          </w:tcPr>
          <w:p>
            <w:pPr>
              <w:spacing w:after="0"/>
              <w:rPr>
                <w:sz w:val="20"/>
                <w:szCs w:val="20"/>
                <w:color w:val="auto"/>
              </w:rPr>
            </w:pPr>
            <w:r>
              <w:rPr>
                <w:rFonts w:ascii="Arial" w:cs="Arial" w:eastAsia="Arial" w:hAnsi="Arial"/>
                <w:sz w:val="18"/>
                <w:szCs w:val="18"/>
                <w:color w:val="auto"/>
              </w:rPr>
              <w:t>Class C motor homes</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2,310</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1,790</w:t>
            </w:r>
          </w:p>
        </w:tc>
        <w:tc>
          <w:tcPr>
            <w:tcW w:w="1020" w:type="dxa"/>
            <w:vAlign w:val="bottom"/>
            <w:shd w:val="clear" w:color="auto" w:fill="D6F3E8"/>
          </w:tcPr>
          <w:p>
            <w:pPr>
              <w:spacing w:after="0"/>
              <w:rPr>
                <w:sz w:val="18"/>
                <w:szCs w:val="18"/>
                <w:color w:val="auto"/>
              </w:rPr>
            </w:pPr>
          </w:p>
        </w:tc>
        <w:tc>
          <w:tcPr>
            <w:tcW w:w="800" w:type="dxa"/>
            <w:vAlign w:val="bottom"/>
            <w:shd w:val="clear" w:color="auto" w:fill="D6F3E8"/>
          </w:tcPr>
          <w:p>
            <w:pPr>
              <w:jc w:val="center"/>
              <w:ind w:left="459"/>
              <w:spacing w:after="0"/>
              <w:rPr>
                <w:sz w:val="20"/>
                <w:szCs w:val="20"/>
                <w:color w:val="auto"/>
              </w:rPr>
            </w:pPr>
            <w:r>
              <w:rPr>
                <w:rFonts w:ascii="Arial" w:cs="Arial" w:eastAsia="Arial" w:hAnsi="Arial"/>
                <w:sz w:val="18"/>
                <w:szCs w:val="18"/>
                <w:color w:val="auto"/>
                <w:w w:val="86"/>
              </w:rPr>
              <w:t>520</w:t>
            </w:r>
          </w:p>
        </w:tc>
        <w:tc>
          <w:tcPr>
            <w:tcW w:w="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820" w:type="dxa"/>
            <w:vAlign w:val="bottom"/>
          </w:tcPr>
          <w:p>
            <w:pPr>
              <w:jc w:val="right"/>
              <w:spacing w:after="0"/>
              <w:rPr>
                <w:sz w:val="20"/>
                <w:szCs w:val="20"/>
                <w:color w:val="auto"/>
              </w:rPr>
            </w:pPr>
            <w:r>
              <w:rPr>
                <w:rFonts w:ascii="Arial" w:cs="Arial" w:eastAsia="Arial" w:hAnsi="Arial"/>
                <w:sz w:val="18"/>
                <w:szCs w:val="18"/>
                <w:color w:val="auto"/>
              </w:rPr>
              <w:t>4,762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5,379</w:t>
            </w:r>
          </w:p>
        </w:tc>
        <w:tc>
          <w:tcPr>
            <w:tcW w:w="1020" w:type="dxa"/>
            <w:vAlign w:val="bottom"/>
          </w:tcPr>
          <w:p>
            <w:pPr>
              <w:spacing w:after="0"/>
              <w:rPr>
                <w:sz w:val="24"/>
                <w:szCs w:val="2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(617)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Net revenues for the six months ended February 25, 2006 decreased $66.8 million, or 13.2 percent, primarily as a result of an 11.5 percent decrease in unit deliveries. Net revenues declined at a higher rate than deliveries due to a shift in product mix weighted more heavily towards lower-priced products, which resulted in a 3.8 percent decrease in our average selling price of motor homes during the period.</w:t>
      </w:r>
    </w:p>
    <w:p>
      <w:pPr>
        <w:spacing w:after="0" w:line="16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Gross profit margin decreased from 13.7 percent during the first six months of Fiscal 2005 to 11.7 percent in the first six months of Fiscal 2006. The decline in margin was primarily due to increased fixed costs absorption related to lower production volumes and also due to the change in our mix to lower-priced product with lower margins. Also, negatively impacting gross profit was stock option expense recorded as a result of the adoption of SFAS No. 123R.</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expenses increased $60,000, or 0.7 percent, during the six months ended February 25, 2006. As a percent of net revenues, selling expenses were 2.1 percent during the period ended February 25, 2006 and 1.8 percent during the period ended February 26, 2005. The increase in dollars was due primarily to the recording of stock option expense as a result of the adoption of SFAS No. 123R and an increase in compensation-related expenses, partially offset by a reduction in advertising expense.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General and administrative expenses decreased $1.0 million, or 9.0 percent, during the six months ended February 25, 2006. The decrease in expense was due primarily to a reduction in management incentive compensation expense, partially offset by stock option expense.</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Financial income increased $1.1 million, or 97.4 percent, during the six months ended February 25, 2006. The increase in financial income during the first half of Fiscal 2006 was due to a higher average interest rate earned on investments and a higher average short-term investment balance.</w:t>
      </w:r>
    </w:p>
    <w:p>
      <w:pPr>
        <w:spacing w:after="0" w:line="13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overall effective income tax rate decreased to 34.9 percent for the six months ended February 25, 2006 from 35.8 percent for the six months ended February 26, 2005. The decrease was primarily a result of the domestic production activities credit of the American Jobs Creation Act.</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decreased by 30.7 percent and income per diluted share decreased by 28.7 percent when comparing the six months ended February 25, 2006 to the six months ended February 26, 2005. The smaller percentage decrease in income per diluted share was due to a lower number of shares of common stock outstanding during the six months ended February 25, 2006, as a result of shares of common stock repurchased by the Company. (See Note 10 of the Unaudited Notes to Condensed Consolidated Financial Statements for the period ended February 25, 2006.)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historically generated substantial cash from operations, which has enabled us to meet our working capital needs and make appropriate investments in manufacturing equipment and facilities. In recent years, cash generated from operations has also enabled us to pay increased cash dividends and repurchase stock. Cash and cash equivalents totaled $18.8 million and $19.5 million as of February 25, 2006 and August 27, 2005, respectively. Short-term investments, consisting primarily of highly liquid investments, totaled $144.3 million and $93.1 million as of February 25, 2006 and August 27, 2005, respectively. Working capital at February 25, 2006 and August 27, 2005 was $213.9 million and $197.5 million, respectively, an increase of $16.4 million. We have no long-term debt.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color w:val="auto"/>
        </w:rPr>
        <w:t>. Cash provided by operating activities was $65.3 million during the six months ended February 25, 2006, or $19.0 million higher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February 26, 2005. The increase in net cash provided by operating activities was primarily attributable to a decrease in raw material and work-in-process inventories due to our reduced production schedule and a decrease in our finished goods inventory. The increase in net cash provided by operating activities was partially offset by lower net income.</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Investing Activities</w:t>
      </w:r>
      <w:r>
        <w:rPr>
          <w:rFonts w:ascii="Arial" w:cs="Arial" w:eastAsia="Arial" w:hAnsi="Arial"/>
          <w:sz w:val="18"/>
          <w:szCs w:val="18"/>
          <w:color w:val="auto"/>
        </w:rPr>
        <w:t>. The primarily uses of cash for investing activities were for manufacturing equipment and facilities of $2.0 million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February 25, 2006 compared to $4.2 million during the six months ended February 26, 2005. We purchased $110.1 million of short-term investments and received proceeds of $59.0 million from the sale or maturity of short-term investments during the six months ended February 25, 2006. During the six months ended February 26, 2005, we purchased $147.5 million of short-term investments and received proceeds of $101.1 million from the sale or maturity of short-term investments.</w:t>
      </w:r>
    </w:p>
    <w:p>
      <w:pPr>
        <w:spacing w:after="0" w:line="19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Financing Activities</w:t>
      </w:r>
      <w:r>
        <w:rPr>
          <w:rFonts w:ascii="Arial" w:cs="Arial" w:eastAsia="Arial" w:hAnsi="Arial"/>
          <w:sz w:val="18"/>
          <w:szCs w:val="18"/>
          <w:color w:val="auto"/>
        </w:rPr>
        <w:t>. Primary uses of cash in financing activities for the six months ended February 25, 2006 were $8.3 million for repurchases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and payments of $5.9 million in dividends. Primary uses of cash in financing activities for the six months ended February 26, 2005 were $4.7 million for the payment of dividends and $1.8 million for repurchases of the Company’s common stock. (See Unaudited Condensed Consolidated Statement of Cash Flows.)</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Stock Repurchases</w:t>
      </w:r>
      <w:r>
        <w:rPr>
          <w:rFonts w:ascii="Arial" w:cs="Arial" w:eastAsia="Arial" w:hAnsi="Arial"/>
          <w:sz w:val="18"/>
          <w:szCs w:val="18"/>
          <w:color w:val="auto"/>
        </w:rPr>
        <w:t>. On June 15, 2005, the Board of Directors authorized the repurchase of outstanding shares of the Company’s common stock, depending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market conditions, for an aggregate consideration of up to $30 million. As of February 25, 2006, 292,000 shares have been repurchased for an aggregate consideration of approximately $8.3 million under this authorization.</w:t>
      </w:r>
    </w:p>
    <w:p>
      <w:pPr>
        <w:spacing w:after="0" w:line="19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Estimated demands as of February 25, 2006 on our liquid assets for the remainder of Fiscal 2006 include $5.9 million for payments of cash dividends and $5.6 million for estimated capital expenditures, primarily for manufacturing equipment and facilities.</w:t>
      </w:r>
    </w:p>
    <w:p>
      <w:pPr>
        <w:sectPr>
          <w:pgSz w:w="11900" w:h="16838" w:orient="portrait"/>
          <w:cols w:equalWidth="0" w:num="1">
            <w:col w:w="11400"/>
          </w:cols>
          <w:pgMar w:left="240" w:top="95" w:right="25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We currently expect our cash on hand and funds from operations to be sufficient to cover both short-term and long-term operational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An extended decline in consumer confidence would materially adversely affect our business, results of operations and financial condition.</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Revenues and net income for the quarter and six months ended February 25, 2006 were negatively impacted primarily by lower motor home industry retail demand resulting in lower motor home deliveries as well as a continued shift in product mix weighted more heavily towards lower-priced products. The shift in product mix is occurring industry-wide. Based on statistics from the Recreation Vehicle Industry Association for Calendar 2005, Class A motor home shipments decreased 12.7 percent while Class C shipments for the industry decreased only 1.7 percent for the same period compared to Calendar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evidenced by the following table, we continue to see a shift in the mix of products on order to lower-priced Class C motor homes.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February 25,</w:t>
            </w:r>
          </w:p>
        </w:tc>
        <w:tc>
          <w:tcPr>
            <w:tcW w:w="800" w:type="dxa"/>
            <w:vAlign w:val="bottom"/>
          </w:tcPr>
          <w:p>
            <w:pPr>
              <w:spacing w:after="0"/>
              <w:rPr>
                <w:sz w:val="20"/>
                <w:szCs w:val="20"/>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26,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6"/>
              </w:rPr>
              <w:t>Decrease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55"/>
        </w:trPr>
        <w:tc>
          <w:tcPr>
            <w:tcW w:w="482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24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464</w:t>
            </w:r>
          </w:p>
        </w:tc>
        <w:tc>
          <w:tcPr>
            <w:tcW w:w="8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683</w:t>
            </w:r>
          </w:p>
        </w:tc>
        <w:tc>
          <w:tcPr>
            <w:tcW w:w="1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(219)</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Class A motor homes (diesel)</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(208)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C motor homes</w:t>
            </w:r>
          </w:p>
        </w:tc>
        <w:tc>
          <w:tcPr>
            <w:tcW w:w="24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872</w:t>
            </w:r>
          </w:p>
        </w:tc>
        <w:tc>
          <w:tcPr>
            <w:tcW w:w="8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972</w:t>
            </w:r>
          </w:p>
        </w:tc>
        <w:tc>
          <w:tcPr>
            <w:tcW w:w="1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8"/>
        </w:trPr>
        <w:tc>
          <w:tcPr>
            <w:tcW w:w="320" w:type="dxa"/>
            <w:vAlign w:val="bottom"/>
            <w:gridSpan w:val="2"/>
          </w:tcPr>
          <w:p>
            <w:pPr>
              <w:spacing w:after="0"/>
              <w:rPr>
                <w:sz w:val="9"/>
                <w:szCs w:val="9"/>
                <w:color w:val="auto"/>
              </w:rPr>
            </w:pPr>
          </w:p>
        </w:tc>
        <w:tc>
          <w:tcPr>
            <w:tcW w:w="45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3"/>
          </w:tcPr>
          <w:p>
            <w:pPr>
              <w:spacing w:after="0"/>
              <w:rPr>
                <w:sz w:val="20"/>
                <w:szCs w:val="20"/>
                <w:color w:val="auto"/>
              </w:rPr>
            </w:pPr>
            <w:r>
              <w:rPr>
                <w:rFonts w:ascii="Arial" w:cs="Arial" w:eastAsia="Arial" w:hAnsi="Arial"/>
                <w:sz w:val="18"/>
                <w:szCs w:val="18"/>
                <w:color w:val="auto"/>
              </w:rPr>
              <w:t>Total backlog</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(527)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approximate revenue dollars (in millions)</w:t>
            </w:r>
          </w:p>
        </w:tc>
        <w:tc>
          <w:tcPr>
            <w:tcW w:w="240" w:type="dxa"/>
            <w:vAlign w:val="bottom"/>
            <w:shd w:val="clear" w:color="auto" w:fill="D6F3E8"/>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127.8</w:t>
            </w:r>
          </w:p>
        </w:tc>
        <w:tc>
          <w:tcPr>
            <w:tcW w:w="102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181.4</w:t>
            </w:r>
          </w:p>
        </w:tc>
        <w:tc>
          <w:tcPr>
            <w:tcW w:w="114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(53.6)</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-329565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-329565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-329565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-329565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include in our backlog all accepted purchase orders from dealers scheduled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Long-term demographics, however, are favorable for us as our target market of consumers age 50 and older is expected to substantially increase over the next 30 years. Additionally, according to a 2005 study conducted by the University of Michigan, the median age of motor home owners in 2005 is 54 compared to the median age of 59 in 2001, indicating that younger buyers are increasing their ownership of motor homes. The study also reported that more households own motor homes today than at any other time during the past 25 years.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3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February 25, 2006, we had $163.1 million of cash and short-term investments consisting of $18.8 million of cash and cash equivalents and available-for-sale securities of $144.3 million. Taking into account the credit risk criteria of our investments policies, the primary market risk associated with these investments is interest rate risk and a decline in value if market interest rates increase. However, we have the ability to hold our fixed income investments until maturity or for the typical Dutch auction period (an average of 45 days) and based upon historical experience do not believe there are significant risks of a failed Dutch auction. Therefore, we would not expect a material adverse impact in income or cash flows in the event of an increase in market interest rates.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30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the end of the period covered by this report, our management, with the participation of the Company’s Chief Executive Officer and Chief Financial Officer, conducted an evaluation of the effectiveness of the design and operation of our disclosure controls and procedures, as required by Securities Exchange Act of 1934, as amended (the “Exchange Act”) Rule 13a-15 (f). Based on this evaluation, the Chief Executive Officer and Chief Financial Officer have concluded that our disclosure controls and procedures were effective to ensure that information required to be disclosed by us in the reports we file or submit under the Exchange Act is recorded, processed, summarized and reported within the time periods specified by the SEC’s rules and forms.</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management, including the Chief Executive Officer and the Chief Financial Officer, do not expect that our disclosure controls and procedures will prevent all errors or all fraud. A control system, no matter how well conceived and operated, can only provide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within the Company, if any, have been detected. These inherent limitations include the realities that</w:t>
      </w:r>
    </w:p>
    <w:p>
      <w:pPr>
        <w:sectPr>
          <w:pgSz w:w="11900" w:h="16838" w:orient="portrait"/>
          <w:cols w:equalWidth="0" w:num="1">
            <w:col w:w="11420"/>
          </w:cols>
          <w:pgMar w:left="240" w:top="131" w:right="23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judgments in decision 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during the fiscal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consolidated balance sheet of Winnebago Industries, Inc. and subsidiaries (the “Company”) as of February 25, 2006, and the related consolidated statements of income for the quarters and six months ended February 25, 2006 and February 26, 2005 and the condensed consolidated statements of cash flows for the six months ended February 25, 2006 and February 26, 2005. These interim financial statements are the responsibility of the Company’s management.</w:t>
      </w:r>
    </w:p>
    <w:p>
      <w:pPr>
        <w:spacing w:after="0" w:line="19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discussed in Note 2 to the condensed consolidated financial statements, the Company changed its method of accounting for share-based payments to conform to Statement of Financial Accounting Standards No. 123R effective August 28, 2005.</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27, 2005, and the related consolidated statements of income, stockholders’ equity, and cash flows for the year then ended (not presented herein); and in our report dated November 10, 2005, we expressed an unqualified opinion on those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2006</w:t>
      </w:r>
    </w:p>
    <w:p>
      <w:pPr>
        <w:sectPr>
          <w:pgSz w:w="11900" w:h="16838" w:orient="portrait"/>
          <w:cols w:equalWidth="0" w:num="1">
            <w:col w:w="11420"/>
          </w:cols>
          <w:pgMar w:left="240" w:top="590" w:right="239" w:bottom="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3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2" w:lineRule="exact"/>
        <w:rPr>
          <w:sz w:val="20"/>
          <w:szCs w:val="20"/>
          <w:color w:val="auto"/>
        </w:rPr>
      </w:pPr>
    </w:p>
    <w:p>
      <w:pPr>
        <w:ind w:left="1160" w:right="500"/>
        <w:spacing w:after="0" w:line="268" w:lineRule="auto"/>
        <w:rPr>
          <w:sz w:val="20"/>
          <w:szCs w:val="20"/>
          <w:color w:val="auto"/>
        </w:rPr>
      </w:pPr>
      <w:r>
        <w:rPr>
          <w:rFonts w:ascii="Arial" w:cs="Arial" w:eastAsia="Arial" w:hAnsi="Arial"/>
          <w:sz w:val="18"/>
          <w:szCs w:val="18"/>
          <w:color w:val="auto"/>
        </w:rPr>
        <w:t xml:space="preserve">Reference is made to Item 3 (Legal Proceedings) in the Company’s Annual Report on Form 10-K for the year ended August 27, 2005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w:t>
      </w:r>
    </w:p>
    <w:p>
      <w:pPr>
        <w:spacing w:after="0" w:line="21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We are also involved in various other legal proceedings which are ordinary routine litigation to our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52" w:lineRule="exact"/>
        <w:rPr>
          <w:sz w:val="20"/>
          <w:szCs w:val="20"/>
          <w:color w:val="auto"/>
        </w:rPr>
      </w:pPr>
    </w:p>
    <w:p>
      <w:pPr>
        <w:jc w:val="both"/>
        <w:ind w:left="1160" w:right="40"/>
        <w:spacing w:after="0" w:line="306" w:lineRule="auto"/>
        <w:rPr>
          <w:sz w:val="20"/>
          <w:szCs w:val="20"/>
          <w:color w:val="auto"/>
        </w:rPr>
      </w:pPr>
      <w:r>
        <w:rPr>
          <w:rFonts w:ascii="Arial" w:cs="Arial" w:eastAsia="Arial" w:hAnsi="Arial"/>
          <w:sz w:val="16"/>
          <w:szCs w:val="16"/>
          <w:color w:val="auto"/>
        </w:rPr>
        <w:t>On June 15, 2005, the Board of Directors authorized the repurchase of outstanding shares of our common stock, at the discretion of management, for an aggregate consideration of up to $30 million. There was no time restriction on this authorization. As of February 25, 2006, 292,000 shares had been repurchased for an aggregate consideration of approximately $8.3 million.</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second quarter of</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Fiscal 2006:</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Maximum Number</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Shares That May</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6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w w:val="96"/>
              </w:rPr>
              <w:t>Total Number of</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740" w:type="dxa"/>
            <w:vAlign w:val="bottom"/>
          </w:tcPr>
          <w:p>
            <w:pPr>
              <w:ind w:left="66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right"/>
              <w:ind w:right="22"/>
              <w:spacing w:after="0"/>
              <w:rPr>
                <w:sz w:val="20"/>
                <w:szCs w:val="20"/>
                <w:color w:val="auto"/>
              </w:rPr>
            </w:pPr>
            <w:r>
              <w:rPr>
                <w:rFonts w:ascii="Arial" w:cs="Arial" w:eastAsia="Arial" w:hAnsi="Arial"/>
                <w:sz w:val="14"/>
                <w:szCs w:val="14"/>
                <w:b w:val="1"/>
                <w:bCs w:val="1"/>
                <w:color w:val="auto"/>
                <w:w w:val="88"/>
              </w:rPr>
              <w:t>Shares Purchased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87"/>
              </w:rPr>
              <w:t>Paid per Share</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or Programs</w:t>
            </w:r>
          </w:p>
        </w:tc>
        <w:tc>
          <w:tcPr>
            <w:tcW w:w="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1760" w:type="dxa"/>
            <w:vAlign w:val="bottom"/>
            <w:gridSpan w:val="2"/>
          </w:tcPr>
          <w:p>
            <w:pPr>
              <w:spacing w:after="0"/>
              <w:rPr>
                <w:sz w:val="20"/>
                <w:szCs w:val="20"/>
                <w:color w:val="auto"/>
              </w:rPr>
            </w:pPr>
            <w:r>
              <w:rPr>
                <w:rFonts w:ascii="Arial" w:cs="Arial" w:eastAsia="Arial" w:hAnsi="Arial"/>
                <w:sz w:val="18"/>
                <w:szCs w:val="18"/>
                <w:color w:val="auto"/>
              </w:rPr>
              <w:t>11/27/05 – 12/31/05</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24,816,400</w:t>
            </w:r>
          </w:p>
        </w:tc>
        <w:tc>
          <w:tcPr>
            <w:tcW w:w="20" w:type="dxa"/>
            <w:vAlign w:val="bottom"/>
          </w:tcPr>
          <w:p>
            <w:pPr>
              <w:spacing w:after="0"/>
              <w:rPr>
                <w:sz w:val="24"/>
                <w:szCs w:val="24"/>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01/01/06 – 01/28/06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21,716,400</w:t>
            </w:r>
          </w:p>
        </w:tc>
        <w:tc>
          <w:tcPr>
            <w:tcW w:w="20" w:type="dxa"/>
            <w:vAlign w:val="bottom"/>
          </w:tcPr>
          <w:p>
            <w:pPr>
              <w:spacing w:after="0"/>
              <w:rPr>
                <w:sz w:val="18"/>
                <w:szCs w:val="18"/>
                <w:color w:val="auto"/>
              </w:rPr>
            </w:pP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01/29/06 – 02/25/06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21,716,400</w:t>
            </w:r>
          </w:p>
        </w:tc>
        <w:tc>
          <w:tcPr>
            <w:tcW w:w="2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auto"/>
              </w:rPr>
              <w:t>Total</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21,716,400</w:t>
            </w:r>
          </w:p>
        </w:tc>
        <w:tc>
          <w:tcPr>
            <w:tcW w:w="20" w:type="dxa"/>
            <w:vAlign w:val="bottom"/>
          </w:tcPr>
          <w:p>
            <w:pPr>
              <w:spacing w:after="0"/>
              <w:rPr>
                <w:sz w:val="24"/>
                <w:szCs w:val="24"/>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252" w:lineRule="exact"/>
        <w:rPr>
          <w:sz w:val="20"/>
          <w:szCs w:val="20"/>
          <w:color w:val="auto"/>
        </w:rPr>
      </w:pPr>
    </w:p>
    <w:p>
      <w:pPr>
        <w:ind w:left="1760" w:hanging="543"/>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Annual Meeting of Shareholders was held January 10, 2006.</w:t>
      </w:r>
    </w:p>
    <w:p>
      <w:pPr>
        <w:spacing w:after="0" w:line="252" w:lineRule="exact"/>
        <w:rPr>
          <w:rFonts w:ascii="Arial" w:cs="Arial" w:eastAsia="Arial" w:hAnsi="Arial"/>
          <w:sz w:val="18"/>
          <w:szCs w:val="18"/>
          <w:color w:val="auto"/>
        </w:rPr>
      </w:pPr>
    </w:p>
    <w:p>
      <w:pPr>
        <w:ind w:left="1760" w:hanging="543"/>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 V. Hanson, Bruce D. Hertzke and Gerald C. Kitch were elected directors at the Annual Meeting.</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Directors whose terms continued after the shareholders meeting:</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Irvin E. Aal</w:t>
            </w:r>
          </w:p>
        </w:tc>
        <w:tc>
          <w:tcPr>
            <w:tcW w:w="8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Joseph W. England</w:t>
            </w:r>
          </w:p>
        </w:tc>
        <w:tc>
          <w:tcPr>
            <w:tcW w:w="82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Jerry N. Currie</w:t>
            </w: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Lawrence A. Erickson</w:t>
            </w: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John E. Herlitz</w:t>
            </w: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r>
    </w:tbl>
    <w:p>
      <w:pPr>
        <w:spacing w:after="0" w:line="200" w:lineRule="exact"/>
        <w:rPr>
          <w:sz w:val="20"/>
          <w:szCs w:val="20"/>
          <w:color w:val="auto"/>
        </w:rPr>
      </w:pPr>
    </w:p>
    <w:p>
      <w:pPr>
        <w:spacing w:after="0" w:line="253"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Represents year of Annual Meeting that individual’s term will expire.</w:t>
      </w:r>
    </w:p>
    <w:p>
      <w:pPr>
        <w:spacing w:after="0" w:line="225" w:lineRule="exact"/>
        <w:rPr>
          <w:rFonts w:ascii="Arial" w:cs="Arial" w:eastAsia="Arial" w:hAnsi="Arial"/>
          <w:sz w:val="18"/>
          <w:szCs w:val="18"/>
          <w:color w:val="auto"/>
        </w:rPr>
      </w:pPr>
    </w:p>
    <w:p>
      <w:pPr>
        <w:ind w:left="1760" w:hanging="631"/>
        <w:spacing w:after="0"/>
        <w:tabs>
          <w:tab w:leader="none" w:pos="1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breakdown of votes for the election of three directors was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Votes Cast For</w:t>
            </w:r>
          </w:p>
        </w:tc>
        <w:tc>
          <w:tcPr>
            <w:tcW w:w="1160" w:type="dxa"/>
            <w:vAlign w:val="bottom"/>
          </w:tcPr>
          <w:p>
            <w:pPr>
              <w:spacing w:after="0"/>
              <w:rPr>
                <w:sz w:val="15"/>
                <w:szCs w:val="15"/>
                <w:color w:val="auto"/>
              </w:rPr>
            </w:pPr>
          </w:p>
        </w:tc>
        <w:tc>
          <w:tcPr>
            <w:tcW w:w="130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Authority Withheld</w:t>
            </w:r>
          </w:p>
        </w:tc>
      </w:tr>
      <w:tr>
        <w:trPr>
          <w:trHeight w:val="95"/>
        </w:trPr>
        <w:tc>
          <w:tcPr>
            <w:tcW w:w="28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John V. Hanson (2009)</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26,305,254</w:t>
            </w:r>
          </w:p>
        </w:tc>
        <w:tc>
          <w:tcPr>
            <w:tcW w:w="2460" w:type="dxa"/>
            <w:vAlign w:val="bottom"/>
            <w:gridSpan w:val="2"/>
          </w:tcPr>
          <w:p>
            <w:pPr>
              <w:jc w:val="right"/>
              <w:ind w:right="232"/>
              <w:spacing w:after="0"/>
              <w:rPr>
                <w:sz w:val="20"/>
                <w:szCs w:val="20"/>
                <w:color w:val="auto"/>
              </w:rPr>
            </w:pPr>
            <w:r>
              <w:rPr>
                <w:rFonts w:ascii="Arial" w:cs="Arial" w:eastAsia="Arial" w:hAnsi="Arial"/>
                <w:sz w:val="18"/>
                <w:szCs w:val="18"/>
                <w:color w:val="auto"/>
              </w:rPr>
              <w:t>2,682,262</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Bruce D. Hertzke (2009)</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27,036,263</w:t>
            </w:r>
          </w:p>
        </w:tc>
        <w:tc>
          <w:tcPr>
            <w:tcW w:w="2460" w:type="dxa"/>
            <w:vAlign w:val="bottom"/>
            <w:gridSpan w:val="2"/>
          </w:tcPr>
          <w:p>
            <w:pPr>
              <w:jc w:val="right"/>
              <w:ind w:right="232"/>
              <w:spacing w:after="0"/>
              <w:rPr>
                <w:sz w:val="20"/>
                <w:szCs w:val="20"/>
                <w:color w:val="auto"/>
              </w:rPr>
            </w:pPr>
            <w:r>
              <w:rPr>
                <w:rFonts w:ascii="Arial" w:cs="Arial" w:eastAsia="Arial" w:hAnsi="Arial"/>
                <w:sz w:val="18"/>
                <w:szCs w:val="18"/>
                <w:color w:val="auto"/>
              </w:rPr>
              <w:t>1,951,253</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Gerald C. Kitch (2009)</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28,505,156</w:t>
            </w:r>
          </w:p>
        </w:tc>
        <w:tc>
          <w:tcPr>
            <w:tcW w:w="2460" w:type="dxa"/>
            <w:vAlign w:val="bottom"/>
            <w:gridSpan w:val="2"/>
          </w:tcPr>
          <w:p>
            <w:pPr>
              <w:jc w:val="right"/>
              <w:ind w:right="252"/>
              <w:spacing w:after="0"/>
              <w:rPr>
                <w:sz w:val="20"/>
                <w:szCs w:val="20"/>
                <w:color w:val="auto"/>
              </w:rPr>
            </w:pPr>
            <w:r>
              <w:rPr>
                <w:rFonts w:ascii="Arial" w:cs="Arial" w:eastAsia="Arial" w:hAnsi="Arial"/>
                <w:sz w:val="18"/>
                <w:szCs w:val="18"/>
                <w:color w:val="auto"/>
              </w:rPr>
              <w:t>482,360</w:t>
            </w:r>
          </w:p>
        </w:tc>
      </w:tr>
    </w:tbl>
    <w:p>
      <w:pPr>
        <w:sectPr>
          <w:pgSz w:w="11900" w:h="16838" w:orient="portrait"/>
          <w:cols w:equalWidth="0" w:num="1">
            <w:col w:w="11400"/>
          </w:cols>
          <w:pgMar w:left="240" w:top="1440"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*There were no broker non-votes.</w:t>
      </w:r>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 and Reports on Form 8-K.</w:t>
      </w:r>
    </w:p>
    <w:p>
      <w:pPr>
        <w:spacing w:after="0" w:line="252" w:lineRule="exact"/>
        <w:rPr>
          <w:sz w:val="20"/>
          <w:szCs w:val="20"/>
          <w:color w:val="auto"/>
        </w:rPr>
      </w:pPr>
    </w:p>
    <w:p>
      <w:pPr>
        <w:ind w:left="1760" w:hanging="63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 See Exhibit Index on page 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60" w:type="dxa"/>
            <w:vAlign w:val="bottom"/>
          </w:tcPr>
          <w:p>
            <w:pPr>
              <w:jc w:val="center"/>
              <w:ind w:right="152"/>
              <w:spacing w:after="0"/>
              <w:rPr>
                <w:sz w:val="20"/>
                <w:szCs w:val="20"/>
                <w:color w:val="auto"/>
              </w:rPr>
            </w:pPr>
            <w:r>
              <w:rPr>
                <w:rFonts w:ascii="Arial" w:cs="Arial" w:eastAsia="Arial" w:hAnsi="Arial"/>
                <w:sz w:val="18"/>
                <w:szCs w:val="18"/>
                <w:color w:val="auto"/>
                <w:w w:val="94"/>
              </w:rPr>
              <w:t>WINNEBAGO INDUSTRIES, INC.</w:t>
            </w:r>
          </w:p>
        </w:tc>
      </w:tr>
      <w:tr>
        <w:trPr>
          <w:trHeight w:val="110"/>
        </w:trPr>
        <w:tc>
          <w:tcPr>
            <w:tcW w:w="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jc w:val="center"/>
              <w:ind w:right="172"/>
              <w:spacing w:after="0"/>
              <w:rPr>
                <w:sz w:val="20"/>
                <w:szCs w:val="20"/>
                <w:color w:val="auto"/>
              </w:rPr>
            </w:pPr>
            <w:r>
              <w:rPr>
                <w:rFonts w:ascii="Arial" w:cs="Arial" w:eastAsia="Arial" w:hAnsi="Arial"/>
                <w:sz w:val="18"/>
                <w:szCs w:val="18"/>
                <w:color w:val="auto"/>
                <w:w w:val="89"/>
              </w:rPr>
              <w:t>(Registrant)</w:t>
            </w:r>
          </w:p>
        </w:tc>
      </w:tr>
      <w:tr>
        <w:trPr>
          <w:trHeight w:val="70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April 4, 2006</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860" w:type="dxa"/>
            <w:vAlign w:val="bottom"/>
          </w:tcPr>
          <w:p>
            <w:pPr>
              <w:ind w:left="60"/>
              <w:spacing w:after="0"/>
              <w:rPr>
                <w:sz w:val="20"/>
                <w:szCs w:val="20"/>
                <w:color w:val="auto"/>
              </w:rPr>
            </w:pPr>
            <w:r>
              <w:rPr>
                <w:rFonts w:ascii="Arial" w:cs="Arial" w:eastAsia="Arial" w:hAnsi="Arial"/>
                <w:sz w:val="18"/>
                <w:szCs w:val="18"/>
                <w:color w:val="auto"/>
              </w:rPr>
              <w:t>Bruce D. Hertzke</w:t>
            </w:r>
          </w:p>
        </w:tc>
      </w:tr>
      <w:tr>
        <w:trPr>
          <w:trHeight w:val="137"/>
        </w:trPr>
        <w:tc>
          <w:tcPr>
            <w:tcW w:w="480" w:type="dxa"/>
            <w:vAlign w:val="bottom"/>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4100" w:type="dxa"/>
            <w:vAlign w:val="bottom"/>
            <w:tcBorders>
              <w:bottom w:val="single" w:sz="8" w:color="auto"/>
            </w:tcBorders>
            <w:gridSpan w:val="2"/>
          </w:tcPr>
          <w:p>
            <w:pPr>
              <w:spacing w:after="0"/>
              <w:rPr>
                <w:sz w:val="11"/>
                <w:szCs w:val="11"/>
                <w:color w:val="auto"/>
              </w:rPr>
            </w:pPr>
          </w:p>
        </w:tc>
      </w:tr>
      <w:tr>
        <w:trPr>
          <w:trHeight w:val="329"/>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Bruce D. Hertzke</w:t>
            </w:r>
          </w:p>
        </w:tc>
      </w:tr>
      <w:tr>
        <w:trPr>
          <w:trHeight w:val="237"/>
        </w:trPr>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April 4, 2006</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860" w:type="dxa"/>
            <w:vAlign w:val="bottom"/>
          </w:tcPr>
          <w:p>
            <w:pPr>
              <w:ind w:left="60"/>
              <w:spacing w:after="0"/>
              <w:rPr>
                <w:sz w:val="20"/>
                <w:szCs w:val="20"/>
                <w:color w:val="auto"/>
              </w:rPr>
            </w:pPr>
            <w:r>
              <w:rPr>
                <w:rFonts w:ascii="Arial" w:cs="Arial" w:eastAsia="Arial" w:hAnsi="Arial"/>
                <w:sz w:val="18"/>
                <w:szCs w:val="18"/>
                <w:color w:val="auto"/>
              </w:rPr>
              <w:t>Sarah N. Nielsen</w:t>
            </w:r>
          </w:p>
        </w:tc>
      </w:tr>
      <w:tr>
        <w:trPr>
          <w:trHeight w:val="137"/>
        </w:trPr>
        <w:tc>
          <w:tcPr>
            <w:tcW w:w="480" w:type="dxa"/>
            <w:vAlign w:val="bottom"/>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4100" w:type="dxa"/>
            <w:vAlign w:val="bottom"/>
            <w:tcBorders>
              <w:bottom w:val="single" w:sz="8" w:color="auto"/>
            </w:tcBorders>
            <w:gridSpan w:val="2"/>
          </w:tcPr>
          <w:p>
            <w:pPr>
              <w:spacing w:after="0"/>
              <w:rPr>
                <w:sz w:val="11"/>
                <w:szCs w:val="11"/>
                <w:color w:val="auto"/>
              </w:rPr>
            </w:pPr>
          </w:p>
        </w:tc>
      </w:tr>
      <w:tr>
        <w:trPr>
          <w:trHeight w:val="329"/>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Sarah N. Nielsen</w:t>
            </w:r>
          </w:p>
        </w:tc>
      </w:tr>
      <w:tr>
        <w:trPr>
          <w:trHeight w:val="243"/>
        </w:trPr>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Index</w:t>
      </w:r>
    </w:p>
    <w:p>
      <w:pPr>
        <w:spacing w:after="0" w:line="306"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April 4, 2006.</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April 4, 2006.</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April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4, 2006.</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April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4, 2006.</w:t>
      </w:r>
    </w:p>
    <w:p>
      <w:pPr>
        <w:sectPr>
          <w:pgSz w:w="11900" w:h="16838" w:orient="portrait"/>
          <w:cols w:equalWidth="0" w:num="1">
            <w:col w:w="11380"/>
          </w:cols>
          <w:pgMar w:left="240" w:top="590" w:right="279" w:bottom="141"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made a review, in accordance with the standards of the Public Company Accounting Oversight Board (United States), of the unaudited interim financial information of Winnebago Industries, Inc. and subsidiaries for the quarters and six months ended February 25, 2006, and February 26, 2005, as indicated in our report dated April 4, 2006; because we did not perform an audit, we expressed no opinion on that information.</w:t>
      </w:r>
    </w:p>
    <w:p>
      <w:pPr>
        <w:spacing w:after="0" w:line="16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are aware that our report referred to above, which is included in your Quarterly Report on Form 10-Q for the quarter ended February 25, 2006, is incorporated by reference in Registration Statements No. 2-40316, No. 2-82109, No. 33-21757, No. 33-59930, No. 333-31595, and No. 333-113246 on Form S-8.</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31.1</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4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31.2</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4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32.1</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Bruce D. Hertzke, Chief Executive Officer, certifies that pursuant to 18 U.S.C. §1350 as adopted pursuant to §906 of the Sarbanes-Oxley Act of 2002, that:</w:t>
      </w:r>
    </w:p>
    <w:p>
      <w:pPr>
        <w:spacing w:after="0" w:line="248" w:lineRule="exact"/>
        <w:rPr>
          <w:sz w:val="20"/>
          <w:szCs w:val="20"/>
          <w:color w:val="auto"/>
        </w:rPr>
      </w:pPr>
    </w:p>
    <w:p>
      <w:pPr>
        <w:ind w:left="1180" w:right="80" w:hanging="618"/>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25, 2006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4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1638300</wp:posOffset>
            </wp:positionV>
            <wp:extent cx="72504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32.2</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 Chief Financial Officer, certifies that pursuant to 18 U.S.C. §1350 as adopted pursuant to §906 of the Sarbanes-Oxley Act of 2002, that:</w:t>
      </w:r>
    </w:p>
    <w:p>
      <w:pPr>
        <w:spacing w:after="0" w:line="248" w:lineRule="exact"/>
        <w:rPr>
          <w:sz w:val="20"/>
          <w:szCs w:val="20"/>
          <w:color w:val="auto"/>
        </w:rPr>
      </w:pPr>
    </w:p>
    <w:p>
      <w:pPr>
        <w:ind w:left="1180" w:right="80" w:hanging="618"/>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25, 2006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4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1483995</wp:posOffset>
            </wp:positionV>
            <wp:extent cx="725043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lvl w:ilvl="1">
      <w:lvlJc w:val="left"/>
      <w:lvlText w:val="(%2)"/>
      <w:numFmt w:val="lowerLetter"/>
      <w:start w:val="3"/>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5"/>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2019-12-11T19:20:46Z</dcterms:created>
  <dcterms:modified xsi:type="dcterms:W3CDTF">2019-12-11T19:20:46Z</dcterms:modified>
</cp:coreProperties>
</file>