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226060</wp:posOffset>
            </wp:positionH>
            <wp:positionV relativeFrom="page">
              <wp:posOffset>637540</wp:posOffset>
            </wp:positionV>
            <wp:extent cx="7109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534670</wp:posOffset>
            </wp:positionV>
            <wp:extent cx="710946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2603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198755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December 15,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850265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164465</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90" w:lineRule="exact"/>
        <w:rPr>
          <w:sz w:val="24"/>
          <w:szCs w:val="24"/>
          <w:color w:val="auto"/>
        </w:rPr>
      </w:pPr>
    </w:p>
    <w:tbl>
      <w:tblPr>
        <w:tblLayout w:type="fixed"/>
        <w:tblInd w:w="1100" w:type="dxa"/>
        <w:tblCellMar>
          <w:top w:w="0" w:type="dxa"/>
          <w:left w:w="0" w:type="dxa"/>
          <w:bottom w:w="0" w:type="dxa"/>
          <w:right w:w="0" w:type="dxa"/>
        </w:tblCellMar>
      </w:tblPr>
      <w:tr>
        <w:trPr>
          <w:trHeight w:val="254"/>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01"/>
        </w:trPr>
        <w:tc>
          <w:tcPr>
            <w:tcW w:w="34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line="201" w:lineRule="exact"/>
              <w:rPr>
                <w:sz w:val="20"/>
                <w:szCs w:val="20"/>
                <w:color w:val="auto"/>
              </w:rPr>
            </w:pPr>
            <w:r>
              <w:rPr>
                <w:rFonts w:ascii="Arial" w:cs="Arial" w:eastAsia="Arial" w:hAnsi="Arial"/>
                <w:sz w:val="18"/>
                <w:szCs w:val="18"/>
                <w:color w:val="auto"/>
                <w:w w:val="99"/>
              </w:rPr>
              <w:t>(IRS Employer</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2"/>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1"/>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94"/>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22"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5"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191135</wp:posOffset>
            </wp:positionV>
            <wp:extent cx="710946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94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7109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ectPr>
          <w:pgSz w:w="11900" w:h="16838" w:orient="portrait"/>
          <w:cols w:equalWidth="0" w:num="1">
            <w:col w:w="11420"/>
          </w:cols>
          <w:pgMar w:left="240" w:top="1199"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7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Winnebago Industries, ("the Company") held its annual meeting of shareholders (the “Annual Meeting”) on December 15, 2015. At the Annual Meeting, the Company's shareholders were asked to vote on three proposals: (1) the election of three Class I directors and one Class III director, (2) the advisory approval of executive compensation, and (3) the ratification of the appointment of Deloitte &amp; Touche LLP as the Company's independent registered public accountant for the fiscal year ending August 27, 2016. The results of the shareholder vote are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Election of Directors.</w:t>
      </w:r>
    </w:p>
    <w:p>
      <w:pPr>
        <w:spacing w:after="0" w:line="25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Company shareholders elected the following nominees: Christopher J. Braun, David W. Miles and Martha T. Rodamaker, as Class I directors to hold office until the annual meeting of shareholders to be held following the Company's 2018 fiscal year or until their respective successor is duly elected and qualified; and William C. Fisher as a Class III director to hold office until the annual meeting of shareholders to be held following the Company's 2017 fiscal year or until his successor is duly elected and qualified. Information as to the vote on each director standing for election is provided below:</w:t>
      </w:r>
    </w:p>
    <w:p>
      <w:pPr>
        <w:spacing w:after="0" w:line="143" w:lineRule="exact"/>
        <w:rPr>
          <w:sz w:val="20"/>
          <w:szCs w:val="20"/>
          <w:color w:val="auto"/>
        </w:rPr>
      </w:pPr>
    </w:p>
    <w:tbl>
      <w:tblPr>
        <w:tblLayout w:type="fixed"/>
        <w:tblInd w:w="1500" w:type="dxa"/>
        <w:tblCellMar>
          <w:top w:w="0" w:type="dxa"/>
          <w:left w:w="0" w:type="dxa"/>
          <w:bottom w:w="0" w:type="dxa"/>
          <w:right w:w="0" w:type="dxa"/>
        </w:tblCellMar>
      </w:tblPr>
      <w:tr>
        <w:trPr>
          <w:trHeight w:val="232"/>
        </w:trPr>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Name</w:t>
            </w:r>
          </w:p>
        </w:tc>
        <w:tc>
          <w:tcPr>
            <w:tcW w:w="34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360" w:type="dxa"/>
            <w:vAlign w:val="bottom"/>
          </w:tcPr>
          <w:p>
            <w:pPr>
              <w:spacing w:after="0"/>
              <w:rPr>
                <w:sz w:val="20"/>
                <w:szCs w:val="20"/>
                <w:color w:val="auto"/>
              </w:rPr>
            </w:pPr>
          </w:p>
        </w:tc>
        <w:tc>
          <w:tcPr>
            <w:tcW w:w="18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Votes Withheld</w:t>
            </w:r>
          </w:p>
        </w:tc>
        <w:tc>
          <w:tcPr>
            <w:tcW w:w="3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8"/>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Christopher J. Braun</w:t>
            </w:r>
          </w:p>
        </w:tc>
        <w:tc>
          <w:tcPr>
            <w:tcW w:w="1800" w:type="dxa"/>
            <w:vAlign w:val="bottom"/>
          </w:tcPr>
          <w:p>
            <w:pPr>
              <w:jc w:val="center"/>
              <w:spacing w:after="0"/>
              <w:rPr>
                <w:sz w:val="20"/>
                <w:szCs w:val="20"/>
                <w:color w:val="auto"/>
              </w:rPr>
            </w:pPr>
            <w:r>
              <w:rPr>
                <w:rFonts w:ascii="Arial" w:cs="Arial" w:eastAsia="Arial" w:hAnsi="Arial"/>
                <w:sz w:val="16"/>
                <w:szCs w:val="16"/>
                <w:color w:val="auto"/>
              </w:rPr>
              <w:t>20,150,250</w:t>
            </w:r>
          </w:p>
        </w:tc>
        <w:tc>
          <w:tcPr>
            <w:tcW w:w="3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143,280</w:t>
            </w:r>
          </w:p>
        </w:tc>
        <w:tc>
          <w:tcPr>
            <w:tcW w:w="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3,757,826</w:t>
            </w:r>
          </w:p>
        </w:tc>
      </w:tr>
      <w:tr>
        <w:trPr>
          <w:trHeight w:val="27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David W. Miles</w:t>
            </w:r>
          </w:p>
        </w:tc>
        <w:tc>
          <w:tcPr>
            <w:tcW w:w="1800" w:type="dxa"/>
            <w:vAlign w:val="bottom"/>
          </w:tcPr>
          <w:p>
            <w:pPr>
              <w:jc w:val="center"/>
              <w:spacing w:after="0"/>
              <w:rPr>
                <w:sz w:val="20"/>
                <w:szCs w:val="20"/>
                <w:color w:val="auto"/>
              </w:rPr>
            </w:pPr>
            <w:r>
              <w:rPr>
                <w:rFonts w:ascii="Arial" w:cs="Arial" w:eastAsia="Arial" w:hAnsi="Arial"/>
                <w:sz w:val="16"/>
                <w:szCs w:val="16"/>
                <w:color w:val="auto"/>
              </w:rPr>
              <w:t>20,198,991</w:t>
            </w:r>
          </w:p>
        </w:tc>
        <w:tc>
          <w:tcPr>
            <w:tcW w:w="3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94,539</w:t>
            </w:r>
          </w:p>
        </w:tc>
        <w:tc>
          <w:tcPr>
            <w:tcW w:w="36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3,757,826</w:t>
            </w:r>
          </w:p>
        </w:tc>
      </w:tr>
      <w:tr>
        <w:trPr>
          <w:trHeight w:val="27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Martha T. Rodamaker</w:t>
            </w:r>
          </w:p>
        </w:tc>
        <w:tc>
          <w:tcPr>
            <w:tcW w:w="1800" w:type="dxa"/>
            <w:vAlign w:val="bottom"/>
          </w:tcPr>
          <w:p>
            <w:pPr>
              <w:jc w:val="center"/>
              <w:spacing w:after="0"/>
              <w:rPr>
                <w:sz w:val="20"/>
                <w:szCs w:val="20"/>
                <w:color w:val="auto"/>
              </w:rPr>
            </w:pPr>
            <w:r>
              <w:rPr>
                <w:rFonts w:ascii="Arial" w:cs="Arial" w:eastAsia="Arial" w:hAnsi="Arial"/>
                <w:sz w:val="16"/>
                <w:szCs w:val="16"/>
                <w:color w:val="auto"/>
              </w:rPr>
              <w:t>20,127,098</w:t>
            </w:r>
          </w:p>
        </w:tc>
        <w:tc>
          <w:tcPr>
            <w:tcW w:w="3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166,432</w:t>
            </w:r>
          </w:p>
        </w:tc>
        <w:tc>
          <w:tcPr>
            <w:tcW w:w="36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3,757,826</w:t>
            </w:r>
          </w:p>
        </w:tc>
      </w:tr>
      <w:tr>
        <w:trPr>
          <w:trHeight w:val="27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William C. Fisher</w:t>
            </w:r>
          </w:p>
        </w:tc>
        <w:tc>
          <w:tcPr>
            <w:tcW w:w="1800" w:type="dxa"/>
            <w:vAlign w:val="bottom"/>
          </w:tcPr>
          <w:p>
            <w:pPr>
              <w:jc w:val="center"/>
              <w:spacing w:after="0"/>
              <w:rPr>
                <w:sz w:val="20"/>
                <w:szCs w:val="20"/>
                <w:color w:val="auto"/>
              </w:rPr>
            </w:pPr>
            <w:r>
              <w:rPr>
                <w:rFonts w:ascii="Arial" w:cs="Arial" w:eastAsia="Arial" w:hAnsi="Arial"/>
                <w:sz w:val="16"/>
                <w:szCs w:val="16"/>
                <w:color w:val="auto"/>
              </w:rPr>
              <w:t>20,166,239</w:t>
            </w:r>
          </w:p>
        </w:tc>
        <w:tc>
          <w:tcPr>
            <w:tcW w:w="3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127,291</w:t>
            </w:r>
          </w:p>
        </w:tc>
        <w:tc>
          <w:tcPr>
            <w:tcW w:w="36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3,757,826</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Advisory Approval Vote on Executive Compensation (the “Say on Pay” Vote).</w:t>
      </w:r>
    </w:p>
    <w:p>
      <w:pPr>
        <w:spacing w:after="0" w:line="259" w:lineRule="exact"/>
        <w:rPr>
          <w:sz w:val="20"/>
          <w:szCs w:val="20"/>
          <w:color w:val="auto"/>
        </w:rPr>
      </w:pPr>
    </w:p>
    <w:p>
      <w:pPr>
        <w:jc w:val="both"/>
        <w:ind w:right="180"/>
        <w:spacing w:after="0" w:line="269" w:lineRule="auto"/>
        <w:rPr>
          <w:sz w:val="20"/>
          <w:szCs w:val="20"/>
          <w:color w:val="auto"/>
        </w:rPr>
      </w:pPr>
      <w:r>
        <w:rPr>
          <w:rFonts w:ascii="Arial" w:cs="Arial" w:eastAsia="Arial" w:hAnsi="Arial"/>
          <w:sz w:val="16"/>
          <w:szCs w:val="16"/>
          <w:color w:val="auto"/>
        </w:rPr>
        <w:t>Company shareholders approved, on an advisory basis, the compensation of certain executives as disclosed in the Compensation Discussion and Analysis, the compensation tables and other narrative executive compensation disclosures in the definitive proxy statement relating to the Annual Meeting, as set forth below:</w:t>
      </w:r>
    </w:p>
    <w:p>
      <w:pPr>
        <w:spacing w:after="0" w:line="109" w:lineRule="exact"/>
        <w:rPr>
          <w:sz w:val="20"/>
          <w:szCs w:val="20"/>
          <w:color w:val="auto"/>
        </w:rPr>
      </w:pPr>
    </w:p>
    <w:tbl>
      <w:tblPr>
        <w:tblLayout w:type="fixed"/>
        <w:tblInd w:w="1460" w:type="dxa"/>
        <w:tblCellMar>
          <w:top w:w="0" w:type="dxa"/>
          <w:left w:w="0" w:type="dxa"/>
          <w:bottom w:w="0" w:type="dxa"/>
          <w:right w:w="0" w:type="dxa"/>
        </w:tblCellMar>
      </w:tblPr>
      <w:tr>
        <w:trPr>
          <w:trHeight w:val="232"/>
        </w:trPr>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Votes For</w:t>
            </w:r>
          </w:p>
        </w:tc>
        <w:tc>
          <w:tcPr>
            <w:tcW w:w="2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Abstentions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8"/>
        </w:trPr>
        <w:tc>
          <w:tcPr>
            <w:tcW w:w="17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19,262,128</w:t>
            </w:r>
          </w:p>
        </w:tc>
        <w:tc>
          <w:tcPr>
            <w:tcW w:w="420" w:type="dxa"/>
            <w:vAlign w:val="bottom"/>
          </w:tcPr>
          <w:p>
            <w:pPr>
              <w:spacing w:after="0"/>
              <w:rPr>
                <w:sz w:val="20"/>
                <w:szCs w:val="20"/>
                <w:color w:val="auto"/>
              </w:rPr>
            </w:pPr>
          </w:p>
        </w:tc>
        <w:tc>
          <w:tcPr>
            <w:tcW w:w="18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953,749</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77,653</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3,757,826</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Ratification of the Appointment of Independent Registered Public Accountants for the Fiscal Year Ending August 27, 2016</w:t>
      </w:r>
      <w:r>
        <w:rPr>
          <w:rFonts w:ascii="Arial" w:cs="Arial" w:eastAsia="Arial" w:hAnsi="Arial"/>
          <w:sz w:val="16"/>
          <w:szCs w:val="16"/>
          <w:color w:val="auto"/>
        </w:rPr>
        <w:t>.</w:t>
      </w:r>
      <w:r>
        <w:rPr>
          <w:rFonts w:ascii="Arial" w:cs="Arial" w:eastAsia="Arial" w:hAnsi="Arial"/>
          <w:sz w:val="18"/>
          <w:szCs w:val="18"/>
          <w:b w:val="1"/>
          <w:bCs w:val="1"/>
          <w:color w:val="auto"/>
        </w:rPr>
        <w:t>.</w:t>
      </w:r>
    </w:p>
    <w:p>
      <w:pPr>
        <w:spacing w:after="0" w:line="272" w:lineRule="exact"/>
        <w:rPr>
          <w:sz w:val="20"/>
          <w:szCs w:val="20"/>
          <w:color w:val="auto"/>
        </w:rPr>
      </w:pPr>
    </w:p>
    <w:p>
      <w:pPr>
        <w:ind w:right="440"/>
        <w:spacing w:after="0" w:line="327" w:lineRule="auto"/>
        <w:rPr>
          <w:sz w:val="20"/>
          <w:szCs w:val="20"/>
          <w:color w:val="auto"/>
        </w:rPr>
      </w:pPr>
      <w:r>
        <w:rPr>
          <w:rFonts w:ascii="Arial" w:cs="Arial" w:eastAsia="Arial" w:hAnsi="Arial"/>
          <w:sz w:val="16"/>
          <w:szCs w:val="16"/>
          <w:color w:val="auto"/>
        </w:rPr>
        <w:t>Company shareholders ratified the appointment of Deloitte &amp; Touche LLP as the Company's independent registered public accountants for the fiscal year ending August 27, 2016., as set forth below:</w:t>
      </w:r>
    </w:p>
    <w:p>
      <w:pPr>
        <w:spacing w:after="0" w:line="77" w:lineRule="exact"/>
        <w:rPr>
          <w:sz w:val="20"/>
          <w:szCs w:val="20"/>
          <w:color w:val="auto"/>
        </w:rPr>
      </w:pPr>
    </w:p>
    <w:tbl>
      <w:tblPr>
        <w:tblLayout w:type="fixed"/>
        <w:tblInd w:w="1460" w:type="dxa"/>
        <w:tblCellMar>
          <w:top w:w="0" w:type="dxa"/>
          <w:left w:w="0" w:type="dxa"/>
          <w:bottom w:w="0" w:type="dxa"/>
          <w:right w:w="0" w:type="dxa"/>
        </w:tblCellMar>
      </w:tblPr>
      <w:tr>
        <w:trPr>
          <w:trHeight w:val="232"/>
        </w:trPr>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Votes For</w:t>
            </w:r>
          </w:p>
        </w:tc>
        <w:tc>
          <w:tcPr>
            <w:tcW w:w="2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Abstentions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8"/>
        </w:trPr>
        <w:tc>
          <w:tcPr>
            <w:tcW w:w="17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23,957,139</w:t>
            </w:r>
          </w:p>
        </w:tc>
        <w:tc>
          <w:tcPr>
            <w:tcW w:w="420" w:type="dxa"/>
            <w:vAlign w:val="bottom"/>
          </w:tcPr>
          <w:p>
            <w:pPr>
              <w:spacing w:after="0"/>
              <w:rPr>
                <w:sz w:val="20"/>
                <w:szCs w:val="20"/>
                <w:color w:val="auto"/>
              </w:rPr>
            </w:pPr>
          </w:p>
        </w:tc>
        <w:tc>
          <w:tcPr>
            <w:tcW w:w="184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58,053</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36,164</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94"/>
        </w:trPr>
        <w:tc>
          <w:tcPr>
            <w:tcW w:w="5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860" w:type="dxa"/>
            <w:vAlign w:val="bottom"/>
            <w:gridSpan w:val="2"/>
          </w:tcPr>
          <w:p>
            <w:pPr>
              <w:ind w:left="14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266"/>
        </w:trPr>
        <w:tc>
          <w:tcPr>
            <w:tcW w:w="5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7860" w:type="dxa"/>
            <w:vAlign w:val="bottom"/>
            <w:gridSpan w:val="2"/>
          </w:tcPr>
          <w:p>
            <w:pPr>
              <w:ind w:left="1400"/>
              <w:spacing w:after="0"/>
              <w:rPr>
                <w:sz w:val="20"/>
                <w:szCs w:val="20"/>
                <w:color w:val="auto"/>
              </w:rPr>
            </w:pPr>
            <w:r>
              <w:rPr>
                <w:rFonts w:ascii="Arial" w:cs="Arial" w:eastAsia="Arial" w:hAnsi="Arial"/>
                <w:sz w:val="16"/>
                <w:szCs w:val="16"/>
                <w:color w:val="auto"/>
              </w:rPr>
              <w:t>(Registrant)</w:t>
            </w:r>
          </w:p>
        </w:tc>
      </w:tr>
      <w:tr>
        <w:trPr>
          <w:trHeight w:val="576"/>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60" w:type="dxa"/>
            <w:vAlign w:val="bottom"/>
          </w:tcPr>
          <w:p>
            <w:pPr>
              <w:ind w:left="140"/>
              <w:spacing w:after="0"/>
              <w:rPr>
                <w:sz w:val="20"/>
                <w:szCs w:val="20"/>
                <w:color w:val="auto"/>
              </w:rPr>
            </w:pPr>
            <w:r>
              <w:rPr>
                <w:rFonts w:ascii="Arial" w:cs="Arial" w:eastAsia="Arial" w:hAnsi="Arial"/>
                <w:sz w:val="16"/>
                <w:szCs w:val="16"/>
                <w:color w:val="auto"/>
              </w:rPr>
              <w:t>December 16, 2015</w:t>
            </w:r>
          </w:p>
        </w:tc>
        <w:tc>
          <w:tcPr>
            <w:tcW w:w="2160" w:type="dxa"/>
            <w:vAlign w:val="bottom"/>
          </w:tcPr>
          <w:p>
            <w:pPr>
              <w:ind w:left="1400"/>
              <w:spacing w:after="0"/>
              <w:rPr>
                <w:sz w:val="20"/>
                <w:szCs w:val="20"/>
                <w:color w:val="auto"/>
              </w:rPr>
            </w:pPr>
            <w:r>
              <w:rPr>
                <w:rFonts w:ascii="Arial" w:cs="Arial" w:eastAsia="Arial" w:hAnsi="Arial"/>
                <w:sz w:val="16"/>
                <w:szCs w:val="16"/>
                <w:color w:val="auto"/>
              </w:rPr>
              <w:t>By:</w:t>
            </w:r>
          </w:p>
        </w:tc>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Larry A. Erickson</w:t>
            </w:r>
          </w:p>
        </w:tc>
      </w:tr>
      <w:tr>
        <w:trPr>
          <w:trHeight w:val="241"/>
        </w:trPr>
        <w:tc>
          <w:tcPr>
            <w:tcW w:w="5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60" w:type="dxa"/>
            <w:vAlign w:val="bottom"/>
          </w:tcPr>
          <w:p>
            <w:pPr>
              <w:ind w:left="1400"/>
              <w:spacing w:after="0"/>
              <w:rPr>
                <w:sz w:val="20"/>
                <w:szCs w:val="20"/>
                <w:color w:val="auto"/>
              </w:rPr>
            </w:pPr>
            <w:r>
              <w:rPr>
                <w:rFonts w:ascii="Arial" w:cs="Arial" w:eastAsia="Arial" w:hAnsi="Arial"/>
                <w:sz w:val="16"/>
                <w:szCs w:val="16"/>
                <w:color w:val="auto"/>
              </w:rPr>
              <w:t>Name:</w:t>
            </w:r>
          </w:p>
        </w:tc>
        <w:tc>
          <w:tcPr>
            <w:tcW w:w="5700" w:type="dxa"/>
            <w:vAlign w:val="bottom"/>
          </w:tcPr>
          <w:p>
            <w:pPr>
              <w:ind w:left="40"/>
              <w:spacing w:after="0"/>
              <w:rPr>
                <w:sz w:val="20"/>
                <w:szCs w:val="20"/>
                <w:color w:val="auto"/>
              </w:rPr>
            </w:pPr>
            <w:r>
              <w:rPr>
                <w:rFonts w:ascii="Arial" w:cs="Arial" w:eastAsia="Arial" w:hAnsi="Arial"/>
                <w:sz w:val="16"/>
                <w:szCs w:val="16"/>
                <w:color w:val="auto"/>
              </w:rPr>
              <w:t>Larry A. Erickson</w:t>
            </w:r>
          </w:p>
        </w:tc>
      </w:tr>
      <w:tr>
        <w:trPr>
          <w:trHeight w:val="270"/>
        </w:trPr>
        <w:tc>
          <w:tcPr>
            <w:tcW w:w="5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160" w:type="dxa"/>
            <w:vAlign w:val="bottom"/>
          </w:tcPr>
          <w:p>
            <w:pPr>
              <w:ind w:left="1400"/>
              <w:spacing w:after="0"/>
              <w:rPr>
                <w:sz w:val="20"/>
                <w:szCs w:val="20"/>
                <w:color w:val="auto"/>
              </w:rPr>
            </w:pPr>
            <w:r>
              <w:rPr>
                <w:rFonts w:ascii="Arial" w:cs="Arial" w:eastAsia="Arial" w:hAnsi="Arial"/>
                <w:sz w:val="16"/>
                <w:szCs w:val="16"/>
                <w:color w:val="auto"/>
              </w:rPr>
              <w:t>Title:</w:t>
            </w:r>
          </w:p>
        </w:tc>
        <w:tc>
          <w:tcPr>
            <w:tcW w:w="5700" w:type="dxa"/>
            <w:vAlign w:val="bottom"/>
          </w:tcPr>
          <w:p>
            <w:pPr>
              <w:ind w:left="40"/>
              <w:spacing w:after="0"/>
              <w:rPr>
                <w:sz w:val="20"/>
                <w:szCs w:val="20"/>
                <w:color w:val="auto"/>
              </w:rPr>
            </w:pPr>
            <w:r>
              <w:rPr>
                <w:rFonts w:ascii="Arial" w:cs="Arial" w:eastAsia="Arial" w:hAnsi="Arial"/>
                <w:sz w:val="16"/>
                <w:szCs w:val="16"/>
                <w:color w:val="auto"/>
              </w:rPr>
              <w:t>Chairman of the Board and Chief Executive Officer</w:t>
            </w:r>
          </w:p>
        </w:tc>
      </w:tr>
    </w:tbl>
    <w:p>
      <w:pPr>
        <w:spacing w:after="0" w:line="1" w:lineRule="exact"/>
        <w:rPr>
          <w:sz w:val="20"/>
          <w:szCs w:val="20"/>
          <w:color w:val="auto"/>
        </w:rPr>
      </w:pPr>
    </w:p>
    <w:sectPr>
      <w:pgSz w:w="11900" w:h="16838" w:orient="portrait"/>
      <w:cols w:equalWidth="0" w:num="1">
        <w:col w:w="11400"/>
      </w:cols>
      <w:pgMar w:left="240" w:top="5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2019-12-05T17:49:17Z</dcterms:created>
  <dcterms:modified xsi:type="dcterms:W3CDTF">2019-12-05T17:49:17Z</dcterms:modified>
</cp:coreProperties>
</file>