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96"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58"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30" w:lineRule="exact"/>
        <w:rPr>
          <w:sz w:val="24"/>
          <w:szCs w:val="24"/>
          <w:color w:val="auto"/>
        </w:rPr>
      </w:pPr>
    </w:p>
    <w:p>
      <w:pPr>
        <w:ind w:left="38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 the quarterly period ended February 29, 2020</w:t>
      </w:r>
    </w:p>
    <w:p>
      <w:pPr>
        <w:spacing w:after="0" w:line="59" w:lineRule="exact"/>
        <w:rPr>
          <w:sz w:val="24"/>
          <w:szCs w:val="24"/>
          <w:color w:val="auto"/>
        </w:rPr>
      </w:pPr>
    </w:p>
    <w:p>
      <w:pPr>
        <w:ind w:left="2860"/>
        <w:spacing w:after="0"/>
        <w:rPr>
          <w:sz w:val="20"/>
          <w:szCs w:val="20"/>
          <w:color w:val="auto"/>
        </w:rPr>
      </w:pPr>
      <w:r>
        <w:rPr>
          <w:rFonts w:ascii="Arial" w:cs="Arial" w:eastAsia="Arial" w:hAnsi="Arial"/>
          <w:sz w:val="16"/>
          <w:szCs w:val="16"/>
          <w:color w:val="auto"/>
        </w:rPr>
        <w:t>or</w:t>
      </w:r>
    </w:p>
    <w:p>
      <w:pPr>
        <w:spacing w:after="0" w:line="93" w:lineRule="exact"/>
        <w:rPr>
          <w:sz w:val="24"/>
          <w:szCs w:val="24"/>
          <w:color w:val="auto"/>
        </w:rPr>
      </w:pPr>
    </w:p>
    <w:p>
      <w:pPr>
        <w:ind w:left="2900" w:right="2680" w:hanging="2874"/>
        <w:spacing w:after="0" w:line="387" w:lineRule="auto"/>
        <w:tabs>
          <w:tab w:leader="none" w:pos="28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ind w:left="372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254635</wp:posOffset>
            </wp:positionV>
            <wp:extent cx="302577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2577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5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jc w:val="center"/>
              <w:ind w:right="1499"/>
              <w:spacing w:after="0"/>
              <w:rPr>
                <w:sz w:val="20"/>
                <w:szCs w:val="20"/>
                <w:color w:val="auto"/>
              </w:rPr>
            </w:pPr>
            <w:r>
              <w:rPr>
                <w:rFonts w:ascii="Arial" w:cs="Arial" w:eastAsia="Arial" w:hAnsi="Arial"/>
                <w:sz w:val="16"/>
                <w:szCs w:val="16"/>
                <w:b w:val="1"/>
                <w:bCs w:val="1"/>
                <w:color w:val="auto"/>
              </w:rPr>
              <w:t>Iowa</w:t>
            </w:r>
          </w:p>
        </w:tc>
        <w:tc>
          <w:tcPr>
            <w:tcW w:w="800" w:type="dxa"/>
            <w:vAlign w:val="bottom"/>
          </w:tcPr>
          <w:p>
            <w:pPr>
              <w:spacing w:after="0"/>
              <w:rPr>
                <w:sz w:val="19"/>
                <w:szCs w:val="19"/>
                <w:color w:val="auto"/>
              </w:rPr>
            </w:pPr>
          </w:p>
        </w:tc>
        <w:tc>
          <w:tcPr>
            <w:tcW w:w="5760" w:type="dxa"/>
            <w:vAlign w:val="bottom"/>
            <w:tcBorders>
              <w:bottom w:val="single" w:sz="8" w:color="auto"/>
            </w:tcBorders>
          </w:tcPr>
          <w:p>
            <w:pPr>
              <w:jc w:val="right"/>
              <w:ind w:right="2359"/>
              <w:spacing w:after="0"/>
              <w:rPr>
                <w:sz w:val="20"/>
                <w:szCs w:val="20"/>
                <w:color w:val="auto"/>
              </w:rPr>
            </w:pPr>
            <w:r>
              <w:rPr>
                <w:rFonts w:ascii="Arial" w:cs="Arial" w:eastAsia="Arial" w:hAnsi="Arial"/>
                <w:sz w:val="16"/>
                <w:szCs w:val="16"/>
                <w:b w:val="1"/>
                <w:bCs w:val="1"/>
                <w:color w:val="auto"/>
              </w:rPr>
              <w:t>42-0802678</w:t>
            </w:r>
          </w:p>
        </w:tc>
      </w:tr>
      <w:tr>
        <w:trPr>
          <w:trHeight w:val="223"/>
        </w:trPr>
        <w:tc>
          <w:tcPr>
            <w:tcW w:w="5480" w:type="dxa"/>
            <w:vAlign w:val="bottom"/>
            <w:gridSpan w:val="3"/>
          </w:tcPr>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tc>
        <w:tc>
          <w:tcPr>
            <w:tcW w:w="5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13"/>
        </w:trPr>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 O. Box 152</w:t>
            </w:r>
          </w:p>
        </w:tc>
        <w:tc>
          <w:tcPr>
            <w:tcW w:w="31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Forest City   Iowa</w:t>
            </w:r>
          </w:p>
        </w:tc>
        <w:tc>
          <w:tcPr>
            <w:tcW w:w="800" w:type="dxa"/>
            <w:vAlign w:val="bottom"/>
          </w:tcPr>
          <w:p>
            <w:pPr>
              <w:spacing w:after="0"/>
              <w:rPr>
                <w:sz w:val="24"/>
                <w:szCs w:val="24"/>
                <w:color w:val="auto"/>
              </w:rPr>
            </w:pPr>
          </w:p>
        </w:tc>
        <w:tc>
          <w:tcPr>
            <w:tcW w:w="5760" w:type="dxa"/>
            <w:vAlign w:val="bottom"/>
            <w:tcBorders>
              <w:bottom w:val="single" w:sz="8" w:color="auto"/>
            </w:tcBorders>
          </w:tcPr>
          <w:p>
            <w:pPr>
              <w:jc w:val="right"/>
              <w:ind w:right="2579"/>
              <w:spacing w:after="0"/>
              <w:rPr>
                <w:sz w:val="20"/>
                <w:szCs w:val="20"/>
                <w:color w:val="auto"/>
              </w:rPr>
            </w:pPr>
            <w:r>
              <w:rPr>
                <w:rFonts w:ascii="Arial" w:cs="Arial" w:eastAsia="Arial" w:hAnsi="Arial"/>
                <w:sz w:val="16"/>
                <w:szCs w:val="16"/>
                <w:b w:val="1"/>
                <w:bCs w:val="1"/>
                <w:color w:val="auto"/>
              </w:rPr>
              <w:t>50436</w:t>
            </w:r>
          </w:p>
        </w:tc>
      </w:tr>
      <w:tr>
        <w:trPr>
          <w:trHeight w:val="223"/>
        </w:trPr>
        <w:tc>
          <w:tcPr>
            <w:tcW w:w="5480" w:type="dxa"/>
            <w:vAlign w:val="bottom"/>
            <w:gridSpan w:val="3"/>
          </w:tcPr>
          <w:p>
            <w:pPr>
              <w:jc w:val="center"/>
              <w:ind w:right="800"/>
              <w:spacing w:after="0"/>
              <w:rPr>
                <w:sz w:val="20"/>
                <w:szCs w:val="20"/>
                <w:color w:val="auto"/>
              </w:rPr>
            </w:pPr>
            <w:r>
              <w:rPr>
                <w:rFonts w:ascii="Arial" w:cs="Arial" w:eastAsia="Arial" w:hAnsi="Arial"/>
                <w:sz w:val="16"/>
                <w:szCs w:val="16"/>
                <w:color w:val="auto"/>
              </w:rPr>
              <w:t>(Address of principal executive offices)</w:t>
            </w:r>
          </w:p>
        </w:tc>
        <w:tc>
          <w:tcPr>
            <w:tcW w:w="5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44"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31750</wp:posOffset>
            </wp:positionV>
            <wp:extent cx="3488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6"/>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20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43"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par value $0.50 per share, outstanding on March 18, 2020 was 33,696,855.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gridSpan w:val="5"/>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w:t>
              </w:r>
            </w:hyperlink>
          </w:p>
        </w:tc>
        <w:tc>
          <w:tcPr>
            <w:tcW w:w="6580" w:type="dxa"/>
            <w:vAlign w:val="bottom"/>
            <w:gridSpan w:val="17"/>
          </w:tcPr>
          <w:p>
            <w:pPr>
              <w:ind w:left="160"/>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FINANCIAL INFORMATION.</w:t>
              </w:r>
            </w:hyperlink>
          </w:p>
        </w:tc>
        <w:tc>
          <w:tcPr>
            <w:tcW w:w="3840" w:type="dxa"/>
            <w:vAlign w:val="bottom"/>
            <w:gridSpan w:val="3"/>
          </w:tcPr>
          <w:p>
            <w:pPr>
              <w:jc w:val="right"/>
              <w:spacing w:after="0"/>
              <w:rPr>
                <w:rFonts w:ascii="Arial" w:cs="Arial" w:eastAsia="Arial" w:hAnsi="Arial"/>
                <w:sz w:val="16"/>
                <w:szCs w:val="16"/>
                <w:color w:val="0000FF"/>
              </w:rPr>
            </w:pPr>
            <w:hyperlink w:anchor="page2">
              <w:r>
                <w:rPr>
                  <w:rFonts w:ascii="Arial" w:cs="Arial" w:eastAsia="Arial" w:hAnsi="Arial"/>
                  <w:sz w:val="16"/>
                  <w:szCs w:val="16"/>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60" w:type="dxa"/>
            <w:vAlign w:val="bottom"/>
            <w:gridSpan w:val="2"/>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w:t>
              </w:r>
            </w:hyperlink>
          </w:p>
        </w:tc>
        <w:tc>
          <w:tcPr>
            <w:tcW w:w="220" w:type="dxa"/>
            <w:vAlign w:val="bottom"/>
            <w:gridSpan w:val="3"/>
          </w:tcPr>
          <w:p>
            <w:pPr>
              <w:spacing w:after="0"/>
              <w:rPr>
                <w:sz w:val="17"/>
                <w:szCs w:val="17"/>
                <w:color w:val="auto"/>
              </w:rPr>
            </w:pPr>
          </w:p>
        </w:tc>
        <w:tc>
          <w:tcPr>
            <w:tcW w:w="6580" w:type="dxa"/>
            <w:vAlign w:val="bottom"/>
            <w:gridSpan w:val="17"/>
          </w:tcPr>
          <w:p>
            <w:pPr>
              <w:ind w:left="160"/>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Financial Statements.</w:t>
              </w:r>
            </w:hyperlink>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20" w:type="dxa"/>
            <w:vAlign w:val="bottom"/>
            <w:gridSpan w:val="13"/>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Statements of Income and Comprehensive Income</w:t>
              </w:r>
            </w:hyperlink>
          </w:p>
        </w:tc>
        <w:tc>
          <w:tcPr>
            <w:tcW w:w="700" w:type="dxa"/>
            <w:vAlign w:val="bottom"/>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gridSpan w:val="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w:t>
              </w:r>
            </w:hyperlink>
          </w:p>
        </w:tc>
        <w:tc>
          <w:tcPr>
            <w:tcW w:w="252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gridSpan w:val="8"/>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Cash Flows</w:t>
              </w:r>
            </w:hyperlink>
          </w:p>
        </w:tc>
        <w:tc>
          <w:tcPr>
            <w:tcW w:w="2460" w:type="dxa"/>
            <w:vAlign w:val="bottom"/>
            <w:gridSpan w:val="6"/>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40" w:type="dxa"/>
            <w:vAlign w:val="bottom"/>
            <w:gridSpan w:val="12"/>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Consolidated Statements of Changes in Stockholders' Equity</w:t>
              </w:r>
            </w:hyperlink>
          </w:p>
        </w:tc>
        <w:tc>
          <w:tcPr>
            <w:tcW w:w="980" w:type="dxa"/>
            <w:vAlign w:val="bottom"/>
            <w:gridSpan w:val="2"/>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40" w:type="dxa"/>
            <w:vAlign w:val="bottom"/>
            <w:gridSpan w:val="12"/>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Condensed Consolidated Financial Statements</w:t>
              </w:r>
            </w:hyperlink>
          </w:p>
        </w:tc>
        <w:tc>
          <w:tcPr>
            <w:tcW w:w="980" w:type="dxa"/>
            <w:vAlign w:val="bottom"/>
            <w:gridSpan w:val="2"/>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9</w:t>
              </w:r>
            </w:hyperlink>
          </w:p>
        </w:tc>
      </w:tr>
      <w:tr>
        <w:trPr>
          <w:trHeight w:val="20"/>
        </w:trPr>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600" w:type="dxa"/>
            <w:vAlign w:val="bottom"/>
            <w:gridSpan w:val="3"/>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2.</w:t>
              </w:r>
            </w:hyperlink>
          </w:p>
        </w:tc>
        <w:tc>
          <w:tcPr>
            <w:tcW w:w="180" w:type="dxa"/>
            <w:vAlign w:val="bottom"/>
            <w:gridSpan w:val="2"/>
          </w:tcPr>
          <w:p>
            <w:pPr>
              <w:spacing w:after="0"/>
              <w:rPr>
                <w:sz w:val="17"/>
                <w:szCs w:val="17"/>
                <w:color w:val="auto"/>
              </w:rPr>
            </w:pPr>
          </w:p>
        </w:tc>
        <w:tc>
          <w:tcPr>
            <w:tcW w:w="6580" w:type="dxa"/>
            <w:vAlign w:val="bottom"/>
            <w:gridSpan w:val="17"/>
          </w:tcPr>
          <w:p>
            <w:pPr>
              <w:ind w:left="160"/>
              <w:spacing w:after="0"/>
              <w:rPr>
                <w:rFonts w:ascii="Arial" w:cs="Arial" w:eastAsia="Arial" w:hAnsi="Arial"/>
                <w:sz w:val="16"/>
                <w:szCs w:val="16"/>
                <w:color w:val="0000FF"/>
              </w:rPr>
            </w:pPr>
            <w:hyperlink w:anchor="page26">
              <w:r>
                <w:rPr>
                  <w:rFonts w:ascii="Arial" w:cs="Arial" w:eastAsia="Arial" w:hAnsi="Arial"/>
                  <w:sz w:val="16"/>
                  <w:szCs w:val="16"/>
                  <w:color w:val="0000FF"/>
                </w:rPr>
                <w:t>Management's Discussion and Analysis of Financial Condition and Results of Operations.</w:t>
              </w:r>
            </w:hyperlink>
          </w:p>
        </w:tc>
        <w:tc>
          <w:tcPr>
            <w:tcW w:w="3840" w:type="dxa"/>
            <w:vAlign w:val="bottom"/>
            <w:gridSpan w:val="3"/>
          </w:tcPr>
          <w:p>
            <w:pPr>
              <w:jc w:val="right"/>
              <w:spacing w:after="0"/>
              <w:rPr>
                <w:rFonts w:ascii="Arial" w:cs="Arial" w:eastAsia="Arial" w:hAnsi="Arial"/>
                <w:sz w:val="16"/>
                <w:szCs w:val="16"/>
                <w:color w:val="0000FF"/>
              </w:rPr>
            </w:pPr>
            <w:hyperlink w:anchor="page26">
              <w:r>
                <w:rPr>
                  <w:rFonts w:ascii="Arial" w:cs="Arial" w:eastAsia="Arial" w:hAnsi="Arial"/>
                  <w:sz w:val="16"/>
                  <w:szCs w:val="16"/>
                  <w:color w:val="0000FF"/>
                </w:rPr>
                <w:t>27</w:t>
              </w:r>
            </w:hyperlink>
          </w:p>
        </w:tc>
      </w:tr>
      <w:tr>
        <w:trPr>
          <w:trHeight w:val="20"/>
        </w:trPr>
        <w:tc>
          <w:tcPr>
            <w:tcW w:w="6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0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3"/>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3.</w:t>
              </w:r>
            </w:hyperlink>
          </w:p>
        </w:tc>
        <w:tc>
          <w:tcPr>
            <w:tcW w:w="180" w:type="dxa"/>
            <w:vAlign w:val="bottom"/>
            <w:gridSpan w:val="2"/>
          </w:tcPr>
          <w:p>
            <w:pPr>
              <w:spacing w:after="0"/>
              <w:rPr>
                <w:sz w:val="17"/>
                <w:szCs w:val="17"/>
                <w:color w:val="auto"/>
              </w:rPr>
            </w:pPr>
          </w:p>
        </w:tc>
        <w:tc>
          <w:tcPr>
            <w:tcW w:w="6580" w:type="dxa"/>
            <w:vAlign w:val="bottom"/>
            <w:gridSpan w:val="17"/>
          </w:tcPr>
          <w:p>
            <w:pPr>
              <w:ind w:left="160"/>
              <w:spacing w:after="0"/>
              <w:rPr>
                <w:rFonts w:ascii="Arial" w:cs="Arial" w:eastAsia="Arial" w:hAnsi="Arial"/>
                <w:sz w:val="16"/>
                <w:szCs w:val="16"/>
                <w:color w:val="0000FF"/>
              </w:rPr>
            </w:pPr>
            <w:hyperlink w:anchor="page37">
              <w:r>
                <w:rPr>
                  <w:rFonts w:ascii="Arial" w:cs="Arial" w:eastAsia="Arial" w:hAnsi="Arial"/>
                  <w:sz w:val="16"/>
                  <w:szCs w:val="16"/>
                  <w:color w:val="0000FF"/>
                </w:rPr>
                <w:t>Quantitative and Qualitative Disclosures About Market Risk.</w:t>
              </w:r>
            </w:hyperlink>
          </w:p>
        </w:tc>
        <w:tc>
          <w:tcPr>
            <w:tcW w:w="384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0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780" w:type="dxa"/>
            <w:vAlign w:val="bottom"/>
            <w:gridSpan w:val="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4.</w:t>
              </w:r>
            </w:hyperlink>
          </w:p>
        </w:tc>
        <w:tc>
          <w:tcPr>
            <w:tcW w:w="6580" w:type="dxa"/>
            <w:vAlign w:val="bottom"/>
            <w:gridSpan w:val="17"/>
          </w:tcPr>
          <w:p>
            <w:pPr>
              <w:ind w:left="160"/>
              <w:spacing w:after="0"/>
              <w:rPr>
                <w:rFonts w:ascii="Arial" w:cs="Arial" w:eastAsia="Arial" w:hAnsi="Arial"/>
                <w:sz w:val="16"/>
                <w:szCs w:val="16"/>
                <w:color w:val="0000FF"/>
              </w:rPr>
            </w:pPr>
            <w:hyperlink w:anchor="page38">
              <w:r>
                <w:rPr>
                  <w:rFonts w:ascii="Arial" w:cs="Arial" w:eastAsia="Arial" w:hAnsi="Arial"/>
                  <w:sz w:val="16"/>
                  <w:szCs w:val="16"/>
                  <w:color w:val="0000FF"/>
                </w:rPr>
                <w:t>Controls and Procedures.</w:t>
              </w:r>
            </w:hyperlink>
          </w:p>
        </w:tc>
        <w:tc>
          <w:tcPr>
            <w:tcW w:w="3840" w:type="dxa"/>
            <w:vAlign w:val="bottom"/>
            <w:gridSpan w:val="3"/>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tcBorders>
              <w:left w:val="single" w:sz="8" w:color="0000FF"/>
            </w:tcBorders>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20" w:type="dxa"/>
            <w:vAlign w:val="bottom"/>
            <w:gridSpan w:val="4"/>
          </w:tcPr>
          <w:p>
            <w:pPr>
              <w:spacing w:after="0"/>
              <w:rPr>
                <w:rFonts w:ascii="Arial" w:cs="Arial" w:eastAsia="Arial" w:hAnsi="Arial"/>
                <w:sz w:val="16"/>
                <w:szCs w:val="16"/>
                <w:b w:val="1"/>
                <w:bCs w:val="1"/>
                <w:color w:val="0000FF"/>
                <w:w w:val="97"/>
              </w:rPr>
            </w:pPr>
            <w:hyperlink w:anchor="page38">
              <w:r>
                <w:rPr>
                  <w:rFonts w:ascii="Arial" w:cs="Arial" w:eastAsia="Arial" w:hAnsi="Arial"/>
                  <w:sz w:val="16"/>
                  <w:szCs w:val="16"/>
                  <w:b w:val="1"/>
                  <w:bCs w:val="1"/>
                  <w:color w:val="0000FF"/>
                  <w:w w:val="97"/>
                </w:rPr>
                <w:t>PART II.</w:t>
              </w:r>
            </w:hyperlink>
          </w:p>
        </w:tc>
        <w:tc>
          <w:tcPr>
            <w:tcW w:w="160" w:type="dxa"/>
            <w:vAlign w:val="bottom"/>
          </w:tcPr>
          <w:p>
            <w:pPr>
              <w:spacing w:after="0"/>
              <w:rPr>
                <w:sz w:val="24"/>
                <w:szCs w:val="24"/>
                <w:color w:val="auto"/>
              </w:rPr>
            </w:pPr>
          </w:p>
        </w:tc>
        <w:tc>
          <w:tcPr>
            <w:tcW w:w="6580" w:type="dxa"/>
            <w:vAlign w:val="bottom"/>
            <w:gridSpan w:val="17"/>
          </w:tcPr>
          <w:p>
            <w:pPr>
              <w:ind w:left="160"/>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OTHER INFORMATION.</w:t>
              </w:r>
            </w:hyperlink>
          </w:p>
        </w:tc>
        <w:tc>
          <w:tcPr>
            <w:tcW w:w="3840" w:type="dxa"/>
            <w:vAlign w:val="bottom"/>
            <w:gridSpan w:val="3"/>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39</w:t>
              </w:r>
            </w:hyperlink>
          </w:p>
        </w:tc>
      </w:tr>
      <w:tr>
        <w:trPr>
          <w:trHeight w:val="20"/>
        </w:trPr>
        <w:tc>
          <w:tcPr>
            <w:tcW w:w="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20" w:type="dxa"/>
            <w:vAlign w:val="bottom"/>
            <w:gridSpan w:val="4"/>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1.</w:t>
              </w:r>
            </w:hyperlink>
          </w:p>
        </w:tc>
        <w:tc>
          <w:tcPr>
            <w:tcW w:w="160" w:type="dxa"/>
            <w:vAlign w:val="bottom"/>
          </w:tcPr>
          <w:p>
            <w:pPr>
              <w:spacing w:after="0"/>
              <w:rPr>
                <w:sz w:val="17"/>
                <w:szCs w:val="17"/>
                <w:color w:val="auto"/>
              </w:rPr>
            </w:pPr>
          </w:p>
        </w:tc>
        <w:tc>
          <w:tcPr>
            <w:tcW w:w="6580" w:type="dxa"/>
            <w:vAlign w:val="bottom"/>
            <w:gridSpan w:val="17"/>
          </w:tcPr>
          <w:p>
            <w:pPr>
              <w:ind w:left="160"/>
              <w:spacing w:after="0"/>
              <w:rPr>
                <w:rFonts w:ascii="Arial" w:cs="Arial" w:eastAsia="Arial" w:hAnsi="Arial"/>
                <w:sz w:val="16"/>
                <w:szCs w:val="16"/>
                <w:color w:val="0000FF"/>
              </w:rPr>
            </w:pPr>
            <w:hyperlink w:anchor="page39">
              <w:r>
                <w:rPr>
                  <w:rFonts w:ascii="Arial" w:cs="Arial" w:eastAsia="Arial" w:hAnsi="Arial"/>
                  <w:sz w:val="16"/>
                  <w:szCs w:val="16"/>
                  <w:color w:val="0000FF"/>
                </w:rPr>
                <w:t>Legal Proceedings.</w:t>
              </w:r>
            </w:hyperlink>
          </w:p>
        </w:tc>
        <w:tc>
          <w:tcPr>
            <w:tcW w:w="3840" w:type="dxa"/>
            <w:vAlign w:val="bottom"/>
            <w:gridSpan w:val="3"/>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780" w:type="dxa"/>
            <w:vAlign w:val="bottom"/>
            <w:gridSpan w:val="5"/>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1A.</w:t>
              </w:r>
            </w:hyperlink>
          </w:p>
        </w:tc>
        <w:tc>
          <w:tcPr>
            <w:tcW w:w="6580" w:type="dxa"/>
            <w:vAlign w:val="bottom"/>
            <w:gridSpan w:val="17"/>
          </w:tcPr>
          <w:p>
            <w:pPr>
              <w:ind w:left="160"/>
              <w:spacing w:after="0"/>
              <w:rPr>
                <w:rFonts w:ascii="Arial" w:cs="Arial" w:eastAsia="Arial" w:hAnsi="Arial"/>
                <w:sz w:val="16"/>
                <w:szCs w:val="16"/>
                <w:color w:val="0000FF"/>
              </w:rPr>
            </w:pPr>
            <w:hyperlink w:anchor="page39">
              <w:r>
                <w:rPr>
                  <w:rFonts w:ascii="Arial" w:cs="Arial" w:eastAsia="Arial" w:hAnsi="Arial"/>
                  <w:sz w:val="16"/>
                  <w:szCs w:val="16"/>
                  <w:color w:val="0000FF"/>
                </w:rPr>
                <w:t>Risk Factors.</w:t>
              </w:r>
            </w:hyperlink>
          </w:p>
        </w:tc>
        <w:tc>
          <w:tcPr>
            <w:tcW w:w="3840" w:type="dxa"/>
            <w:vAlign w:val="bottom"/>
            <w:gridSpan w:val="3"/>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3"/>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2.</w:t>
              </w:r>
            </w:hyperlink>
          </w:p>
        </w:tc>
        <w:tc>
          <w:tcPr>
            <w:tcW w:w="180" w:type="dxa"/>
            <w:vAlign w:val="bottom"/>
            <w:gridSpan w:val="2"/>
          </w:tcPr>
          <w:p>
            <w:pPr>
              <w:spacing w:after="0"/>
              <w:rPr>
                <w:sz w:val="17"/>
                <w:szCs w:val="17"/>
                <w:color w:val="auto"/>
              </w:rPr>
            </w:pPr>
          </w:p>
        </w:tc>
        <w:tc>
          <w:tcPr>
            <w:tcW w:w="6580" w:type="dxa"/>
            <w:vAlign w:val="bottom"/>
            <w:gridSpan w:val="17"/>
          </w:tcPr>
          <w:p>
            <w:pPr>
              <w:ind w:left="160"/>
              <w:spacing w:after="0"/>
              <w:rPr>
                <w:rFonts w:ascii="Arial" w:cs="Arial" w:eastAsia="Arial" w:hAnsi="Arial"/>
                <w:sz w:val="16"/>
                <w:szCs w:val="16"/>
                <w:color w:val="0000FF"/>
              </w:rPr>
            </w:pPr>
            <w:hyperlink w:anchor="page41">
              <w:r>
                <w:rPr>
                  <w:rFonts w:ascii="Arial" w:cs="Arial" w:eastAsia="Arial" w:hAnsi="Arial"/>
                  <w:sz w:val="16"/>
                  <w:szCs w:val="16"/>
                  <w:color w:val="0000FF"/>
                </w:rPr>
                <w:t>Unregistered Sales of Equity Securities and Use of Proceeds.</w:t>
              </w:r>
            </w:hyperlink>
          </w:p>
        </w:tc>
        <w:tc>
          <w:tcPr>
            <w:tcW w:w="3840" w:type="dxa"/>
            <w:vAlign w:val="bottom"/>
            <w:gridSpan w:val="3"/>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0"/>
        </w:trPr>
        <w:tc>
          <w:tcPr>
            <w:tcW w:w="78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0" w:type="dxa"/>
            <w:vAlign w:val="bottom"/>
            <w:gridSpan w:val="10"/>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r>
      <w:tr>
        <w:trPr>
          <w:trHeight w:val="196"/>
        </w:trPr>
        <w:tc>
          <w:tcPr>
            <w:tcW w:w="780" w:type="dxa"/>
            <w:vAlign w:val="bottom"/>
            <w:gridSpan w:val="5"/>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6.</w:t>
              </w:r>
            </w:hyperlink>
          </w:p>
        </w:tc>
        <w:tc>
          <w:tcPr>
            <w:tcW w:w="6580" w:type="dxa"/>
            <w:vAlign w:val="bottom"/>
            <w:gridSpan w:val="17"/>
          </w:tcPr>
          <w:p>
            <w:pPr>
              <w:ind w:left="160"/>
              <w:spacing w:after="0"/>
              <w:rPr>
                <w:rFonts w:ascii="Arial" w:cs="Arial" w:eastAsia="Arial" w:hAnsi="Arial"/>
                <w:sz w:val="16"/>
                <w:szCs w:val="16"/>
                <w:color w:val="0000FF"/>
              </w:rPr>
            </w:pPr>
            <w:hyperlink w:anchor="page41">
              <w:r>
                <w:rPr>
                  <w:rFonts w:ascii="Arial" w:cs="Arial" w:eastAsia="Arial" w:hAnsi="Arial"/>
                  <w:sz w:val="16"/>
                  <w:szCs w:val="16"/>
                  <w:color w:val="0000FF"/>
                </w:rPr>
                <w:t>Exhibits.</w:t>
              </w:r>
            </w:hyperlink>
          </w:p>
        </w:tc>
        <w:tc>
          <w:tcPr>
            <w:tcW w:w="3840" w:type="dxa"/>
            <w:vAlign w:val="bottom"/>
            <w:gridSpan w:val="3"/>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820" w:type="dxa"/>
            <w:vAlign w:val="bottom"/>
            <w:gridSpan w:val="1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1060" w:type="dxa"/>
            <w:vAlign w:val="bottom"/>
            <w:tcBorders>
              <w:bottom w:val="single" w:sz="8" w:color="0000FF"/>
            </w:tcBorders>
            <w:gridSpan w:val="7"/>
          </w:tcPr>
          <w:p>
            <w:pPr>
              <w:spacing w:after="0"/>
              <w:rPr>
                <w:rFonts w:ascii="Arial" w:cs="Arial" w:eastAsia="Arial" w:hAnsi="Arial"/>
                <w:sz w:val="16"/>
                <w:szCs w:val="16"/>
                <w:b w:val="1"/>
                <w:bCs w:val="1"/>
                <w:color w:val="0000FF"/>
                <w:w w:val="99"/>
              </w:rPr>
            </w:pPr>
            <w:hyperlink w:anchor="page42">
              <w:r>
                <w:rPr>
                  <w:rFonts w:ascii="Arial" w:cs="Arial" w:eastAsia="Arial" w:hAnsi="Arial"/>
                  <w:sz w:val="16"/>
                  <w:szCs w:val="16"/>
                  <w:b w:val="1"/>
                  <w:bCs w:val="1"/>
                  <w:color w:val="0000FF"/>
                  <w:w w:val="99"/>
                </w:rPr>
                <w:t>SIGNATURES</w:t>
              </w:r>
            </w:hyperlink>
          </w:p>
        </w:tc>
        <w:tc>
          <w:tcPr>
            <w:tcW w:w="6300" w:type="dxa"/>
            <w:vAlign w:val="bottom"/>
            <w:gridSpan w:val="15"/>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42">
              <w:r>
                <w:rPr>
                  <w:rFonts w:ascii="Arial" w:cs="Arial" w:eastAsia="Arial" w:hAnsi="Arial"/>
                  <w:sz w:val="16"/>
                  <w:szCs w:val="16"/>
                  <w:color w:val="0000FF"/>
                  <w:w w:val="89"/>
                </w:rPr>
                <w:t>43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right="5320"/>
        <w:spacing w:after="0" w:line="260" w:lineRule="auto"/>
        <w:rPr>
          <w:sz w:val="20"/>
          <w:szCs w:val="20"/>
          <w:color w:val="auto"/>
        </w:rPr>
      </w:pPr>
      <w:r>
        <w:rPr>
          <w:rFonts w:ascii="Arial" w:cs="Arial" w:eastAsia="Arial" w:hAnsi="Arial"/>
          <w:sz w:val="16"/>
          <w:szCs w:val="16"/>
          <w:b w:val="1"/>
          <w:bCs w:val="1"/>
          <w:color w:val="auto"/>
        </w:rPr>
        <w:t>Condensed Consolidated Statements of Income and Comprehensive Income (Unaudited)</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29,</w:t>
            </w: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w:t>
            </w:r>
          </w:p>
        </w:tc>
        <w:tc>
          <w:tcPr>
            <w:tcW w:w="220" w:type="dxa"/>
            <w:vAlign w:val="bottom"/>
          </w:tcPr>
          <w:p>
            <w:pPr>
              <w:spacing w:after="0"/>
              <w:rPr>
                <w:sz w:val="17"/>
                <w:szCs w:val="17"/>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23,</w:t>
            </w:r>
          </w:p>
        </w:tc>
      </w:tr>
      <w:tr>
        <w:trPr>
          <w:trHeight w:val="228"/>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626,810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432,690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1,215,268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926,338</w:t>
            </w:r>
          </w:p>
        </w:tc>
      </w:tr>
      <w:tr>
        <w:trPr>
          <w:trHeight w:val="23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547,028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366,261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1,056,873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788,913</w:t>
            </w:r>
          </w:p>
        </w:tc>
      </w:tr>
      <w:tr>
        <w:trPr>
          <w:trHeight w:val="23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79,782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66,429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158,395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137,425</w:t>
            </w:r>
          </w:p>
        </w:tc>
      </w:tr>
      <w:tr>
        <w:trPr>
          <w:trHeight w:val="233"/>
        </w:trPr>
        <w:tc>
          <w:tcPr>
            <w:tcW w:w="44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42,164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35,259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93,269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70,971</w:t>
            </w:r>
          </w:p>
        </w:tc>
      </w:tr>
      <w:tr>
        <w:trPr>
          <w:trHeight w:val="24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7,974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11,588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4,926</w:t>
            </w:r>
          </w:p>
        </w:tc>
      </w:tr>
      <w:tr>
        <w:trPr>
          <w:trHeight w:val="23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50,138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37,526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104,857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75,897</w:t>
            </w: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29,644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28,903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53,538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61,528</w:t>
            </w:r>
          </w:p>
        </w:tc>
      </w:tr>
      <w:tr>
        <w:trPr>
          <w:trHeight w:val="233"/>
        </w:trPr>
        <w:tc>
          <w:tcPr>
            <w:tcW w:w="44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14,700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8,847</w:t>
            </w:r>
          </w:p>
        </w:tc>
      </w:tr>
      <w:tr>
        <w:trPr>
          <w:trHeight w:val="24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r>
      <w:tr>
        <w:trPr>
          <w:trHeight w:val="233"/>
        </w:trPr>
        <w:tc>
          <w:tcPr>
            <w:tcW w:w="44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21,263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24,764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39,224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53,651</w:t>
            </w:r>
          </w:p>
        </w:tc>
      </w:tr>
      <w:tr>
        <w:trPr>
          <w:trHeight w:val="24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3,995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3,166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7,888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9,892</w:t>
            </w:r>
          </w:p>
        </w:tc>
      </w:tr>
      <w:tr>
        <w:trPr>
          <w:trHeight w:val="243"/>
        </w:trPr>
        <w:tc>
          <w:tcPr>
            <w:tcW w:w="4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17,268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21,598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31,336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43,759</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4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3"/>
        </w:trPr>
        <w:tc>
          <w:tcPr>
            <w:tcW w:w="4420" w:type="dxa"/>
            <w:vAlign w:val="bottom"/>
          </w:tcPr>
          <w:p>
            <w:pPr>
              <w:ind w:left="20"/>
              <w:spacing w:after="0"/>
              <w:rPr>
                <w:sz w:val="20"/>
                <w:szCs w:val="20"/>
                <w:color w:val="auto"/>
              </w:rPr>
            </w:pPr>
            <w:r>
              <w:rPr>
                <w:rFonts w:ascii="Arial" w:cs="Arial" w:eastAsia="Arial" w:hAnsi="Arial"/>
                <w:sz w:val="16"/>
                <w:szCs w:val="16"/>
                <w:color w:val="auto"/>
              </w:rPr>
              <w:t>Income per common share:</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1.39</w:t>
            </w:r>
          </w:p>
        </w:tc>
      </w:tr>
      <w:tr>
        <w:trPr>
          <w:trHeight w:val="233"/>
        </w:trPr>
        <w:tc>
          <w:tcPr>
            <w:tcW w:w="4420" w:type="dxa"/>
            <w:vAlign w:val="bottom"/>
          </w:tcPr>
          <w:p>
            <w:pPr>
              <w:ind w:left="20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1.38</w:t>
            </w:r>
          </w:p>
        </w:tc>
      </w:tr>
      <w:tr>
        <w:trPr>
          <w:trHeight w:val="266"/>
        </w:trPr>
        <w:tc>
          <w:tcPr>
            <w:tcW w:w="4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33"/>
        </w:trPr>
        <w:tc>
          <w:tcPr>
            <w:tcW w:w="44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33,614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31,577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32,840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31,572</w:t>
            </w:r>
          </w:p>
        </w:tc>
      </w:tr>
      <w:tr>
        <w:trPr>
          <w:trHeight w:val="233"/>
        </w:trPr>
        <w:tc>
          <w:tcPr>
            <w:tcW w:w="4420" w:type="dxa"/>
            <w:vAlign w:val="bottom"/>
          </w:tcPr>
          <w:p>
            <w:pPr>
              <w:ind w:left="20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33,918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31,724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33,143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31,755</w:t>
            </w:r>
          </w:p>
        </w:tc>
      </w:tr>
      <w:tr>
        <w:trPr>
          <w:trHeight w:val="266"/>
        </w:trPr>
        <w:tc>
          <w:tcPr>
            <w:tcW w:w="4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bl>
    <w:p>
      <w:pPr>
        <w:spacing w:after="0" w:line="29" w:lineRule="exact"/>
        <w:rPr>
          <w:sz w:val="20"/>
          <w:szCs w:val="20"/>
          <w:color w:val="auto"/>
        </w:rPr>
      </w:pPr>
    </w:p>
    <w:p>
      <w:pPr>
        <w:sectPr>
          <w:pgSz w:w="11900" w:h="16838" w:orient="portrait"/>
          <w:cols w:equalWidth="0" w:num="1">
            <w:col w:w="11220"/>
          </w:cols>
          <w:pgMar w:left="320" w:top="141" w:right="359" w:bottom="1440" w:gutter="0" w:footer="0" w:header="0"/>
        </w:sectPr>
      </w:pPr>
    </w:p>
    <w:p>
      <w:pPr>
        <w:ind w:left="40"/>
        <w:spacing w:after="0"/>
        <w:tabs>
          <w:tab w:leader="none" w:pos="4440" w:val="left"/>
        </w:tabs>
        <w:rPr>
          <w:sz w:val="20"/>
          <w:szCs w:val="20"/>
          <w:color w:val="auto"/>
        </w:rPr>
      </w:pPr>
      <w:r>
        <w:rPr>
          <w:rFonts w:ascii="Arial" w:cs="Arial" w:eastAsia="Arial" w:hAnsi="Arial"/>
          <w:sz w:val="16"/>
          <w:szCs w:val="16"/>
          <w:color w:val="auto"/>
        </w:rPr>
        <w:t>Net income</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46" w:lineRule="exact"/>
        <w:rPr>
          <w:sz w:val="20"/>
          <w:szCs w:val="20"/>
          <w:color w:val="auto"/>
        </w:rPr>
      </w:pPr>
    </w:p>
    <w:p>
      <w:pPr>
        <w:ind w:left="240" w:right="340"/>
        <w:spacing w:after="0" w:line="232" w:lineRule="auto"/>
        <w:rPr>
          <w:sz w:val="20"/>
          <w:szCs w:val="20"/>
          <w:color w:val="auto"/>
        </w:rPr>
      </w:pPr>
      <w:r>
        <w:rPr>
          <w:rFonts w:ascii="Arial" w:cs="Arial" w:eastAsia="Arial" w:hAnsi="Arial"/>
          <w:sz w:val="16"/>
          <w:szCs w:val="16"/>
          <w:color w:val="auto"/>
        </w:rPr>
        <w:t>Amortization of net actuarial loss (net of tax of $3, $2, $5, and $5)</w:t>
      </w:r>
    </w:p>
    <w:p>
      <w:pPr>
        <w:spacing w:after="0" w:line="22" w:lineRule="exact"/>
        <w:rPr>
          <w:sz w:val="20"/>
          <w:szCs w:val="20"/>
          <w:color w:val="auto"/>
        </w:rPr>
      </w:pPr>
    </w:p>
    <w:p>
      <w:pPr>
        <w:ind w:left="240" w:right="520"/>
        <w:spacing w:after="0" w:line="232" w:lineRule="auto"/>
        <w:rPr>
          <w:sz w:val="20"/>
          <w:szCs w:val="20"/>
          <w:color w:val="auto"/>
        </w:rPr>
      </w:pPr>
      <w:r>
        <w:rPr>
          <w:rFonts w:ascii="Arial" w:cs="Arial" w:eastAsia="Arial" w:hAnsi="Arial"/>
          <w:sz w:val="16"/>
          <w:szCs w:val="16"/>
          <w:color w:val="auto"/>
        </w:rPr>
        <w:t>Interest rate swap activity (net of tax of $—, $206, $22, and $213)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jc w:val="right"/>
              <w:ind w:right="59"/>
              <w:spacing w:after="0"/>
              <w:rPr>
                <w:sz w:val="20"/>
                <w:szCs w:val="20"/>
                <w:color w:val="auto"/>
              </w:rPr>
            </w:pPr>
            <w:r>
              <w:rPr>
                <w:rFonts w:ascii="Arial" w:cs="Arial" w:eastAsia="Arial" w:hAnsi="Arial"/>
                <w:sz w:val="16"/>
                <w:szCs w:val="16"/>
                <w:color w:val="auto"/>
                <w:w w:val="98"/>
              </w:rPr>
              <w:t>17,268</w:t>
            </w:r>
          </w:p>
        </w:tc>
        <w:tc>
          <w:tcPr>
            <w:tcW w:w="6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21,598</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31,336</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43,759</w:t>
            </w:r>
          </w:p>
        </w:tc>
      </w:tr>
      <w:tr>
        <w:trPr>
          <w:trHeight w:val="621"/>
        </w:trPr>
        <w:tc>
          <w:tcPr>
            <w:tcW w:w="64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66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64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78"/>
        </w:trPr>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(634)</w:t>
            </w:r>
          </w:p>
        </w:tc>
        <w:tc>
          <w:tcPr>
            <w:tcW w:w="6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-621665</wp:posOffset>
            </wp:positionV>
            <wp:extent cx="711517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-226695</wp:posOffset>
            </wp:positionV>
            <wp:extent cx="7115175" cy="248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248285"/>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4680" w:space="720"/>
            <w:col w:w="5820"/>
          </w:cols>
          <w:pgMar w:left="320" w:top="141" w:right="359" w:bottom="1440" w:gutter="0" w:footer="0" w:header="0"/>
          <w:type w:val="continuous"/>
        </w:sectPr>
      </w:pPr>
    </w:p>
    <w:tbl>
      <w:tblPr>
        <w:tblLayout w:type="fixed"/>
        <w:tblInd w:w="20" w:type="dxa"/>
        <w:tblCellMar>
          <w:top w:w="0" w:type="dxa"/>
          <w:left w:w="0" w:type="dxa"/>
          <w:bottom w:w="0" w:type="dxa"/>
          <w:right w:w="0" w:type="dxa"/>
        </w:tblCellMar>
      </w:tblPr>
      <w:tr>
        <w:trPr>
          <w:trHeight w:val="208"/>
        </w:trPr>
        <w:tc>
          <w:tcPr>
            <w:tcW w:w="44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other comprehensive income (loss)</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(640)</w:t>
            </w:r>
          </w:p>
        </w:tc>
      </w:tr>
      <w:tr>
        <w:trPr>
          <w:trHeight w:val="26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17,276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20,972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31,284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43,119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79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880"/>
        </w:trPr>
        <w:tc>
          <w:tcPr>
            <w:tcW w:w="790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9"/>
        </w:trPr>
        <w:tc>
          <w:tcPr>
            <w:tcW w:w="790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790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126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w:t>
            </w:r>
          </w:p>
        </w:tc>
        <w:tc>
          <w:tcPr>
            <w:tcW w:w="260" w:type="dxa"/>
            <w:vAlign w:val="bottom"/>
          </w:tcPr>
          <w:p>
            <w:pPr>
              <w:spacing w:after="0"/>
              <w:rPr>
                <w:sz w:val="18"/>
                <w:szCs w:val="18"/>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122,939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37,431</w:t>
            </w:r>
          </w:p>
        </w:tc>
      </w:tr>
      <w:tr>
        <w:trPr>
          <w:trHeight w:val="240"/>
        </w:trPr>
        <w:tc>
          <w:tcPr>
            <w:tcW w:w="7900" w:type="dxa"/>
            <w:vAlign w:val="bottom"/>
            <w:gridSpan w:val="2"/>
          </w:tcPr>
          <w:p>
            <w:pPr>
              <w:ind w:left="140"/>
              <w:spacing w:after="0"/>
              <w:rPr>
                <w:sz w:val="20"/>
                <w:szCs w:val="20"/>
                <w:color w:val="auto"/>
              </w:rPr>
            </w:pPr>
            <w:r>
              <w:rPr>
                <w:rFonts w:ascii="Arial" w:cs="Arial" w:eastAsia="Arial" w:hAnsi="Arial"/>
                <w:sz w:val="16"/>
                <w:szCs w:val="16"/>
                <w:color w:val="auto"/>
              </w:rPr>
              <w:t>Receivables, less allowance for doubtful accounts ($381 and $160, respectively)</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182,475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158,049</w:t>
            </w:r>
          </w:p>
        </w:tc>
      </w:tr>
      <w:tr>
        <w:trPr>
          <w:trHeight w:val="246"/>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 net</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237,808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201,126</w:t>
            </w:r>
          </w:p>
        </w:tc>
      </w:tr>
      <w:tr>
        <w:trPr>
          <w:trHeight w:val="236"/>
        </w:trPr>
        <w:tc>
          <w:tcPr>
            <w:tcW w:w="79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20,883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14,051</w:t>
            </w:r>
          </w:p>
        </w:tc>
      </w:tr>
      <w:tr>
        <w:trPr>
          <w:trHeight w:val="237"/>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564,105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410,657</w:t>
            </w:r>
          </w:p>
        </w:tc>
      </w:tr>
      <w:tr>
        <w:trPr>
          <w:trHeight w:val="233"/>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169,840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127,572</w:t>
            </w:r>
          </w:p>
        </w:tc>
      </w:tr>
      <w:tr>
        <w:trPr>
          <w:trHeight w:val="25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348,860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274,931</w:t>
            </w: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intangible assets, net</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415,285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256,082</w:t>
            </w: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Investment in life insurance</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27,231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26,846</w:t>
            </w: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lease assets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30,460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6"/>
        </w:trPr>
        <w:tc>
          <w:tcPr>
            <w:tcW w:w="79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16,146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8,143</w:t>
            </w:r>
          </w:p>
        </w:tc>
      </w:tr>
      <w:tr>
        <w:trPr>
          <w:trHeight w:val="26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1,571,927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1,104,231</w:t>
            </w:r>
          </w:p>
        </w:tc>
      </w:tr>
      <w:tr>
        <w:trPr>
          <w:trHeight w:val="20"/>
        </w:trPr>
        <w:tc>
          <w:tcPr>
            <w:tcW w:w="79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4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99,211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81,635</w:t>
            </w: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28,639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20,328</w:t>
            </w:r>
          </w:p>
        </w:tc>
      </w:tr>
      <w:tr>
        <w:trPr>
          <w:trHeight w:val="233"/>
        </w:trPr>
        <w:tc>
          <w:tcPr>
            <w:tcW w:w="7900" w:type="dxa"/>
            <w:vAlign w:val="bottom"/>
            <w:gridSpan w:val="2"/>
          </w:tcPr>
          <w:p>
            <w:pPr>
              <w:ind w:left="220"/>
              <w:spacing w:after="0"/>
              <w:rPr>
                <w:sz w:val="20"/>
                <w:szCs w:val="20"/>
                <w:color w:val="auto"/>
              </w:rPr>
            </w:pPr>
            <w:r>
              <w:rPr>
                <w:rFonts w:ascii="Arial" w:cs="Arial" w:eastAsia="Arial" w:hAnsi="Arial"/>
                <w:sz w:val="16"/>
                <w:szCs w:val="16"/>
                <w:color w:val="auto"/>
              </w:rPr>
              <w:t>Product warranties</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60,211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44,436</w:t>
            </w:r>
          </w:p>
        </w:tc>
      </w:tr>
      <w:tr>
        <w:trPr>
          <w:trHeight w:val="253"/>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Self-insurance</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15,639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13,820</w:t>
            </w:r>
          </w:p>
        </w:tc>
      </w:tr>
      <w:tr>
        <w:trPr>
          <w:trHeight w:val="233"/>
        </w:trPr>
        <w:tc>
          <w:tcPr>
            <w:tcW w:w="7900" w:type="dxa"/>
            <w:vAlign w:val="bottom"/>
            <w:gridSpan w:val="2"/>
          </w:tcPr>
          <w:p>
            <w:pPr>
              <w:ind w:left="220"/>
              <w:spacing w:after="0"/>
              <w:rPr>
                <w:sz w:val="20"/>
                <w:szCs w:val="20"/>
                <w:color w:val="auto"/>
              </w:rPr>
            </w:pPr>
            <w:r>
              <w:rPr>
                <w:rFonts w:ascii="Arial" w:cs="Arial" w:eastAsia="Arial" w:hAnsi="Arial"/>
                <w:sz w:val="16"/>
                <w:szCs w:val="16"/>
                <w:color w:val="auto"/>
              </w:rPr>
              <w:t>Promotional</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13,761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10,896</w:t>
            </w:r>
          </w:p>
        </w:tc>
      </w:tr>
      <w:tr>
        <w:trPr>
          <w:trHeight w:val="253"/>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4,059</w:t>
            </w:r>
          </w:p>
        </w:tc>
      </w:tr>
      <w:tr>
        <w:trPr>
          <w:trHeight w:val="233"/>
        </w:trPr>
        <w:tc>
          <w:tcPr>
            <w:tcW w:w="7900" w:type="dxa"/>
            <w:vAlign w:val="bottom"/>
            <w:gridSpan w:val="2"/>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18,773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13,678</w:t>
            </w:r>
          </w:p>
        </w:tc>
      </w:tr>
      <w:tr>
        <w:trPr>
          <w:trHeight w:val="246"/>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8,892</w:t>
            </w:r>
          </w:p>
        </w:tc>
      </w:tr>
      <w:tr>
        <w:trPr>
          <w:trHeight w:val="237"/>
        </w:trPr>
        <w:tc>
          <w:tcPr>
            <w:tcW w:w="7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250,649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197,744</w:t>
            </w: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Long-term debt, less current maturities</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451,134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245,402</w:t>
            </w: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17,057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12,032</w:t>
            </w: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Unrecognized tax benefits</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6,253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3,591</w:t>
            </w: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lease liabilities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27,882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Deferred compensation benefits, net of current portion</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12,166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12,878</w:t>
            </w:r>
          </w:p>
        </w:tc>
      </w:tr>
      <w:tr>
        <w:trPr>
          <w:trHeight w:val="246"/>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5,262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372</w:t>
            </w:r>
          </w:p>
        </w:tc>
      </w:tr>
      <w:tr>
        <w:trPr>
          <w:trHeight w:val="237"/>
        </w:trPr>
        <w:tc>
          <w:tcPr>
            <w:tcW w:w="7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519,754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274,275</w:t>
            </w:r>
          </w:p>
        </w:tc>
      </w:tr>
      <w:tr>
        <w:trPr>
          <w:trHeight w:val="229"/>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Contingent liabilities and commitments (Note 12)</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3"/>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Preferred stock, par value $0.01: Authorized-10,000 shares; Issued-zero</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40"/>
        </w:trPr>
        <w:tc>
          <w:tcPr>
            <w:tcW w:w="7900" w:type="dxa"/>
            <w:vAlign w:val="bottom"/>
            <w:gridSpan w:val="2"/>
          </w:tcPr>
          <w:p>
            <w:pPr>
              <w:ind w:left="140"/>
              <w:spacing w:after="0"/>
              <w:rPr>
                <w:sz w:val="20"/>
                <w:szCs w:val="20"/>
                <w:color w:val="auto"/>
              </w:rPr>
            </w:pPr>
            <w:r>
              <w:rPr>
                <w:rFonts w:ascii="Arial" w:cs="Arial" w:eastAsia="Arial" w:hAnsi="Arial"/>
                <w:sz w:val="16"/>
                <w:szCs w:val="16"/>
                <w:color w:val="auto"/>
              </w:rPr>
              <w:t>Common stock, par value $0.50: Authorized-60,000 shares; Issued-51,776 shares</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25,888</w:t>
            </w:r>
          </w:p>
        </w:tc>
      </w:tr>
      <w:tr>
        <w:trPr>
          <w:trHeight w:val="246"/>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200,751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91,185</w:t>
            </w: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890,994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866,886</w:t>
            </w: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w:t>
            </w:r>
          </w:p>
        </w:tc>
      </w:tr>
      <w:tr>
        <w:trPr>
          <w:trHeight w:val="240"/>
        </w:trPr>
        <w:tc>
          <w:tcPr>
            <w:tcW w:w="79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Treasury stock, at cost: 18,153 and 20,262 shares, respectively</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(315,566)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(351,256)</w:t>
            </w:r>
          </w:p>
        </w:tc>
      </w:tr>
      <w:tr>
        <w:trPr>
          <w:trHeight w:val="233"/>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801,524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632,212</w:t>
            </w:r>
          </w:p>
        </w:tc>
      </w:tr>
      <w:tr>
        <w:trPr>
          <w:trHeight w:val="243"/>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1,571,927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1,104,231</w:t>
            </w:r>
          </w:p>
        </w:tc>
      </w:tr>
      <w:tr>
        <w:trPr>
          <w:trHeight w:val="20"/>
        </w:trPr>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9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880"/>
        </w:trPr>
        <w:tc>
          <w:tcPr>
            <w:tcW w:w="790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9"/>
        </w:trPr>
        <w:tc>
          <w:tcPr>
            <w:tcW w:w="790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5"/>
        </w:trPr>
        <w:tc>
          <w:tcPr>
            <w:tcW w:w="790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6"/>
        </w:trPr>
        <w:tc>
          <w:tcPr>
            <w:tcW w:w="1260" w:type="dxa"/>
            <w:vAlign w:val="bottom"/>
          </w:tcPr>
          <w:p>
            <w:pPr>
              <w:spacing w:after="0"/>
              <w:rPr>
                <w:sz w:val="22"/>
                <w:szCs w:val="22"/>
                <w:color w:val="auto"/>
              </w:rPr>
            </w:pPr>
          </w:p>
        </w:tc>
        <w:tc>
          <w:tcPr>
            <w:tcW w:w="6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12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w:t>
            </w:r>
          </w:p>
        </w:tc>
        <w:tc>
          <w:tcPr>
            <w:tcW w:w="220" w:type="dxa"/>
            <w:vAlign w:val="bottom"/>
          </w:tcPr>
          <w:p>
            <w:pPr>
              <w:spacing w:after="0"/>
              <w:rPr>
                <w:sz w:val="17"/>
                <w:szCs w:val="17"/>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23,</w:t>
            </w:r>
          </w:p>
        </w:tc>
      </w:tr>
      <w:tr>
        <w:trPr>
          <w:trHeight w:val="228"/>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31,336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43,759</w:t>
            </w: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790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7,720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6,268</w:t>
            </w:r>
          </w:p>
        </w:tc>
      </w:tr>
      <w:tr>
        <w:trPr>
          <w:trHeight w:val="253"/>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4,926</w:t>
            </w:r>
          </w:p>
        </w:tc>
      </w:tr>
      <w:tr>
        <w:trPr>
          <w:trHeight w:val="233"/>
        </w:trPr>
        <w:tc>
          <w:tcPr>
            <w:tcW w:w="7900" w:type="dxa"/>
            <w:vAlign w:val="bottom"/>
            <w:gridSpan w:val="2"/>
          </w:tcPr>
          <w:p>
            <w:pPr>
              <w:ind w:left="220"/>
              <w:spacing w:after="0"/>
              <w:rPr>
                <w:sz w:val="20"/>
                <w:szCs w:val="20"/>
                <w:color w:val="auto"/>
              </w:rPr>
            </w:pPr>
            <w:r>
              <w:rPr>
                <w:rFonts w:ascii="Arial" w:cs="Arial" w:eastAsia="Arial" w:hAnsi="Arial"/>
                <w:sz w:val="16"/>
                <w:szCs w:val="16"/>
                <w:color w:val="auto"/>
              </w:rPr>
              <w:t>Non-cash interest expense, net</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4,182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790</w:t>
            </w:r>
          </w:p>
        </w:tc>
      </w:tr>
      <w:tr>
        <w:trPr>
          <w:trHeight w:val="233"/>
        </w:trPr>
        <w:tc>
          <w:tcPr>
            <w:tcW w:w="7900" w:type="dxa"/>
            <w:vAlign w:val="bottom"/>
            <w:gridSpan w:val="2"/>
          </w:tcPr>
          <w:p>
            <w:pPr>
              <w:ind w:left="220"/>
              <w:spacing w:after="0"/>
              <w:rPr>
                <w:sz w:val="20"/>
                <w:szCs w:val="20"/>
                <w:color w:val="auto"/>
              </w:rPr>
            </w:pPr>
            <w:r>
              <w:rPr>
                <w:rFonts w:ascii="Arial" w:cs="Arial" w:eastAsia="Arial" w:hAnsi="Arial"/>
                <w:sz w:val="16"/>
                <w:szCs w:val="16"/>
                <w:color w:val="auto"/>
              </w:rPr>
              <w:t>Last-in, first-out expense</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1,029</w:t>
            </w:r>
          </w:p>
        </w:tc>
      </w:tr>
      <w:tr>
        <w:trPr>
          <w:trHeight w:val="253"/>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4,605</w:t>
            </w:r>
          </w:p>
        </w:tc>
      </w:tr>
      <w:tr>
        <w:trPr>
          <w:trHeight w:val="233"/>
        </w:trPr>
        <w:tc>
          <w:tcPr>
            <w:tcW w:w="7900" w:type="dxa"/>
            <w:vAlign w:val="bottom"/>
            <w:gridSpan w:val="2"/>
          </w:tcPr>
          <w:p>
            <w:pPr>
              <w:ind w:left="2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346</w:t>
            </w:r>
          </w:p>
        </w:tc>
      </w:tr>
      <w:tr>
        <w:trPr>
          <w:trHeight w:val="253"/>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3"/>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(15,355)</w:t>
            </w:r>
          </w:p>
        </w:tc>
      </w:tr>
      <w:tr>
        <w:trPr>
          <w:trHeight w:val="233"/>
        </w:trPr>
        <w:tc>
          <w:tcPr>
            <w:tcW w:w="7900" w:type="dxa"/>
            <w:vAlign w:val="bottom"/>
            <w:gridSpan w:val="2"/>
          </w:tcPr>
          <w:p>
            <w:pPr>
              <w:ind w:left="22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45,275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4,488</w:t>
            </w:r>
          </w:p>
        </w:tc>
      </w:tr>
      <w:tr>
        <w:trPr>
          <w:trHeight w:val="253"/>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(4,926)</w:t>
            </w:r>
          </w:p>
        </w:tc>
      </w:tr>
      <w:tr>
        <w:trPr>
          <w:trHeight w:val="233"/>
        </w:trPr>
        <w:tc>
          <w:tcPr>
            <w:tcW w:w="7900" w:type="dxa"/>
            <w:vAlign w:val="bottom"/>
            <w:gridSpan w:val="2"/>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4,688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11,992</w:t>
            </w:r>
          </w:p>
        </w:tc>
      </w:tr>
      <w:tr>
        <w:trPr>
          <w:trHeight w:val="253"/>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(15,216)</w:t>
            </w:r>
          </w:p>
        </w:tc>
      </w:tr>
      <w:tr>
        <w:trPr>
          <w:trHeight w:val="237"/>
        </w:trPr>
        <w:tc>
          <w:tcPr>
            <w:tcW w:w="7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9,402</w:t>
            </w:r>
          </w:p>
        </w:tc>
      </w:tr>
      <w:tr>
        <w:trPr>
          <w:trHeight w:val="237"/>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119,164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51,938</w:t>
            </w:r>
          </w:p>
        </w:tc>
      </w:tr>
      <w:tr>
        <w:trPr>
          <w:trHeight w:val="243"/>
        </w:trPr>
        <w:tc>
          <w:tcPr>
            <w:tcW w:w="126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(19,057)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(23,366)</w:t>
            </w: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(264,280)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r>
      <w:tr>
        <w:trPr>
          <w:trHeight w:val="236"/>
        </w:trPr>
        <w:tc>
          <w:tcPr>
            <w:tcW w:w="79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1,044</w:t>
            </w:r>
          </w:p>
        </w:tc>
      </w:tr>
      <w:tr>
        <w:trPr>
          <w:trHeight w:val="237"/>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(283,158)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(23,024)</w:t>
            </w:r>
          </w:p>
        </w:tc>
      </w:tr>
      <w:tr>
        <w:trPr>
          <w:trHeight w:val="243"/>
        </w:trPr>
        <w:tc>
          <w:tcPr>
            <w:tcW w:w="126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Borrowings on credit agreement</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1,112,294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218,720</w:t>
            </w: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Repayments of credit agreement</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(1,112,294)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(233,922)</w:t>
            </w: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convertible senior notes</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 of convertible note hedge</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(70,800)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warrants</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42,210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Payments on long-term debt</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Payments of offering costs</w:t>
            </w:r>
          </w:p>
        </w:tc>
        <w:tc>
          <w:tcPr>
            <w:tcW w:w="2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(10,761)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Payments of cash dividends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(6,713)</w:t>
            </w:r>
          </w:p>
        </w:tc>
      </w:tr>
      <w:tr>
        <w:trPr>
          <w:trHeight w:val="233"/>
        </w:trPr>
        <w:tc>
          <w:tcPr>
            <w:tcW w:w="7900" w:type="dxa"/>
            <w:vAlign w:val="bottom"/>
            <w:gridSpan w:val="2"/>
          </w:tcPr>
          <w:p>
            <w:pPr>
              <w:ind w:left="120"/>
              <w:spacing w:after="0"/>
              <w:rPr>
                <w:sz w:val="20"/>
                <w:szCs w:val="20"/>
                <w:color w:val="auto"/>
              </w:rPr>
            </w:pPr>
            <w:r>
              <w:rPr>
                <w:rFonts w:ascii="Arial" w:cs="Arial" w:eastAsia="Arial" w:hAnsi="Arial"/>
                <w:sz w:val="16"/>
                <w:szCs w:val="16"/>
                <w:color w:val="auto"/>
              </w:rPr>
              <w:t>Payments for repurchase of common stock</w:t>
            </w:r>
          </w:p>
        </w:tc>
        <w:tc>
          <w:tcPr>
            <w:tcW w:w="2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(6,620)</w:t>
            </w:r>
          </w:p>
        </w:tc>
      </w:tr>
      <w:tr>
        <w:trPr>
          <w:trHeight w:val="246"/>
        </w:trPr>
        <w:tc>
          <w:tcPr>
            <w:tcW w:w="7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296</w:t>
            </w:r>
          </w:p>
        </w:tc>
      </w:tr>
      <w:tr>
        <w:trPr>
          <w:trHeight w:val="237"/>
        </w:trPr>
        <w:tc>
          <w:tcPr>
            <w:tcW w:w="7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249,502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(28,239)</w:t>
            </w:r>
          </w:p>
        </w:tc>
      </w:tr>
      <w:tr>
        <w:trPr>
          <w:trHeight w:val="243"/>
        </w:trPr>
        <w:tc>
          <w:tcPr>
            <w:tcW w:w="1260" w:type="dxa"/>
            <w:vAlign w:val="bottom"/>
            <w:shd w:val="clear" w:color="auto" w:fill="CCEEFF"/>
          </w:tcPr>
          <w:p>
            <w:pPr>
              <w:spacing w:after="0"/>
              <w:rPr>
                <w:sz w:val="21"/>
                <w:szCs w:val="21"/>
                <w:color w:val="auto"/>
              </w:rPr>
            </w:pPr>
          </w:p>
        </w:tc>
        <w:tc>
          <w:tcPr>
            <w:tcW w:w="6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bl>
    <w:p>
      <w:pPr>
        <w:spacing w:after="0" w:line="29"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beginning of period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85,508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675</w:t>
            </w:r>
          </w:p>
        </w:tc>
      </w:tr>
      <w:tr>
        <w:trPr>
          <w:trHeight w:val="256"/>
        </w:trPr>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37,431</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2,342</w:t>
            </w:r>
          </w:p>
        </w:tc>
      </w:tr>
      <w:tr>
        <w:trPr>
          <w:trHeight w:val="236"/>
        </w:trPr>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122,939</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3,017</w:t>
            </w:r>
          </w:p>
        </w:tc>
      </w:tr>
      <w:tr>
        <w:trPr>
          <w:trHeight w:val="27"/>
        </w:trPr>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80" w:space="720"/>
            <w:col w:w="33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63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969"/>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Supplement cash flow disclosure:</w:t>
            </w: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3"/>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paid, net</w:t>
            </w:r>
          </w:p>
        </w:tc>
        <w:tc>
          <w:tcPr>
            <w:tcW w:w="20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7,652</w:t>
            </w:r>
          </w:p>
        </w:tc>
        <w:tc>
          <w:tcPr>
            <w:tcW w:w="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30,262</w:t>
            </w:r>
          </w:p>
        </w:tc>
      </w:tr>
      <w:tr>
        <w:trPr>
          <w:trHeight w:val="233"/>
        </w:trPr>
        <w:tc>
          <w:tcPr>
            <w:tcW w:w="6360" w:type="dxa"/>
            <w:vAlign w:val="bottom"/>
            <w:gridSpan w:val="2"/>
          </w:tcPr>
          <w:p>
            <w:pPr>
              <w:ind w:left="120"/>
              <w:spacing w:after="0"/>
              <w:rPr>
                <w:sz w:val="20"/>
                <w:szCs w:val="20"/>
                <w:color w:val="auto"/>
              </w:rPr>
            </w:pPr>
            <w:r>
              <w:rPr>
                <w:rFonts w:ascii="Arial" w:cs="Arial" w:eastAsia="Arial" w:hAnsi="Arial"/>
                <w:sz w:val="16"/>
                <w:szCs w:val="16"/>
                <w:color w:val="auto"/>
              </w:rPr>
              <w:t>Interest paid</w:t>
            </w:r>
          </w:p>
        </w:tc>
        <w:tc>
          <w:tcPr>
            <w:tcW w:w="20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9,938</w:t>
            </w:r>
          </w:p>
        </w:tc>
        <w:tc>
          <w:tcPr>
            <w:tcW w:w="6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7,469</w:t>
            </w:r>
          </w:p>
        </w:tc>
      </w:tr>
      <w:tr>
        <w:trPr>
          <w:trHeight w:val="266"/>
        </w:trPr>
        <w:tc>
          <w:tcPr>
            <w:tcW w:w="6360" w:type="dxa"/>
            <w:vAlign w:val="bottom"/>
            <w:gridSpan w:val="2"/>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3"/>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2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3"/>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Issuance of Winnebago common stock for acquisition of business</w:t>
            </w:r>
          </w:p>
        </w:tc>
        <w:tc>
          <w:tcPr>
            <w:tcW w:w="20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92,572</w:t>
            </w:r>
          </w:p>
        </w:tc>
        <w:tc>
          <w:tcPr>
            <w:tcW w:w="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6360" w:type="dxa"/>
            <w:vAlign w:val="bottom"/>
            <w:gridSpan w:val="2"/>
          </w:tcPr>
          <w:p>
            <w:pPr>
              <w:ind w:left="120"/>
              <w:spacing w:after="0"/>
              <w:rPr>
                <w:sz w:val="20"/>
                <w:szCs w:val="20"/>
                <w:color w:val="auto"/>
              </w:rPr>
            </w:pPr>
            <w:r>
              <w:rPr>
                <w:rFonts w:ascii="Arial" w:cs="Arial" w:eastAsia="Arial" w:hAnsi="Arial"/>
                <w:sz w:val="16"/>
                <w:szCs w:val="16"/>
                <w:color w:val="auto"/>
              </w:rPr>
              <w:t>Capital expenditures in accounts payable</w:t>
            </w:r>
          </w:p>
        </w:tc>
        <w:tc>
          <w:tcPr>
            <w:tcW w:w="20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118</w:t>
            </w:r>
          </w:p>
        </w:tc>
        <w:tc>
          <w:tcPr>
            <w:tcW w:w="6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259</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right="5560"/>
        <w:spacing w:after="0" w:line="260" w:lineRule="auto"/>
        <w:rPr>
          <w:sz w:val="20"/>
          <w:szCs w:val="20"/>
          <w:color w:val="auto"/>
        </w:rPr>
      </w:pPr>
      <w:r>
        <w:rPr>
          <w:rFonts w:ascii="Arial" w:cs="Arial" w:eastAsia="Arial" w:hAnsi="Arial"/>
          <w:sz w:val="16"/>
          <w:szCs w:val="16"/>
          <w:b w:val="1"/>
          <w:bCs w:val="1"/>
          <w:color w:val="auto"/>
        </w:rPr>
        <w:t>Condensed Consolidated Statements of Changes in Stockholders' Equity (Unaudited)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 February 29, 2020</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180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0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128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00" w:type="dxa"/>
            <w:vAlign w:val="bottom"/>
            <w:vMerge w:val="restart"/>
          </w:tcPr>
          <w:p>
            <w:pPr>
              <w:ind w:left="20"/>
              <w:spacing w:after="0" w:line="13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4"/>
                <w:szCs w:val="4"/>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4"/>
                <w:szCs w:val="4"/>
                <w:color w:val="auto"/>
              </w:rPr>
            </w:pPr>
          </w:p>
        </w:tc>
        <w:tc>
          <w:tcPr>
            <w:tcW w:w="134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vMerge w:val="restart"/>
          </w:tcPr>
          <w:p>
            <w:pPr>
              <w:jc w:val="center"/>
              <w:ind w:right="16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except per share data)</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 (Loss)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November 30, 2019</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198,733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877,469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(315,930)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785,609</w:t>
            </w:r>
          </w:p>
        </w:tc>
        <w:tc>
          <w:tcPr>
            <w:tcW w:w="0" w:type="dxa"/>
            <w:vAlign w:val="bottom"/>
          </w:tcPr>
          <w:p>
            <w:pPr>
              <w:spacing w:after="0"/>
              <w:rPr>
                <w:sz w:val="1"/>
                <w:szCs w:val="1"/>
                <w:color w:val="auto"/>
              </w:rPr>
            </w:pPr>
          </w:p>
        </w:tc>
      </w:tr>
      <w:tr>
        <w:trPr>
          <w:trHeight w:val="194"/>
        </w:trPr>
        <w:tc>
          <w:tcPr>
            <w:tcW w:w="2700" w:type="dxa"/>
            <w:vAlign w:val="bottom"/>
          </w:tcPr>
          <w:p>
            <w:pPr>
              <w:ind w:left="120"/>
              <w:spacing w:after="0"/>
              <w:rPr>
                <w:sz w:val="20"/>
                <w:szCs w:val="20"/>
                <w:color w:val="auto"/>
              </w:rPr>
            </w:pPr>
            <w:r>
              <w:rPr>
                <w:rFonts w:ascii="Arial" w:cs="Arial" w:eastAsia="Arial" w:hAnsi="Arial"/>
                <w:sz w:val="14"/>
                <w:szCs w:val="14"/>
                <w:color w:val="auto"/>
              </w:rPr>
              <w:t>Stock-based compensation, net of</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00" w:type="dxa"/>
            <w:vAlign w:val="bottom"/>
          </w:tcPr>
          <w:p>
            <w:pPr>
              <w:ind w:left="120"/>
              <w:spacing w:after="0"/>
              <w:rPr>
                <w:sz w:val="20"/>
                <w:szCs w:val="20"/>
                <w:color w:val="auto"/>
              </w:rPr>
            </w:pPr>
            <w:r>
              <w:rPr>
                <w:rFonts w:ascii="Arial" w:cs="Arial" w:eastAsia="Arial" w:hAnsi="Arial"/>
                <w:sz w:val="14"/>
                <w:szCs w:val="14"/>
                <w:color w:val="auto"/>
              </w:rPr>
              <w:t>forfeitures</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1,830</w:t>
            </w:r>
          </w:p>
        </w:tc>
        <w:tc>
          <w:tcPr>
            <w:tcW w:w="18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stock, net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210"/>
        </w:trPr>
        <w:tc>
          <w:tcPr>
            <w:tcW w:w="270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6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9"/>
        </w:trPr>
        <w:tc>
          <w:tcPr>
            <w:tcW w:w="27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Common stock dividends; $0.11 per</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(3,743)</w:t>
            </w:r>
          </w:p>
        </w:tc>
        <w:tc>
          <w:tcPr>
            <w:tcW w:w="2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(3,743)</w:t>
            </w:r>
          </w:p>
        </w:tc>
        <w:tc>
          <w:tcPr>
            <w:tcW w:w="0" w:type="dxa"/>
            <w:vAlign w:val="bottom"/>
          </w:tcPr>
          <w:p>
            <w:pPr>
              <w:spacing w:after="0"/>
              <w:rPr>
                <w:sz w:val="1"/>
                <w:szCs w:val="1"/>
                <w:color w:val="auto"/>
              </w:rPr>
            </w:pPr>
          </w:p>
        </w:tc>
      </w:tr>
      <w:tr>
        <w:trPr>
          <w:trHeight w:val="105"/>
        </w:trPr>
        <w:tc>
          <w:tcPr>
            <w:tcW w:w="2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7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700" w:type="dxa"/>
            <w:vAlign w:val="bottom"/>
            <w:vMerge w:val="continue"/>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120"/>
              <w:spacing w:after="0"/>
              <w:rPr>
                <w:sz w:val="20"/>
                <w:szCs w:val="20"/>
                <w:color w:val="auto"/>
              </w:rPr>
            </w:pPr>
            <w:r>
              <w:rPr>
                <w:rFonts w:ascii="Arial" w:cs="Arial" w:eastAsia="Arial" w:hAnsi="Arial"/>
                <w:sz w:val="14"/>
                <w:szCs w:val="14"/>
                <w:color w:val="auto"/>
              </w:rPr>
              <w:t>Actuarial loss, net of tax</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17,268</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17,268</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4"/>
                <w:szCs w:val="14"/>
                <w:color w:val="auto"/>
              </w:rPr>
              <w:t>Balances at February 29, 2020</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200,751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890,994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(315,566)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801,524</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27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Six Months Ended February 29, 2020</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180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0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128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00" w:type="dxa"/>
            <w:vAlign w:val="bottom"/>
            <w:vMerge w:val="restart"/>
          </w:tcPr>
          <w:p>
            <w:pPr>
              <w:ind w:left="20"/>
              <w:spacing w:after="0" w:line="135" w:lineRule="exact"/>
              <w:rPr>
                <w:sz w:val="20"/>
                <w:szCs w:val="20"/>
                <w:color w:val="auto"/>
              </w:rPr>
            </w:pPr>
            <w:r>
              <w:rPr>
                <w:rFonts w:ascii="Arial" w:cs="Arial" w:eastAsia="Arial" w:hAnsi="Arial"/>
                <w:sz w:val="14"/>
                <w:szCs w:val="14"/>
                <w:b w:val="1"/>
                <w:bCs w:val="1"/>
                <w:color w:val="auto"/>
              </w:rPr>
              <w:t>(in thousands, except per share</w:t>
            </w: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4"/>
                <w:szCs w:val="4"/>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4"/>
                <w:szCs w:val="4"/>
                <w:color w:val="auto"/>
              </w:rPr>
            </w:pPr>
          </w:p>
        </w:tc>
        <w:tc>
          <w:tcPr>
            <w:tcW w:w="134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vMerge w:val="restart"/>
          </w:tcPr>
          <w:p>
            <w:pPr>
              <w:jc w:val="center"/>
              <w:ind w:right="16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data)</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1340" w:type="dxa"/>
            <w:vAlign w:val="bottom"/>
          </w:tcPr>
          <w:p>
            <w:pPr>
              <w:jc w:val="center"/>
              <w:ind w:right="88"/>
              <w:spacing w:after="0"/>
              <w:rPr>
                <w:sz w:val="20"/>
                <w:szCs w:val="20"/>
                <w:color w:val="auto"/>
              </w:rPr>
            </w:pPr>
            <w:r>
              <w:rPr>
                <w:rFonts w:ascii="Arial" w:cs="Arial" w:eastAsia="Arial" w:hAnsi="Arial"/>
                <w:sz w:val="14"/>
                <w:szCs w:val="14"/>
                <w:b w:val="1"/>
                <w:bCs w:val="1"/>
                <w:color w:val="auto"/>
              </w:rPr>
              <w:t>Income (Loss)</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280" w:type="dxa"/>
            <w:vAlign w:val="bottom"/>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at August 31, 2019</w:t>
      </w:r>
    </w:p>
    <w:p>
      <w:pPr>
        <w:spacing w:after="0" w:line="55" w:lineRule="exact"/>
        <w:rPr>
          <w:sz w:val="20"/>
          <w:szCs w:val="20"/>
          <w:color w:val="auto"/>
        </w:rPr>
      </w:pPr>
    </w:p>
    <w:p>
      <w:pPr>
        <w:ind w:left="120" w:right="320"/>
        <w:spacing w:after="0" w:line="258" w:lineRule="auto"/>
        <w:rPr>
          <w:sz w:val="20"/>
          <w:szCs w:val="20"/>
          <w:color w:val="auto"/>
        </w:rPr>
      </w:pPr>
      <w:r>
        <w:rPr>
          <w:rFonts w:ascii="Arial" w:cs="Arial" w:eastAsia="Arial" w:hAnsi="Arial"/>
          <w:sz w:val="14"/>
          <w:szCs w:val="14"/>
          <w:color w:val="auto"/>
        </w:rPr>
        <w:t>Stock-based compensation, net of forfeitures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Issuance of stock, net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Issuance of stock for acquisition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Repurchase of common stock</w:t>
      </w:r>
    </w:p>
    <w:p>
      <w:pPr>
        <w:spacing w:after="0" w:line="42" w:lineRule="exact"/>
        <w:rPr>
          <w:sz w:val="20"/>
          <w:szCs w:val="20"/>
          <w:color w:val="auto"/>
        </w:rPr>
      </w:pPr>
    </w:p>
    <w:p>
      <w:pPr>
        <w:ind w:left="140" w:right="180"/>
        <w:spacing w:after="0" w:line="229" w:lineRule="auto"/>
        <w:rPr>
          <w:sz w:val="20"/>
          <w:szCs w:val="20"/>
          <w:color w:val="auto"/>
        </w:rPr>
      </w:pPr>
      <w:r>
        <w:rPr>
          <w:rFonts w:ascii="Arial" w:cs="Arial" w:eastAsia="Arial" w:hAnsi="Arial"/>
          <w:sz w:val="14"/>
          <w:szCs w:val="14"/>
          <w:color w:val="auto"/>
        </w:rPr>
        <w:t>Common stock dividends; $0.22 per share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Actuarial loss, net of tax</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Interest rate swap activity, net of tax</w:t>
      </w:r>
    </w:p>
    <w:p>
      <w:pPr>
        <w:spacing w:after="0" w:line="42" w:lineRule="exact"/>
        <w:rPr>
          <w:sz w:val="20"/>
          <w:szCs w:val="20"/>
          <w:color w:val="auto"/>
        </w:rPr>
      </w:pPr>
    </w:p>
    <w:p>
      <w:pPr>
        <w:ind w:left="140"/>
        <w:spacing w:after="0" w:line="219" w:lineRule="auto"/>
        <w:rPr>
          <w:sz w:val="20"/>
          <w:szCs w:val="20"/>
          <w:color w:val="auto"/>
        </w:rPr>
      </w:pPr>
      <w:r>
        <w:rPr>
          <w:rFonts w:ascii="Arial" w:cs="Arial" w:eastAsia="Arial" w:hAnsi="Arial"/>
          <w:sz w:val="14"/>
          <w:szCs w:val="14"/>
          <w:color w:val="auto"/>
        </w:rPr>
        <w:t>Equity component of convertible senior notes and offering costs, net of tax of $20,840</w:t>
      </w:r>
    </w:p>
    <w:p>
      <w:pPr>
        <w:spacing w:after="0" w:line="18" w:lineRule="exact"/>
        <w:rPr>
          <w:sz w:val="20"/>
          <w:szCs w:val="20"/>
          <w:color w:val="auto"/>
        </w:rPr>
      </w:pPr>
    </w:p>
    <w:p>
      <w:pPr>
        <w:ind w:left="140" w:right="80"/>
        <w:spacing w:after="0" w:line="229" w:lineRule="auto"/>
        <w:rPr>
          <w:sz w:val="20"/>
          <w:szCs w:val="20"/>
          <w:color w:val="auto"/>
        </w:rPr>
      </w:pPr>
      <w:r>
        <w:rPr>
          <w:rFonts w:ascii="Arial" w:cs="Arial" w:eastAsia="Arial" w:hAnsi="Arial"/>
          <w:sz w:val="14"/>
          <w:szCs w:val="14"/>
          <w:color w:val="auto"/>
        </w:rPr>
        <w:t>Convertible note hedge purchase, net of tax of $17,417</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Warrant transactions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at February 29, 2020</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51,776</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25,888</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91,185</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866,886</w:t>
            </w:r>
          </w:p>
        </w:tc>
        <w:tc>
          <w:tcPr>
            <w:tcW w:w="6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(491)</w:t>
            </w:r>
          </w:p>
        </w:tc>
        <w:tc>
          <w:tcPr>
            <w:tcW w:w="740" w:type="dxa"/>
            <w:vAlign w:val="bottom"/>
          </w:tcPr>
          <w:p>
            <w:pPr>
              <w:jc w:val="right"/>
              <w:spacing w:after="0"/>
              <w:rPr>
                <w:sz w:val="20"/>
                <w:szCs w:val="20"/>
                <w:color w:val="auto"/>
              </w:rPr>
            </w:pPr>
            <w:r>
              <w:rPr>
                <w:rFonts w:ascii="Arial" w:cs="Arial" w:eastAsia="Arial" w:hAnsi="Arial"/>
                <w:sz w:val="14"/>
                <w:szCs w:val="14"/>
                <w:color w:val="auto"/>
              </w:rPr>
              <w:t>(20,262)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(351,256)</w:t>
            </w:r>
          </w:p>
        </w:tc>
        <w:tc>
          <w:tcPr>
            <w:tcW w:w="4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632,212</w:t>
            </w:r>
          </w:p>
        </w:tc>
      </w:tr>
      <w:tr>
        <w:trPr>
          <w:trHeight w:val="378"/>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3,624</w:t>
            </w:r>
          </w:p>
        </w:tc>
        <w:tc>
          <w:tcPr>
            <w:tcW w:w="2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48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3,641</w:t>
            </w:r>
          </w:p>
        </w:tc>
      </w:tr>
      <w:tr>
        <w:trPr>
          <w:trHeight w:val="216"/>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(2,031)</w:t>
            </w:r>
          </w:p>
        </w:tc>
        <w:tc>
          <w:tcPr>
            <w:tcW w:w="2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2,649</w:t>
            </w:r>
          </w:p>
        </w:tc>
        <w:tc>
          <w:tcPr>
            <w:tcW w:w="4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618</w:t>
            </w:r>
          </w:p>
        </w:tc>
      </w:tr>
      <w:tr>
        <w:trPr>
          <w:trHeight w:val="216"/>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57,811</w:t>
            </w:r>
          </w:p>
        </w:tc>
        <w:tc>
          <w:tcPr>
            <w:tcW w:w="2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34,761</w:t>
            </w:r>
          </w:p>
        </w:tc>
        <w:tc>
          <w:tcPr>
            <w:tcW w:w="4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92,572</w:t>
            </w:r>
          </w:p>
        </w:tc>
      </w:tr>
      <w:tr>
        <w:trPr>
          <w:trHeight w:val="216"/>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(1,737)</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(1,737)</w:t>
            </w:r>
          </w:p>
        </w:tc>
      </w:tr>
      <w:tr>
        <w:trPr>
          <w:trHeight w:val="324"/>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(7,228)</w:t>
            </w:r>
          </w:p>
        </w:tc>
        <w:tc>
          <w:tcPr>
            <w:tcW w:w="6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(7,228)</w:t>
            </w:r>
          </w:p>
        </w:tc>
      </w:tr>
      <w:tr>
        <w:trPr>
          <w:trHeight w:val="216"/>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w:t>
            </w:r>
          </w:p>
        </w:tc>
      </w:tr>
      <w:tr>
        <w:trPr>
          <w:trHeight w:val="216"/>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(68)</w:t>
            </w:r>
          </w:p>
        </w:tc>
      </w:tr>
      <w:tr>
        <w:trPr>
          <w:trHeight w:val="338"/>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61,335</w:t>
            </w:r>
          </w:p>
        </w:tc>
        <w:tc>
          <w:tcPr>
            <w:tcW w:w="2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61,335</w:t>
            </w:r>
          </w:p>
        </w:tc>
      </w:tr>
      <w:tr>
        <w:trPr>
          <w:trHeight w:val="445"/>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(53,383)</w:t>
            </w:r>
          </w:p>
        </w:tc>
        <w:tc>
          <w:tcPr>
            <w:tcW w:w="2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(53,383)</w:t>
            </w:r>
          </w:p>
        </w:tc>
      </w:tr>
      <w:tr>
        <w:trPr>
          <w:trHeight w:val="216"/>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42,210</w:t>
            </w:r>
          </w:p>
        </w:tc>
        <w:tc>
          <w:tcPr>
            <w:tcW w:w="2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42,210</w:t>
            </w:r>
          </w:p>
        </w:tc>
      </w:tr>
      <w:tr>
        <w:trPr>
          <w:trHeight w:val="222"/>
        </w:trPr>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31,336</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31,336</w:t>
            </w:r>
          </w:p>
        </w:tc>
      </w:tr>
      <w:tr>
        <w:trPr>
          <w:trHeight w:val="210"/>
        </w:trPr>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25,888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200,751</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890,994</w:t>
            </w:r>
          </w:p>
        </w:tc>
        <w:tc>
          <w:tcPr>
            <w:tcW w:w="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(18,153)</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(315,566)</w:t>
            </w:r>
          </w:p>
        </w:tc>
        <w:tc>
          <w:tcPr>
            <w:tcW w:w="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801,524</w:t>
            </w:r>
          </w:p>
        </w:tc>
      </w:tr>
      <w:tr>
        <w:trPr>
          <w:trHeight w:val="27"/>
        </w:trPr>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-1842135</wp:posOffset>
            </wp:positionV>
            <wp:extent cx="710628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-1567815</wp:posOffset>
            </wp:positionV>
            <wp:extent cx="71062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-1224915</wp:posOffset>
            </wp:positionV>
            <wp:extent cx="71062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-950595</wp:posOffset>
            </wp:positionV>
            <wp:extent cx="710628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29146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-453390</wp:posOffset>
            </wp:positionV>
            <wp:extent cx="71062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-179070</wp:posOffset>
            </wp:positionV>
            <wp:extent cx="710628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2620" w:space="80"/>
            <w:col w:w="8500"/>
          </w:cols>
          <w:pgMar w:left="320" w:top="141" w:right="379" w:bottom="1440" w:gutter="0" w:footer="0" w:header="0"/>
          <w:type w:val="continuous"/>
        </w:sectPr>
      </w:pPr>
    </w:p>
    <w:tbl>
      <w:tblPr>
        <w:tblLayout w:type="fixed"/>
        <w:tblInd w:w="2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Three Months Ended February 23, 2019</w:t>
            </w:r>
          </w:p>
        </w:tc>
        <w:tc>
          <w:tcPr>
            <w:tcW w:w="9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80" w:type="dxa"/>
            <w:vAlign w:val="bottom"/>
          </w:tcPr>
          <w:p>
            <w:pPr>
              <w:spacing w:after="0"/>
              <w:rPr>
                <w:sz w:val="17"/>
                <w:szCs w:val="17"/>
                <w:color w:val="auto"/>
              </w:rPr>
            </w:pPr>
          </w:p>
        </w:tc>
        <w:tc>
          <w:tcPr>
            <w:tcW w:w="180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Common Shares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9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00" w:type="dxa"/>
            <w:vAlign w:val="bottom"/>
            <w:gridSpan w:val="2"/>
          </w:tcPr>
          <w:p>
            <w:pPr>
              <w:ind w:left="380"/>
              <w:spacing w:after="0"/>
              <w:rPr>
                <w:sz w:val="20"/>
                <w:szCs w:val="20"/>
                <w:color w:val="auto"/>
              </w:rPr>
            </w:pPr>
            <w:r>
              <w:rPr>
                <w:rFonts w:ascii="Arial" w:cs="Arial" w:eastAsia="Arial" w:hAnsi="Arial"/>
                <w:sz w:val="14"/>
                <w:szCs w:val="14"/>
                <w:b w:val="1"/>
                <w:bCs w:val="1"/>
                <w:color w:val="auto"/>
              </w:rPr>
              <w:t>Treasury Stock</w:t>
            </w:r>
          </w:p>
        </w:tc>
        <w:tc>
          <w:tcPr>
            <w:tcW w:w="144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680" w:type="dxa"/>
            <w:vAlign w:val="bottom"/>
            <w:vMerge w:val="restart"/>
          </w:tcPr>
          <w:p>
            <w:pPr>
              <w:spacing w:after="0" w:line="13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Paid-In</w:t>
            </w:r>
          </w:p>
        </w:tc>
        <w:tc>
          <w:tcPr>
            <w:tcW w:w="940" w:type="dxa"/>
            <w:vAlign w:val="bottom"/>
            <w:vMerge w:val="restart"/>
          </w:tcPr>
          <w:p>
            <w:pPr>
              <w:ind w:left="200"/>
              <w:spacing w:after="0" w:line="135" w:lineRule="exact"/>
              <w:rPr>
                <w:sz w:val="20"/>
                <w:szCs w:val="20"/>
                <w:color w:val="auto"/>
              </w:rPr>
            </w:pPr>
            <w:r>
              <w:rPr>
                <w:rFonts w:ascii="Arial" w:cs="Arial" w:eastAsia="Arial" w:hAnsi="Arial"/>
                <w:sz w:val="14"/>
                <w:szCs w:val="14"/>
                <w:b w:val="1"/>
                <w:bCs w:val="1"/>
                <w:color w:val="auto"/>
              </w:rPr>
              <w:t>Retained</w:t>
            </w:r>
          </w:p>
        </w:tc>
        <w:tc>
          <w:tcPr>
            <w:tcW w:w="15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Comprehensive</w:t>
            </w:r>
          </w:p>
        </w:tc>
        <w:tc>
          <w:tcPr>
            <w:tcW w:w="8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40" w:type="dxa"/>
            <w:vAlign w:val="bottom"/>
            <w:vMerge w:val="restart"/>
          </w:tcPr>
          <w:p>
            <w:pPr>
              <w:jc w:val="center"/>
              <w:ind w:right="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6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20"/>
                <w:szCs w:val="20"/>
                <w:color w:val="auto"/>
              </w:rPr>
            </w:pPr>
            <w:r>
              <w:rPr>
                <w:rFonts w:ascii="Arial" w:cs="Arial" w:eastAsia="Arial" w:hAnsi="Arial"/>
                <w:sz w:val="14"/>
                <w:szCs w:val="14"/>
                <w:b w:val="1"/>
                <w:bCs w:val="1"/>
                <w:color w:val="auto"/>
              </w:rPr>
              <w:t>except per share data)</w:t>
            </w: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Number</w:t>
            </w:r>
          </w:p>
        </w:tc>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Earnings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Number</w:t>
            </w:r>
          </w:p>
        </w:tc>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Amount</w:t>
            </w:r>
          </w:p>
        </w:tc>
        <w:tc>
          <w:tcPr>
            <w:tcW w:w="144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type w:val="continuous"/>
        </w:sectPr>
      </w:pP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at November 24, 2018</w:t>
      </w:r>
    </w:p>
    <w:p>
      <w:pPr>
        <w:spacing w:after="0" w:line="55" w:lineRule="exact"/>
        <w:rPr>
          <w:sz w:val="20"/>
          <w:szCs w:val="20"/>
          <w:color w:val="auto"/>
        </w:rPr>
      </w:pPr>
    </w:p>
    <w:p>
      <w:pPr>
        <w:ind w:left="120" w:right="140"/>
        <w:spacing w:after="0" w:line="258" w:lineRule="auto"/>
        <w:rPr>
          <w:sz w:val="20"/>
          <w:szCs w:val="20"/>
          <w:color w:val="auto"/>
        </w:rPr>
      </w:pPr>
      <w:r>
        <w:rPr>
          <w:rFonts w:ascii="Arial" w:cs="Arial" w:eastAsia="Arial" w:hAnsi="Arial"/>
          <w:sz w:val="14"/>
          <w:szCs w:val="14"/>
          <w:color w:val="auto"/>
        </w:rPr>
        <w:t>Stock-based compensation, net of forfeitures</w:t>
      </w:r>
    </w:p>
    <w:p>
      <w:pPr>
        <w:spacing w:after="0" w:line="32" w:lineRule="exact"/>
        <w:rPr>
          <w:sz w:val="20"/>
          <w:szCs w:val="20"/>
          <w:color w:val="auto"/>
        </w:rPr>
      </w:pPr>
    </w:p>
    <w:p>
      <w:pPr>
        <w:ind w:left="120" w:right="360"/>
        <w:spacing w:after="0" w:line="315" w:lineRule="auto"/>
        <w:rPr>
          <w:sz w:val="20"/>
          <w:szCs w:val="20"/>
          <w:color w:val="auto"/>
        </w:rPr>
      </w:pPr>
      <w:r>
        <w:rPr>
          <w:rFonts w:ascii="Arial" w:cs="Arial" w:eastAsia="Arial" w:hAnsi="Arial"/>
          <w:sz w:val="14"/>
          <w:szCs w:val="14"/>
          <w:color w:val="auto"/>
        </w:rPr>
        <w:t>Issuance of restricted stock Issuance of stock under ESPP Repurchase of common stock</w:t>
      </w:r>
    </w:p>
    <w:p>
      <w:pPr>
        <w:spacing w:after="0" w:line="1" w:lineRule="exact"/>
        <w:rPr>
          <w:sz w:val="20"/>
          <w:szCs w:val="20"/>
          <w:color w:val="auto"/>
        </w:rPr>
      </w:pPr>
    </w:p>
    <w:p>
      <w:pPr>
        <w:ind w:left="140"/>
        <w:spacing w:after="0" w:line="229" w:lineRule="auto"/>
        <w:rPr>
          <w:sz w:val="20"/>
          <w:szCs w:val="20"/>
          <w:color w:val="auto"/>
        </w:rPr>
      </w:pPr>
      <w:r>
        <w:rPr>
          <w:rFonts w:ascii="Arial" w:cs="Arial" w:eastAsia="Arial" w:hAnsi="Arial"/>
          <w:sz w:val="14"/>
          <w:szCs w:val="14"/>
          <w:color w:val="auto"/>
        </w:rPr>
        <w:t>Common stock dividends; $0.11 per share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Actuarial loss, net of tax</w:t>
      </w:r>
    </w:p>
    <w:p>
      <w:pPr>
        <w:spacing w:after="0" w:line="55" w:lineRule="exact"/>
        <w:rPr>
          <w:sz w:val="20"/>
          <w:szCs w:val="20"/>
          <w:color w:val="auto"/>
        </w:rPr>
      </w:pPr>
    </w:p>
    <w:p>
      <w:pPr>
        <w:ind w:left="120" w:right="20"/>
        <w:spacing w:after="0" w:line="338" w:lineRule="auto"/>
        <w:rPr>
          <w:sz w:val="20"/>
          <w:szCs w:val="20"/>
          <w:color w:val="auto"/>
        </w:rPr>
      </w:pPr>
      <w:r>
        <w:rPr>
          <w:rFonts w:ascii="Arial" w:cs="Arial" w:eastAsia="Arial" w:hAnsi="Arial"/>
          <w:sz w:val="14"/>
          <w:szCs w:val="14"/>
          <w:color w:val="auto"/>
        </w:rPr>
        <w:t>Interest rate swap activity, net of tax Net income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at February 23, 2019</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51,776</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25,888</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88,288</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787,794</w:t>
            </w:r>
          </w:p>
        </w:tc>
        <w:tc>
          <w:tcPr>
            <w:tcW w:w="6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878</w:t>
            </w:r>
          </w:p>
        </w:tc>
        <w:tc>
          <w:tcPr>
            <w:tcW w:w="740" w:type="dxa"/>
            <w:vAlign w:val="bottom"/>
          </w:tcPr>
          <w:p>
            <w:pPr>
              <w:jc w:val="right"/>
              <w:spacing w:after="0"/>
              <w:rPr>
                <w:sz w:val="20"/>
                <w:szCs w:val="20"/>
                <w:color w:val="auto"/>
              </w:rPr>
            </w:pPr>
            <w:r>
              <w:rPr>
                <w:rFonts w:ascii="Arial" w:cs="Arial" w:eastAsia="Arial" w:hAnsi="Arial"/>
                <w:sz w:val="14"/>
                <w:szCs w:val="14"/>
                <w:color w:val="auto"/>
              </w:rPr>
              <w:t>(20,178)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(346,370)</w:t>
            </w:r>
          </w:p>
        </w:tc>
        <w:tc>
          <w:tcPr>
            <w:tcW w:w="4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556,478</w:t>
            </w:r>
          </w:p>
        </w:tc>
      </w:tr>
      <w:tr>
        <w:trPr>
          <w:trHeight w:val="297"/>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2,117</w:t>
            </w:r>
          </w:p>
        </w:tc>
        <w:tc>
          <w:tcPr>
            <w:tcW w:w="2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48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2,133</w:t>
            </w:r>
          </w:p>
        </w:tc>
      </w:tr>
      <w:tr>
        <w:trPr>
          <w:trHeight w:val="297"/>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(769)</w:t>
            </w:r>
          </w:p>
        </w:tc>
        <w:tc>
          <w:tcPr>
            <w:tcW w:w="2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48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2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48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296</w:t>
            </w:r>
          </w:p>
        </w:tc>
      </w:tr>
      <w:tr>
        <w:trPr>
          <w:trHeight w:val="216"/>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(5,672)</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(5,672)</w:t>
            </w:r>
          </w:p>
        </w:tc>
      </w:tr>
      <w:tr>
        <w:trPr>
          <w:trHeight w:val="270"/>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(3,541)</w:t>
            </w:r>
          </w:p>
        </w:tc>
        <w:tc>
          <w:tcPr>
            <w:tcW w:w="62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(3,541)</w:t>
            </w:r>
          </w:p>
        </w:tc>
      </w:tr>
      <w:tr>
        <w:trPr>
          <w:trHeight w:val="270"/>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w:t>
            </w:r>
          </w:p>
        </w:tc>
      </w:tr>
      <w:tr>
        <w:trPr>
          <w:trHeight w:val="216"/>
        </w:trPr>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(634)</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(634)</w:t>
            </w:r>
          </w:p>
        </w:tc>
      </w:tr>
      <w:tr>
        <w:trPr>
          <w:trHeight w:val="222"/>
        </w:trPr>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21,598</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21,598</w:t>
            </w:r>
          </w:p>
        </w:tc>
      </w:tr>
      <w:tr>
        <w:trPr>
          <w:trHeight w:val="210"/>
        </w:trPr>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25,888</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89,682</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805,851</w:t>
            </w:r>
          </w:p>
        </w:tc>
        <w:tc>
          <w:tcPr>
            <w:tcW w:w="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(20,292)</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(351,007)</w:t>
            </w:r>
          </w:p>
        </w:tc>
        <w:tc>
          <w:tcPr>
            <w:tcW w:w="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570,666</w:t>
            </w:r>
          </w:p>
        </w:tc>
      </w:tr>
      <w:tr>
        <w:trPr>
          <w:trHeight w:val="26"/>
        </w:trPr>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-1207770</wp:posOffset>
            </wp:positionV>
            <wp:extent cx="710628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-933450</wp:posOffset>
            </wp:positionV>
            <wp:extent cx="71062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-590550</wp:posOffset>
            </wp:positionV>
            <wp:extent cx="710628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-316865</wp:posOffset>
            </wp:positionV>
            <wp:extent cx="710628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260"/>
            <w:col w:w="8500"/>
          </w:cols>
          <w:pgMar w:left="320" w:top="14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Changes in Stockholders' Equity (continued)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February 23, 2019</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180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0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128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00" w:type="dxa"/>
            <w:vAlign w:val="bottom"/>
            <w:vMerge w:val="restart"/>
          </w:tcPr>
          <w:p>
            <w:pPr>
              <w:ind w:left="20"/>
              <w:spacing w:after="0" w:line="135" w:lineRule="exact"/>
              <w:rPr>
                <w:sz w:val="20"/>
                <w:szCs w:val="20"/>
                <w:color w:val="auto"/>
              </w:rPr>
            </w:pPr>
            <w:r>
              <w:rPr>
                <w:rFonts w:ascii="Arial" w:cs="Arial" w:eastAsia="Arial" w:hAnsi="Arial"/>
                <w:sz w:val="14"/>
                <w:szCs w:val="14"/>
                <w:b w:val="1"/>
                <w:bCs w:val="1"/>
                <w:color w:val="auto"/>
              </w:rPr>
              <w:t>(in thousands, except per share</w:t>
            </w: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restart"/>
          </w:tcPr>
          <w:p>
            <w:pPr>
              <w:jc w:val="right"/>
              <w:ind w:right="128"/>
              <w:spacing w:after="0" w:line="135"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780" w:type="dxa"/>
            <w:vAlign w:val="bottom"/>
            <w:vMerge w:val="restart"/>
          </w:tcPr>
          <w:p>
            <w:pPr>
              <w:jc w:val="right"/>
              <w:ind w:right="68"/>
              <w:spacing w:after="0" w:line="135"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4"/>
                <w:szCs w:val="4"/>
                <w:color w:val="auto"/>
              </w:rPr>
            </w:pPr>
          </w:p>
        </w:tc>
        <w:tc>
          <w:tcPr>
            <w:tcW w:w="134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rPr>
              <w:t>Comprehensive</w:t>
            </w: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vMerge w:val="restart"/>
          </w:tcPr>
          <w:p>
            <w:pPr>
              <w:jc w:val="center"/>
              <w:ind w:right="16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data)</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 (Loss)</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25, 2018</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86,223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768,816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(347,374)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534,445</w:t>
            </w:r>
          </w:p>
        </w:tc>
        <w:tc>
          <w:tcPr>
            <w:tcW w:w="0" w:type="dxa"/>
            <w:vAlign w:val="bottom"/>
          </w:tcPr>
          <w:p>
            <w:pPr>
              <w:spacing w:after="0"/>
              <w:rPr>
                <w:sz w:val="1"/>
                <w:szCs w:val="1"/>
                <w:color w:val="auto"/>
              </w:rPr>
            </w:pPr>
          </w:p>
        </w:tc>
      </w:tr>
      <w:tr>
        <w:trPr>
          <w:trHeight w:val="194"/>
        </w:trPr>
        <w:tc>
          <w:tcPr>
            <w:tcW w:w="2700" w:type="dxa"/>
            <w:vAlign w:val="bottom"/>
          </w:tcPr>
          <w:p>
            <w:pPr>
              <w:ind w:left="120"/>
              <w:spacing w:after="0"/>
              <w:rPr>
                <w:sz w:val="20"/>
                <w:szCs w:val="20"/>
                <w:color w:val="auto"/>
              </w:rPr>
            </w:pPr>
            <w:r>
              <w:rPr>
                <w:rFonts w:ascii="Arial" w:cs="Arial" w:eastAsia="Arial" w:hAnsi="Arial"/>
                <w:sz w:val="14"/>
                <w:szCs w:val="14"/>
                <w:color w:val="auto"/>
              </w:rPr>
              <w:t>Stock-based compensation, net of</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4,565</w:t>
            </w:r>
          </w:p>
        </w:tc>
        <w:tc>
          <w:tcPr>
            <w:tcW w:w="20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6"/>
                <w:szCs w:val="16"/>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16"/>
                <w:szCs w:val="16"/>
                <w:color w:val="auto"/>
              </w:rPr>
            </w:pPr>
          </w:p>
        </w:tc>
        <w:tc>
          <w:tcPr>
            <w:tcW w:w="1280" w:type="dxa"/>
            <w:vAlign w:val="bottom"/>
            <w:vMerge w:val="restart"/>
          </w:tcPr>
          <w:p>
            <w:pPr>
              <w:jc w:val="right"/>
              <w:ind w:right="68"/>
              <w:spacing w:after="0"/>
              <w:rPr>
                <w:sz w:val="20"/>
                <w:szCs w:val="20"/>
                <w:color w:val="auto"/>
              </w:rPr>
            </w:pPr>
            <w:r>
              <w:rPr>
                <w:rFonts w:ascii="Arial" w:cs="Arial" w:eastAsia="Arial" w:hAnsi="Arial"/>
                <w:sz w:val="14"/>
                <w:szCs w:val="14"/>
                <w:color w:val="auto"/>
              </w:rPr>
              <w:t>4,622</w:t>
            </w:r>
          </w:p>
        </w:tc>
        <w:tc>
          <w:tcPr>
            <w:tcW w:w="0" w:type="dxa"/>
            <w:vAlign w:val="bottom"/>
          </w:tcPr>
          <w:p>
            <w:pPr>
              <w:spacing w:after="0"/>
              <w:rPr>
                <w:sz w:val="1"/>
                <w:szCs w:val="1"/>
                <w:color w:val="auto"/>
              </w:rPr>
            </w:pPr>
          </w:p>
        </w:tc>
      </w:tr>
      <w:tr>
        <w:trPr>
          <w:trHeight w:val="91"/>
        </w:trPr>
        <w:tc>
          <w:tcPr>
            <w:tcW w:w="2700" w:type="dxa"/>
            <w:vAlign w:val="bottom"/>
            <w:vMerge w:val="restart"/>
          </w:tcPr>
          <w:p>
            <w:pPr>
              <w:ind w:left="120"/>
              <w:spacing w:after="0"/>
              <w:rPr>
                <w:sz w:val="20"/>
                <w:szCs w:val="20"/>
                <w:color w:val="auto"/>
              </w:rPr>
            </w:pPr>
            <w:r>
              <w:rPr>
                <w:rFonts w:ascii="Arial" w:cs="Arial" w:eastAsia="Arial" w:hAnsi="Arial"/>
                <w:sz w:val="14"/>
                <w:szCs w:val="14"/>
                <w:color w:val="auto"/>
              </w:rPr>
              <w:t>forfeitures</w:t>
            </w:r>
          </w:p>
        </w:tc>
        <w:tc>
          <w:tcPr>
            <w:tcW w:w="7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restricted stock</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1,528</w:t>
            </w:r>
          </w:p>
        </w:tc>
        <w:tc>
          <w:tcPr>
            <w:tcW w:w="0" w:type="dxa"/>
            <w:vAlign w:val="bottom"/>
          </w:tcPr>
          <w:p>
            <w:pPr>
              <w:spacing w:after="0"/>
              <w:rPr>
                <w:sz w:val="1"/>
                <w:szCs w:val="1"/>
                <w:color w:val="auto"/>
              </w:rPr>
            </w:pPr>
          </w:p>
        </w:tc>
      </w:tr>
      <w:tr>
        <w:trPr>
          <w:trHeight w:val="210"/>
        </w:trPr>
        <w:tc>
          <w:tcPr>
            <w:tcW w:w="2700" w:type="dxa"/>
            <w:vAlign w:val="bottom"/>
          </w:tcPr>
          <w:p>
            <w:pPr>
              <w:ind w:left="120"/>
              <w:spacing w:after="0"/>
              <w:rPr>
                <w:sz w:val="20"/>
                <w:szCs w:val="20"/>
                <w:color w:val="auto"/>
              </w:rPr>
            </w:pPr>
            <w:r>
              <w:rPr>
                <w:rFonts w:ascii="Arial" w:cs="Arial" w:eastAsia="Arial" w:hAnsi="Arial"/>
                <w:sz w:val="14"/>
                <w:szCs w:val="14"/>
                <w:color w:val="auto"/>
              </w:rPr>
              <w:t>Issuance of stock under ESPP</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16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 of common stock</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(6,620)</w:t>
            </w:r>
          </w:p>
        </w:tc>
        <w:tc>
          <w:tcPr>
            <w:tcW w:w="0" w:type="dxa"/>
            <w:vAlign w:val="bottom"/>
          </w:tcPr>
          <w:p>
            <w:pPr>
              <w:spacing w:after="0"/>
              <w:rPr>
                <w:sz w:val="1"/>
                <w:szCs w:val="1"/>
                <w:color w:val="auto"/>
              </w:rPr>
            </w:pPr>
          </w:p>
        </w:tc>
      </w:tr>
      <w:tr>
        <w:trPr>
          <w:trHeight w:val="153"/>
        </w:trPr>
        <w:tc>
          <w:tcPr>
            <w:tcW w:w="2700" w:type="dxa"/>
            <w:vAlign w:val="bottom"/>
          </w:tcPr>
          <w:p>
            <w:pPr>
              <w:ind w:left="140"/>
              <w:spacing w:after="0" w:line="153" w:lineRule="exact"/>
              <w:rPr>
                <w:sz w:val="20"/>
                <w:szCs w:val="20"/>
                <w:color w:val="auto"/>
              </w:rPr>
            </w:pPr>
            <w:r>
              <w:rPr>
                <w:rFonts w:ascii="Arial" w:cs="Arial" w:eastAsia="Arial" w:hAnsi="Arial"/>
                <w:sz w:val="14"/>
                <w:szCs w:val="14"/>
                <w:color w:val="auto"/>
              </w:rPr>
              <w:t>Common stock dividends; $0.21 per</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(6,724)</w:t>
            </w:r>
          </w:p>
        </w:tc>
        <w:tc>
          <w:tcPr>
            <w:tcW w:w="200" w:type="dxa"/>
            <w:vAlign w:val="bottom"/>
          </w:tcPr>
          <w:p>
            <w:pPr>
              <w:spacing w:after="0"/>
              <w:rPr>
                <w:sz w:val="13"/>
                <w:szCs w:val="13"/>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(6,724)</w:t>
            </w:r>
          </w:p>
        </w:tc>
        <w:tc>
          <w:tcPr>
            <w:tcW w:w="0" w:type="dxa"/>
            <w:vAlign w:val="bottom"/>
          </w:tcPr>
          <w:p>
            <w:pPr>
              <w:spacing w:after="0"/>
              <w:rPr>
                <w:sz w:val="1"/>
                <w:szCs w:val="1"/>
                <w:color w:val="auto"/>
              </w:rPr>
            </w:pPr>
          </w:p>
        </w:tc>
      </w:tr>
      <w:tr>
        <w:trPr>
          <w:trHeight w:val="105"/>
        </w:trPr>
        <w:tc>
          <w:tcPr>
            <w:tcW w:w="2700" w:type="dxa"/>
            <w:vAlign w:val="bottom"/>
            <w:vMerge w:val="restart"/>
          </w:tcPr>
          <w:p>
            <w:pPr>
              <w:ind w:left="140"/>
              <w:spacing w:after="0"/>
              <w:rPr>
                <w:sz w:val="20"/>
                <w:szCs w:val="20"/>
                <w:color w:val="auto"/>
              </w:rPr>
            </w:pPr>
            <w:r>
              <w:rPr>
                <w:rFonts w:ascii="Arial" w:cs="Arial" w:eastAsia="Arial" w:hAnsi="Arial"/>
                <w:sz w:val="14"/>
                <w:szCs w:val="14"/>
                <w:color w:val="auto"/>
              </w:rPr>
              <w:t>share</w:t>
            </w:r>
          </w:p>
        </w:tc>
        <w:tc>
          <w:tcPr>
            <w:tcW w:w="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loss, net of tax</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0"/>
        </w:trPr>
        <w:tc>
          <w:tcPr>
            <w:tcW w:w="2700" w:type="dxa"/>
            <w:vAlign w:val="bottom"/>
          </w:tcPr>
          <w:p>
            <w:pPr>
              <w:ind w:left="120"/>
              <w:spacing w:after="0"/>
              <w:rPr>
                <w:sz w:val="20"/>
                <w:szCs w:val="20"/>
                <w:color w:val="auto"/>
              </w:rPr>
            </w:pPr>
            <w:r>
              <w:rPr>
                <w:rFonts w:ascii="Arial" w:cs="Arial" w:eastAsia="Arial" w:hAnsi="Arial"/>
                <w:sz w:val="14"/>
                <w:szCs w:val="14"/>
                <w:color w:val="auto"/>
              </w:rPr>
              <w:t>Interest rate swap activity, net of tax</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(656)</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43,759</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43,759</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4"/>
                <w:szCs w:val="14"/>
                <w:color w:val="auto"/>
              </w:rPr>
              <w:t>Balances at February 23, 2019</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89,682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805,851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(351,007)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570,666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26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Unless the context otherwise requires, the use of the terms "Winnebago," "WGO," "we," "us," and "our" in these Notes to Condensed Consolidated Financial Statements refers to Winnebago Industries, Inc. and its wholly-owned subsidiaries.</w:t>
      </w:r>
    </w:p>
    <w:p>
      <w:pPr>
        <w:spacing w:after="0" w:line="222"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In the opinion of management, the accompanying Condensed Consolidated Financial Statements contain all adjustments necessary for a fair presentation as prescribed by accounting principles generally accepted in the United States (“GAAP”). All adjustments were comprised of normal recurring adjustments, except as noted in these Notes to Condensed Consolidated Financial Statements.</w:t>
      </w:r>
    </w:p>
    <w:p>
      <w:pPr>
        <w:spacing w:after="0" w:line="228"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Interim results are not necessarily indicative of the results to be expected for the full year. The interim Condensed Consolidated Financial Statements included in this Quarterly Report on Form 10-Q should be read in conjunction with the audited Consolidated Financial Statements included in our Annual Report on Form 10-K for the fiscal year ended August 31, 2019.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6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We follow a 52-/53-week fiscal year, ending the last Saturday in August. Fiscal 2020 is a 52-week year, while Fiscal 2019 was a 53-week year. The extra (53rd) week in Fiscal 2019 was recognized in our fourth quarter.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6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In preparing the accompanying unaudited Condensed Consolidated Financial Statements, we evaluated subsequent events for potential recognition and disclosure through the date of this filing. There were no material subsequent events, except for the items described below.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w:t>
      </w:r>
    </w:p>
    <w:p>
      <w:pPr>
        <w:spacing w:after="0" w:line="264"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On March 17, 2020, our Board of Directors declared a quarterly cash dividend of $0.11 per share payable on April 29, 2020 to common stockholders of record at the close of business on April 15, 2020.</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Swap</w:t>
      </w:r>
    </w:p>
    <w:p>
      <w:pPr>
        <w:spacing w:after="0" w:line="26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March 2, 2020, the Company entered into an interest rate swap agreement for an incremental notional amount of $25 million to exchange floating for fixed rate interest payments for our LIBOR-based borrowings. The interest rate swap had a fair value of zero at inception, is effective March 4, 2020 and has been designated as a cash flow hedge. The interest rate swap agreement, with a maturity date of March 4, 2025, converts the Company's interest rate payments on $25 million of variable-rate, 1-month LIBOR-based debt to a fixed interest rate of 1.364%.</w:t>
      </w:r>
    </w:p>
    <w:p>
      <w:pPr>
        <w:spacing w:after="0" w:line="229"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On March 6, 2020, the Company entered into an additional interest rate swap agreement for an incremental notional amount of $25 million to exchange floating for fixed rate interest payments for our LIBOR-based borrowings. The interest rate swap had a fair value of zero at inception, is effective March 10, 2020 and has been designated as a cash flow hedge. The interest rate swap agreement, with a maturity date of March 4, 2025, converts the Company's interest rate payments on an incremental $25 million of variable-rate, 1-month LIBOR-based debt to a fixed interest rate of 1.265%.</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COVID-19</w:t>
      </w:r>
    </w:p>
    <w:p>
      <w:pPr>
        <w:spacing w:after="0" w:line="251" w:lineRule="exact"/>
        <w:rPr>
          <w:sz w:val="20"/>
          <w:szCs w:val="20"/>
          <w:color w:val="auto"/>
        </w:rPr>
      </w:pPr>
    </w:p>
    <w:p>
      <w:pPr>
        <w:ind w:right="100"/>
        <w:spacing w:after="0" w:line="235" w:lineRule="auto"/>
        <w:rPr>
          <w:sz w:val="20"/>
          <w:szCs w:val="20"/>
          <w:color w:val="auto"/>
        </w:rPr>
      </w:pPr>
      <w:r>
        <w:rPr>
          <w:rFonts w:ascii="Arial" w:cs="Arial" w:eastAsia="Arial" w:hAnsi="Arial"/>
          <w:sz w:val="16"/>
          <w:szCs w:val="16"/>
          <w:color w:val="auto"/>
        </w:rPr>
        <w:t>In March 2020, the World Health Organization declared the outbreak of coronavirus (COVID-19) as a pandemic, which continues to spread throughout the United States. On March 23, 2020, the Company announced that it would temporarily suspend production at its facilities anticipated to last through April 12, 2020. While the Company expects this matter to negatively impact its results of operations, the extent to which the coronavirus may impact its liquidity, financial condition, and results of operations is uncertain.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We adopted Accounting Standard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 of September 1, 2019, using the modified retrospective basis as of the beginning of the period of adoption. In addition, we elected the package of practical expedients permitted under the transition guidance with the new standard, which among other things, allowed us to carry forward the historical lease classification, and we elected the hindsight practical expedient. Adoption of the new standard resulted in the recording of net lease assets and lease liabilities of $33.8 million and $33.4 million, respectively, as of September 1, 2019. The standard did not materially impact our consolidated net earnings and had no impact on our cash flows.</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line items impacted by the adoption of this ASU within the Condensed Consolidated Balance Sheets as of September 1, 2019:</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ASU 2016-02</w:t>
            </w: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9"/>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31, 2019</w:t>
            </w:r>
          </w:p>
        </w:tc>
        <w:tc>
          <w:tcPr>
            <w:tcW w:w="18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Adjustment on</w:t>
            </w:r>
          </w:p>
        </w:tc>
        <w:tc>
          <w:tcPr>
            <w:tcW w:w="160" w:type="dxa"/>
            <w:vAlign w:val="bottom"/>
          </w:tcPr>
          <w:p>
            <w:pPr>
              <w:spacing w:after="0"/>
              <w:rPr>
                <w:sz w:val="16"/>
                <w:szCs w:val="16"/>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auto"/>
              </w:rPr>
              <w:t>September 1, 2019</w:t>
            </w:r>
          </w:p>
        </w:tc>
      </w:tr>
      <w:tr>
        <w:trPr>
          <w:trHeight w:val="228"/>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9"/>
                <w:szCs w:val="19"/>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1, 2019</w:t>
            </w:r>
          </w:p>
        </w:tc>
        <w:tc>
          <w:tcPr>
            <w:tcW w:w="160" w:type="dxa"/>
            <w:vAlign w:val="bottom"/>
          </w:tcPr>
          <w:p>
            <w:pPr>
              <w:spacing w:after="0"/>
              <w:rPr>
                <w:sz w:val="19"/>
                <w:szCs w:val="19"/>
                <w:color w:val="auto"/>
              </w:rPr>
            </w:pP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auto"/>
              </w:rPr>
              <w:t>As Adjusted</w:t>
            </w:r>
          </w:p>
        </w:tc>
      </w:tr>
      <w:tr>
        <w:trPr>
          <w:trHeight w:val="243"/>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r>
      <w:tr>
        <w:trPr>
          <w:trHeight w:val="233"/>
        </w:trPr>
        <w:tc>
          <w:tcPr>
            <w:tcW w:w="5440" w:type="dxa"/>
            <w:vAlign w:val="bottom"/>
          </w:tcPr>
          <w:p>
            <w:pPr>
              <w:ind w:left="12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256,082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254,772</w:t>
            </w:r>
          </w:p>
        </w:tc>
      </w:tr>
      <w:tr>
        <w:trPr>
          <w:trHeight w:val="246"/>
        </w:trPr>
        <w:tc>
          <w:tcPr>
            <w:tcW w:w="5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33,811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33,811</w:t>
            </w:r>
          </w:p>
        </w:tc>
      </w:tr>
      <w:tr>
        <w:trPr>
          <w:trHeight w:val="243"/>
        </w:trPr>
        <w:tc>
          <w:tcPr>
            <w:tcW w:w="54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1,104,231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32,501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1,136,732</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46"/>
        </w:trPr>
        <w:tc>
          <w:tcPr>
            <w:tcW w:w="5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Other</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13,678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1,258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14,936</w:t>
            </w:r>
          </w:p>
        </w:tc>
      </w:tr>
      <w:tr>
        <w:trPr>
          <w:trHeight w:val="233"/>
        </w:trPr>
        <w:tc>
          <w:tcPr>
            <w:tcW w:w="54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197,744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199,002</w:t>
            </w:r>
          </w:p>
        </w:tc>
      </w:tr>
      <w:tr>
        <w:trPr>
          <w:trHeight w:val="246"/>
        </w:trPr>
        <w:tc>
          <w:tcPr>
            <w:tcW w:w="5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31,243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31,243</w:t>
            </w:r>
          </w:p>
        </w:tc>
      </w:tr>
      <w:tr>
        <w:trPr>
          <w:trHeight w:val="237"/>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274,275</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31,243</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305,518</w:t>
            </w:r>
          </w:p>
        </w:tc>
      </w:tr>
      <w:tr>
        <w:trPr>
          <w:trHeight w:val="26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1,104,231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32,501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1,136,732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 xml:space="preserve">Also, in the first quarter of Fiscal 2020, we adopted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which improves the financial reporting of hedging relationships to better portray the economic results of an entity's risk management activities in its financial statements. The adoption of this standard did not materially impact our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In June 2016, the Financial Accounting Standards Board ("FASB") issued ASU 2016-13, </w:t>
      </w:r>
      <w:r>
        <w:rPr>
          <w:rFonts w:ascii="Arial" w:cs="Arial" w:eastAsia="Arial" w:hAnsi="Arial"/>
          <w:sz w:val="16"/>
          <w:szCs w:val="16"/>
          <w:i w:val="1"/>
          <w:iCs w:val="1"/>
          <w:color w:val="auto"/>
        </w:rPr>
        <w:t>Financial Instruments - 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and has since issued additional amendments. ASU 2016-13 will replace today’s “incurred loss” approach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loss” model for instruments measured at amortized cost. The standard is effective for annual reporting periods beginning after December 15, 2019 (our Fiscal 2021), including interim periods within those annual reporting periods. We expect to adopt the new guidance in the first quarter of Fiscal 2021, and we do not expect a material impact to our consolidated financial statements.</w:t>
      </w:r>
    </w:p>
    <w:p>
      <w:pPr>
        <w:spacing w:after="0" w:line="211" w:lineRule="exact"/>
        <w:rPr>
          <w:sz w:val="20"/>
          <w:szCs w:val="20"/>
          <w:color w:val="auto"/>
        </w:rPr>
      </w:pPr>
    </w:p>
    <w:p>
      <w:pPr>
        <w:ind w:right="420"/>
        <w:spacing w:after="0" w:line="255" w:lineRule="auto"/>
        <w:rPr>
          <w:sz w:val="20"/>
          <w:szCs w:val="20"/>
          <w:color w:val="auto"/>
        </w:rPr>
      </w:pPr>
      <w:r>
        <w:rPr>
          <w:rFonts w:ascii="Arial" w:cs="Arial" w:eastAsia="Arial" w:hAnsi="Arial"/>
          <w:sz w:val="16"/>
          <w:szCs w:val="16"/>
          <w:color w:val="auto"/>
        </w:rPr>
        <w:t xml:space="preserve">In December 2019, the Financial Accounting Standards Board ("FASB") issued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ASU 2019-12 simplifies the accounting for income taxes by removing certain exceptions to the general principles of Topic 740.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is effective for annual reporting periods beginning after December 15, 2020 (our Fiscal 2022), including interim periods within those annual reporting periods. We expect to adopt the new guidance in the first quarter of Fiscal 2022, and we do not expect a material impact to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Newmar Corporation</w:t>
      </w: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November 8, 2019, pursuant to the terms of the Stock Purchase Agreement dated September 15, 2019 (the "Purchase Agreement"), Winnebago completed the acquisition of 100% of Newmar Corporation, Dutch Real Estate Corp., New-Way Transport, and New-Serv (collectively “Newmar”). Newmar is a leading manufacturer of Class A and Super C motorized recreation vehicles that are sold through an established network of independent authorized dealers throughout North America.</w:t>
      </w:r>
    </w:p>
    <w:p>
      <w:pPr>
        <w:spacing w:after="0" w:line="17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following table summarizes the total consideration paid for Newmar, noting that it is subject to purchase price adjustments as stipulated in the Purchase Agreement: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November 8, 2019</w:t>
            </w:r>
          </w:p>
        </w:tc>
      </w:tr>
      <w:tr>
        <w:trPr>
          <w:trHeight w:val="24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267,749</w:t>
            </w:r>
          </w:p>
        </w:tc>
      </w:tr>
      <w:tr>
        <w:trPr>
          <w:trHeight w:val="240"/>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Winnebago Industries shares: 2,000,000 at $46.29</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92,572</w:t>
            </w:r>
          </w:p>
        </w:tc>
      </w:tr>
      <w:tr>
        <w:trPr>
          <w:trHeight w:val="264"/>
        </w:trPr>
        <w:tc>
          <w:tcPr>
            <w:tcW w:w="9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360,321</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 xml:space="preserve">The cash portion of the purchase price of the acquisition and certain transaction expenses were funded through the private placement of convertible senior notes (as further described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and cash on hand. The stock consideration was discounted by 7.0% due to lack of marketability because of the one year lock-up restrictions.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total purchase price was allocated to the net tangible and intangible assets of Newmar acquired, based on their fair values at the date of the acquisition. We believe that the information provides a reasonable basis for estimating the fair values, but we are waiting for additional information necessary to finalize the working capital adjustment as defined in the purchase agreement and the amounts related to income taxes. Thus, the preliminary measurements of fair value reflected are subject to change. We expect to finalize the valuation and complete the purchase price allocation no later than one year from the acquisition date. The following table summarizes the preliminary fair values assigned to the Newmar net assets acquired and the determination of net assets: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November 8, 2019</w:t>
            </w:r>
          </w:p>
        </w:tc>
      </w:tr>
      <w:tr>
        <w:trPr>
          <w:trHeight w:val="24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3,469</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37,147</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82,621</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9,586</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31,143</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73,929</w:t>
            </w:r>
          </w:p>
        </w:tc>
      </w:tr>
      <w:tr>
        <w:trPr>
          <w:trHeight w:val="246"/>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172,100</w:t>
            </w:r>
          </w:p>
        </w:tc>
      </w:tr>
      <w:tr>
        <w:trPr>
          <w:trHeight w:val="233"/>
        </w:trPr>
        <w:tc>
          <w:tcPr>
            <w:tcW w:w="9620" w:type="dxa"/>
            <w:vAlign w:val="bottom"/>
          </w:tcPr>
          <w:p>
            <w:pPr>
              <w:ind w:left="120"/>
              <w:spacing w:after="0"/>
              <w:rPr>
                <w:sz w:val="20"/>
                <w:szCs w:val="20"/>
                <w:color w:val="auto"/>
              </w:rPr>
            </w:pPr>
            <w:r>
              <w:rPr>
                <w:rFonts w:ascii="Arial" w:cs="Arial" w:eastAsia="Arial" w:hAnsi="Arial"/>
                <w:sz w:val="16"/>
                <w:szCs w:val="16"/>
                <w:color w:val="auto"/>
              </w:rPr>
              <w:t>Total assets acquired</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409,995</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14,023</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4,306</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warranties</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15,147</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Promotional</w:t>
            </w:r>
          </w:p>
        </w:tc>
        <w:tc>
          <w:tcPr>
            <w:tcW w:w="12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3,593</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11,637</w:t>
            </w:r>
          </w:p>
        </w:tc>
      </w:tr>
      <w:tr>
        <w:trPr>
          <w:trHeight w:val="237"/>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liabilities</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968</w:t>
            </w:r>
          </w:p>
        </w:tc>
      </w:tr>
      <w:tr>
        <w:trPr>
          <w:trHeight w:val="237"/>
        </w:trPr>
        <w:tc>
          <w:tcPr>
            <w:tcW w:w="9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liabilities assumed</w:t>
            </w: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49,674</w:t>
            </w:r>
          </w:p>
        </w:tc>
      </w:tr>
      <w:tr>
        <w:trPr>
          <w:trHeight w:val="243"/>
        </w:trPr>
        <w:tc>
          <w:tcPr>
            <w:tcW w:w="9620" w:type="dxa"/>
            <w:vAlign w:val="bottom"/>
          </w:tcPr>
          <w:p>
            <w:pPr>
              <w:ind w:left="20"/>
              <w:spacing w:after="0"/>
              <w:rPr>
                <w:sz w:val="20"/>
                <w:szCs w:val="20"/>
                <w:color w:val="auto"/>
              </w:rPr>
            </w:pPr>
            <w:r>
              <w:rPr>
                <w:rFonts w:ascii="Arial" w:cs="Arial" w:eastAsia="Arial" w:hAnsi="Arial"/>
                <w:sz w:val="16"/>
                <w:szCs w:val="16"/>
                <w:color w:val="auto"/>
              </w:rPr>
              <w:t>Total purchase price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360,321</w:t>
            </w:r>
          </w:p>
        </w:tc>
      </w:tr>
      <w:tr>
        <w:trPr>
          <w:trHeight w:val="21"/>
        </w:trPr>
        <w:tc>
          <w:tcPr>
            <w:tcW w:w="9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The goodwill, recognized in our Motorhome segment, is primarily attributable to the value of the workforce, reputation of founders, customer and dealer growth opportunities, and expected synergies. Key areas of cost synergies include increased purchasing power for raw materials and supply chain consolidation. Goodwill is expected to be mostly deductible for tax purposes.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20"/>
                <w:szCs w:val="20"/>
                <w:color w:val="auto"/>
              </w:rPr>
            </w:pPr>
            <w:r>
              <w:rPr>
                <w:rFonts w:ascii="Arial" w:cs="Arial" w:eastAsia="Arial" w:hAnsi="Arial"/>
                <w:sz w:val="16"/>
                <w:szCs w:val="16"/>
                <w:color w:val="auto"/>
              </w:rPr>
              <w:t>The following table summarizes the other intangible assets acquired:</w:t>
            </w:r>
          </w:p>
        </w:tc>
        <w:tc>
          <w:tcPr>
            <w:tcW w:w="1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56"/>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560" w:type="dxa"/>
            <w:vAlign w:val="bottom"/>
          </w:tcPr>
          <w:p>
            <w:pPr>
              <w:spacing w:after="0"/>
              <w:rPr>
                <w:sz w:val="22"/>
                <w:szCs w:val="22"/>
                <w:color w:val="auto"/>
              </w:rPr>
            </w:pP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November 8, 2019</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Useful Life-Years</w:t>
            </w:r>
          </w:p>
        </w:tc>
      </w:tr>
      <w:tr>
        <w:trPr>
          <w:trHeight w:val="243"/>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98,000</w:t>
            </w:r>
          </w:p>
        </w:tc>
        <w:tc>
          <w:tcPr>
            <w:tcW w:w="10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Indefinite</w:t>
            </w:r>
          </w:p>
        </w:tc>
      </w:tr>
      <w:tr>
        <w:trPr>
          <w:trHeight w:val="233"/>
        </w:trPr>
        <w:tc>
          <w:tcPr>
            <w:tcW w:w="6400" w:type="dxa"/>
            <w:vAlign w:val="bottom"/>
          </w:tcPr>
          <w:p>
            <w:pPr>
              <w:ind w:left="20"/>
              <w:spacing w:after="0"/>
              <w:rPr>
                <w:sz w:val="20"/>
                <w:szCs w:val="20"/>
                <w:color w:val="auto"/>
              </w:rPr>
            </w:pPr>
            <w:r>
              <w:rPr>
                <w:rFonts w:ascii="Arial" w:cs="Arial" w:eastAsia="Arial" w:hAnsi="Arial"/>
                <w:sz w:val="16"/>
                <w:szCs w:val="16"/>
                <w:color w:val="auto"/>
              </w:rPr>
              <w:t>Dealer network</w:t>
            </w:r>
          </w:p>
        </w:tc>
        <w:tc>
          <w:tcPr>
            <w:tcW w:w="156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64,000</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6"/>
              </w:rPr>
              <w:t>12.0</w:t>
            </w:r>
          </w:p>
        </w:tc>
      </w:tr>
      <w:tr>
        <w:trPr>
          <w:trHeight w:val="25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5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8,800</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r>
      <w:tr>
        <w:trPr>
          <w:trHeight w:val="223"/>
        </w:trPr>
        <w:tc>
          <w:tcPr>
            <w:tcW w:w="640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156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5.0</w:t>
            </w:r>
          </w:p>
        </w:tc>
      </w:tr>
    </w:tbl>
    <w:p>
      <w:pPr>
        <w:spacing w:after="0" w:line="37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fair value of the trade name and dealer network were estimated using an income approach. Under the income approach, an intangible asset's fair value is equal to the present value of the future economic benefits to be derived from ownership of the asset. The fair value of the trade name was estimated using an income approach, specifically the relief from royalty method. The relief from royalty method is based on the hypothetical royalty stream that would be received if we were to license the trade name and was based on expected revenues. The fair value of the trade name was estimated using an income approach, specifically the cost to recreate/cost saving method. This method uses the replacement of the asset as an indicator of the fair value of the asset. The useful life of the intangibles was determined considering the expected cash flows used to measure the fair value of the intangible assets adjusted for the entity-specific factors including legal, regulatory, contractual, competitive, economic or other factors that may limit the useful life of intangible assets. On the acquisition date, amortizable intangible assets had a weighted-average useful life of approximately 10.5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The results of Newmar's operations have been included in our Condensed Consolidated Financial Statements from the close of the acquisition within the Motorhome segment. The following table provides net revenues and operating income from the Newmar operating segment included in our consolidated results following the November 8, 2019 closing date: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Three Months</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8"/>
        </w:trPr>
        <w:tc>
          <w:tcPr>
            <w:tcW w:w="7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Ended</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Six Months Ended</w:t>
            </w:r>
          </w:p>
        </w:tc>
      </w:tr>
      <w:tr>
        <w:trPr>
          <w:trHeight w:val="237"/>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February 29, 2020</w:t>
            </w:r>
          </w:p>
        </w:tc>
      </w:tr>
      <w:tr>
        <w:trPr>
          <w:trHeight w:val="243"/>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138,416</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174,079</w:t>
            </w:r>
          </w:p>
        </w:tc>
      </w:tr>
      <w:tr>
        <w:trPr>
          <w:trHeight w:val="224"/>
        </w:trPr>
        <w:tc>
          <w:tcPr>
            <w:tcW w:w="790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2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2,551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3,863</w:t>
            </w:r>
          </w:p>
        </w:tc>
      </w:tr>
    </w:tbl>
    <w:p>
      <w:pPr>
        <w:spacing w:after="0" w:line="37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following unaudited pro forma information represents our results of operations as if the Fiscal 2020 acquisition of Newmar had occurred at the beginning of Fiscal 2019:</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236"/>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February 23, 2019</w:t>
            </w:r>
          </w:p>
        </w:tc>
        <w:tc>
          <w:tcPr>
            <w:tcW w:w="12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23, 2019</w:t>
            </w:r>
          </w:p>
        </w:tc>
      </w:tr>
      <w:tr>
        <w:trPr>
          <w:trHeight w:val="243"/>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626,810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579,163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1,368,527</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1,242,949</w:t>
            </w: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23,361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15,841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40,561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26,511</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0.79</w:t>
            </w:r>
          </w:p>
        </w:tc>
      </w:tr>
      <w:tr>
        <w:trPr>
          <w:trHeight w:val="224"/>
        </w:trPr>
        <w:tc>
          <w:tcPr>
            <w:tcW w:w="4440" w:type="dxa"/>
            <w:vAlign w:val="bottom"/>
          </w:tcPr>
          <w:p>
            <w:pPr>
              <w:ind w:left="20"/>
              <w:spacing w:after="0"/>
              <w:rPr>
                <w:sz w:val="20"/>
                <w:szCs w:val="20"/>
                <w:color w:val="auto"/>
              </w:rPr>
            </w:pPr>
            <w:r>
              <w:rPr>
                <w:rFonts w:ascii="Arial" w:cs="Arial" w:eastAsia="Arial" w:hAnsi="Arial"/>
                <w:sz w:val="16"/>
                <w:szCs w:val="16"/>
                <w:color w:val="auto"/>
              </w:rPr>
              <w:t>Income per share - diluted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0.79</w:t>
            </w:r>
          </w:p>
        </w:tc>
      </w:tr>
    </w:tbl>
    <w:p>
      <w:pPr>
        <w:spacing w:after="0" w:line="37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Newmar had occurred at the beginning of Fiscal 2019:</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3320" w:type="dxa"/>
            <w:vAlign w:val="bottom"/>
            <w:tcBorders>
              <w:bottom w:val="single" w:sz="8" w:color="auto"/>
            </w:tcBorders>
            <w:gridSpan w:val="2"/>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36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b w:val="1"/>
                <w:bCs w:val="1"/>
                <w:color w:val="auto"/>
              </w:rPr>
              <w:t>Six Months Ended</w:t>
            </w:r>
          </w:p>
        </w:tc>
      </w:tr>
      <w:tr>
        <w:trPr>
          <w:trHeight w:val="224"/>
        </w:trPr>
        <w:tc>
          <w:tcPr>
            <w:tcW w:w="44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660" w:type="dxa"/>
            <w:vAlign w:val="bottom"/>
          </w:tcPr>
          <w:p>
            <w:pPr>
              <w:ind w:left="120"/>
              <w:spacing w:after="0"/>
              <w:rPr>
                <w:sz w:val="20"/>
                <w:szCs w:val="20"/>
                <w:color w:val="auto"/>
              </w:rPr>
            </w:pPr>
            <w:r>
              <w:rPr>
                <w:rFonts w:ascii="Arial" w:cs="Arial" w:eastAsia="Arial" w:hAnsi="Arial"/>
                <w:sz w:val="16"/>
                <w:szCs w:val="16"/>
                <w:b w:val="1"/>
                <w:bCs w:val="1"/>
                <w:color w:val="auto"/>
              </w:rPr>
              <w:t>February 29, 2020</w:t>
            </w: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February 23, 2019</w:t>
            </w:r>
          </w:p>
        </w:tc>
        <w:tc>
          <w:tcPr>
            <w:tcW w:w="1680" w:type="dxa"/>
            <w:vAlign w:val="bottom"/>
          </w:tcPr>
          <w:p>
            <w:pPr>
              <w:ind w:left="140"/>
              <w:spacing w:after="0"/>
              <w:rPr>
                <w:sz w:val="20"/>
                <w:szCs w:val="20"/>
                <w:color w:val="auto"/>
              </w:rPr>
            </w:pPr>
            <w:r>
              <w:rPr>
                <w:rFonts w:ascii="Arial" w:cs="Arial" w:eastAsia="Arial" w:hAnsi="Arial"/>
                <w:sz w:val="16"/>
                <w:szCs w:val="16"/>
                <w:b w:val="1"/>
                <w:bCs w:val="1"/>
                <w:color w:val="auto"/>
              </w:rPr>
              <w:t>February 29, 2020</w:t>
            </w:r>
          </w:p>
        </w:tc>
        <w:tc>
          <w:tcPr>
            <w:tcW w:w="1680" w:type="dxa"/>
            <w:vAlign w:val="bottom"/>
          </w:tcPr>
          <w:p>
            <w:pPr>
              <w:ind w:left="180"/>
              <w:spacing w:after="0"/>
              <w:rPr>
                <w:sz w:val="20"/>
                <w:szCs w:val="20"/>
                <w:color w:val="auto"/>
              </w:rPr>
            </w:pPr>
            <w:r>
              <w:rPr>
                <w:rFonts w:ascii="Arial" w:cs="Arial" w:eastAsia="Arial" w:hAnsi="Arial"/>
                <w:sz w:val="16"/>
                <w:szCs w:val="16"/>
                <w:b w:val="1"/>
                <w:bCs w:val="1"/>
                <w:color w:val="auto"/>
              </w:rPr>
              <w:t>February 23,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1517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59" w:lineRule="exact"/>
        <w:rPr>
          <w:sz w:val="20"/>
          <w:szCs w:val="20"/>
          <w:color w:val="auto"/>
        </w:rPr>
      </w:pPr>
    </w:p>
    <w:p>
      <w:pPr>
        <w:ind w:left="20"/>
        <w:spacing w:after="0"/>
        <w:tabs>
          <w:tab w:leader="none" w:pos="4440" w:val="left"/>
        </w:tabs>
        <w:rPr>
          <w:sz w:val="20"/>
          <w:szCs w:val="20"/>
          <w:color w:val="auto"/>
        </w:rPr>
      </w:pPr>
      <w:r>
        <w:rPr>
          <w:rFonts w:ascii="Arial" w:cs="Arial" w:eastAsia="Arial" w:hAnsi="Arial"/>
          <w:sz w:val="16"/>
          <w:szCs w:val="16"/>
          <w:color w:val="auto"/>
        </w:rPr>
        <w:t>Amortization of intangibles (1 year or less useful life)</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4"/>
          <w:szCs w:val="14"/>
          <w:color w:val="auto"/>
        </w:rPr>
        <w:t>$</w:t>
      </w:r>
    </w:p>
    <w:p>
      <w:pPr>
        <w:ind w:left="20"/>
        <w:spacing w:after="0" w:line="232" w:lineRule="auto"/>
        <w:rPr>
          <w:sz w:val="20"/>
          <w:szCs w:val="20"/>
          <w:color w:val="auto"/>
        </w:rPr>
      </w:pPr>
      <w:r>
        <w:rPr>
          <w:rFonts w:ascii="Arial" w:cs="Arial" w:eastAsia="Arial" w:hAnsi="Arial"/>
          <w:sz w:val="16"/>
          <w:szCs w:val="16"/>
          <w:color w:val="auto"/>
        </w:rPr>
        <w:t>Amortization of intangibles</w:t>
      </w:r>
      <w:r>
        <w:rPr>
          <w:rFonts w:ascii="Arial" w:cs="Arial" w:eastAsia="Arial" w:hAnsi="Arial"/>
          <w:sz w:val="21"/>
          <w:szCs w:val="21"/>
          <w:color w:val="auto"/>
          <w:vertAlign w:val="superscript"/>
        </w:rPr>
        <w:t>(2)</w:t>
      </w:r>
    </w:p>
    <w:p>
      <w:pPr>
        <w:ind w:left="20" w:right="740"/>
        <w:spacing w:after="0" w:line="226" w:lineRule="auto"/>
        <w:rPr>
          <w:sz w:val="20"/>
          <w:szCs w:val="20"/>
          <w:color w:val="auto"/>
        </w:rPr>
      </w:pPr>
      <w:r>
        <w:rPr>
          <w:rFonts w:ascii="Arial" w:cs="Arial" w:eastAsia="Arial" w:hAnsi="Arial"/>
          <w:sz w:val="16"/>
          <w:szCs w:val="16"/>
          <w:color w:val="auto"/>
        </w:rPr>
        <w:t>Expenses related to business combination (transaction costs)</w:t>
      </w:r>
      <w:r>
        <w:rPr>
          <w:rFonts w:ascii="Arial" w:cs="Arial" w:eastAsia="Arial" w:hAnsi="Arial"/>
          <w:sz w:val="21"/>
          <w:szCs w:val="21"/>
          <w:color w:val="auto"/>
          <w:vertAlign w:val="superscript"/>
        </w:rPr>
        <w:t>(3)</w:t>
      </w:r>
    </w:p>
    <w:p>
      <w:pPr>
        <w:ind w:left="20"/>
        <w:spacing w:after="0" w:line="218" w:lineRule="auto"/>
        <w:rPr>
          <w:sz w:val="20"/>
          <w:szCs w:val="20"/>
          <w:color w:val="auto"/>
        </w:rPr>
      </w:pPr>
      <w:r>
        <w:rPr>
          <w:rFonts w:ascii="Arial" w:cs="Arial" w:eastAsia="Arial" w:hAnsi="Arial"/>
          <w:sz w:val="16"/>
          <w:szCs w:val="16"/>
          <w:color w:val="auto"/>
        </w:rPr>
        <w:t>Interest to reflect new debt structure</w:t>
      </w:r>
      <w:r>
        <w:rPr>
          <w:rFonts w:ascii="Arial" w:cs="Arial" w:eastAsia="Arial" w:hAnsi="Arial"/>
          <w:sz w:val="21"/>
          <w:szCs w:val="21"/>
          <w:color w:val="auto"/>
          <w:vertAlign w:val="superscript"/>
        </w:rPr>
        <w:t>(4)</w:t>
      </w:r>
    </w:p>
    <w:p>
      <w:pPr>
        <w:spacing w:after="0" w:line="1" w:lineRule="exact"/>
        <w:rPr>
          <w:sz w:val="20"/>
          <w:szCs w:val="20"/>
          <w:color w:val="auto"/>
        </w:rPr>
      </w:pPr>
    </w:p>
    <w:p>
      <w:pPr>
        <w:ind w:left="20" w:right="300"/>
        <w:spacing w:after="0" w:line="242" w:lineRule="auto"/>
        <w:rPr>
          <w:sz w:val="20"/>
          <w:szCs w:val="20"/>
          <w:color w:val="auto"/>
        </w:rPr>
      </w:pPr>
      <w:r>
        <w:rPr>
          <w:rFonts w:ascii="Arial" w:cs="Arial" w:eastAsia="Arial" w:hAnsi="Arial"/>
          <w:sz w:val="16"/>
          <w:szCs w:val="16"/>
          <w:color w:val="auto"/>
        </w:rPr>
        <w:t>Taxes related to the adjustments to the pro forma data and to the income of Newmar</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jc w:val="right"/>
              <w:ind w:right="99"/>
              <w:spacing w:after="0"/>
              <w:rPr>
                <w:sz w:val="20"/>
                <w:szCs w:val="20"/>
                <w:color w:val="auto"/>
              </w:rPr>
            </w:pPr>
            <w:r>
              <w:rPr>
                <w:rFonts w:ascii="Arial" w:cs="Arial" w:eastAsia="Arial" w:hAnsi="Arial"/>
                <w:sz w:val="16"/>
                <w:szCs w:val="16"/>
                <w:color w:val="auto"/>
              </w:rPr>
              <w:t>8,023</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(4,400)</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10,274</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(13,610)</w:t>
            </w:r>
          </w:p>
        </w:tc>
      </w:tr>
      <w:tr>
        <w:trPr>
          <w:trHeight w:val="243"/>
        </w:trPr>
        <w:tc>
          <w:tcPr>
            <w:tcW w:w="6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64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(1,394)</w:t>
            </w:r>
          </w:p>
        </w:tc>
        <w:tc>
          <w:tcPr>
            <w:tcW w:w="64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(1,059)</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(2,789)</w:t>
            </w:r>
          </w:p>
        </w:tc>
      </w:tr>
      <w:tr>
        <w:trPr>
          <w:trHeight w:val="310"/>
        </w:trPr>
        <w:tc>
          <w:tcPr>
            <w:tcW w:w="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640" w:type="dxa"/>
            <w:vAlign w:val="bottom"/>
          </w:tcPr>
          <w:p>
            <w:pPr>
              <w:spacing w:after="0"/>
              <w:rPr>
                <w:sz w:val="24"/>
                <w:szCs w:val="24"/>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9,950</w:t>
            </w: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(11,254)</w:t>
            </w:r>
          </w:p>
        </w:tc>
      </w:tr>
      <w:tr>
        <w:trPr>
          <w:trHeight w:val="310"/>
        </w:trPr>
        <w:tc>
          <w:tcPr>
            <w:tcW w:w="64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64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(4,624)</w:t>
            </w:r>
          </w:p>
        </w:tc>
        <w:tc>
          <w:tcPr>
            <w:tcW w:w="64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(3,671)</w:t>
            </w: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(9,170)</w:t>
            </w:r>
          </w:p>
        </w:tc>
      </w:tr>
      <w:tr>
        <w:trPr>
          <w:trHeight w:val="378"/>
        </w:trPr>
        <w:tc>
          <w:tcPr>
            <w:tcW w:w="640" w:type="dxa"/>
            <w:vAlign w:val="bottom"/>
          </w:tcPr>
          <w:p>
            <w:pPr>
              <w:jc w:val="right"/>
              <w:ind w:right="39"/>
              <w:spacing w:after="0"/>
              <w:rPr>
                <w:sz w:val="20"/>
                <w:szCs w:val="20"/>
                <w:color w:val="auto"/>
              </w:rPr>
            </w:pPr>
            <w:r>
              <w:rPr>
                <w:rFonts w:ascii="Arial" w:cs="Arial" w:eastAsia="Arial" w:hAnsi="Arial"/>
                <w:sz w:val="16"/>
                <w:szCs w:val="16"/>
                <w:color w:val="auto"/>
                <w:w w:val="98"/>
              </w:rPr>
              <w:t>(1,619)</w:t>
            </w:r>
          </w:p>
        </w:tc>
        <w:tc>
          <w:tcPr>
            <w:tcW w:w="640" w:type="dxa"/>
            <w:vAlign w:val="bottom"/>
          </w:tcPr>
          <w:p>
            <w:pPr>
              <w:spacing w:after="0"/>
              <w:rPr>
                <w:sz w:val="24"/>
                <w:szCs w:val="24"/>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1,530</w:t>
            </w:r>
          </w:p>
        </w:tc>
        <w:tc>
          <w:tcPr>
            <w:tcW w:w="64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(2,452)</w:t>
            </w: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-621030</wp:posOffset>
            </wp:positionV>
            <wp:extent cx="7115175"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-226695</wp:posOffset>
            </wp:positionV>
            <wp:extent cx="7115175"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4700" w:space="720"/>
            <w:col w:w="5820"/>
          </w:cols>
          <w:pgMar w:left="320" w:top="141" w:right="339" w:bottom="1440" w:gutter="0" w:footer="0" w:header="0"/>
          <w:type w:val="continuous"/>
        </w:sect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amortization adjustments for our backlog intangible asset and our fair-value inventory adjustment.</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amortization adjustments for our dealer network and non-compete intangible assets.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Pro forma transaction costs include $0.6 million incurred prior to the acquisition.</w:t>
      </w:r>
    </w:p>
    <w:p>
      <w:pPr>
        <w:spacing w:after="0" w:line="1" w:lineRule="exact"/>
        <w:rPr>
          <w:rFonts w:ascii="Arial" w:cs="Arial" w:eastAsia="Arial" w:hAnsi="Arial"/>
          <w:sz w:val="14"/>
          <w:szCs w:val="14"/>
          <w:color w:val="auto"/>
        </w:rPr>
      </w:pPr>
    </w:p>
    <w:p>
      <w:pPr>
        <w:ind w:left="260" w:right="600" w:hanging="252"/>
        <w:spacing w:after="0" w:line="241" w:lineRule="auto"/>
        <w:tabs>
          <w:tab w:leader="none" w:pos="233"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Includes adjustments for cash and non-cash interest expense as well as deferred financing costs. Refer to Note 9, </w:t>
      </w:r>
      <w:r>
        <w:rPr>
          <w:rFonts w:ascii="Arial" w:cs="Arial" w:eastAsia="Arial" w:hAnsi="Arial"/>
          <w:sz w:val="14"/>
          <w:szCs w:val="14"/>
          <w:i w:val="1"/>
          <w:iCs w:val="1"/>
          <w:color w:val="auto"/>
        </w:rPr>
        <w:t>Long-Term Debt,</w:t>
      </w:r>
      <w:r>
        <w:rPr>
          <w:rFonts w:ascii="Arial" w:cs="Arial" w:eastAsia="Arial" w:hAnsi="Arial"/>
          <w:sz w:val="14"/>
          <w:szCs w:val="14"/>
          <w:color w:val="auto"/>
        </w:rPr>
        <w:t xml:space="preserve"> for additional information on the Company's new debt structure as a result of the acquisition.</w:t>
      </w: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using our U.S. federal statutory rate of 21.0%.</w:t>
      </w:r>
    </w:p>
    <w:p>
      <w:pPr>
        <w:spacing w:after="0" w:line="24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unaudited pro forma information is not necessarily indicative of the results that we would have achieved had the transaction actually taken place at the beginning of Fiscal 2019,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Transaction costs related to the Newmar acquisition were $10.6 million, of which $10.0 million were expensed during the first quarter of Fiscal 2020 and $0.6 million were expensed during the fourth quarter of Fiscal 2019. Transaction costs are included in Selling, general, and administrative expenses in the accompanying Condensed Consolidated Statements of Income and Comprehensive Income.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Business Segments</w:t>
      </w:r>
    </w:p>
    <w:p>
      <w:pPr>
        <w:spacing w:after="0" w:line="26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have six operating segments: 1) Grand Design towables, 2) Winnebago towables, 3) Winnebago motorhomes, 4) Newmar motorhomes, 5) Chris-Craft marine, and 6) Winnebago specialty vehicles. We evaluate performance based on each operating segment's Adjusted EBITDA, as defined below, which excludes certain corporate administration expenses and non-operating income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two reportable segments include: 1) Towable (comprised of products which are not motorized and are generally towed by another vehicle as well as other related manufactured products and services), which is an aggregation of the Grand Design towables and the Winnebago towables operating segments and 2) Motorhome (comprised of products that include a motorized chassis as well as other related manufactured products and services), which is an aggregation of the Winnebago motorhomes and Newmar motorhomes operating segments.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expenses related to certain corporate administration expenses for the oversight of the enterprise. These expenses include items such as corporate leadership and administration costs.</w:t>
      </w:r>
    </w:p>
    <w:p>
      <w:pPr>
        <w:spacing w:after="0" w:line="22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22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Our chief operating decision maker ("CODM") is our Chief Executive Officer. Our CODM relies on internal management reporting that analyzes consolidated results to the net earnings level and operating segment's Adjusted EBITDA. Our CODM has ultimate responsibility for enterprise decisions. Our CODM determines, in particular, resource allocation for, and monitors the performance of, the consolidated enterprise, the Towable segment, and the Motorhome segment. The operating segments' management have responsibility for operating decisions, allocating resources, and assessing performance within their respective segments. The accounting policies of both reportable segments are the same and are described in Note 1,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w:t>
      </w:r>
      <w:r>
        <w:rPr>
          <w:rFonts w:ascii="Arial" w:cs="Arial" w:eastAsia="Arial" w:hAnsi="Arial"/>
          <w:sz w:val="16"/>
          <w:szCs w:val="16"/>
          <w:color w:val="auto"/>
        </w:rPr>
        <w:t>, of the Notes to Consolidated Financial Statements included in our Annual Report on Form 10-K for the fiscal year ended August 31, 2019.</w:t>
      </w:r>
    </w:p>
    <w:p>
      <w:pPr>
        <w:spacing w:after="0" w:line="232"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We evaluate the performance of our reportable segments based on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Examples of items excluded from Adjusted EBITDA include acquisition-related fair-value inventory step-up, acquisition-related costs, restructuring expenses, and non-operating income.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by reportable segment: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w:t>
            </w:r>
          </w:p>
        </w:tc>
        <w:tc>
          <w:tcPr>
            <w:tcW w:w="20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29,</w:t>
            </w:r>
          </w:p>
        </w:tc>
        <w:tc>
          <w:tcPr>
            <w:tcW w:w="220" w:type="dxa"/>
            <w:vAlign w:val="bottom"/>
          </w:tcPr>
          <w:p>
            <w:pPr>
              <w:spacing w:after="0"/>
              <w:rPr>
                <w:sz w:val="17"/>
                <w:szCs w:val="17"/>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23,</w:t>
            </w:r>
          </w:p>
        </w:tc>
      </w:tr>
      <w:tr>
        <w:trPr>
          <w:trHeight w:val="22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283,463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250,691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624,713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543,524</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325,542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164,662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551,433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345,990</w:t>
            </w:r>
          </w:p>
        </w:tc>
      </w:tr>
      <w:tr>
        <w:trPr>
          <w:trHeight w:val="23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17,805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17,337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39,122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36,824</w:t>
            </w:r>
          </w:p>
        </w:tc>
      </w:tr>
      <w:tr>
        <w:trPr>
          <w:trHeight w:val="268"/>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626,810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432,690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1,215,268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926,338</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34,746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33,638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70,531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64,466</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14,946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24,277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16,335</w:t>
            </w:r>
          </w:p>
        </w:tc>
      </w:tr>
      <w:tr>
        <w:trPr>
          <w:trHeight w:val="23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(7,860)</w:t>
            </w:r>
          </w:p>
        </w:tc>
      </w:tr>
      <w:tr>
        <w:trPr>
          <w:trHeight w:val="268"/>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45,429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34,488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87,477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72,941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5,640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7,648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9,666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16,525</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5,372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5,390</w:t>
            </w:r>
          </w:p>
        </w:tc>
      </w:tr>
      <w:tr>
        <w:trPr>
          <w:trHeight w:val="23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1,779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1,451</w:t>
            </w:r>
          </w:p>
        </w:tc>
      </w:tr>
      <w:tr>
        <w:trPr>
          <w:trHeight w:val="268"/>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12,433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10,595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19,057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23,366</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78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934"/>
        </w:trPr>
        <w:tc>
          <w:tcPr>
            <w:tcW w:w="1260" w:type="dxa"/>
            <w:vAlign w:val="bottom"/>
            <w:tcBorders>
              <w:top w:val="single" w:sz="8" w:color="0000FF"/>
            </w:tcBorders>
          </w:tcPr>
          <w:p>
            <w:pPr>
              <w:spacing w:after="0"/>
              <w:rPr>
                <w:sz w:val="24"/>
                <w:szCs w:val="24"/>
                <w:color w:val="auto"/>
              </w:rPr>
            </w:pPr>
          </w:p>
        </w:tc>
        <w:tc>
          <w:tcPr>
            <w:tcW w:w="6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w:t>
            </w:r>
          </w:p>
        </w:tc>
        <w:tc>
          <w:tcPr>
            <w:tcW w:w="240" w:type="dxa"/>
            <w:vAlign w:val="bottom"/>
          </w:tcPr>
          <w:p>
            <w:pPr>
              <w:spacing w:after="0"/>
              <w:rPr>
                <w:sz w:val="24"/>
                <w:szCs w:val="24"/>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78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4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3"/>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687,718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628,994</w:t>
            </w:r>
          </w:p>
        </w:tc>
      </w:tr>
      <w:tr>
        <w:trPr>
          <w:trHeight w:val="253"/>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653,014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332,157</w:t>
            </w:r>
          </w:p>
        </w:tc>
      </w:tr>
      <w:tr>
        <w:trPr>
          <w:trHeight w:val="237"/>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231,195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143,080</w:t>
            </w:r>
          </w:p>
        </w:tc>
      </w:tr>
      <w:tr>
        <w:trPr>
          <w:trHeight w:val="268"/>
        </w:trPr>
        <w:tc>
          <w:tcPr>
            <w:tcW w:w="78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1,571,927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1,104,231</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net income to consolidated Adjusted EBITDA: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236"/>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February 23, 2019</w:t>
            </w:r>
          </w:p>
        </w:tc>
        <w:tc>
          <w:tcPr>
            <w:tcW w:w="12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23, 2019</w:t>
            </w:r>
          </w:p>
        </w:tc>
      </w:tr>
      <w:tr>
        <w:trPr>
          <w:trHeight w:val="243"/>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17,268</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21,598</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31,336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43,759</w:t>
            </w: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8,651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14,700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8,847</w:t>
            </w: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 for income taxes</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3,995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7,888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9,892</w:t>
            </w: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4,134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7,720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6,268</w:t>
            </w:r>
          </w:p>
        </w:tc>
      </w:tr>
      <w:tr>
        <w:trPr>
          <w:trHeight w:val="246"/>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7,974</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11,588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4,926</w:t>
            </w: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EBITDA</w:t>
            </w:r>
          </w:p>
        </w:tc>
        <w:tc>
          <w:tcPr>
            <w:tcW w:w="1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34,476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73,232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73,692</w:t>
            </w: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Acquisition-related fair-value inventory step-up</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4,810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Acquisition-related costs</w:t>
            </w:r>
          </w:p>
        </w:tc>
        <w:tc>
          <w:tcPr>
            <w:tcW w:w="1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9,950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Restructuring expenses</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219</w:t>
            </w:r>
          </w:p>
        </w:tc>
      </w:tr>
      <w:tr>
        <w:trPr>
          <w:trHeight w:val="236"/>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Non-operating income</w:t>
            </w: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(970)</w:t>
            </w:r>
          </w:p>
        </w:tc>
      </w:tr>
      <w:tr>
        <w:trPr>
          <w:trHeight w:val="26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45,429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34,488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87,477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72,941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Derivatives,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We account for fair value measurements in accordance with Accounting Standards Codification ("ASC")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which defines fair value, establishes a framework for measurement, and expands disclosure about fair value measurement.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that are available in active markets for the identical assets or liabilities at the measurement date.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Other observable inputs available at the measurement date, other than quoted prices included in Level 1, either directly or indirectly, including:</w:t>
      </w:r>
    </w:p>
    <w:p>
      <w:pPr>
        <w:spacing w:after="0" w:line="2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232"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following tables set forth by level within the fair value hierarchy our financial assets and liabilities that were accounted for at fair value on a recurring basis at February 29, 2020 and August 31, 2019 according to the valuation techniques we used to determine their fair values: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184"/>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29,</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8"/>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9"/>
                <w:szCs w:val="19"/>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243"/>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37"/>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6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184"/>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August 31,</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8"/>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9"/>
                <w:szCs w:val="19"/>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r>
      <w:tr>
        <w:trPr>
          <w:trHeight w:val="243"/>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46"/>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rate swap contract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color w:val="auto"/>
              </w:rPr>
              <w:t>—</w:t>
            </w:r>
          </w:p>
        </w:tc>
      </w:tr>
      <w:tr>
        <w:trPr>
          <w:trHeight w:val="21"/>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6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 xml:space="preserve">Our assets that fund deferred compensation are marketable equity securities measured at fair value using quoted market prices and primarily consist of equity-based mutual funds. These securities are primarily classified as Level 1 as they are traded in an active market for which closing stock prices are readily available. These securities fund the Executive Share Option Plan and the Executive Deferred Compensation Plan. Refer to Note 10, </w:t>
      </w:r>
      <w:r>
        <w:rPr>
          <w:rFonts w:ascii="Arial" w:cs="Arial" w:eastAsia="Arial" w:hAnsi="Arial"/>
          <w:sz w:val="16"/>
          <w:szCs w:val="16"/>
          <w:i w:val="1"/>
          <w:iCs w:val="1"/>
          <w:color w:val="auto"/>
        </w:rPr>
        <w:t>Employee and</w:t>
      </w:r>
      <w:r>
        <w:rPr>
          <w:rFonts w:ascii="Arial" w:cs="Arial" w:eastAsia="Arial" w:hAnsi="Arial"/>
          <w:sz w:val="16"/>
          <w:szCs w:val="16"/>
          <w:color w:val="auto"/>
        </w:rPr>
        <w:t xml:space="preserve"> </w:t>
      </w:r>
      <w:r>
        <w:rPr>
          <w:rFonts w:ascii="Arial" w:cs="Arial" w:eastAsia="Arial" w:hAnsi="Arial"/>
          <w:sz w:val="16"/>
          <w:szCs w:val="16"/>
          <w:i w:val="1"/>
          <w:iCs w:val="1"/>
          <w:color w:val="auto"/>
        </w:rPr>
        <w:t>Retiree Benefits</w:t>
      </w:r>
      <w:r>
        <w:rPr>
          <w:rFonts w:ascii="Arial" w:cs="Arial" w:eastAsia="Arial" w:hAnsi="Arial"/>
          <w:sz w:val="16"/>
          <w:szCs w:val="16"/>
          <w:color w:val="auto"/>
        </w:rPr>
        <w:t>, of the Notes to Consolidated Financial Statements included in our Annual Report on Form 10-K for the fiscal year ended August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for additional information regarding these plans.</w:t>
      </w:r>
    </w:p>
    <w:p>
      <w:pPr>
        <w:spacing w:after="0" w:line="230"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in the accompanying Condensed Consolidated Balance Sheets. The remaining assets are classified as non-current and are included in Other assets.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26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On January 23, 2017, we entered into an interest rate swap contract, which effectively fixed our interest rate on our $300.0 million term loan agreement ("Term Loan") for a notional amount that reduced each December during the swap contract. As of August 31, 2019, we had $120.0 million of our Term Loan fixed at an interest rate of 5.32%. In the first quarter of Fiscal 2020, we exited the swap contract prior to its expiration on December 8, 2020.</w:t>
      </w:r>
    </w:p>
    <w:p>
      <w:pPr>
        <w:spacing w:after="0" w:line="228"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The fair value of the interest rate swap was classified as Level 2 as it was determined based on observable market data. The asset was included in Other assets on the Condensed Consolidated Balance Sheets. The change in value was recorded to Accumulated other comprehensive loss on the Condensed Consolidated Balance Sheets since the interest rate swap was designated for hedge accounting.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6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non-financial assets, which include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has occurred, the asset is required to be recorded at the estimated fair value. No impairments were recorded for non-financial assets in the second quarter of Fiscal 2020 or the second quarter of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Our financial instruments, other than those presented in the disclosures above, include cash, receivables, accounts payable, other payables, and long-term debt. The fair values of cash, receivables, accounts payable, and other payables approximated carrying values because of the short-term nature of these instruments. If these instruments were measured at fair value in the financial statements, they would be classified as Level 1 in the fair value hierarchy.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for information about the fair value of our long-term debt.</w:t>
      </w:r>
    </w:p>
    <w:p>
      <w:pPr>
        <w:sectPr>
          <w:pgSz w:w="11900" w:h="16838" w:orient="portrait"/>
          <w:cols w:equalWidth="0" w:num="1">
            <w:col w:w="11120"/>
          </w:cols>
          <w:pgMar w:left="320" w:top="141" w:right="459" w:bottom="1440" w:gutter="0" w:footer="0" w:header="0"/>
        </w:sect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62,569</w:t>
            </w: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21"/>
                <w:szCs w:val="21"/>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110,058</w:t>
            </w:r>
          </w:p>
        </w:tc>
        <w:tc>
          <w:tcPr>
            <w:tcW w:w="0" w:type="dxa"/>
            <w:vAlign w:val="bottom"/>
          </w:tcPr>
          <w:p>
            <w:pPr>
              <w:spacing w:after="0"/>
              <w:rPr>
                <w:sz w:val="1"/>
                <w:szCs w:val="1"/>
                <w:color w:val="auto"/>
              </w:rPr>
            </w:pP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106,865</w:t>
            </w:r>
          </w:p>
        </w:tc>
        <w:tc>
          <w:tcPr>
            <w:tcW w:w="0" w:type="dxa"/>
            <w:vAlign w:val="bottom"/>
          </w:tcPr>
          <w:p>
            <w:pPr>
              <w:spacing w:after="0"/>
              <w:rPr>
                <w:sz w:val="1"/>
                <w:szCs w:val="1"/>
                <w:color w:val="auto"/>
              </w:rPr>
            </w:pPr>
          </w:p>
        </w:tc>
      </w:tr>
      <w:tr>
        <w:trPr>
          <w:trHeight w:val="223"/>
        </w:trPr>
        <w:tc>
          <w:tcPr>
            <w:tcW w:w="7900" w:type="dxa"/>
            <w:vAlign w:val="bottom"/>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279,492</w:t>
            </w:r>
          </w:p>
        </w:tc>
        <w:tc>
          <w:tcPr>
            <w:tcW w:w="0" w:type="dxa"/>
            <w:vAlign w:val="bottom"/>
          </w:tcPr>
          <w:p>
            <w:pPr>
              <w:spacing w:after="0"/>
              <w:rPr>
                <w:sz w:val="1"/>
                <w:szCs w:val="1"/>
                <w:color w:val="auto"/>
              </w:rPr>
            </w:pP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Less last-in, first-out ("LIFO") reserve</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41,684</w:t>
            </w:r>
          </w:p>
        </w:tc>
        <w:tc>
          <w:tcPr>
            <w:tcW w:w="0" w:type="dxa"/>
            <w:vAlign w:val="bottom"/>
          </w:tcPr>
          <w:p>
            <w:pPr>
              <w:spacing w:after="0"/>
              <w:rPr>
                <w:sz w:val="1"/>
                <w:szCs w:val="1"/>
                <w:color w:val="auto"/>
              </w:rPr>
            </w:pPr>
          </w:p>
        </w:tc>
      </w:tr>
      <w:tr>
        <w:trPr>
          <w:trHeight w:val="243"/>
        </w:trPr>
        <w:tc>
          <w:tcPr>
            <w:tcW w:w="7900" w:type="dxa"/>
            <w:vAlign w:val="bottom"/>
          </w:tcPr>
          <w:p>
            <w:pPr>
              <w:ind w:left="12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237,808</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7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59"/>
              <w:spacing w:after="0"/>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7900" w:type="dxa"/>
            <w:vAlign w:val="bottom"/>
          </w:tcPr>
          <w:p>
            <w:pPr>
              <w:ind w:left="20"/>
              <w:spacing w:after="0"/>
              <w:rPr>
                <w:sz w:val="20"/>
                <w:szCs w:val="20"/>
                <w:color w:val="auto"/>
              </w:rPr>
            </w:pPr>
            <w:r>
              <w:rPr>
                <w:rFonts w:ascii="Arial" w:cs="Arial" w:eastAsia="Arial" w:hAnsi="Arial"/>
                <w:sz w:val="16"/>
                <w:szCs w:val="16"/>
                <w:color w:val="auto"/>
              </w:rPr>
              <w:t>LIFO basis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135,437</w:t>
            </w:r>
          </w:p>
        </w:tc>
        <w:tc>
          <w:tcPr>
            <w:tcW w:w="0" w:type="dxa"/>
            <w:vAlign w:val="bottom"/>
          </w:tcPr>
          <w:p>
            <w:pPr>
              <w:spacing w:after="0"/>
              <w:rPr>
                <w:sz w:val="1"/>
                <w:szCs w:val="1"/>
                <w:color w:val="auto"/>
              </w:rPr>
            </w:pP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First-in, first-out basis</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144,055</w:t>
            </w:r>
          </w:p>
        </w:tc>
        <w:tc>
          <w:tcPr>
            <w:tcW w:w="0" w:type="dxa"/>
            <w:vAlign w:val="bottom"/>
          </w:tcPr>
          <w:p>
            <w:pPr>
              <w:spacing w:after="0"/>
              <w:rPr>
                <w:sz w:val="1"/>
                <w:szCs w:val="1"/>
                <w:color w:val="auto"/>
              </w:rPr>
            </w:pPr>
          </w:p>
        </w:tc>
      </w:tr>
      <w:tr>
        <w:trPr>
          <w:trHeight w:val="243"/>
        </w:trPr>
        <w:tc>
          <w:tcPr>
            <w:tcW w:w="7900" w:type="dxa"/>
            <w:vAlign w:val="bottom"/>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279,492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-2133600</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29,</w:t>
            </w:r>
          </w:p>
        </w:tc>
      </w:t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Land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10,749</w:t>
            </w: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220" w:type="dxa"/>
            <w:vAlign w:val="bottom"/>
          </w:tcPr>
          <w:p>
            <w:pPr>
              <w:spacing w:after="0"/>
              <w:rPr>
                <w:sz w:val="21"/>
                <w:szCs w:val="21"/>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156,865</w:t>
            </w: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color w:val="auto"/>
              </w:rPr>
              <w:t>Machinery and equipment</w:t>
            </w:r>
          </w:p>
        </w:tc>
        <w:tc>
          <w:tcPr>
            <w:tcW w:w="220" w:type="dxa"/>
            <w:vAlign w:val="bottom"/>
          </w:tcPr>
          <w:p>
            <w:pPr>
              <w:spacing w:after="0"/>
              <w:rPr>
                <w:sz w:val="21"/>
                <w:szCs w:val="21"/>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113,957</w:t>
            </w: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color w:val="auto"/>
              </w:rPr>
              <w:t>Software</w:t>
            </w:r>
          </w:p>
        </w:tc>
        <w:tc>
          <w:tcPr>
            <w:tcW w:w="220" w:type="dxa"/>
            <w:vAlign w:val="bottom"/>
          </w:tcPr>
          <w:p>
            <w:pPr>
              <w:spacing w:after="0"/>
              <w:rPr>
                <w:sz w:val="21"/>
                <w:szCs w:val="21"/>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29,622</w:t>
            </w: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Transportation</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4,212</w:t>
            </w:r>
          </w:p>
        </w:tc>
      </w:tr>
      <w:tr>
        <w:trPr>
          <w:trHeight w:val="223"/>
        </w:trPr>
        <w:tc>
          <w:tcPr>
            <w:tcW w:w="7900" w:type="dxa"/>
            <w:vAlign w:val="bottom"/>
          </w:tcPr>
          <w:p>
            <w:pPr>
              <w:ind w:left="120"/>
              <w:spacing w:after="0"/>
              <w:rPr>
                <w:sz w:val="20"/>
                <w:szCs w:val="20"/>
                <w:color w:val="auto"/>
              </w:rPr>
            </w:pPr>
            <w:r>
              <w:rPr>
                <w:rFonts w:ascii="Arial" w:cs="Arial" w:eastAsia="Arial" w:hAnsi="Arial"/>
                <w:sz w:val="16"/>
                <w:szCs w:val="16"/>
                <w:color w:val="auto"/>
              </w:rPr>
              <w:t>Property, plant, and equipment, gross</w:t>
            </w:r>
          </w:p>
        </w:tc>
        <w:tc>
          <w:tcPr>
            <w:tcW w:w="22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315,405</w:t>
            </w: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145,565</w:t>
            </w:r>
          </w:p>
        </w:tc>
      </w:tr>
      <w:tr>
        <w:trPr>
          <w:trHeight w:val="243"/>
        </w:trPr>
        <w:tc>
          <w:tcPr>
            <w:tcW w:w="790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169,840</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1"/>
        <w:spacing w:after="0"/>
        <w:rPr>
          <w:sz w:val="20"/>
          <w:szCs w:val="20"/>
          <w:color w:val="auto"/>
        </w:rPr>
      </w:pPr>
      <w:r>
        <w:rPr>
          <w:rFonts w:ascii="Arial" w:cs="Arial" w:eastAsia="Arial" w:hAnsi="Arial"/>
          <w:sz w:val="16"/>
          <w:szCs w:val="16"/>
          <w:b w:val="1"/>
          <w:bCs w:val="1"/>
          <w:color w:val="auto"/>
        </w:rPr>
        <w:t>August 31,</w:t>
      </w:r>
    </w:p>
    <w:p>
      <w:pPr>
        <w:spacing w:after="0" w:line="25" w:lineRule="exact"/>
        <w:rPr>
          <w:sz w:val="20"/>
          <w:szCs w:val="20"/>
          <w:color w:val="auto"/>
        </w:rPr>
      </w:pPr>
    </w:p>
    <w:p>
      <w:pPr>
        <w:jc w:val="center"/>
        <w:ind w:right="-101"/>
        <w:spacing w:after="0"/>
        <w:rPr>
          <w:sz w:val="20"/>
          <w:szCs w:val="20"/>
          <w:color w:val="auto"/>
        </w:rPr>
      </w:pPr>
      <w:r>
        <w:rPr>
          <w:rFonts w:ascii="Arial" w:cs="Arial" w:eastAsia="Arial" w:hAnsi="Arial"/>
          <w:sz w:val="16"/>
          <w:szCs w:val="16"/>
          <w:b w:val="1"/>
          <w:bCs w:val="1"/>
          <w:color w:val="auto"/>
        </w:rPr>
        <w:t>2019</w:t>
      </w:r>
    </w:p>
    <w:p>
      <w:pPr>
        <w:spacing w:after="0" w:line="73" w:lineRule="exact"/>
        <w:rPr>
          <w:sz w:val="20"/>
          <w:szCs w:val="20"/>
          <w:color w:val="auto"/>
        </w:rPr>
      </w:pPr>
    </w:p>
    <w:p>
      <w:pPr>
        <w:ind w:left="962" w:hanging="962"/>
        <w:spacing w:after="0"/>
        <w:tabs>
          <w:tab w:leader="none" w:pos="962" w:val="left"/>
        </w:tabs>
        <w:numPr>
          <w:ilvl w:val="0"/>
          <w:numId w:val="4"/>
        </w:numPr>
        <w:rPr>
          <w:rFonts w:ascii="Arial" w:cs="Arial" w:eastAsia="Arial" w:hAnsi="Arial"/>
          <w:sz w:val="15"/>
          <w:szCs w:val="15"/>
          <w:color w:val="auto"/>
        </w:rPr>
      </w:pPr>
      <w:r>
        <w:rPr>
          <w:rFonts w:ascii="Arial" w:cs="Arial" w:eastAsia="Arial" w:hAnsi="Arial"/>
          <w:sz w:val="15"/>
          <w:szCs w:val="15"/>
          <w:color w:val="auto"/>
        </w:rPr>
        <w:t>53,417</w:t>
      </w:r>
    </w:p>
    <w:p>
      <w:pPr>
        <w:spacing w:after="0" w:line="70" w:lineRule="exact"/>
        <w:rPr>
          <w:rFonts w:ascii="Arial" w:cs="Arial" w:eastAsia="Arial" w:hAnsi="Arial"/>
          <w:sz w:val="15"/>
          <w:szCs w:val="15"/>
          <w:color w:val="auto"/>
        </w:rPr>
      </w:pPr>
    </w:p>
    <w:p>
      <w:pPr>
        <w:ind w:left="962"/>
        <w:spacing w:after="0"/>
        <w:rPr>
          <w:rFonts w:ascii="Arial" w:cs="Arial" w:eastAsia="Arial" w:hAnsi="Arial"/>
          <w:sz w:val="15"/>
          <w:szCs w:val="15"/>
          <w:color w:val="auto"/>
        </w:rPr>
      </w:pPr>
      <w:r>
        <w:rPr>
          <w:rFonts w:ascii="Arial" w:cs="Arial" w:eastAsia="Arial" w:hAnsi="Arial"/>
          <w:sz w:val="15"/>
          <w:szCs w:val="15"/>
          <w:color w:val="auto"/>
        </w:rPr>
        <w:t>82,926</w:t>
      </w:r>
    </w:p>
    <w:p>
      <w:pPr>
        <w:spacing w:after="0" w:line="7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105,804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28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242,147</w:t>
      </w:r>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28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53" w:lineRule="exact"/>
        <w:rPr>
          <w:sz w:val="20"/>
          <w:szCs w:val="20"/>
          <w:color w:val="auto"/>
        </w:rPr>
      </w:pPr>
    </w:p>
    <w:p>
      <w:pPr>
        <w:ind w:left="862" w:hanging="862"/>
        <w:spacing w:after="0"/>
        <w:tabs>
          <w:tab w:leader="none" w:pos="862" w:val="left"/>
        </w:tabs>
        <w:numPr>
          <w:ilvl w:val="0"/>
          <w:numId w:val="5"/>
        </w:numPr>
        <w:rPr>
          <w:rFonts w:ascii="Arial" w:cs="Arial" w:eastAsia="Arial" w:hAnsi="Arial"/>
          <w:sz w:val="16"/>
          <w:szCs w:val="16"/>
          <w:color w:val="auto"/>
        </w:rPr>
      </w:pPr>
      <w:r>
        <w:rPr>
          <w:rFonts w:ascii="Arial" w:cs="Arial" w:eastAsia="Arial" w:hAnsi="Arial"/>
          <w:sz w:val="16"/>
          <w:szCs w:val="16"/>
          <w:color w:val="auto"/>
        </w:rPr>
        <w:t>201,126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28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45085</wp:posOffset>
            </wp:positionV>
            <wp:extent cx="1028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1"/>
        <w:spacing w:after="0"/>
        <w:rPr>
          <w:sz w:val="20"/>
          <w:szCs w:val="20"/>
          <w:color w:val="auto"/>
        </w:rPr>
      </w:pPr>
      <w:r>
        <w:rPr>
          <w:rFonts w:ascii="Arial" w:cs="Arial" w:eastAsia="Arial" w:hAnsi="Arial"/>
          <w:sz w:val="16"/>
          <w:szCs w:val="16"/>
          <w:b w:val="1"/>
          <w:bCs w:val="1"/>
          <w:color w:val="auto"/>
        </w:rPr>
        <w:t>August 31,</w:t>
      </w:r>
    </w:p>
    <w:p>
      <w:pPr>
        <w:spacing w:after="0" w:line="25" w:lineRule="exact"/>
        <w:rPr>
          <w:sz w:val="20"/>
          <w:szCs w:val="20"/>
          <w:color w:val="auto"/>
        </w:rPr>
      </w:pPr>
    </w:p>
    <w:p>
      <w:pPr>
        <w:jc w:val="center"/>
        <w:ind w:right="-101"/>
        <w:spacing w:after="0"/>
        <w:rPr>
          <w:sz w:val="20"/>
          <w:szCs w:val="20"/>
          <w:color w:val="auto"/>
        </w:rPr>
      </w:pPr>
      <w:r>
        <w:rPr>
          <w:rFonts w:ascii="Arial" w:cs="Arial" w:eastAsia="Arial" w:hAnsi="Arial"/>
          <w:sz w:val="16"/>
          <w:szCs w:val="16"/>
          <w:b w:val="1"/>
          <w:bCs w:val="1"/>
          <w:color w:val="auto"/>
        </w:rPr>
        <w:t>2019</w:t>
      </w:r>
    </w:p>
    <w:p>
      <w:pPr>
        <w:spacing w:after="0" w:line="73" w:lineRule="exact"/>
        <w:rPr>
          <w:sz w:val="20"/>
          <w:szCs w:val="20"/>
          <w:color w:val="auto"/>
        </w:rPr>
      </w:pPr>
    </w:p>
    <w:p>
      <w:pPr>
        <w:ind w:left="862" w:hanging="862"/>
        <w:spacing w:after="0"/>
        <w:tabs>
          <w:tab w:leader="none" w:pos="862" w:val="left"/>
        </w:tabs>
        <w:numPr>
          <w:ilvl w:val="0"/>
          <w:numId w:val="6"/>
        </w:numPr>
        <w:rPr>
          <w:rFonts w:ascii="Arial" w:cs="Arial" w:eastAsia="Arial" w:hAnsi="Arial"/>
          <w:sz w:val="16"/>
          <w:szCs w:val="16"/>
          <w:color w:val="auto"/>
        </w:rPr>
      </w:pPr>
      <w:r>
        <w:rPr>
          <w:rFonts w:ascii="Arial" w:cs="Arial" w:eastAsia="Arial" w:hAnsi="Arial"/>
          <w:sz w:val="16"/>
          <w:szCs w:val="16"/>
          <w:color w:val="auto"/>
        </w:rPr>
        <w:t>184,007</w:t>
      </w:r>
    </w:p>
    <w:p>
      <w:pPr>
        <w:spacing w:after="0" w:line="59" w:lineRule="exact"/>
        <w:rPr>
          <w:rFonts w:ascii="Arial" w:cs="Arial" w:eastAsia="Arial" w:hAnsi="Arial"/>
          <w:sz w:val="16"/>
          <w:szCs w:val="16"/>
          <w:color w:val="auto"/>
        </w:rPr>
      </w:pPr>
    </w:p>
    <w:p>
      <w:pPr>
        <w:ind w:left="962"/>
        <w:spacing w:after="0"/>
        <w:rPr>
          <w:rFonts w:ascii="Arial" w:cs="Arial" w:eastAsia="Arial" w:hAnsi="Arial"/>
          <w:sz w:val="16"/>
          <w:szCs w:val="16"/>
          <w:color w:val="auto"/>
        </w:rPr>
      </w:pPr>
      <w:r>
        <w:rPr>
          <w:rFonts w:ascii="Arial" w:cs="Arial" w:eastAsia="Arial" w:hAnsi="Arial"/>
          <w:sz w:val="15"/>
          <w:szCs w:val="15"/>
          <w:color w:val="auto"/>
        </w:rPr>
        <w:t>58,140</w:t>
      </w:r>
    </w:p>
    <w:p>
      <w:pPr>
        <w:spacing w:after="0" w:line="84" w:lineRule="exact"/>
        <w:rPr>
          <w:sz w:val="20"/>
          <w:szCs w:val="20"/>
          <w:color w:val="auto"/>
        </w:rPr>
      </w:pPr>
    </w:p>
    <w:p>
      <w:pPr>
        <w:ind w:left="862" w:hanging="862"/>
        <w:spacing w:after="0"/>
        <w:tabs>
          <w:tab w:leader="none" w:pos="862" w:val="left"/>
        </w:tabs>
        <w:numPr>
          <w:ilvl w:val="0"/>
          <w:numId w:val="7"/>
        </w:numPr>
        <w:rPr>
          <w:rFonts w:ascii="Arial" w:cs="Arial" w:eastAsia="Arial" w:hAnsi="Arial"/>
          <w:sz w:val="16"/>
          <w:szCs w:val="16"/>
          <w:color w:val="auto"/>
        </w:rPr>
      </w:pPr>
      <w:r>
        <w:rPr>
          <w:rFonts w:ascii="Arial" w:cs="Arial" w:eastAsia="Arial" w:hAnsi="Arial"/>
          <w:sz w:val="16"/>
          <w:szCs w:val="16"/>
          <w:color w:val="auto"/>
        </w:rPr>
        <w:t>242,147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45085</wp:posOffset>
            </wp:positionV>
            <wp:extent cx="1028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1"/>
        <w:spacing w:after="0"/>
        <w:rPr>
          <w:sz w:val="20"/>
          <w:szCs w:val="20"/>
          <w:color w:val="auto"/>
        </w:rPr>
      </w:pPr>
      <w:r>
        <w:rPr>
          <w:rFonts w:ascii="Arial" w:cs="Arial" w:eastAsia="Arial" w:hAnsi="Arial"/>
          <w:sz w:val="16"/>
          <w:szCs w:val="16"/>
          <w:b w:val="1"/>
          <w:bCs w:val="1"/>
          <w:color w:val="auto"/>
        </w:rPr>
        <w:t>August 31,</w:t>
      </w:r>
    </w:p>
    <w:p>
      <w:pPr>
        <w:spacing w:after="0" w:line="25" w:lineRule="exact"/>
        <w:rPr>
          <w:sz w:val="20"/>
          <w:szCs w:val="20"/>
          <w:color w:val="auto"/>
        </w:rPr>
      </w:pPr>
    </w:p>
    <w:p>
      <w:pPr>
        <w:jc w:val="center"/>
        <w:ind w:right="-101"/>
        <w:spacing w:after="0"/>
        <w:rPr>
          <w:sz w:val="20"/>
          <w:szCs w:val="20"/>
          <w:color w:val="auto"/>
        </w:rPr>
      </w:pPr>
      <w:r>
        <w:rPr>
          <w:rFonts w:ascii="Arial" w:cs="Arial" w:eastAsia="Arial" w:hAnsi="Arial"/>
          <w:sz w:val="16"/>
          <w:szCs w:val="16"/>
          <w:b w:val="1"/>
          <w:bCs w:val="1"/>
          <w:color w:val="auto"/>
        </w:rPr>
        <w:t>2019</w:t>
      </w:r>
    </w:p>
    <w:p>
      <w:pPr>
        <w:spacing w:after="0" w:line="73" w:lineRule="exact"/>
        <w:rPr>
          <w:sz w:val="20"/>
          <w:szCs w:val="20"/>
          <w:color w:val="auto"/>
        </w:rPr>
      </w:pPr>
    </w:p>
    <w:p>
      <w:pPr>
        <w:ind w:left="1042" w:hanging="1042"/>
        <w:spacing w:after="0"/>
        <w:tabs>
          <w:tab w:leader="none" w:pos="1042" w:val="left"/>
        </w:tabs>
        <w:numPr>
          <w:ilvl w:val="0"/>
          <w:numId w:val="8"/>
        </w:numPr>
        <w:rPr>
          <w:rFonts w:ascii="Arial" w:cs="Arial" w:eastAsia="Arial" w:hAnsi="Arial"/>
          <w:sz w:val="15"/>
          <w:szCs w:val="15"/>
          <w:color w:val="auto"/>
        </w:rPr>
      </w:pPr>
      <w:r>
        <w:rPr>
          <w:rFonts w:ascii="Arial" w:cs="Arial" w:eastAsia="Arial" w:hAnsi="Arial"/>
          <w:sz w:val="15"/>
          <w:szCs w:val="15"/>
          <w:color w:val="auto"/>
        </w:rPr>
        <w:t>6,799</w:t>
      </w:r>
    </w:p>
    <w:p>
      <w:pPr>
        <w:spacing w:after="0" w:line="70" w:lineRule="exact"/>
        <w:rPr>
          <w:rFonts w:ascii="Arial" w:cs="Arial" w:eastAsia="Arial" w:hAnsi="Arial"/>
          <w:sz w:val="15"/>
          <w:szCs w:val="15"/>
          <w:color w:val="auto"/>
        </w:rPr>
      </w:pPr>
    </w:p>
    <w:p>
      <w:pPr>
        <w:ind w:left="862"/>
        <w:spacing w:after="0"/>
        <w:rPr>
          <w:rFonts w:ascii="Arial" w:cs="Arial" w:eastAsia="Arial" w:hAnsi="Arial"/>
          <w:sz w:val="15"/>
          <w:szCs w:val="15"/>
          <w:color w:val="auto"/>
        </w:rPr>
      </w:pPr>
      <w:r>
        <w:rPr>
          <w:rFonts w:ascii="Arial" w:cs="Arial" w:eastAsia="Arial" w:hAnsi="Arial"/>
          <w:sz w:val="16"/>
          <w:szCs w:val="16"/>
          <w:color w:val="auto"/>
        </w:rPr>
        <w:t>119,638</w:t>
      </w:r>
    </w:p>
    <w:p>
      <w:pPr>
        <w:spacing w:after="0" w:line="59" w:lineRule="exact"/>
        <w:rPr>
          <w:rFonts w:ascii="Arial" w:cs="Arial" w:eastAsia="Arial" w:hAnsi="Arial"/>
          <w:sz w:val="15"/>
          <w:szCs w:val="15"/>
          <w:color w:val="auto"/>
        </w:rPr>
      </w:pPr>
    </w:p>
    <w:p>
      <w:pPr>
        <w:ind w:left="862"/>
        <w:spacing w:after="0"/>
        <w:rPr>
          <w:rFonts w:ascii="Arial" w:cs="Arial" w:eastAsia="Arial" w:hAnsi="Arial"/>
          <w:sz w:val="15"/>
          <w:szCs w:val="15"/>
          <w:color w:val="auto"/>
        </w:rPr>
      </w:pPr>
      <w:r>
        <w:rPr>
          <w:rFonts w:ascii="Arial" w:cs="Arial" w:eastAsia="Arial" w:hAnsi="Arial"/>
          <w:sz w:val="16"/>
          <w:szCs w:val="16"/>
          <w:color w:val="auto"/>
        </w:rPr>
        <w:t>107,701</w:t>
      </w:r>
    </w:p>
    <w:p>
      <w:pPr>
        <w:spacing w:after="0" w:line="59" w:lineRule="exact"/>
        <w:rPr>
          <w:rFonts w:ascii="Arial" w:cs="Arial" w:eastAsia="Arial" w:hAnsi="Arial"/>
          <w:sz w:val="15"/>
          <w:szCs w:val="15"/>
          <w:color w:val="auto"/>
        </w:rPr>
      </w:pPr>
    </w:p>
    <w:p>
      <w:pPr>
        <w:ind w:left="962"/>
        <w:spacing w:after="0"/>
        <w:rPr>
          <w:rFonts w:ascii="Arial" w:cs="Arial" w:eastAsia="Arial" w:hAnsi="Arial"/>
          <w:sz w:val="15"/>
          <w:szCs w:val="15"/>
          <w:color w:val="auto"/>
        </w:rPr>
      </w:pPr>
      <w:r>
        <w:rPr>
          <w:rFonts w:ascii="Arial" w:cs="Arial" w:eastAsia="Arial" w:hAnsi="Arial"/>
          <w:sz w:val="15"/>
          <w:szCs w:val="15"/>
          <w:color w:val="auto"/>
        </w:rPr>
        <w:t>29,169</w:t>
      </w:r>
    </w:p>
    <w:p>
      <w:pPr>
        <w:spacing w:after="0" w:line="70" w:lineRule="exact"/>
        <w:rPr>
          <w:rFonts w:ascii="Arial" w:cs="Arial" w:eastAsia="Arial" w:hAnsi="Arial"/>
          <w:sz w:val="15"/>
          <w:szCs w:val="15"/>
          <w:color w:val="auto"/>
        </w:rPr>
      </w:pPr>
    </w:p>
    <w:p>
      <w:pPr>
        <w:ind w:left="1042"/>
        <w:spacing w:after="0"/>
        <w:rPr>
          <w:rFonts w:ascii="Arial" w:cs="Arial" w:eastAsia="Arial" w:hAnsi="Arial"/>
          <w:sz w:val="15"/>
          <w:szCs w:val="15"/>
          <w:color w:val="auto"/>
        </w:rPr>
      </w:pPr>
      <w:r>
        <w:rPr>
          <w:rFonts w:ascii="Arial" w:cs="Arial" w:eastAsia="Arial" w:hAnsi="Arial"/>
          <w:sz w:val="15"/>
          <w:szCs w:val="15"/>
          <w:color w:val="auto"/>
        </w:rPr>
        <w:t>3,865</w:t>
      </w:r>
    </w:p>
    <w:p>
      <w:pPr>
        <w:spacing w:after="0" w:line="84" w:lineRule="exact"/>
        <w:rPr>
          <w:rFonts w:ascii="Arial" w:cs="Arial" w:eastAsia="Arial" w:hAnsi="Arial"/>
          <w:sz w:val="15"/>
          <w:szCs w:val="15"/>
          <w:color w:val="auto"/>
        </w:rPr>
      </w:pPr>
    </w:p>
    <w:p>
      <w:pPr>
        <w:ind w:left="862"/>
        <w:spacing w:after="0"/>
        <w:rPr>
          <w:rFonts w:ascii="Arial" w:cs="Arial" w:eastAsia="Arial" w:hAnsi="Arial"/>
          <w:sz w:val="15"/>
          <w:szCs w:val="15"/>
          <w:color w:val="auto"/>
        </w:rPr>
      </w:pPr>
      <w:r>
        <w:rPr>
          <w:rFonts w:ascii="Arial" w:cs="Arial" w:eastAsia="Arial" w:hAnsi="Arial"/>
          <w:sz w:val="16"/>
          <w:szCs w:val="16"/>
          <w:color w:val="auto"/>
        </w:rPr>
        <w:t>267,172</w:t>
      </w:r>
    </w:p>
    <w:p>
      <w:pPr>
        <w:spacing w:after="0" w:line="59" w:lineRule="exact"/>
        <w:rPr>
          <w:rFonts w:ascii="Arial" w:cs="Arial" w:eastAsia="Arial" w:hAnsi="Arial"/>
          <w:sz w:val="15"/>
          <w:szCs w:val="15"/>
          <w:color w:val="auto"/>
        </w:rPr>
      </w:pPr>
    </w:p>
    <w:p>
      <w:pPr>
        <w:ind w:left="862"/>
        <w:spacing w:after="0"/>
        <w:rPr>
          <w:rFonts w:ascii="Arial" w:cs="Arial" w:eastAsia="Arial" w:hAnsi="Arial"/>
          <w:sz w:val="15"/>
          <w:szCs w:val="15"/>
          <w:color w:val="auto"/>
        </w:rPr>
      </w:pPr>
      <w:r>
        <w:rPr>
          <w:rFonts w:ascii="Arial" w:cs="Arial" w:eastAsia="Arial" w:hAnsi="Arial"/>
          <w:sz w:val="16"/>
          <w:szCs w:val="16"/>
          <w:color w:val="auto"/>
        </w:rPr>
        <w:t>139,600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28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-297180</wp:posOffset>
            </wp:positionV>
            <wp:extent cx="1028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53" w:lineRule="exact"/>
        <w:rPr>
          <w:sz w:val="20"/>
          <w:szCs w:val="20"/>
          <w:color w:val="auto"/>
        </w:rPr>
      </w:pPr>
    </w:p>
    <w:p>
      <w:pPr>
        <w:ind w:left="862" w:hanging="862"/>
        <w:spacing w:after="0"/>
        <w:tabs>
          <w:tab w:leader="none" w:pos="862" w:val="left"/>
        </w:tabs>
        <w:numPr>
          <w:ilvl w:val="0"/>
          <w:numId w:val="9"/>
        </w:numPr>
        <w:rPr>
          <w:rFonts w:ascii="Arial" w:cs="Arial" w:eastAsia="Arial" w:hAnsi="Arial"/>
          <w:sz w:val="16"/>
          <w:szCs w:val="16"/>
          <w:color w:val="auto"/>
        </w:rPr>
      </w:pPr>
      <w:r>
        <w:rPr>
          <w:rFonts w:ascii="Arial" w:cs="Arial" w:eastAsia="Arial" w:hAnsi="Arial"/>
          <w:sz w:val="16"/>
          <w:szCs w:val="16"/>
          <w:color w:val="auto"/>
        </w:rPr>
        <w:t>127,572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28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45085</wp:posOffset>
            </wp:positionV>
            <wp:extent cx="1028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9520" w:space="118"/>
            <w:col w:w="1482"/>
          </w:cols>
          <w:pgMar w:left="320" w:top="141" w:right="459" w:bottom="1440" w:gutter="0" w:footer="0" w:header="0"/>
          <w:type w:val="continuous"/>
        </w:sectPr>
      </w:pPr>
    </w:p>
    <w:p>
      <w:pPr>
        <w:spacing w:after="0" w:line="15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Depreciation expense was $4.1 million and $3.1 million during the second quarters of Fiscal 2020 and 2019, respectively; and $7.7 million and $6.3 million during the first six months of Fiscal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1" w:right="45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Intangible Assets</w:t>
      </w:r>
    </w:p>
    <w:p>
      <w:pPr>
        <w:spacing w:after="0" w:line="268"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The changes in the carrying amount of goodwill by segment were as follows for the first six months of Fiscal 2020 and 2019, of which there were no accumulated impairment losses: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Corporate / All</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Towable</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Motorhome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25, 2018</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244,684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29,686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274,370</w:t>
            </w:r>
          </w:p>
        </w:tc>
      </w:tr>
      <w:tr>
        <w:trPr>
          <w:trHeight w:val="24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Chris-Craft purchase price adjustment</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702</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February 23, 2019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244,684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30,388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275,072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31, 2019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244,684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30,247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274,931</w:t>
            </w:r>
          </w:p>
        </w:tc>
      </w:tr>
      <w:tr>
        <w:trPr>
          <w:trHeight w:val="24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Acquisition of Newmar</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73,929</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73,929</w:t>
            </w:r>
          </w:p>
        </w:tc>
      </w:tr>
      <w:tr>
        <w:trPr>
          <w:trHeight w:val="26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February 29, 2020</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244,684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73,929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30,247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348,860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right="20" w:hanging="252"/>
        <w:spacing w:after="0" w:line="251" w:lineRule="auto"/>
        <w:tabs>
          <w:tab w:leader="none" w:pos="2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of the Notes to Consolidated Financial Statements included in our Annual Report on Form 10-K for the fiscal year ended August 31, 2019 for additional information.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for additional information.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0" w:type="dxa"/>
            <w:vAlign w:val="bottom"/>
            <w:gridSpan w:val="8"/>
          </w:tcPr>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6"/>
        </w:trPr>
        <w:tc>
          <w:tcPr>
            <w:tcW w:w="2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jc w:val="right"/>
              <w:ind w:right="859"/>
              <w:spacing w:after="0"/>
              <w:rPr>
                <w:sz w:val="20"/>
                <w:szCs w:val="20"/>
                <w:color w:val="auto"/>
              </w:rPr>
            </w:pPr>
            <w:r>
              <w:rPr>
                <w:rFonts w:ascii="Arial" w:cs="Arial" w:eastAsia="Arial" w:hAnsi="Arial"/>
                <w:sz w:val="16"/>
                <w:szCs w:val="16"/>
                <w:b w:val="1"/>
                <w:bCs w:val="1"/>
                <w:color w:val="auto"/>
              </w:rPr>
              <w:t>August 31, 2019</w:t>
            </w:r>
          </w:p>
        </w:tc>
        <w:tc>
          <w:tcPr>
            <w:tcW w:w="40" w:type="dxa"/>
            <w:vAlign w:val="bottom"/>
          </w:tcPr>
          <w:p>
            <w:pPr>
              <w:spacing w:after="0"/>
              <w:rPr>
                <w:sz w:val="22"/>
                <w:szCs w:val="22"/>
                <w:color w:val="auto"/>
              </w:rPr>
            </w:pPr>
          </w:p>
        </w:tc>
      </w:tr>
      <w:tr>
        <w:trPr>
          <w:trHeight w:val="184"/>
        </w:trPr>
        <w:tc>
          <w:tcPr>
            <w:tcW w:w="2420" w:type="dxa"/>
            <w:vAlign w:val="bottom"/>
          </w:tcPr>
          <w:p>
            <w:pPr>
              <w:spacing w:after="0"/>
              <w:rPr>
                <w:sz w:val="16"/>
                <w:szCs w:val="16"/>
                <w:color w:val="auto"/>
              </w:rPr>
            </w:pPr>
          </w:p>
        </w:tc>
        <w:tc>
          <w:tcPr>
            <w:tcW w:w="1180" w:type="dxa"/>
            <w:vAlign w:val="bottom"/>
          </w:tcPr>
          <w:p>
            <w:pPr>
              <w:jc w:val="center"/>
              <w:ind w:left="19"/>
              <w:spacing w:after="0"/>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242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Average Life-</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Life-</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Accumulated</w:t>
            </w:r>
          </w:p>
        </w:tc>
        <w:tc>
          <w:tcPr>
            <w:tcW w:w="40" w:type="dxa"/>
            <w:vAlign w:val="bottom"/>
          </w:tcPr>
          <w:p>
            <w:pPr>
              <w:spacing w:after="0"/>
              <w:rPr>
                <w:sz w:val="16"/>
                <w:szCs w:val="16"/>
                <w:color w:val="auto"/>
              </w:rPr>
            </w:pPr>
          </w:p>
        </w:tc>
      </w:tr>
      <w:tr>
        <w:trPr>
          <w:trHeight w:val="228"/>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in thousands)</w:t>
            </w:r>
          </w:p>
        </w:tc>
        <w:tc>
          <w:tcPr>
            <w:tcW w:w="11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Cost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40" w:type="dxa"/>
            <w:vAlign w:val="bottom"/>
          </w:tcPr>
          <w:p>
            <w:pPr>
              <w:spacing w:after="0"/>
              <w:rPr>
                <w:sz w:val="19"/>
                <w:szCs w:val="19"/>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Indefinite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275,250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Indefinite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177,250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33"/>
        </w:trPr>
        <w:tc>
          <w:tcPr>
            <w:tcW w:w="242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180" w:type="dxa"/>
            <w:vAlign w:val="bottom"/>
          </w:tcPr>
          <w:p>
            <w:pPr>
              <w:jc w:val="center"/>
              <w:ind w:left="1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159,581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25,903</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95,581</w:t>
            </w: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20,329</w:t>
            </w:r>
          </w:p>
        </w:tc>
        <w:tc>
          <w:tcPr>
            <w:tcW w:w="40" w:type="dxa"/>
            <w:vAlign w:val="bottom"/>
          </w:tcPr>
          <w:p>
            <w:pPr>
              <w:spacing w:after="0"/>
              <w:rPr>
                <w:sz w:val="20"/>
                <w:szCs w:val="20"/>
                <w:color w:val="auto"/>
              </w:rPr>
            </w:pPr>
          </w:p>
        </w:tc>
      </w:tr>
      <w:tr>
        <w:trPr>
          <w:trHeight w:val="25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1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8"/>
              </w:rPr>
              <w:t>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24,991</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19,527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19,527</w:t>
            </w:r>
          </w:p>
        </w:tc>
        <w:tc>
          <w:tcPr>
            <w:tcW w:w="40" w:type="dxa"/>
            <w:vAlign w:val="bottom"/>
          </w:tcPr>
          <w:p>
            <w:pPr>
              <w:spacing w:after="0"/>
              <w:rPr>
                <w:sz w:val="21"/>
                <w:szCs w:val="21"/>
                <w:color w:val="auto"/>
              </w:rPr>
            </w:pPr>
          </w:p>
        </w:tc>
      </w:tr>
      <w:tr>
        <w:trPr>
          <w:trHeight w:val="233"/>
        </w:trPr>
        <w:tc>
          <w:tcPr>
            <w:tcW w:w="242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1180" w:type="dxa"/>
            <w:vAlign w:val="bottom"/>
          </w:tcPr>
          <w:p>
            <w:pPr>
              <w:jc w:val="center"/>
              <w:ind w:left="39"/>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6,647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3,626</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5,347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3,077</w:t>
            </w:r>
          </w:p>
        </w:tc>
        <w:tc>
          <w:tcPr>
            <w:tcW w:w="40" w:type="dxa"/>
            <w:vAlign w:val="bottom"/>
          </w:tcPr>
          <w:p>
            <w:pPr>
              <w:spacing w:after="0"/>
              <w:rPr>
                <w:sz w:val="20"/>
                <w:szCs w:val="20"/>
                <w:color w:val="auto"/>
              </w:rPr>
            </w:pPr>
          </w:p>
        </w:tc>
      </w:tr>
      <w:tr>
        <w:trPr>
          <w:trHeight w:val="24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interest-favorable</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2,000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690</w:t>
            </w:r>
          </w:p>
        </w:tc>
        <w:tc>
          <w:tcPr>
            <w:tcW w:w="40" w:type="dxa"/>
            <w:vAlign w:val="bottom"/>
          </w:tcPr>
          <w:p>
            <w:pPr>
              <w:spacing w:after="0"/>
              <w:rPr>
                <w:sz w:val="21"/>
                <w:szCs w:val="21"/>
                <w:color w:val="auto"/>
              </w:rPr>
            </w:pPr>
          </w:p>
        </w:tc>
      </w:tr>
      <w:tr>
        <w:trPr>
          <w:trHeight w:val="233"/>
        </w:trPr>
        <w:tc>
          <w:tcPr>
            <w:tcW w:w="2420" w:type="dxa"/>
            <w:vAlign w:val="bottom"/>
          </w:tcPr>
          <w:p>
            <w:pPr>
              <w:ind w:left="120"/>
              <w:spacing w:after="0"/>
              <w:rPr>
                <w:sz w:val="20"/>
                <w:szCs w:val="20"/>
                <w:color w:val="auto"/>
              </w:rPr>
            </w:pPr>
            <w:r>
              <w:rPr>
                <w:rFonts w:ascii="Arial" w:cs="Arial" w:eastAsia="Arial" w:hAnsi="Arial"/>
                <w:sz w:val="16"/>
                <w:szCs w:val="16"/>
                <w:color w:val="auto"/>
              </w:rPr>
              <w:t>Other intangible assets, gross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469,805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54,520</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299,705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43,623</w:t>
            </w:r>
          </w:p>
        </w:tc>
        <w:tc>
          <w:tcPr>
            <w:tcW w:w="40" w:type="dxa"/>
            <w:vAlign w:val="bottom"/>
          </w:tcPr>
          <w:p>
            <w:pPr>
              <w:spacing w:after="0"/>
              <w:rPr>
                <w:sz w:val="20"/>
                <w:szCs w:val="20"/>
                <w:color w:val="auto"/>
              </w:rPr>
            </w:pPr>
          </w:p>
        </w:tc>
      </w:tr>
      <w:tr>
        <w:trPr>
          <w:trHeight w:val="24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amortization</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54,520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43,623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420" w:type="dxa"/>
            <w:vAlign w:val="bottom"/>
          </w:tcPr>
          <w:p>
            <w:pPr>
              <w:ind w:left="120"/>
              <w:spacing w:after="0"/>
              <w:rPr>
                <w:sz w:val="20"/>
                <w:szCs w:val="20"/>
                <w:color w:val="auto"/>
              </w:rPr>
            </w:pPr>
            <w:r>
              <w:rPr>
                <w:rFonts w:ascii="Arial" w:cs="Arial" w:eastAsia="Arial" w:hAnsi="Arial"/>
                <w:sz w:val="16"/>
                <w:szCs w:val="16"/>
                <w:color w:val="auto"/>
              </w:rPr>
              <w:t>Other intangible assets, net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415,285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256,082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1"/>
        </w:trPr>
        <w:tc>
          <w:tcPr>
            <w:tcW w:w="9580" w:type="dxa"/>
            <w:vAlign w:val="bottom"/>
            <w:gridSpan w:val="13"/>
          </w:tcPr>
          <w:p>
            <w:pPr>
              <w:spacing w:after="0"/>
              <w:rPr>
                <w:sz w:val="20"/>
                <w:szCs w:val="20"/>
                <w:color w:val="auto"/>
              </w:rPr>
            </w:pPr>
            <w:r>
              <w:rPr>
                <w:rFonts w:ascii="Arial" w:cs="Arial" w:eastAsia="Arial" w:hAnsi="Arial"/>
                <w:sz w:val="16"/>
                <w:szCs w:val="16"/>
                <w:color w:val="auto"/>
              </w:rPr>
              <w:t>The weighted average remaining amortization period for intangible assets as of February 29, 2020 was approximately 10 years.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800" w:type="dxa"/>
            <w:vAlign w:val="bottom"/>
            <w:gridSpan w:val="8"/>
          </w:tcPr>
          <w:p>
            <w:pPr>
              <w:spacing w:after="0"/>
              <w:rPr>
                <w:sz w:val="20"/>
                <w:szCs w:val="20"/>
                <w:color w:val="auto"/>
              </w:rPr>
            </w:pPr>
            <w:r>
              <w:rPr>
                <w:rFonts w:ascii="Arial" w:cs="Arial" w:eastAsia="Arial" w:hAnsi="Arial"/>
                <w:sz w:val="16"/>
                <w:szCs w:val="16"/>
                <w:color w:val="auto"/>
              </w:rPr>
              <w:t>Remaining estimated aggregate annual amortization expense by fiscal year is as follows: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Amount</w:t>
            </w:r>
          </w:p>
        </w:tc>
        <w:tc>
          <w:tcPr>
            <w:tcW w:w="40" w:type="dxa"/>
            <w:vAlign w:val="bottom"/>
            <w:tcBorders>
              <w:bottom w:val="single" w:sz="8" w:color="auto"/>
            </w:tcBorders>
          </w:tcPr>
          <w:p>
            <w:pPr>
              <w:spacing w:after="0"/>
              <w:rPr>
                <w:sz w:val="22"/>
                <w:szCs w:val="22"/>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10,517</w:t>
            </w:r>
          </w:p>
        </w:tc>
        <w:tc>
          <w:tcPr>
            <w:tcW w:w="40" w:type="dxa"/>
            <w:vAlign w:val="bottom"/>
            <w:shd w:val="clear" w:color="auto" w:fill="CCEEFF"/>
          </w:tcPr>
          <w:p>
            <w:pPr>
              <w:spacing w:after="0"/>
              <w:rPr>
                <w:sz w:val="21"/>
                <w:szCs w:val="21"/>
                <w:color w:val="auto"/>
              </w:rPr>
            </w:pPr>
          </w:p>
        </w:tc>
      </w:tr>
      <w:tr>
        <w:trPr>
          <w:trHeight w:val="233"/>
        </w:trPr>
        <w:tc>
          <w:tcPr>
            <w:tcW w:w="2420" w:type="dxa"/>
            <w:vAlign w:val="bottom"/>
          </w:tcPr>
          <w:p>
            <w:pPr>
              <w:ind w:left="20"/>
              <w:spacing w:after="0"/>
              <w:rPr>
                <w:sz w:val="20"/>
                <w:szCs w:val="20"/>
                <w:color w:val="auto"/>
              </w:rPr>
            </w:pPr>
            <w:r>
              <w:rPr>
                <w:rFonts w:ascii="Arial" w:cs="Arial" w:eastAsia="Arial" w:hAnsi="Arial"/>
                <w:sz w:val="16"/>
                <w:szCs w:val="16"/>
                <w:color w:val="auto"/>
              </w:rPr>
              <w:t>Fiscal 2021</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14,361</w:t>
            </w:r>
          </w:p>
        </w:tc>
        <w:tc>
          <w:tcPr>
            <w:tcW w:w="40" w:type="dxa"/>
            <w:vAlign w:val="bottom"/>
          </w:tcPr>
          <w:p>
            <w:pPr>
              <w:spacing w:after="0"/>
              <w:rPr>
                <w:sz w:val="20"/>
                <w:szCs w:val="20"/>
                <w:color w:val="auto"/>
              </w:rPr>
            </w:pPr>
          </w:p>
        </w:tc>
      </w:tr>
      <w:tr>
        <w:trPr>
          <w:trHeight w:val="25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13,719</w:t>
            </w:r>
          </w:p>
        </w:tc>
        <w:tc>
          <w:tcPr>
            <w:tcW w:w="40" w:type="dxa"/>
            <w:vAlign w:val="bottom"/>
            <w:shd w:val="clear" w:color="auto" w:fill="CCEEFF"/>
          </w:tcPr>
          <w:p>
            <w:pPr>
              <w:spacing w:after="0"/>
              <w:rPr>
                <w:sz w:val="21"/>
                <w:szCs w:val="21"/>
                <w:color w:val="auto"/>
              </w:rPr>
            </w:pPr>
          </w:p>
        </w:tc>
      </w:tr>
      <w:tr>
        <w:trPr>
          <w:trHeight w:val="233"/>
        </w:trPr>
        <w:tc>
          <w:tcPr>
            <w:tcW w:w="242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13,526</w:t>
            </w:r>
          </w:p>
        </w:tc>
        <w:tc>
          <w:tcPr>
            <w:tcW w:w="40" w:type="dxa"/>
            <w:vAlign w:val="bottom"/>
          </w:tcPr>
          <w:p>
            <w:pPr>
              <w:spacing w:after="0"/>
              <w:rPr>
                <w:sz w:val="20"/>
                <w:szCs w:val="20"/>
                <w:color w:val="auto"/>
              </w:rPr>
            </w:pPr>
          </w:p>
        </w:tc>
      </w:tr>
      <w:tr>
        <w:trPr>
          <w:trHeight w:val="253"/>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13,424</w:t>
            </w:r>
          </w:p>
        </w:tc>
        <w:tc>
          <w:tcPr>
            <w:tcW w:w="40" w:type="dxa"/>
            <w:vAlign w:val="bottom"/>
            <w:shd w:val="clear" w:color="auto" w:fill="CCEEFF"/>
          </w:tcPr>
          <w:p>
            <w:pPr>
              <w:spacing w:after="0"/>
              <w:rPr>
                <w:sz w:val="21"/>
                <w:szCs w:val="21"/>
                <w:color w:val="auto"/>
              </w:rPr>
            </w:pPr>
          </w:p>
        </w:tc>
      </w:tr>
      <w:tr>
        <w:trPr>
          <w:trHeight w:val="237"/>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74,488</w:t>
            </w:r>
          </w:p>
        </w:tc>
        <w:tc>
          <w:tcPr>
            <w:tcW w:w="40" w:type="dxa"/>
            <w:vAlign w:val="bottom"/>
            <w:tcBorders>
              <w:bottom w:val="single" w:sz="8" w:color="auto"/>
            </w:tcBorders>
          </w:tcPr>
          <w:p>
            <w:pPr>
              <w:spacing w:after="0"/>
              <w:rPr>
                <w:sz w:val="20"/>
                <w:szCs w:val="20"/>
                <w:color w:val="auto"/>
              </w:rPr>
            </w:pPr>
          </w:p>
        </w:tc>
      </w:tr>
      <w:tr>
        <w:trPr>
          <w:trHeight w:val="263"/>
        </w:trPr>
        <w:tc>
          <w:tcPr>
            <w:tcW w:w="37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Total amortization expense remaining</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140,035</w:t>
            </w:r>
          </w:p>
        </w:tc>
        <w:tc>
          <w:tcPr>
            <w:tcW w:w="40" w:type="dxa"/>
            <w:vAlign w:val="bottom"/>
            <w:shd w:val="clear" w:color="auto" w:fill="CCEEFF"/>
          </w:tcPr>
          <w:p>
            <w:pPr>
              <w:spacing w:after="0"/>
              <w:rPr>
                <w:sz w:val="22"/>
                <w:szCs w:val="22"/>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Product Warranties</w:t>
      </w:r>
    </w:p>
    <w:p>
      <w:pPr>
        <w:spacing w:after="0" w:line="2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to help protect the reputation of our products and the goodwill of our customers. Estimated costs related to product warranty are accrued at the time of sale and are based upon historical warranty and service claims experience. Adjustments are made to accruals as claim data and cost experience becomes available.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6"/>
        </w:trPr>
        <w:tc>
          <w:tcPr>
            <w:tcW w:w="4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6"/>
          </w:tcPr>
          <w:p>
            <w:pPr>
              <w:jc w:val="right"/>
              <w:ind w:right="899"/>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22"/>
                <w:szCs w:val="22"/>
                <w:color w:val="auto"/>
              </w:rPr>
            </w:pPr>
          </w:p>
        </w:tc>
      </w:tr>
      <w:tr>
        <w:trPr>
          <w:trHeight w:val="198"/>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w:t>
            </w:r>
          </w:p>
        </w:tc>
        <w:tc>
          <w:tcPr>
            <w:tcW w:w="20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February 29,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23,</w:t>
            </w:r>
          </w:p>
        </w:tc>
        <w:tc>
          <w:tcPr>
            <w:tcW w:w="20" w:type="dxa"/>
            <w:vAlign w:val="bottom"/>
          </w:tcPr>
          <w:p>
            <w:pPr>
              <w:spacing w:after="0"/>
              <w:rPr>
                <w:sz w:val="17"/>
                <w:szCs w:val="17"/>
                <w:color w:val="auto"/>
              </w:rPr>
            </w:pPr>
          </w:p>
        </w:tc>
      </w:tr>
      <w:tr>
        <w:trPr>
          <w:trHeight w:val="22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61,107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41,303</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rPr>
              <w:t>44,436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40,498</w:t>
            </w:r>
          </w:p>
        </w:tc>
        <w:tc>
          <w:tcPr>
            <w:tcW w:w="20" w:type="dxa"/>
            <w:vAlign w:val="bottom"/>
          </w:tcPr>
          <w:p>
            <w:pPr>
              <w:spacing w:after="0"/>
              <w:rPr>
                <w:sz w:val="21"/>
                <w:szCs w:val="21"/>
                <w:color w:val="auto"/>
              </w:rPr>
            </w:pPr>
          </w:p>
        </w:tc>
      </w:tr>
      <w:tr>
        <w:trPr>
          <w:trHeight w:val="243"/>
        </w:trPr>
        <w:tc>
          <w:tcPr>
            <w:tcW w:w="4440" w:type="dxa"/>
            <w:vAlign w:val="bottom"/>
          </w:tcPr>
          <w:p>
            <w:pPr>
              <w:ind w:left="140"/>
              <w:spacing w:after="0"/>
              <w:rPr>
                <w:sz w:val="20"/>
                <w:szCs w:val="20"/>
                <w:color w:val="auto"/>
              </w:rPr>
            </w:pPr>
            <w:r>
              <w:rPr>
                <w:rFonts w:ascii="Arial" w:cs="Arial" w:eastAsia="Arial" w:hAnsi="Arial"/>
                <w:sz w:val="16"/>
                <w:szCs w:val="16"/>
                <w:color w:val="auto"/>
              </w:rPr>
              <w:t>Business acquisition</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center"/>
              <w:ind w:left="519"/>
              <w:spacing w:after="0"/>
              <w:rPr>
                <w:sz w:val="20"/>
                <w:szCs w:val="20"/>
                <w:color w:val="auto"/>
              </w:rPr>
            </w:pPr>
            <w:r>
              <w:rPr>
                <w:rFonts w:ascii="Arial" w:cs="Arial" w:eastAsia="Arial" w:hAnsi="Arial"/>
                <w:sz w:val="16"/>
                <w:szCs w:val="16"/>
                <w:color w:val="auto"/>
              </w:rPr>
              <w:t>15,147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4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15,729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9,194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rPr>
              <w:t>31,047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19,951</w:t>
            </w:r>
          </w:p>
        </w:tc>
        <w:tc>
          <w:tcPr>
            <w:tcW w:w="20" w:type="dxa"/>
            <w:vAlign w:val="bottom"/>
          </w:tcPr>
          <w:p>
            <w:pPr>
              <w:spacing w:after="0"/>
              <w:rPr>
                <w:sz w:val="21"/>
                <w:szCs w:val="21"/>
                <w:color w:val="auto"/>
              </w:rPr>
            </w:pPr>
          </w:p>
        </w:tc>
      </w:tr>
      <w:tr>
        <w:trPr>
          <w:trHeight w:val="237"/>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Claims paid</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(10,192)</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rPr>
              <w:t>(30,419)</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(20,144)</w:t>
            </w:r>
          </w:p>
        </w:tc>
        <w:tc>
          <w:tcPr>
            <w:tcW w:w="20" w:type="dxa"/>
            <w:vAlign w:val="bottom"/>
          </w:tcPr>
          <w:p>
            <w:pPr>
              <w:spacing w:after="0"/>
              <w:rPr>
                <w:sz w:val="20"/>
                <w:szCs w:val="20"/>
                <w:color w:val="auto"/>
              </w:rPr>
            </w:pPr>
          </w:p>
        </w:tc>
      </w:tr>
      <w:tr>
        <w:trPr>
          <w:trHeight w:val="26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60,211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40,305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6"/>
                <w:szCs w:val="16"/>
                <w:color w:val="auto"/>
              </w:rPr>
              <w:t>60,211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40,305</w:t>
            </w:r>
          </w:p>
        </w:tc>
        <w:tc>
          <w:tcPr>
            <w:tcW w:w="20" w:type="dxa"/>
            <w:vAlign w:val="bottom"/>
          </w:tcPr>
          <w:p>
            <w:pPr>
              <w:spacing w:after="0"/>
              <w:rPr>
                <w:sz w:val="22"/>
                <w:szCs w:val="22"/>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4660" w:type="dxa"/>
            <w:vAlign w:val="bottom"/>
            <w:gridSpan w:val="2"/>
          </w:tcPr>
          <w:p>
            <w:pPr>
              <w:spacing w:after="0"/>
              <w:rPr>
                <w:sz w:val="20"/>
                <w:szCs w:val="20"/>
                <w:color w:val="auto"/>
              </w:rPr>
            </w:pPr>
            <w:r>
              <w:rPr>
                <w:rFonts w:ascii="Arial" w:cs="Arial" w:eastAsia="Arial" w:hAnsi="Arial"/>
                <w:sz w:val="14"/>
                <w:szCs w:val="14"/>
                <w:color w:val="auto"/>
              </w:rPr>
              <w:t xml:space="preserve">(1) 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for additional information.</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25"/>
        </w:trPr>
        <w:tc>
          <w:tcPr>
            <w:tcW w:w="4440" w:type="dxa"/>
            <w:vAlign w:val="bottom"/>
          </w:tcPr>
          <w:p>
            <w:pPr>
              <w:spacing w:after="0"/>
              <w:rPr>
                <w:sz w:val="20"/>
                <w:szCs w:val="20"/>
                <w:color w:val="auto"/>
              </w:rPr>
            </w:pPr>
            <w:r>
              <w:rPr>
                <w:rFonts w:ascii="Arial" w:cs="Arial" w:eastAsia="Arial" w:hAnsi="Arial"/>
                <w:sz w:val="16"/>
                <w:szCs w:val="16"/>
                <w:b w:val="1"/>
                <w:bCs w:val="1"/>
                <w:color w:val="auto"/>
              </w:rPr>
              <w:t>Note 9: Long-Term Debt</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6"/>
                <w:szCs w:val="16"/>
                <w:color w:val="auto"/>
              </w:rPr>
              <w:t>The components of long-term debt are as follows: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ind w:left="120"/>
              <w:spacing w:after="0"/>
              <w:rPr>
                <w:sz w:val="20"/>
                <w:szCs w:val="20"/>
                <w:color w:val="auto"/>
              </w:rPr>
            </w:pPr>
            <w:r>
              <w:rPr>
                <w:rFonts w:ascii="Arial" w:cs="Arial" w:eastAsia="Arial" w:hAnsi="Arial"/>
                <w:sz w:val="16"/>
                <w:szCs w:val="16"/>
                <w:b w:val="1"/>
                <w:bCs w:val="1"/>
                <w:color w:val="auto"/>
              </w:rPr>
              <w:t>February 29,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w:t>
            </w:r>
          </w:p>
        </w:tc>
        <w:tc>
          <w:tcPr>
            <w:tcW w:w="20" w:type="dxa"/>
            <w:vAlign w:val="bottom"/>
          </w:tcPr>
          <w:p>
            <w:pPr>
              <w:spacing w:after="0"/>
              <w:rPr>
                <w:sz w:val="18"/>
                <w:szCs w:val="18"/>
                <w:color w:val="auto"/>
              </w:rPr>
            </w:pPr>
          </w:p>
        </w:tc>
      </w:tr>
      <w:tr>
        <w:trPr>
          <w:trHeight w:val="22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9"/>
                <w:szCs w:val="19"/>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Term Loan</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257,250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260,000</w:t>
            </w:r>
          </w:p>
        </w:tc>
        <w:tc>
          <w:tcPr>
            <w:tcW w:w="20" w:type="dxa"/>
            <w:vAlign w:val="bottom"/>
          </w:tcPr>
          <w:p>
            <w:pPr>
              <w:spacing w:after="0"/>
              <w:rPr>
                <w:sz w:val="20"/>
                <w:szCs w:val="20"/>
                <w:color w:val="auto"/>
              </w:rPr>
            </w:pPr>
          </w:p>
        </w:tc>
      </w:tr>
      <w:tr>
        <w:trPr>
          <w:trHeight w:val="24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21"/>
                <w:szCs w:val="21"/>
                <w:color w:val="auto"/>
              </w:rPr>
            </w:pP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Long-term debt, gross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557,250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260,000</w:t>
            </w:r>
          </w:p>
        </w:tc>
        <w:tc>
          <w:tcPr>
            <w:tcW w:w="20" w:type="dxa"/>
            <w:vAlign w:val="bottom"/>
          </w:tcPr>
          <w:p>
            <w:pPr>
              <w:spacing w:after="0"/>
              <w:rPr>
                <w:sz w:val="20"/>
                <w:szCs w:val="20"/>
                <w:color w:val="auto"/>
              </w:rPr>
            </w:pP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unamortized interest discount</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center"/>
              <w:ind w:left="539"/>
              <w:spacing w:after="0"/>
              <w:rPr>
                <w:sz w:val="20"/>
                <w:szCs w:val="20"/>
                <w:color w:val="auto"/>
              </w:rPr>
            </w:pPr>
            <w:r>
              <w:rPr>
                <w:rFonts w:ascii="Arial" w:cs="Arial" w:eastAsia="Arial" w:hAnsi="Arial"/>
                <w:sz w:val="16"/>
                <w:szCs w:val="16"/>
                <w:color w:val="auto"/>
              </w:rPr>
              <w:t>(80,839)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r>
      <w:tr>
        <w:trPr>
          <w:trHeight w:val="23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net</w:t>
            </w:r>
          </w:p>
        </w:tc>
        <w:tc>
          <w:tcPr>
            <w:tcW w:w="22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rPr>
              <w:t>(11,609)</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(5,706)</w:t>
            </w:r>
          </w:p>
        </w:tc>
        <w:tc>
          <w:tcPr>
            <w:tcW w:w="20" w:type="dxa"/>
            <w:vAlign w:val="bottom"/>
            <w:tcBorders>
              <w:bottom w:val="single" w:sz="8" w:color="auto"/>
            </w:tcBorders>
          </w:tcPr>
          <w:p>
            <w:pPr>
              <w:spacing w:after="0"/>
              <w:rPr>
                <w:sz w:val="20"/>
                <w:szCs w:val="20"/>
                <w:color w:val="auto"/>
              </w:rPr>
            </w:pPr>
          </w:p>
        </w:tc>
      </w:tr>
      <w:tr>
        <w:trPr>
          <w:trHeight w:val="24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464,802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254,294</w:t>
            </w:r>
          </w:p>
        </w:tc>
        <w:tc>
          <w:tcPr>
            <w:tcW w:w="20" w:type="dxa"/>
            <w:vAlign w:val="bottom"/>
            <w:shd w:val="clear" w:color="auto" w:fill="CCEEFF"/>
          </w:tcPr>
          <w:p>
            <w:pPr>
              <w:spacing w:after="0"/>
              <w:rPr>
                <w:sz w:val="21"/>
                <w:szCs w:val="21"/>
                <w:color w:val="auto"/>
              </w:rPr>
            </w:pPr>
          </w:p>
        </w:tc>
      </w:tr>
      <w:tr>
        <w:trPr>
          <w:trHeight w:val="23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maturities</w:t>
            </w:r>
          </w:p>
        </w:tc>
        <w:tc>
          <w:tcPr>
            <w:tcW w:w="22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13,668</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8,892</w:t>
            </w:r>
          </w:p>
        </w:tc>
        <w:tc>
          <w:tcPr>
            <w:tcW w:w="20" w:type="dxa"/>
            <w:vAlign w:val="bottom"/>
            <w:tcBorders>
              <w:bottom w:val="single" w:sz="8" w:color="auto"/>
            </w:tcBorders>
          </w:tcPr>
          <w:p>
            <w:pPr>
              <w:spacing w:after="0"/>
              <w:rPr>
                <w:sz w:val="20"/>
                <w:szCs w:val="20"/>
                <w:color w:val="auto"/>
              </w:rPr>
            </w:pPr>
          </w:p>
        </w:tc>
      </w:tr>
      <w:tr>
        <w:trPr>
          <w:trHeight w:val="26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 less current maturities</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451,134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245,402</w:t>
            </w:r>
          </w:p>
        </w:tc>
        <w:tc>
          <w:tcPr>
            <w:tcW w:w="20" w:type="dxa"/>
            <w:vAlign w:val="bottom"/>
            <w:shd w:val="clear" w:color="auto" w:fill="CCEEFF"/>
          </w:tcPr>
          <w:p>
            <w:pPr>
              <w:spacing w:after="0"/>
              <w:rPr>
                <w:sz w:val="22"/>
                <w:szCs w:val="22"/>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268"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On November 8, 2016, we entered into a $125.0 million credit facility ("ABL Credit Facility") and a $300.0 million loan agreement ("Term Loan") with JPMorgan Chase Bank, N.A. (the agreements governing the ABL Credit Facility and the Term Loan, collectively the "Credit Agreements"). On October 22, 2019, our ABL Credit Facility was amended and restated to, among other things, increase the commitments thereunder to $192.5 million. The Credit Agreements contain certain financial covenants. As of February 29, 2020, we are in compliance with all financial covenants of the Credit Agreements.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26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November 1, 2019, we issued $300.0 million in aggregate principal amount of 1.5% unsecured convertible senior notes due 2025 (“Convertible Notes”). The net proceeds from the issuance of the Convertible Notes, after deducting the initial purchasers' transaction fees and offering expense payable by us, were approximately $290.4 million. The Convertible Notes bear interest at the annual rate of 1.5%, payable on April 1 and October 1 of each year, beginning on April 1, 2020, and will mature on April 1, 2025, unless earlier converted or repurchased by us.</w:t>
      </w:r>
    </w:p>
    <w:p>
      <w:pPr>
        <w:spacing w:after="0" w:line="229" w:lineRule="exact"/>
        <w:rPr>
          <w:sz w:val="20"/>
          <w:szCs w:val="20"/>
          <w:color w:val="auto"/>
        </w:rPr>
      </w:pPr>
    </w:p>
    <w:p>
      <w:pPr>
        <w:ind w:right="560"/>
        <w:spacing w:after="0" w:line="246" w:lineRule="auto"/>
        <w:rPr>
          <w:sz w:val="20"/>
          <w:szCs w:val="20"/>
          <w:color w:val="auto"/>
        </w:rPr>
      </w:pPr>
      <w:r>
        <w:rPr>
          <w:rFonts w:ascii="Arial" w:cs="Arial" w:eastAsia="Arial" w:hAnsi="Arial"/>
          <w:sz w:val="16"/>
          <w:szCs w:val="16"/>
          <w:color w:val="auto"/>
        </w:rPr>
        <w:t>The Convertible Notes will be convertible into cash, shares of our common stock or a combination thereof, at our election, at an initial conversion rate of 15.6906 shares of common stock per $1,000 principal amount of Convertible Notes, which is equivalent to an initial conversion price of</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approximately $63.73 per share, as adjusted pursuant to the terms of the indenture governing the Convertible Notes (the "Indenture"). The Convertible Notes may be converted at any time on or after October 1, 2024, until the close of business on the second scheduled trading day immediately preceding the maturity date.</w:t>
      </w:r>
    </w:p>
    <w:p>
      <w:pPr>
        <w:spacing w:after="0" w:line="228"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The conversion rate of the Convertible Notes may be adjusted in certain circumstances, including in connection with a conversion of the Convertible Notes made following certain fundamental changes and under other circumstances set forth in the Indenture. It is our current intent to settle all conversions of the Convertible Notes through settlement of cash.</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2024, the Convertible Notes will be convertible only under the following circumstances:</w:t>
      </w:r>
    </w:p>
    <w:p>
      <w:pPr>
        <w:spacing w:after="0" w:line="222" w:lineRule="exact"/>
        <w:rPr>
          <w:sz w:val="20"/>
          <w:szCs w:val="20"/>
          <w:color w:val="auto"/>
        </w:rPr>
      </w:pPr>
    </w:p>
    <w:p>
      <w:pPr>
        <w:ind w:left="660" w:right="700" w:hanging="4"/>
        <w:spacing w:after="0" w:line="246" w:lineRule="auto"/>
        <w:tabs>
          <w:tab w:leader="none" w:pos="903"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any fiscal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1" w:lineRule="exact"/>
        <w:rPr>
          <w:rFonts w:ascii="Arial" w:cs="Arial" w:eastAsia="Arial" w:hAnsi="Arial"/>
          <w:sz w:val="16"/>
          <w:szCs w:val="16"/>
          <w:color w:val="auto"/>
        </w:rPr>
      </w:pPr>
    </w:p>
    <w:p>
      <w:pPr>
        <w:ind w:left="660" w:right="140" w:hanging="4"/>
        <w:spacing w:after="0" w:line="246" w:lineRule="auto"/>
        <w:tabs>
          <w:tab w:leader="none" w:pos="903"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5 consecutive business day period after any 5 consecutive trading day period (the "measurement period") in which the trading price per $1,000 principal amount of Convertible Notes for each trading day of the measurement period was less than 98% of the product of the last reported sale price of our common stock and the conversion rate for the Convertible Notes on each such trading day; or</w:t>
      </w:r>
    </w:p>
    <w:p>
      <w:pPr>
        <w:spacing w:after="0" w:line="1" w:lineRule="exact"/>
        <w:rPr>
          <w:rFonts w:ascii="Arial" w:cs="Arial" w:eastAsia="Arial" w:hAnsi="Arial"/>
          <w:sz w:val="16"/>
          <w:szCs w:val="16"/>
          <w:color w:val="auto"/>
        </w:rPr>
      </w:pPr>
    </w:p>
    <w:p>
      <w:pPr>
        <w:ind w:left="900" w:hanging="244"/>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may not redeem the Convertible Notes at our option prior to the maturity date, and no sinking fund is provided for the Convertible Notes.</w:t>
      </w:r>
    </w:p>
    <w:p>
      <w:pPr>
        <w:spacing w:after="0" w:line="248"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On October 29, 2019 and October 30, 2019, in connection with the offering of the Convertible Notes, we entered into privately negotiated convertible note hedge transactions (collectively, the “Hedge Transactions”) that cover, subject to customary anti-dilution adjustments, the number of shares of our common stock that initially underlie the Convertible Notes, and are expected generally to reduce the potential dilution and/or offset any cash payments we are required to make in excess of the principal amount due, as the case may be, upon conversion of the Convertible Notes in the event that the market price of our common stock is greater than the strike price of the Hedge Transactions, which was initially $63.73 per share (subject to adjustment under the terms of the Hedge Transactions), corresponding to the initial conversion price of the Convertible Notes.</w:t>
      </w:r>
    </w:p>
    <w:p>
      <w:pPr>
        <w:spacing w:after="0" w:line="23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On October 29, 2019 and October 30, 2019, we also entered into privately negotiated warrant transactions (collectively, the “Warrant Transactions” and, together with the Hedge Transactions, the “Call Spread Transactions”), whereby we sold warrants at a higher strike price relating to the same number of shares of our common stock that initially underlie the Convertible Notes, subject to customary anti-dilution adjustments. The initial strike price of the warrants is $96.20 per share (subject to adjustment under the terms of the Warrant Transactions), which is 100% above the last reported sale price of our common stock on October 29, 2019. The Warrant Transactions could have a dilutive effect to our stockholders to the extent that the market price per share of our common stock, as measured under the terms of the Warrant Transactions, exceeds the applicable strike price of the warrants.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used $28.6 million of the net proceeds from the issuance of the Convertible Notes to pay the cost of the Call Spread Transactions.</w:t>
      </w:r>
    </w:p>
    <w:p>
      <w:pPr>
        <w:spacing w:after="0" w:line="19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26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Call Spread Transactions were classified as equity. We bifurcated the proceeds from the offering of the Convertible Notes between liability and equity components. On the date of issuance, the liability and equity components were calculated to be approximately $215.0 million and $85.0 million, respectively. The initial $215.0 million liability component was determined based on the fair value of similar debt instruments excluding the conversion feature assuming a hypothetical interest rate of 8%. The initial $85.0 million ($64.1 million net of tax) equity component represents the difference between the fair value of the initial $215.0 million in debt and the $300.0 million of gross proceeds. The related initial debt discount of $85.0 million is being amortized over the life of the Convertible Notes as non-cash interest expense using the effective interest method.</w:t>
      </w:r>
    </w:p>
    <w:p>
      <w:pPr>
        <w:spacing w:after="0" w:line="232"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In connection with the above-noted transactions, we incurred approximately $9.6 million of offering-related costs. These offering fees were allocated to the liability and equity components in proportion to the allocation of proceeds and accounted for as debt and equity issuance costs, respectively. We allocated $7.0 million of debt issuance costs to the liability component, which were capitalized as deferred financing costs within Long-term debt. These costs are being amortized as interest expense over the term of the debt using the effective interest method. The remaining $2.6 million of transaction costs allocated to the equity component were recorded as a reduction of the equity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and Future Maturities</w:t>
      </w:r>
    </w:p>
    <w:p>
      <w:pPr>
        <w:spacing w:after="0" w:line="268"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As of February 29, 2020, the fair value of long-term debt, gross, was $581.3 million. As of August 31, 2019, the fair value of long-term debt, gross, approximated the carrying value.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20" w:type="dxa"/>
            <w:vAlign w:val="bottom"/>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56"/>
        </w:trPr>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24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7,500</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Fiscal 2021</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15,000</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15,000</w:t>
            </w:r>
          </w:p>
        </w:tc>
      </w:tr>
      <w:tr>
        <w:trPr>
          <w:trHeight w:val="233"/>
        </w:trPr>
        <w:tc>
          <w:tcPr>
            <w:tcW w:w="962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15,000</w:t>
            </w:r>
          </w:p>
        </w:tc>
      </w:tr>
      <w:tr>
        <w:trPr>
          <w:trHeight w:val="253"/>
        </w:trPr>
        <w:tc>
          <w:tcPr>
            <w:tcW w:w="9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204,750</w:t>
            </w:r>
          </w:p>
        </w:tc>
      </w:tr>
      <w:tr>
        <w:trPr>
          <w:trHeight w:val="237"/>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300,000</w:t>
            </w:r>
          </w:p>
        </w:tc>
      </w:tr>
      <w:tr>
        <w:trPr>
          <w:trHeight w:val="268"/>
        </w:trPr>
        <w:tc>
          <w:tcPr>
            <w:tcW w:w="9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Term Loan and Convertible Notes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557,250</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Leases</w:t>
      </w:r>
    </w:p>
    <w:p>
      <w:pPr>
        <w:spacing w:after="0" w:line="29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leases primarily include operating leases for office and manufacturing space and equipment. Our finance leases are primarily for real estate. For any lease with an initial term in excess of 12 months, the related lease assets and liabilities are recognized on the Condensed Consolidated Balance Sheets as either operating or finance leases at the inception of an agreement where it is determined that a lease exists. We have lease agreements that contain both lease and non-lease components, and we have elected to combine lease and non-lease components for all classes of assets. Leases with an initial term of 12 months or less are not recorded on the Condensed Consolidated Balance Sheets; we recognize lease expense for these leases on a straight-line basis over the lease term. When the terms of multiple lease agreements are materially consistent, we have elected the portfolio approach for our asset and liability calculations.</w:t>
      </w: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Lease assets represent the right to use an underlying asset for the lease term, and lease liabilities represent the obligation to make lease payments arising from the lease. These assets and liabilities are recognized based on the present value of future payments over the lease term at commencement date. We generally use a collateralized incremental borrowing rate based on the information available at commencement date, including lease term, in determining the present value of future payments. Our assumed lease terms generally do not include options to extend or terminate the lease unless it is reasonably certain that the option will be exercised.</w:t>
      </w:r>
    </w:p>
    <w:p>
      <w:pPr>
        <w:spacing w:after="0" w:line="23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Some of our real estate operating leases require payment of real estate taxes, common area maintenance, and insurance. In addition, certain of our leases are subject to annual changes in the consumer price index. These components comprise the majority of our variable lease cost and are excluded from the present value of our lease obligations. Fixed payments may contain predetermined fixed rent escalations. For our operating leases, we recognize the related rent expense on a straight-line basis from the commencement date to the end of the lease term.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supplemental balance sheet information related to our leases:</w:t>
      </w:r>
    </w:p>
    <w:p>
      <w:pPr>
        <w:spacing w:after="0" w:line="39" w:lineRule="exact"/>
        <w:rPr>
          <w:sz w:val="20"/>
          <w:szCs w:val="20"/>
          <w:color w:val="auto"/>
        </w:rPr>
      </w:pPr>
    </w:p>
    <w:p>
      <w:pPr>
        <w:ind w:left="20"/>
        <w:spacing w:after="0"/>
        <w:tabs>
          <w:tab w:leader="none" w:pos="5060" w:val="left"/>
          <w:tab w:leader="none" w:pos="9720" w:val="left"/>
        </w:tabs>
        <w:rPr>
          <w:sz w:val="20"/>
          <w:szCs w:val="20"/>
          <w:color w:val="auto"/>
        </w:rPr>
      </w:pPr>
      <w:r>
        <w:rPr>
          <w:rFonts w:ascii="Arial" w:cs="Arial" w:eastAsia="Arial" w:hAnsi="Arial"/>
          <w:sz w:val="16"/>
          <w:szCs w:val="16"/>
          <w:b w:val="1"/>
          <w:bCs w:val="1"/>
          <w:color w:val="auto"/>
        </w:rPr>
        <w:t>(in thousands)</w:t>
      </w:r>
      <w:r>
        <w:rPr>
          <w:sz w:val="20"/>
          <w:szCs w:val="20"/>
          <w:color w:val="auto"/>
        </w:rPr>
        <w:tab/>
      </w:r>
      <w:r>
        <w:rPr>
          <w:rFonts w:ascii="Arial" w:cs="Arial" w:eastAsia="Arial" w:hAnsi="Arial"/>
          <w:sz w:val="16"/>
          <w:szCs w:val="16"/>
          <w:b w:val="1"/>
          <w:bCs w:val="1"/>
          <w:color w:val="auto"/>
        </w:rPr>
        <w:t>Classification</w:t>
      </w:r>
      <w:r>
        <w:rPr>
          <w:sz w:val="20"/>
          <w:szCs w:val="20"/>
          <w:color w:val="auto"/>
        </w:rPr>
        <w:tab/>
      </w:r>
      <w:r>
        <w:rPr>
          <w:rFonts w:ascii="Arial" w:cs="Arial" w:eastAsia="Arial" w:hAnsi="Arial"/>
          <w:sz w:val="16"/>
          <w:szCs w:val="16"/>
          <w:b w:val="1"/>
          <w:bCs w:val="1"/>
          <w:color w:val="auto"/>
        </w:rPr>
        <w:t>February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ectPr>
          <w:pgSz w:w="11900" w:h="16838" w:orient="portrait"/>
          <w:cols w:equalWidth="0" w:num="1">
            <w:col w:w="11240"/>
          </w:cols>
          <w:pgMar w:left="320" w:top="141" w:right="339" w:bottom="1440" w:gutter="0" w:footer="0" w:header="0"/>
        </w:sectPr>
      </w:pPr>
    </w:p>
    <w:p>
      <w:pPr>
        <w:spacing w:after="0" w:line="79" w:lineRule="exact"/>
        <w:rPr>
          <w:sz w:val="20"/>
          <w:szCs w:val="20"/>
          <w:color w:val="auto"/>
        </w:rPr>
      </w:pPr>
    </w:p>
    <w:p>
      <w:pPr>
        <w:ind w:left="20"/>
        <w:spacing w:after="0"/>
        <w:tabs>
          <w:tab w:leader="none" w:pos="5060" w:val="left"/>
        </w:tabs>
        <w:rPr>
          <w:sz w:val="20"/>
          <w:szCs w:val="20"/>
          <w:color w:val="auto"/>
        </w:rPr>
      </w:pPr>
      <w:r>
        <w:rPr>
          <w:rFonts w:ascii="Arial" w:cs="Arial" w:eastAsia="Arial" w:hAnsi="Arial"/>
          <w:sz w:val="16"/>
          <w:szCs w:val="16"/>
          <w:color w:val="auto"/>
        </w:rPr>
        <w:t>Operating leases</w:t>
      </w:r>
      <w:r>
        <w:rPr>
          <w:sz w:val="20"/>
          <w:szCs w:val="20"/>
          <w:color w:val="auto"/>
        </w:rPr>
        <w:tab/>
      </w:r>
      <w:r>
        <w:rPr>
          <w:rFonts w:ascii="Arial" w:cs="Arial" w:eastAsia="Arial" w:hAnsi="Arial"/>
          <w:sz w:val="16"/>
          <w:szCs w:val="16"/>
          <w:color w:val="auto"/>
        </w:rPr>
        <w:t>Operating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tabs>
          <w:tab w:leader="none" w:pos="5060" w:val="left"/>
        </w:tabs>
        <w:rPr>
          <w:sz w:val="20"/>
          <w:szCs w:val="20"/>
          <w:color w:val="auto"/>
        </w:rPr>
      </w:pPr>
      <w:r>
        <w:rPr>
          <w:rFonts w:ascii="Arial" w:cs="Arial" w:eastAsia="Arial" w:hAnsi="Arial"/>
          <w:sz w:val="16"/>
          <w:szCs w:val="16"/>
          <w:color w:val="auto"/>
        </w:rPr>
        <w:t>Finance leases</w:t>
      </w:r>
      <w:r>
        <w:rPr>
          <w:sz w:val="20"/>
          <w:szCs w:val="20"/>
          <w:color w:val="auto"/>
        </w:rPr>
        <w:tab/>
      </w:r>
      <w:r>
        <w:rPr>
          <w:rFonts w:ascii="Arial" w:cs="Arial" w:eastAsia="Arial" w:hAnsi="Arial"/>
          <w:sz w:val="16"/>
          <w:szCs w:val="16"/>
          <w:color w:val="auto"/>
        </w:rPr>
        <w:t>Other assets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9" w:lineRule="exact"/>
        <w:rPr>
          <w:sz w:val="20"/>
          <w:szCs w:val="20"/>
          <w:color w:val="auto"/>
        </w:rPr>
      </w:pPr>
    </w:p>
    <w:p>
      <w:pPr>
        <w:ind w:left="20"/>
        <w:spacing w:after="0"/>
        <w:tabs>
          <w:tab w:leader="none" w:pos="5060" w:val="left"/>
        </w:tabs>
        <w:rPr>
          <w:sz w:val="20"/>
          <w:szCs w:val="20"/>
          <w:color w:val="auto"/>
        </w:rPr>
      </w:pPr>
      <w:r>
        <w:rPr>
          <w:rFonts w:ascii="Arial" w:cs="Arial" w:eastAsia="Arial" w:hAnsi="Arial"/>
          <w:sz w:val="16"/>
          <w:szCs w:val="16"/>
          <w:color w:val="auto"/>
        </w:rPr>
        <w:t>Current: Operating leases</w:t>
      </w:r>
      <w:r>
        <w:rPr>
          <w:sz w:val="20"/>
          <w:szCs w:val="20"/>
          <w:color w:val="auto"/>
        </w:rPr>
        <w:tab/>
      </w:r>
      <w:r>
        <w:rPr>
          <w:rFonts w:ascii="Arial" w:cs="Arial" w:eastAsia="Arial" w:hAnsi="Arial"/>
          <w:sz w:val="16"/>
          <w:szCs w:val="16"/>
          <w:color w:val="auto"/>
        </w:rPr>
        <w:t>Accrued expenses: Other</w:t>
      </w:r>
    </w:p>
    <w:p>
      <w:pPr>
        <w:spacing w:after="0" w:line="59" w:lineRule="exact"/>
        <w:rPr>
          <w:sz w:val="20"/>
          <w:szCs w:val="20"/>
          <w:color w:val="auto"/>
        </w:rPr>
      </w:pPr>
    </w:p>
    <w:p>
      <w:pPr>
        <w:ind w:left="20"/>
        <w:spacing w:after="0"/>
        <w:tabs>
          <w:tab w:leader="none" w:pos="5060" w:val="left"/>
        </w:tabs>
        <w:rPr>
          <w:sz w:val="20"/>
          <w:szCs w:val="20"/>
          <w:color w:val="auto"/>
        </w:rPr>
      </w:pPr>
      <w:r>
        <w:rPr>
          <w:rFonts w:ascii="Arial" w:cs="Arial" w:eastAsia="Arial" w:hAnsi="Arial"/>
          <w:sz w:val="16"/>
          <w:szCs w:val="16"/>
          <w:color w:val="auto"/>
        </w:rPr>
        <w:t>Current: Finance leases</w:t>
      </w:r>
      <w:r>
        <w:rPr>
          <w:sz w:val="20"/>
          <w:szCs w:val="20"/>
          <w:color w:val="auto"/>
        </w:rPr>
        <w:tab/>
      </w:r>
      <w:r>
        <w:rPr>
          <w:rFonts w:ascii="Arial" w:cs="Arial" w:eastAsia="Arial" w:hAnsi="Arial"/>
          <w:sz w:val="16"/>
          <w:szCs w:val="16"/>
          <w:color w:val="auto"/>
        </w:rPr>
        <w:t>Accrued expenses: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tabs>
          <w:tab w:leader="none" w:pos="5060" w:val="left"/>
        </w:tabs>
        <w:rPr>
          <w:sz w:val="20"/>
          <w:szCs w:val="20"/>
          <w:color w:val="auto"/>
        </w:rPr>
      </w:pPr>
      <w:r>
        <w:rPr>
          <w:rFonts w:ascii="Arial" w:cs="Arial" w:eastAsia="Arial" w:hAnsi="Arial"/>
          <w:sz w:val="16"/>
          <w:szCs w:val="16"/>
          <w:color w:val="auto"/>
        </w:rPr>
        <w:t>Non-Current: Operating leases</w:t>
      </w:r>
      <w:r>
        <w:rPr>
          <w:sz w:val="20"/>
          <w:szCs w:val="20"/>
          <w:color w:val="auto"/>
        </w:rPr>
        <w:tab/>
      </w:r>
      <w:r>
        <w:rPr>
          <w:rFonts w:ascii="Arial" w:cs="Arial" w:eastAsia="Arial" w:hAnsi="Arial"/>
          <w:sz w:val="16"/>
          <w:szCs w:val="16"/>
          <w:color w:val="auto"/>
        </w:rPr>
        <w:t>Operating lease liabilities</w:t>
      </w:r>
    </w:p>
    <w:p>
      <w:pPr>
        <w:spacing w:after="0" w:line="59" w:lineRule="exact"/>
        <w:rPr>
          <w:sz w:val="20"/>
          <w:szCs w:val="20"/>
          <w:color w:val="auto"/>
        </w:rPr>
      </w:pPr>
    </w:p>
    <w:p>
      <w:pPr>
        <w:ind w:left="20"/>
        <w:spacing w:after="0"/>
        <w:tabs>
          <w:tab w:leader="none" w:pos="5060" w:val="left"/>
        </w:tabs>
        <w:rPr>
          <w:sz w:val="20"/>
          <w:szCs w:val="20"/>
          <w:color w:val="auto"/>
        </w:rPr>
      </w:pPr>
      <w:r>
        <w:rPr>
          <w:rFonts w:ascii="Arial" w:cs="Arial" w:eastAsia="Arial" w:hAnsi="Arial"/>
          <w:sz w:val="16"/>
          <w:szCs w:val="16"/>
          <w:color w:val="auto"/>
        </w:rPr>
        <w:t>Non-Current: Finance leases</w:t>
      </w:r>
      <w:r>
        <w:rPr>
          <w:sz w:val="20"/>
          <w:szCs w:val="20"/>
          <w:color w:val="auto"/>
        </w:rPr>
        <w:tab/>
      </w:r>
      <w:r>
        <w:rPr>
          <w:rFonts w:ascii="Arial" w:cs="Arial" w:eastAsia="Arial" w:hAnsi="Arial"/>
          <w:sz w:val="16"/>
          <w:szCs w:val="16"/>
          <w:color w:val="auto"/>
        </w:rPr>
        <w:t>Non-current liabilities: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lease liabilities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962" w:hanging="962"/>
        <w:spacing w:after="0"/>
        <w:tabs>
          <w:tab w:leader="none" w:pos="962" w:val="left"/>
        </w:tabs>
        <w:numPr>
          <w:ilvl w:val="0"/>
          <w:numId w:val="12"/>
        </w:numPr>
        <w:rPr>
          <w:rFonts w:ascii="Arial" w:cs="Arial" w:eastAsia="Arial" w:hAnsi="Arial"/>
          <w:sz w:val="15"/>
          <w:szCs w:val="15"/>
          <w:color w:val="auto"/>
        </w:rPr>
      </w:pPr>
      <w:r>
        <w:rPr>
          <w:rFonts w:ascii="Arial" w:cs="Arial" w:eastAsia="Arial" w:hAnsi="Arial"/>
          <w:sz w:val="15"/>
          <w:szCs w:val="15"/>
          <w:color w:val="auto"/>
        </w:rPr>
        <w:t>30,460</w:t>
      </w:r>
    </w:p>
    <w:p>
      <w:pPr>
        <w:spacing w:after="0" w:line="70" w:lineRule="exact"/>
        <w:rPr>
          <w:rFonts w:ascii="Arial" w:cs="Arial" w:eastAsia="Arial" w:hAnsi="Arial"/>
          <w:sz w:val="15"/>
          <w:szCs w:val="15"/>
          <w:color w:val="auto"/>
        </w:rPr>
      </w:pPr>
    </w:p>
    <w:p>
      <w:pPr>
        <w:ind w:left="1042"/>
        <w:spacing w:after="0"/>
        <w:rPr>
          <w:rFonts w:ascii="Arial" w:cs="Arial" w:eastAsia="Arial" w:hAnsi="Arial"/>
          <w:sz w:val="15"/>
          <w:szCs w:val="15"/>
          <w:color w:val="auto"/>
        </w:rPr>
      </w:pPr>
      <w:r>
        <w:rPr>
          <w:rFonts w:ascii="Arial" w:cs="Arial" w:eastAsia="Arial" w:hAnsi="Arial"/>
          <w:sz w:val="15"/>
          <w:szCs w:val="15"/>
          <w:color w:val="auto"/>
        </w:rPr>
        <w:t>4,686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26670</wp:posOffset>
            </wp:positionV>
            <wp:extent cx="1028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64" w:lineRule="exact"/>
        <w:rPr>
          <w:sz w:val="20"/>
          <w:szCs w:val="20"/>
          <w:color w:val="auto"/>
        </w:rPr>
      </w:pPr>
    </w:p>
    <w:p>
      <w:pPr>
        <w:ind w:left="962" w:hanging="962"/>
        <w:spacing w:after="0"/>
        <w:tabs>
          <w:tab w:leader="none" w:pos="962" w:val="left"/>
        </w:tabs>
        <w:numPr>
          <w:ilvl w:val="0"/>
          <w:numId w:val="13"/>
        </w:numPr>
        <w:rPr>
          <w:rFonts w:ascii="Arial" w:cs="Arial" w:eastAsia="Arial" w:hAnsi="Arial"/>
          <w:sz w:val="15"/>
          <w:szCs w:val="15"/>
          <w:color w:val="auto"/>
        </w:rPr>
      </w:pPr>
      <w:r>
        <w:rPr>
          <w:rFonts w:ascii="Arial" w:cs="Arial" w:eastAsia="Arial" w:hAnsi="Arial"/>
          <w:sz w:val="15"/>
          <w:szCs w:val="15"/>
          <w:color w:val="auto"/>
        </w:rPr>
        <w:t>35,146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26670</wp:posOffset>
            </wp:positionV>
            <wp:extent cx="1028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042" w:hanging="1042"/>
        <w:spacing w:after="0"/>
        <w:tabs>
          <w:tab w:leader="none" w:pos="1042" w:val="left"/>
        </w:tabs>
        <w:numPr>
          <w:ilvl w:val="0"/>
          <w:numId w:val="14"/>
        </w:numPr>
        <w:rPr>
          <w:rFonts w:ascii="Arial" w:cs="Arial" w:eastAsia="Arial" w:hAnsi="Arial"/>
          <w:sz w:val="15"/>
          <w:szCs w:val="15"/>
          <w:color w:val="auto"/>
        </w:rPr>
      </w:pPr>
      <w:r>
        <w:rPr>
          <w:rFonts w:ascii="Arial" w:cs="Arial" w:eastAsia="Arial" w:hAnsi="Arial"/>
          <w:sz w:val="15"/>
          <w:szCs w:val="15"/>
          <w:color w:val="auto"/>
        </w:rPr>
        <w:t>2,500</w:t>
      </w:r>
    </w:p>
    <w:p>
      <w:pPr>
        <w:spacing w:after="0" w:line="70" w:lineRule="exact"/>
        <w:rPr>
          <w:rFonts w:ascii="Arial" w:cs="Arial" w:eastAsia="Arial" w:hAnsi="Arial"/>
          <w:sz w:val="15"/>
          <w:szCs w:val="15"/>
          <w:color w:val="auto"/>
        </w:rPr>
      </w:pPr>
    </w:p>
    <w:p>
      <w:pPr>
        <w:ind w:left="1182"/>
        <w:spacing w:after="0"/>
        <w:rPr>
          <w:rFonts w:ascii="Arial" w:cs="Arial" w:eastAsia="Arial" w:hAnsi="Arial"/>
          <w:sz w:val="15"/>
          <w:szCs w:val="15"/>
          <w:color w:val="auto"/>
        </w:rPr>
      </w:pPr>
      <w:r>
        <w:rPr>
          <w:rFonts w:ascii="Arial" w:cs="Arial" w:eastAsia="Arial" w:hAnsi="Arial"/>
          <w:sz w:val="15"/>
          <w:szCs w:val="15"/>
          <w:color w:val="auto"/>
        </w:rPr>
        <w:t>522</w:t>
      </w:r>
    </w:p>
    <w:p>
      <w:pPr>
        <w:spacing w:after="0" w:line="71"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27,882</w:t>
      </w:r>
    </w:p>
    <w:p>
      <w:pPr>
        <w:spacing w:after="0" w:line="59"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5,141</w:t>
      </w:r>
    </w:p>
    <w:p>
      <w:pPr>
        <w:spacing w:after="0" w:line="73" w:lineRule="exact"/>
        <w:rPr>
          <w:sz w:val="20"/>
          <w:szCs w:val="20"/>
          <w:color w:val="auto"/>
        </w:rPr>
      </w:pPr>
    </w:p>
    <w:p>
      <w:pPr>
        <w:ind w:left="962" w:hanging="962"/>
        <w:spacing w:after="0"/>
        <w:tabs>
          <w:tab w:leader="none" w:pos="962" w:val="left"/>
        </w:tabs>
        <w:numPr>
          <w:ilvl w:val="0"/>
          <w:numId w:val="15"/>
        </w:numPr>
        <w:rPr>
          <w:rFonts w:ascii="Arial" w:cs="Arial" w:eastAsia="Arial" w:hAnsi="Arial"/>
          <w:sz w:val="15"/>
          <w:szCs w:val="15"/>
          <w:color w:val="auto"/>
        </w:rPr>
      </w:pPr>
      <w:r>
        <w:rPr>
          <w:rFonts w:ascii="Arial" w:cs="Arial" w:eastAsia="Arial" w:hAnsi="Arial"/>
          <w:sz w:val="15"/>
          <w:szCs w:val="15"/>
          <w:color w:val="auto"/>
        </w:rPr>
        <w:t>36,045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wp:posOffset>
            </wp:positionV>
            <wp:extent cx="1028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18" w:space="720"/>
            <w:col w:w="1602"/>
          </w:cols>
          <w:pgMar w:left="320" w:top="1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operating lease cost incurred: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Three Months</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8"/>
        </w:trPr>
        <w:tc>
          <w:tcPr>
            <w:tcW w:w="30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Ended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Six Months Ended</w:t>
            </w:r>
          </w:p>
        </w:tc>
      </w:tr>
      <w:tr>
        <w:trPr>
          <w:trHeight w:val="236"/>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800" w:type="dxa"/>
            <w:vAlign w:val="bottom"/>
          </w:tcPr>
          <w:p>
            <w:pPr>
              <w:ind w:left="900"/>
              <w:spacing w:after="0"/>
              <w:rPr>
                <w:sz w:val="20"/>
                <w:szCs w:val="20"/>
                <w:color w:val="auto"/>
              </w:rPr>
            </w:pPr>
            <w:r>
              <w:rPr>
                <w:rFonts w:ascii="Arial" w:cs="Arial" w:eastAsia="Arial" w:hAnsi="Arial"/>
                <w:sz w:val="16"/>
                <w:szCs w:val="16"/>
                <w:b w:val="1"/>
                <w:bCs w:val="1"/>
                <w:color w:val="auto"/>
              </w:rPr>
              <w:t>Classification</w:t>
            </w: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b w:val="1"/>
                <w:bCs w:val="1"/>
                <w:color w:val="auto"/>
              </w:rPr>
              <w:t>February 29, 2020</w:t>
            </w:r>
          </w:p>
        </w:tc>
      </w:tr>
      <w:tr>
        <w:trPr>
          <w:trHeight w:val="243"/>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lease expense</w:t>
            </w:r>
            <w:r>
              <w:rPr>
                <w:rFonts w:ascii="Arial" w:cs="Arial" w:eastAsia="Arial" w:hAnsi="Arial"/>
                <w:sz w:val="21"/>
                <w:szCs w:val="21"/>
                <w:color w:val="auto"/>
                <w:vertAlign w:val="superscript"/>
              </w:rPr>
              <w:t>(1)</w:t>
            </w:r>
          </w:p>
        </w:tc>
        <w:tc>
          <w:tcPr>
            <w:tcW w:w="48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Costs of goods sold and SG&amp;A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1,773</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3,536</w:t>
            </w:r>
          </w:p>
        </w:tc>
      </w:tr>
      <w:tr>
        <w:trPr>
          <w:trHeight w:val="233"/>
        </w:trPr>
        <w:tc>
          <w:tcPr>
            <w:tcW w:w="3060" w:type="dxa"/>
            <w:vAlign w:val="bottom"/>
          </w:tcPr>
          <w:p>
            <w:pPr>
              <w:ind w:left="20"/>
              <w:spacing w:after="0"/>
              <w:rPr>
                <w:sz w:val="20"/>
                <w:szCs w:val="20"/>
                <w:color w:val="auto"/>
              </w:rPr>
            </w:pPr>
            <w:r>
              <w:rPr>
                <w:rFonts w:ascii="Arial" w:cs="Arial" w:eastAsia="Arial" w:hAnsi="Arial"/>
                <w:sz w:val="16"/>
                <w:szCs w:val="16"/>
                <w:color w:val="auto"/>
              </w:rPr>
              <w:t>Finance lease cost:</w:t>
            </w:r>
          </w:p>
        </w:tc>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3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of lease assets</w:t>
            </w:r>
          </w:p>
        </w:tc>
        <w:tc>
          <w:tcPr>
            <w:tcW w:w="48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Costs of goods sold and SG&amp;A</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187</w:t>
            </w:r>
          </w:p>
        </w:tc>
      </w:tr>
      <w:tr>
        <w:trPr>
          <w:trHeight w:val="237"/>
        </w:trPr>
        <w:tc>
          <w:tcPr>
            <w:tcW w:w="30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Interest on lease liabilities</w:t>
            </w:r>
          </w:p>
        </w:tc>
        <w:tc>
          <w:tcPr>
            <w:tcW w:w="480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w:t>
            </w:r>
          </w:p>
        </w:tc>
      </w:tr>
      <w:tr>
        <w:trPr>
          <w:trHeight w:val="268"/>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2,005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3,842</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Operating lease expense includes short-term leases and variable lease payments, which are immaterial.</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Our future lease commitments for future fiscal years as of February 29,2020 included the following related party and non-related party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Operating Leases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Finance Leases</w:t>
            </w:r>
          </w:p>
        </w:tc>
      </w:tr>
      <w:tr>
        <w:trPr>
          <w:trHeight w:val="198"/>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Related Party</w:t>
            </w: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Non-Related Party</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rPr>
              <w:t>Non-Related Party</w:t>
            </w:r>
          </w:p>
        </w:tc>
      </w:tr>
      <w:tr>
        <w:trPr>
          <w:trHeight w:val="228"/>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9"/>
                <w:szCs w:val="19"/>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380" w:type="dxa"/>
            <w:vAlign w:val="bottom"/>
          </w:tcPr>
          <w:p>
            <w:pPr>
              <w:spacing w:after="0"/>
              <w:rPr>
                <w:sz w:val="19"/>
                <w:szCs w:val="19"/>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Amount</w:t>
            </w:r>
          </w:p>
        </w:tc>
      </w:tr>
      <w:tr>
        <w:trPr>
          <w:trHeight w:val="243"/>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1,724</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2,174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426</w:t>
            </w: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Fiscal 2021</w:t>
            </w: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4,199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855</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2,983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3,883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851</w:t>
            </w: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4,226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842</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2,556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4,356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845</w:t>
            </w:r>
          </w:p>
        </w:tc>
      </w:tr>
      <w:tr>
        <w:trPr>
          <w:trHeight w:val="23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9,600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11,893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21,493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3,443</w:t>
            </w:r>
          </w:p>
        </w:tc>
      </w:tr>
      <w:tr>
        <w:trPr>
          <w:trHeight w:val="24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future undiscounted lease payments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15,150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25,181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40,331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7,262</w:t>
            </w:r>
          </w:p>
        </w:tc>
      </w:tr>
      <w:tr>
        <w:trPr>
          <w:trHeight w:val="23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4,210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5,739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9,949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1,599</w:t>
            </w:r>
          </w:p>
        </w:tc>
      </w:tr>
      <w:tr>
        <w:trPr>
          <w:trHeight w:val="268"/>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reported lease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10,940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19,442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30,382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5,663</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 xml:space="preserve">Our future minimum lease payments for future fiscal years as determined prior to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and as disclosed in our Annual Report on Form 10-K for the fiscal year ended August 31, 2019, included the following related party and non-related party leases:</w:t>
      </w:r>
    </w:p>
    <w:tbl>
      <w:tblPr>
        <w:tblLayout w:type="fixed"/>
        <w:tblInd w:w="0" w:type="dxa"/>
        <w:tblCellMar>
          <w:top w:w="0" w:type="dxa"/>
          <w:left w:w="0" w:type="dxa"/>
          <w:bottom w:w="0" w:type="dxa"/>
          <w:right w:w="0" w:type="dxa"/>
        </w:tblCellMar>
      </w:tblPr>
      <w:tr>
        <w:trPr>
          <w:trHeight w:val="228"/>
        </w:trPr>
        <w:tc>
          <w:tcPr>
            <w:tcW w:w="6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Operating Leases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Related Party</w:t>
            </w:r>
          </w:p>
        </w:tc>
        <w:tc>
          <w:tcPr>
            <w:tcW w:w="1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Non-Related Party</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8"/>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360" w:type="dxa"/>
            <w:vAlign w:val="bottom"/>
          </w:tcPr>
          <w:p>
            <w:pPr>
              <w:spacing w:after="0"/>
              <w:rPr>
                <w:sz w:val="19"/>
                <w:szCs w:val="19"/>
                <w:color w:val="auto"/>
              </w:rPr>
            </w:pPr>
          </w:p>
        </w:tc>
        <w:tc>
          <w:tcPr>
            <w:tcW w:w="126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43"/>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2,864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1,236</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4,100</w:t>
            </w: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color w:val="auto"/>
              </w:rPr>
              <w:t>Fiscal 2021</w:t>
            </w:r>
          </w:p>
        </w:tc>
        <w:tc>
          <w:tcPr>
            <w:tcW w:w="20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2,863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3,931</w:t>
            </w: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3,622</w:t>
            </w: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20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3,597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4,127</w:t>
            </w: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4,324</w:t>
            </w:r>
          </w:p>
        </w:tc>
      </w:tr>
      <w:tr>
        <w:trPr>
          <w:trHeight w:val="23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25,064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1,359</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26,423</w:t>
            </w:r>
          </w:p>
        </w:tc>
      </w:tr>
      <w:tr>
        <w:trPr>
          <w:trHeight w:val="268"/>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future lease commitments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41,214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46,527</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95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906"/>
        </w:trPr>
        <w:tc>
          <w:tcPr>
            <w:tcW w:w="9560" w:type="dxa"/>
            <w:vAlign w:val="bottom"/>
            <w:gridSpan w:val="2"/>
          </w:tcPr>
          <w:p>
            <w:pPr>
              <w:spacing w:after="0"/>
              <w:rPr>
                <w:sz w:val="20"/>
                <w:szCs w:val="20"/>
                <w:color w:val="auto"/>
              </w:rPr>
            </w:pPr>
            <w:r>
              <w:rPr>
                <w:rFonts w:ascii="Arial" w:cs="Arial" w:eastAsia="Arial" w:hAnsi="Arial"/>
                <w:sz w:val="16"/>
                <w:szCs w:val="16"/>
                <w:color w:val="auto"/>
              </w:rPr>
              <w:t>The following table details additional information related to our leases: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6"/>
        </w:trPr>
        <w:tc>
          <w:tcPr>
            <w:tcW w:w="126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Six Months Ended</w:t>
            </w:r>
          </w:p>
        </w:tc>
      </w:tr>
      <w:tr>
        <w:trPr>
          <w:trHeight w:val="237"/>
        </w:trPr>
        <w:tc>
          <w:tcPr>
            <w:tcW w:w="9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February 29, 2020</w:t>
            </w:r>
          </w:p>
        </w:tc>
      </w:tr>
      <w:tr>
        <w:trPr>
          <w:trHeight w:val="243"/>
        </w:trPr>
        <w:tc>
          <w:tcPr>
            <w:tcW w:w="9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3"/>
        </w:trPr>
        <w:tc>
          <w:tcPr>
            <w:tcW w:w="9560" w:type="dxa"/>
            <w:vAlign w:val="bottom"/>
            <w:gridSpan w:val="2"/>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1,168</w:t>
            </w:r>
          </w:p>
        </w:tc>
      </w:tr>
      <w:tr>
        <w:trPr>
          <w:trHeight w:val="253"/>
        </w:trPr>
        <w:tc>
          <w:tcPr>
            <w:tcW w:w="9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cash flows from finance leases</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w:t>
            </w:r>
          </w:p>
        </w:tc>
      </w:tr>
      <w:tr>
        <w:trPr>
          <w:trHeight w:val="233"/>
        </w:trPr>
        <w:tc>
          <w:tcPr>
            <w:tcW w:w="9560" w:type="dxa"/>
            <w:vAlign w:val="bottom"/>
            <w:gridSpan w:val="2"/>
          </w:tcPr>
          <w:p>
            <w:pPr>
              <w:ind w:left="120"/>
              <w:spacing w:after="0"/>
              <w:rPr>
                <w:sz w:val="20"/>
                <w:szCs w:val="20"/>
                <w:color w:val="auto"/>
              </w:rPr>
            </w:pPr>
            <w:r>
              <w:rPr>
                <w:rFonts w:ascii="Arial" w:cs="Arial" w:eastAsia="Arial" w:hAnsi="Arial"/>
                <w:sz w:val="16"/>
                <w:szCs w:val="16"/>
                <w:color w:val="auto"/>
              </w:rPr>
              <w:t>Financing cash flows from finance leases</w:t>
            </w:r>
          </w:p>
        </w:tc>
        <w:tc>
          <w:tcPr>
            <w:tcW w:w="12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104</w:t>
            </w:r>
          </w:p>
        </w:tc>
      </w:tr>
      <w:tr>
        <w:trPr>
          <w:trHeight w:val="253"/>
        </w:trPr>
        <w:tc>
          <w:tcPr>
            <w:tcW w:w="9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Leased assets obtained in exchange for lease liabilities:</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3"/>
        </w:trPr>
        <w:tc>
          <w:tcPr>
            <w:tcW w:w="9560" w:type="dxa"/>
            <w:vAlign w:val="bottom"/>
            <w:gridSpan w:val="2"/>
          </w:tcPr>
          <w:p>
            <w:pPr>
              <w:ind w:left="120"/>
              <w:spacing w:after="0"/>
              <w:rPr>
                <w:sz w:val="20"/>
                <w:szCs w:val="20"/>
                <w:color w:val="auto"/>
              </w:rPr>
            </w:pPr>
            <w:r>
              <w:rPr>
                <w:rFonts w:ascii="Arial" w:cs="Arial" w:eastAsia="Arial" w:hAnsi="Arial"/>
                <w:sz w:val="16"/>
                <w:szCs w:val="16"/>
                <w:color w:val="auto"/>
              </w:rPr>
              <w:t>Operating leases</w:t>
            </w:r>
          </w:p>
        </w:tc>
        <w:tc>
          <w:tcPr>
            <w:tcW w:w="120" w:type="dxa"/>
            <w:vAlign w:val="bottom"/>
          </w:tcPr>
          <w:p>
            <w:pPr>
              <w:spacing w:after="0"/>
              <w:rPr>
                <w:sz w:val="20"/>
                <w:szCs w:val="20"/>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1,801</w:t>
            </w:r>
          </w:p>
        </w:tc>
      </w:tr>
      <w:tr>
        <w:trPr>
          <w:trHeight w:val="253"/>
        </w:trPr>
        <w:tc>
          <w:tcPr>
            <w:tcW w:w="9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Finance leases</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5,664</w:t>
            </w:r>
          </w:p>
        </w:tc>
      </w:tr>
      <w:tr>
        <w:trPr>
          <w:trHeight w:val="344"/>
        </w:trPr>
        <w:tc>
          <w:tcPr>
            <w:tcW w:w="126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February 29, 2020</w:t>
            </w:r>
          </w:p>
        </w:tc>
      </w:tr>
      <w:tr>
        <w:trPr>
          <w:trHeight w:val="243"/>
        </w:trPr>
        <w:tc>
          <w:tcPr>
            <w:tcW w:w="9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3"/>
        </w:trPr>
        <w:tc>
          <w:tcPr>
            <w:tcW w:w="9560" w:type="dxa"/>
            <w:vAlign w:val="bottom"/>
            <w:gridSpan w:val="2"/>
          </w:tcPr>
          <w:p>
            <w:pPr>
              <w:ind w:left="120"/>
              <w:spacing w:after="0"/>
              <w:rPr>
                <w:sz w:val="20"/>
                <w:szCs w:val="20"/>
                <w:color w:val="auto"/>
              </w:rPr>
            </w:pPr>
            <w:r>
              <w:rPr>
                <w:rFonts w:ascii="Arial" w:cs="Arial" w:eastAsia="Arial" w:hAnsi="Arial"/>
                <w:sz w:val="16"/>
                <w:szCs w:val="16"/>
                <w:color w:val="auto"/>
              </w:rPr>
              <w:t>Operating leases</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53"/>
        </w:trPr>
        <w:tc>
          <w:tcPr>
            <w:tcW w:w="9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33"/>
        </w:trPr>
        <w:tc>
          <w:tcPr>
            <w:tcW w:w="9560" w:type="dxa"/>
            <w:vAlign w:val="bottom"/>
            <w:gridSpan w:val="2"/>
          </w:tcPr>
          <w:p>
            <w:pPr>
              <w:ind w:left="20"/>
              <w:spacing w:after="0"/>
              <w:rPr>
                <w:sz w:val="20"/>
                <w:szCs w:val="20"/>
                <w:color w:val="auto"/>
              </w:rPr>
            </w:pPr>
            <w:r>
              <w:rPr>
                <w:rFonts w:ascii="Arial" w:cs="Arial" w:eastAsia="Arial" w:hAnsi="Arial"/>
                <w:sz w:val="16"/>
                <w:szCs w:val="16"/>
                <w:color w:val="auto"/>
              </w:rPr>
              <w:t>Weighted average discount rate: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3"/>
        </w:trPr>
        <w:tc>
          <w:tcPr>
            <w:tcW w:w="9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23"/>
        </w:trPr>
        <w:tc>
          <w:tcPr>
            <w:tcW w:w="9560" w:type="dxa"/>
            <w:vAlign w:val="bottom"/>
            <w:gridSpan w:val="2"/>
          </w:tcPr>
          <w:p>
            <w:pPr>
              <w:ind w:left="120"/>
              <w:spacing w:after="0"/>
              <w:rPr>
                <w:sz w:val="20"/>
                <w:szCs w:val="20"/>
                <w:color w:val="auto"/>
              </w:rPr>
            </w:pPr>
            <w:r>
              <w:rPr>
                <w:rFonts w:ascii="Arial" w:cs="Arial" w:eastAsia="Arial" w:hAnsi="Arial"/>
                <w:sz w:val="16"/>
                <w:szCs w:val="16"/>
                <w:color w:val="auto"/>
              </w:rPr>
              <w:t>Finance leases</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6.2 %</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(1) Represents the lease liability added. Lease assets are offset by a $1.0 million unfavorable lease liability created by the acquisition of Newmar.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20"/>
                <w:szCs w:val="20"/>
                <w:color w:val="auto"/>
              </w:rPr>
            </w:pPr>
            <w:r>
              <w:rPr>
                <w:rFonts w:ascii="Arial" w:cs="Arial" w:eastAsia="Arial" w:hAnsi="Arial"/>
                <w:sz w:val="16"/>
                <w:szCs w:val="16"/>
                <w:b w:val="1"/>
                <w:bCs w:val="1"/>
                <w:color w:val="auto"/>
              </w:rPr>
              <w:t>Note 11: Employee and Retiree Benefits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6"/>
                <w:szCs w:val="16"/>
                <w:color w:val="auto"/>
              </w:rPr>
              <w:t>Deferred compensation liabilities are as follows: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w:t>
            </w:r>
          </w:p>
        </w:tc>
        <w:tc>
          <w:tcPr>
            <w:tcW w:w="260" w:type="dxa"/>
            <w:vAlign w:val="bottom"/>
          </w:tcPr>
          <w:p>
            <w:pPr>
              <w:spacing w:after="0"/>
              <w:rPr>
                <w:sz w:val="18"/>
                <w:szCs w:val="18"/>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12,259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13,093</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Supplemental executive retirement plan</w:t>
            </w: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2,098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2,072</w:t>
            </w:r>
          </w:p>
        </w:tc>
      </w:tr>
      <w:tr>
        <w:trPr>
          <w:trHeight w:val="25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share option plan</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r>
      <w:tr>
        <w:trPr>
          <w:trHeight w:val="23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Executive deferred compensation plan</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621</w:t>
            </w:r>
          </w:p>
        </w:tc>
      </w:tr>
      <w:tr>
        <w:trPr>
          <w:trHeight w:val="24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 benefits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15,022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15,798</w:t>
            </w:r>
          </w:p>
        </w:tc>
      </w:tr>
      <w:tr>
        <w:trPr>
          <w:trHeight w:val="24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2,856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2,920</w:t>
            </w:r>
          </w:p>
        </w:tc>
      </w:tr>
      <w:tr>
        <w:trPr>
          <w:trHeight w:val="261"/>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compensation benefits, net of current portion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12,166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12,878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Included in Accrued compensation on the Condensed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68"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Generally, manufacturers in our industries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2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Our total contingent liability on all repurchase agreements was approximately $1.4 billion and $874.9 million at February 29, 2020 and August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these repurchase agreements and our historical loss experience, we establish an associated loss reserve which is included in Accrued expenses: Other on the Condensed Consolidated Balance Sheets. Our accrued losses on repurchases were $1.3 million and $0.9 million at February 29, 2020 and August 31, 2019, respectively.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first six months ended February 29, 2020 and February 23, 2019.</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6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While we believe the ultimate disposition of litigation will not have a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w:t>
      </w:r>
      <w:r>
        <w:rPr>
          <w:rFonts w:ascii="Arial" w:cs="Arial" w:eastAsia="Arial" w:hAnsi="Arial"/>
          <w:sz w:val="17"/>
          <w:szCs w:val="17"/>
          <w:b w:val="1"/>
          <w:bCs w:val="1"/>
          <w:color w:val="auto"/>
        </w:rPr>
        <w:t>:</w:t>
      </w:r>
      <w:r>
        <w:rPr>
          <w:rFonts w:ascii="Arial" w:cs="Arial" w:eastAsia="Arial" w:hAnsi="Arial"/>
          <w:sz w:val="16"/>
          <w:szCs w:val="16"/>
          <w:b w:val="1"/>
          <w:bCs w:val="1"/>
          <w:color w:val="auto"/>
        </w:rPr>
        <w:t xml:space="preserve"> Revenue</w:t>
      </w:r>
    </w:p>
    <w:p>
      <w:pPr>
        <w:spacing w:after="0" w:line="284"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We generate all of our operating revenue from contracts with customers. Our primary source of revenue is generated through the sale of manufactured motorized units, non-motorized towable units, and marine units to our independent dealer network (our customers). The following table disaggregates revenue by reportable segment and product category: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w:t>
            </w:r>
          </w:p>
        </w:tc>
        <w:tc>
          <w:tcPr>
            <w:tcW w:w="20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29,</w:t>
            </w:r>
          </w:p>
        </w:tc>
        <w:tc>
          <w:tcPr>
            <w:tcW w:w="220" w:type="dxa"/>
            <w:vAlign w:val="bottom"/>
          </w:tcPr>
          <w:p>
            <w:pPr>
              <w:spacing w:after="0"/>
              <w:rPr>
                <w:sz w:val="17"/>
                <w:szCs w:val="17"/>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23,</w:t>
            </w:r>
          </w:p>
        </w:tc>
      </w:tr>
      <w:tr>
        <w:trPr>
          <w:trHeight w:val="22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Fifth Wheel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156,748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154,783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351,937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317,532</w:t>
            </w: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Travel Trailer</w:t>
            </w:r>
          </w:p>
        </w:tc>
        <w:tc>
          <w:tcPr>
            <w:tcW w:w="2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123,894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92,162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264,357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217,788</w:t>
            </w:r>
          </w:p>
        </w:tc>
      </w:tr>
      <w:tr>
        <w:trPr>
          <w:trHeight w:val="253"/>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2,821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3,746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8,419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8,204</w:t>
            </w:r>
          </w:p>
        </w:tc>
      </w:tr>
      <w:tr>
        <w:trPr>
          <w:trHeight w:val="227"/>
        </w:trPr>
        <w:tc>
          <w:tcPr>
            <w:tcW w:w="4440" w:type="dxa"/>
            <w:vAlign w:val="bottom"/>
          </w:tcPr>
          <w:p>
            <w:pPr>
              <w:ind w:left="220"/>
              <w:spacing w:after="0"/>
              <w:rPr>
                <w:sz w:val="20"/>
                <w:szCs w:val="20"/>
                <w:color w:val="auto"/>
              </w:rPr>
            </w:pPr>
            <w:r>
              <w:rPr>
                <w:rFonts w:ascii="Arial" w:cs="Arial" w:eastAsia="Arial" w:hAnsi="Arial"/>
                <w:sz w:val="16"/>
                <w:szCs w:val="16"/>
                <w:color w:val="auto"/>
              </w:rPr>
              <w:t>Total Towable</w:t>
            </w:r>
          </w:p>
        </w:tc>
        <w:tc>
          <w:tcPr>
            <w:tcW w:w="22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283,463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250,691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624,713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543,524</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Class A</w:t>
            </w:r>
          </w:p>
        </w:tc>
        <w:tc>
          <w:tcPr>
            <w:tcW w:w="2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179,705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55,000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245,349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103,678</w:t>
            </w:r>
          </w:p>
        </w:tc>
      </w:tr>
      <w:tr>
        <w:trPr>
          <w:trHeight w:val="253"/>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81,893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52,260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167,349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120,980</w:t>
            </w:r>
          </w:p>
        </w:tc>
      </w:tr>
      <w:tr>
        <w:trPr>
          <w:trHeight w:val="233"/>
        </w:trPr>
        <w:tc>
          <w:tcPr>
            <w:tcW w:w="4440" w:type="dxa"/>
            <w:vAlign w:val="bottom"/>
          </w:tcPr>
          <w:p>
            <w:pPr>
              <w:ind w:left="120"/>
              <w:spacing w:after="0"/>
              <w:rPr>
                <w:sz w:val="20"/>
                <w:szCs w:val="20"/>
                <w:color w:val="auto"/>
              </w:rPr>
            </w:pPr>
            <w:r>
              <w:rPr>
                <w:rFonts w:ascii="Arial" w:cs="Arial" w:eastAsia="Arial" w:hAnsi="Arial"/>
                <w:sz w:val="16"/>
                <w:szCs w:val="16"/>
                <w:color w:val="auto"/>
              </w:rPr>
              <w:t>Class C</w:t>
            </w:r>
          </w:p>
        </w:tc>
        <w:tc>
          <w:tcPr>
            <w:tcW w:w="2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55,657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52,243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122,533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108,385</w:t>
            </w:r>
          </w:p>
        </w:tc>
      </w:tr>
      <w:tr>
        <w:trPr>
          <w:trHeight w:val="253"/>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8,287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5,159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16,202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12,947</w:t>
            </w:r>
          </w:p>
        </w:tc>
      </w:tr>
      <w:tr>
        <w:trPr>
          <w:trHeight w:val="227"/>
        </w:trPr>
        <w:tc>
          <w:tcPr>
            <w:tcW w:w="4440" w:type="dxa"/>
            <w:vAlign w:val="bottom"/>
          </w:tcPr>
          <w:p>
            <w:pPr>
              <w:ind w:left="220"/>
              <w:spacing w:after="0"/>
              <w:rPr>
                <w:sz w:val="20"/>
                <w:szCs w:val="20"/>
                <w:color w:val="auto"/>
              </w:rPr>
            </w:pPr>
            <w:r>
              <w:rPr>
                <w:rFonts w:ascii="Arial" w:cs="Arial" w:eastAsia="Arial" w:hAnsi="Arial"/>
                <w:sz w:val="16"/>
                <w:szCs w:val="16"/>
                <w:color w:val="auto"/>
              </w:rPr>
              <w:t>Total Motorhome</w:t>
            </w:r>
          </w:p>
        </w:tc>
        <w:tc>
          <w:tcPr>
            <w:tcW w:w="22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325,542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164,662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551,433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345,990</w:t>
            </w:r>
          </w:p>
        </w:tc>
      </w:tr>
      <w:tr>
        <w:trPr>
          <w:trHeight w:val="25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17,805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17,337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39,122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36,824</w:t>
            </w: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Corporate / All Other</w:t>
            </w: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17,805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17,337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39,122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36,824</w:t>
            </w:r>
          </w:p>
        </w:tc>
      </w:tr>
      <w:tr>
        <w:trPr>
          <w:trHeight w:val="243"/>
        </w:trPr>
        <w:tc>
          <w:tcPr>
            <w:tcW w:w="4440" w:type="dxa"/>
            <w:vAlign w:val="bottom"/>
          </w:tcPr>
          <w:p>
            <w:pPr>
              <w:ind w:left="34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626,810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432,690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1,215,268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926,338</w:t>
            </w: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Relates to parts, accessories, and services.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Relates to marine and specialty vehicle units, parts, accessories, and services.</w:t>
      </w:r>
    </w:p>
    <w:p>
      <w:pPr>
        <w:spacing w:after="0" w:line="24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do not have material contract assets or liabilities. We establish allowances for uncollectible receivables based on historical collection trends and write-off history.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26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None of our dealer organizations accounted for more than 10% of our net revenue for the second quarter of Fiscal 2020, while one dealer organization accounted for more than 10% of our net revenue for the second quarter of 2019. In addition, none of our dealer organizations accounted for more than 10% of our net revenue for the first six months of Fiscal 2020 or 2019.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Stock-Based Compensation</w:t>
      </w:r>
    </w:p>
    <w:p>
      <w:pPr>
        <w:spacing w:after="0" w:line="26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share awards, and other equity compensation to key employees and to non-employee directors. The 2019 Plan replaces our 2014 Omnibus Equity, Performance Award, and Incentive Compensation Plan (as amended, the "2014 Plan"). The number of shares of our Common Stock that may be the subject of awards and issued under the 2019 Plan is 4.1 million, plus the shares subject to any awards outstanding under the 2014 Plan and our predecessor plan, the 2004 Incentive Compensation Plan (the “2004 Plan”), on December 11, 2018 that subsequently expire, are forfeited or canceled, or are settled for cash. Until such time, however, awards under the 2014 Plan and the 2004 Plan, respectively, that are outstanding on December 11, 2018 will continue to be subject to the terms of the 2014 Plan or 2004 Plan, as applicable. Shares remaining available for future awards under the 2014 Plan were not carried over into the 2019 Plan.</w:t>
      </w:r>
    </w:p>
    <w:p>
      <w:pPr>
        <w:spacing w:after="0" w:line="23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Stock-based compensation expense was $2.0 million and $2.1 million during the second quarters of Fiscal 2020 and 2019, respectively, and $3.6 million and $4.6 million during the first six months of Fiscal 2020 and 2019, respectively. Compensation expense is recognized over the requisite service period of the award.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Restructuring</w:t>
      </w:r>
    </w:p>
    <w:p>
      <w:pPr>
        <w:spacing w:after="0" w:line="26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On February 4, 2019, we announced our intent to move our diesel production from Junction City, OR to Forest City, IA to enable more effective product development and improve our cost structure. The following table details the restructuring charges incurred: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Motorhome</w:t>
            </w: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236"/>
        </w:trPr>
        <w:tc>
          <w:tcPr>
            <w:tcW w:w="2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Cumulative</w:t>
            </w:r>
          </w:p>
        </w:tc>
      </w:tr>
      <w:tr>
        <w:trPr>
          <w:trHeight w:val="237"/>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February 23, 2019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February 29, 2020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February 23, 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February 29, 2020</w:t>
            </w: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1,548</w:t>
            </w:r>
          </w:p>
        </w:tc>
      </w:tr>
      <w:tr>
        <w:trPr>
          <w:trHeight w:val="218"/>
        </w:trPr>
        <w:tc>
          <w:tcPr>
            <w:tcW w:w="27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8"/>
        </w:trPr>
        <w:tc>
          <w:tcPr>
            <w:tcW w:w="274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266</w:t>
            </w:r>
          </w:p>
        </w:tc>
      </w:tr>
      <w:tr>
        <w:trPr>
          <w:trHeight w:val="268"/>
        </w:trPr>
        <w:tc>
          <w:tcPr>
            <w:tcW w:w="27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Restructuring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1,814</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Expenses in the current period mainly include adjustments for facility closure costs. We expect additional net expenses of approximately $0.3 million in Fiscal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Income Taxes</w:t>
      </w:r>
    </w:p>
    <w:p>
      <w:pPr>
        <w:spacing w:after="0" w:line="255"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Our effective tax rate increased to 20.1% for the first six months ended February 29, 2020 from 18.4% for the first six months ended February 23, 2019 due primarily to the favorable impact in the prior year of research and development tax credits .</w:t>
      </w:r>
    </w:p>
    <w:p>
      <w:pPr>
        <w:spacing w:after="0" w:line="236"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As of February 29, 2020, our federal returns from Fiscal 2016 to present are subject to review by the Internal Revenue Service. With limited exception, state returns from Fiscal 2015 to present continue to be subject to review by state taxing jurisdictions. We are currently under review by certain U.S. state tax authorities for Fiscal 2015 through 2018. We believe we have adequately reserved for our exposure to additional payments for uncertain tax positions in our liability for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44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4440" w:type="dxa"/>
            <w:vAlign w:val="bottom"/>
            <w:gridSpan w:val="2"/>
          </w:tcPr>
          <w:p>
            <w:pPr>
              <w:spacing w:after="0"/>
              <w:rPr>
                <w:sz w:val="20"/>
                <w:szCs w:val="20"/>
                <w:color w:val="auto"/>
              </w:rPr>
            </w:pPr>
            <w:r>
              <w:rPr>
                <w:rFonts w:ascii="Arial" w:cs="Arial" w:eastAsia="Arial" w:hAnsi="Arial"/>
                <w:sz w:val="16"/>
                <w:szCs w:val="16"/>
                <w:b w:val="1"/>
                <w:bCs w:val="1"/>
                <w:color w:val="auto"/>
              </w:rPr>
              <w:t>Note 17: Income Per Share</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160" w:type="dxa"/>
            <w:vAlign w:val="bottom"/>
            <w:gridSpan w:val="5"/>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w:t>
            </w:r>
          </w:p>
        </w:tc>
        <w:tc>
          <w:tcPr>
            <w:tcW w:w="20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29,</w:t>
            </w:r>
          </w:p>
        </w:tc>
        <w:tc>
          <w:tcPr>
            <w:tcW w:w="220" w:type="dxa"/>
            <w:vAlign w:val="bottom"/>
          </w:tcPr>
          <w:p>
            <w:pPr>
              <w:spacing w:after="0"/>
              <w:rPr>
                <w:sz w:val="17"/>
                <w:szCs w:val="17"/>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23,</w:t>
            </w:r>
          </w:p>
        </w:tc>
        <w:tc>
          <w:tcPr>
            <w:tcW w:w="0" w:type="dxa"/>
            <w:vAlign w:val="bottom"/>
          </w:tcPr>
          <w:p>
            <w:pPr>
              <w:spacing w:after="0"/>
              <w:rPr>
                <w:sz w:val="1"/>
                <w:szCs w:val="1"/>
                <w:color w:val="auto"/>
              </w:rPr>
            </w:pPr>
          </w:p>
        </w:tc>
      </w:tr>
      <w:tr>
        <w:trPr>
          <w:trHeight w:val="228"/>
        </w:trPr>
        <w:tc>
          <w:tcPr>
            <w:tcW w:w="44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43"/>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17,268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21,598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31,336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43,759</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6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Denominator</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33,614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31,577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32,840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31,572</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Dilutive impact of stock compensation awards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4"/>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assuming</w:t>
            </w:r>
          </w:p>
        </w:tc>
        <w:tc>
          <w:tcPr>
            <w:tcW w:w="2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33,918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31,724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33,143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31,755</w:t>
            </w: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dilution</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Anti-dilutive securities excluded from Weighted average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shares outstanding, assuming dilution</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62"/>
        </w:trPr>
        <w:tc>
          <w:tcPr>
            <w:tcW w:w="44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income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0.95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24"/>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Diluted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bl>
    <w:p>
      <w:pPr>
        <w:spacing w:after="0" w:line="37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Anti-dilutive securities were not included in the computation of diluted income per common share because they are considered anti-dilutive under the treasury stock method.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Accumulated Other Comprehensive Income (Loss)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37"/>
        </w:trPr>
        <w:tc>
          <w:tcPr>
            <w:tcW w:w="29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February 29, 2020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February 23, 2019</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8"/>
        </w:trPr>
        <w:tc>
          <w:tcPr>
            <w:tcW w:w="29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Swap</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Swap</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4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878</w:t>
            </w:r>
          </w:p>
        </w:tc>
      </w:tr>
      <w:tr>
        <w:trPr>
          <w:trHeight w:val="218"/>
        </w:trPr>
        <w:tc>
          <w:tcPr>
            <w:tcW w:w="2960" w:type="dxa"/>
            <w:vAlign w:val="bottom"/>
          </w:tcPr>
          <w:p>
            <w:pPr>
              <w:ind w:left="120"/>
              <w:spacing w:after="0"/>
              <w:rPr>
                <w:sz w:val="20"/>
                <w:szCs w:val="20"/>
                <w:color w:val="auto"/>
              </w:rPr>
            </w:pPr>
            <w:r>
              <w:rPr>
                <w:rFonts w:ascii="Arial" w:cs="Arial" w:eastAsia="Arial" w:hAnsi="Arial"/>
                <w:sz w:val="16"/>
                <w:szCs w:val="16"/>
                <w:color w:val="auto"/>
              </w:rPr>
              <w:t>Other comprehensive income ("OCI")</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4"/>
        </w:trPr>
        <w:tc>
          <w:tcPr>
            <w:tcW w:w="2960" w:type="dxa"/>
            <w:vAlign w:val="bottom"/>
          </w:tcPr>
          <w:p>
            <w:pPr>
              <w:ind w:left="120"/>
              <w:spacing w:after="0"/>
              <w:rPr>
                <w:sz w:val="20"/>
                <w:szCs w:val="20"/>
                <w:color w:val="auto"/>
              </w:rPr>
            </w:pPr>
            <w:r>
              <w:rPr>
                <w:rFonts w:ascii="Arial" w:cs="Arial" w:eastAsia="Arial" w:hAnsi="Arial"/>
                <w:sz w:val="16"/>
                <w:szCs w:val="16"/>
                <w:color w:val="auto"/>
              </w:rPr>
              <w:t>before reclassifications</w:t>
            </w: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(634)</w:t>
            </w:r>
          </w:p>
        </w:tc>
      </w:tr>
      <w:tr>
        <w:trPr>
          <w:trHeight w:val="246"/>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Amounts reclassified from AOCI</w:t>
            </w: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r>
      <w:tr>
        <w:trPr>
          <w:trHeight w:val="237"/>
        </w:trPr>
        <w:tc>
          <w:tcPr>
            <w:tcW w:w="2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current-period OCI</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w:t>
            </w:r>
          </w:p>
        </w:tc>
      </w:tr>
      <w:tr>
        <w:trPr>
          <w:trHeight w:val="263"/>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252</w:t>
            </w:r>
          </w:p>
        </w:tc>
      </w:tr>
      <w:tr>
        <w:trPr>
          <w:trHeight w:val="20"/>
        </w:trPr>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29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37"/>
        </w:trPr>
        <w:tc>
          <w:tcPr>
            <w:tcW w:w="2960" w:type="dxa"/>
            <w:vAlign w:val="bottom"/>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gridSpan w:val="3"/>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Six Months Ended</w:t>
            </w:r>
          </w:p>
        </w:tc>
        <w:tc>
          <w:tcPr>
            <w:tcW w:w="5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r>
      <w:tr>
        <w:trPr>
          <w:trHeight w:val="236"/>
        </w:trPr>
        <w:tc>
          <w:tcPr>
            <w:tcW w:w="29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February 29, 2020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February 23, 2019</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98"/>
        </w:trPr>
        <w:tc>
          <w:tcPr>
            <w:tcW w:w="29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Swap</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Swap</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4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892</w:t>
            </w:r>
          </w:p>
        </w:tc>
      </w:tr>
      <w:tr>
        <w:trPr>
          <w:trHeight w:val="233"/>
        </w:trPr>
        <w:tc>
          <w:tcPr>
            <w:tcW w:w="2960" w:type="dxa"/>
            <w:vAlign w:val="bottom"/>
          </w:tcPr>
          <w:p>
            <w:pPr>
              <w:ind w:left="120"/>
              <w:spacing w:after="0"/>
              <w:rPr>
                <w:sz w:val="20"/>
                <w:szCs w:val="20"/>
                <w:color w:val="auto"/>
              </w:rPr>
            </w:pPr>
            <w:r>
              <w:rPr>
                <w:rFonts w:ascii="Arial" w:cs="Arial" w:eastAsia="Arial" w:hAnsi="Arial"/>
                <w:sz w:val="16"/>
                <w:szCs w:val="16"/>
                <w:color w:val="auto"/>
              </w:rPr>
              <w:t>OCI before reclassifications</w:t>
            </w:r>
          </w:p>
        </w:tc>
        <w:tc>
          <w:tcPr>
            <w:tcW w:w="4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(656)</w:t>
            </w:r>
          </w:p>
        </w:tc>
      </w:tr>
      <w:tr>
        <w:trPr>
          <w:trHeight w:val="246"/>
        </w:trPr>
        <w:tc>
          <w:tcPr>
            <w:tcW w:w="2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Amounts reclassified from AOCI</w:t>
            </w: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r>
      <w:tr>
        <w:trPr>
          <w:trHeight w:val="237"/>
        </w:trPr>
        <w:tc>
          <w:tcPr>
            <w:tcW w:w="2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current-period OCI</w:t>
            </w:r>
          </w:p>
        </w:tc>
        <w:tc>
          <w:tcPr>
            <w:tcW w:w="4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(640)</w:t>
            </w:r>
          </w:p>
        </w:tc>
      </w:tr>
      <w:tr>
        <w:trPr>
          <w:trHeight w:val="26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252</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9"/>
                <w:szCs w:val="19"/>
                <w:color w:val="auto"/>
              </w:rPr>
            </w:pPr>
          </w:p>
        </w:tc>
        <w:tc>
          <w:tcPr>
            <w:tcW w:w="29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Location on Consolidated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99"/>
              </w:rPr>
              <w:t>Statements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of Income and Comprehensive</w:t>
            </w: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February 29,</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23,</w:t>
            </w: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February 29,</w:t>
            </w:r>
          </w:p>
        </w:tc>
        <w:tc>
          <w:tcPr>
            <w:tcW w:w="200" w:type="dxa"/>
            <w:vAlign w:val="bottom"/>
          </w:tcPr>
          <w:p>
            <w:pPr>
              <w:spacing w:after="0"/>
              <w:rPr>
                <w:sz w:val="16"/>
                <w:szCs w:val="16"/>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February 23,</w:t>
            </w:r>
          </w:p>
        </w:tc>
        <w:tc>
          <w:tcPr>
            <w:tcW w:w="0" w:type="dxa"/>
            <w:vAlign w:val="bottom"/>
          </w:tcPr>
          <w:p>
            <w:pPr>
              <w:spacing w:after="0"/>
              <w:rPr>
                <w:sz w:val="1"/>
                <w:szCs w:val="1"/>
                <w:color w:val="auto"/>
              </w:rPr>
            </w:pPr>
          </w:p>
        </w:tc>
      </w:tr>
      <w:tr>
        <w:trPr>
          <w:trHeight w:val="228"/>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Income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8"/>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net actuarial</w:t>
            </w:r>
          </w:p>
        </w:tc>
        <w:tc>
          <w:tcPr>
            <w:tcW w:w="26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SG&amp;A</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00"/>
        </w:trPr>
        <w:tc>
          <w:tcPr>
            <w:tcW w:w="2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2660" w:type="dxa"/>
            <w:vAlign w:val="bottom"/>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200" w:type="dxa"/>
            <w:vAlign w:val="bottom"/>
            <w:vMerge w:val="continue"/>
            <w:shd w:val="clear" w:color="auto" w:fill="CCEEFF"/>
          </w:tcPr>
          <w:p>
            <w:pPr>
              <w:spacing w:after="0"/>
              <w:rPr>
                <w:sz w:val="9"/>
                <w:szCs w:val="9"/>
                <w:color w:val="auto"/>
              </w:rPr>
            </w:pPr>
          </w:p>
        </w:tc>
        <w:tc>
          <w:tcPr>
            <w:tcW w:w="2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6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Unless the context otherwise requires, the use of the terms "Winnebago," "we," "us," and "our" refers to Winnebago Industries, Inc. and its wholly-owned subsidiaries.</w:t>
      </w:r>
    </w:p>
    <w:p>
      <w:pPr>
        <w:spacing w:after="0" w:line="22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29" w:lineRule="exact"/>
        <w:rPr>
          <w:sz w:val="20"/>
          <w:szCs w:val="20"/>
          <w:color w:val="auto"/>
        </w:rPr>
      </w:pPr>
    </w:p>
    <w:p>
      <w:pPr>
        <w:ind w:right="580"/>
        <w:spacing w:after="0" w:line="253" w:lineRule="auto"/>
        <w:rPr>
          <w:sz w:val="20"/>
          <w:szCs w:val="20"/>
          <w:color w:val="auto"/>
        </w:rPr>
      </w:pPr>
      <w:r>
        <w:rPr>
          <w:rFonts w:ascii="Arial" w:cs="Arial" w:eastAsia="Arial" w:hAnsi="Arial"/>
          <w:sz w:val="16"/>
          <w:szCs w:val="16"/>
          <w:color w:val="auto"/>
        </w:rPr>
        <w:t>Our MD&amp;A should be read in conjunction with our Annual Report on Form 10-K for the fiscal year ended August 31, 2019 (including the information presented therein under Risk Factors), as well as our reports on Forms 10-Q and 8-K and other publicly available information. All amounts herein are unaudited.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Winnebago Industries, Inc. is one of the leading U.S. manufacturers with a diversified portfolio of recreation vehicles ("RV"s) and marine products used primarily in leisure travel and outdoor recreation activities. We produce our motorhome units in Iowa and Indiana; our towable units in Indiana; and our marine units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6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This MD&amp;A includes financial information prepared in accordance with accounting principles generally accepted in the U.S.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2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Refer to the Results of Operations - First Six Months of Fiscal 2020 Compared to the First Six Months of Fiscal 2019 for a detailed reconciliation of items that impacted EBITDA and Adjusted EBITDA. We have included these non-GAAP performance measures as a comparable measure to illustrate the effect of non-recurring transactions occurring during the reported periods and to improve comparability of our results from period to period. We believe Adjusted EBITDA provides meaningful supplemental information about our operating performance because these measures exclude amounts that we do not consider part of our core operating results when assessing our performance. Examples of items excluded from Adjusted EBITDA include acquisition-related fair-value inventory step-up, acquisition-related costs, restructuring expenses, and non-operating income.</w:t>
      </w:r>
    </w:p>
    <w:p>
      <w:pPr>
        <w:spacing w:after="0" w:line="23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debt agreements.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Newmar Corporation</w:t>
      </w:r>
    </w:p>
    <w:p>
      <w:pPr>
        <w:spacing w:after="0" w:line="26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 xml:space="preserve">On November 8, 2019, we completed the acquisition of Newmar Corporation, Dutch Real Estate Corp, New-Way Transport, and New-Serv (collectively "Newmar") for total consideration of $360.3 million, which consisted of $267.7 million in cash, subject to purchase price adjustments as stipulated in the Purchase Agreement, and 2.0 million shares of Winnebago common stock that were valued at $92.6 million ($46.29 per share discounted at 7.0% due to lack of marketability because of one year lock-up restrictions). The cash portion of the purchase price of the acquisition and certain transaction expenses were funded through the private placement of $300.0 million in aggregate principal amount of 1.5% convertible senior notes due 2025 ("Convertible Notes") (as further described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and cash on hand. Newmar is a leading manufacturer of Class A and Super C motorized recreation vehicles that are sold through an established network of independent authorized dealers throughout North America.</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26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have six operating segments: 1) Grand Design towables, 2) Winnebago towables, 3) Winnebago motorhomes, 4) Newmar motorhomes, 5) Chris-Craft marine, and 6) Winnebago specialty vehicles. We evaluate performance based on each operating segment's Adjusted EBITDA, as defined below, which excludes certain corporate administration expenses and non-operating income and expense.</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two reportable segments include: 1) Towable (comprised of products which are not motorized and are generally towed by another vehicle as well as other related manufactured products and services), which is an aggregation of the Grand Design towables and the Winnebago towables operating segments and 2) Motorhome (comprised of products that include a motorized chassis as well as other related manufactured products and services), which is an aggregation of the Winnebago motorhomes and Newmar motorhomes operating segments.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expenses related to certain corporate administration expenses for the oversight of the enterprise. These expenses include items such as corporate leadership and administration costs.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560" w:hanging="22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the Recreation Vehicle Industry Association ("RVIA")</w:t>
      </w:r>
    </w:p>
    <w:p>
      <w:pPr>
        <w:spacing w:after="0" w:line="5" w:lineRule="exact"/>
        <w:rPr>
          <w:rFonts w:ascii="Arial" w:cs="Arial" w:eastAsia="Arial" w:hAnsi="Arial"/>
          <w:sz w:val="16"/>
          <w:szCs w:val="16"/>
          <w:color w:val="auto"/>
        </w:rPr>
      </w:pPr>
    </w:p>
    <w:p>
      <w:pPr>
        <w:ind w:left="560" w:hanging="22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by Stat Surveys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these key statistics for the rolling 12 months through January as of 2020 and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US and Canada Industry</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1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6"/>
                <w:szCs w:val="16"/>
                <w:b w:val="1"/>
                <w:bCs w:val="1"/>
                <w:color w:val="auto"/>
              </w:rPr>
              <w:t>Wholesale Unit Shipments per RVIA</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9"/>
          </w:tcPr>
          <w:p>
            <w:pPr>
              <w:jc w:val="center"/>
              <w:spacing w:after="0"/>
              <w:rPr>
                <w:sz w:val="20"/>
                <w:szCs w:val="20"/>
                <w:color w:val="auto"/>
              </w:rPr>
            </w:pPr>
            <w:r>
              <w:rPr>
                <w:rFonts w:ascii="Arial" w:cs="Arial" w:eastAsia="Arial" w:hAnsi="Arial"/>
                <w:sz w:val="16"/>
                <w:szCs w:val="16"/>
                <w:b w:val="1"/>
                <w:bCs w:val="1"/>
                <w:color w:val="auto"/>
              </w:rPr>
              <w:t>Retail Unit Registrations per Stat Surveys</w:t>
            </w:r>
          </w:p>
        </w:tc>
      </w:tr>
      <w:tr>
        <w:trPr>
          <w:trHeight w:val="256"/>
        </w:trPr>
        <w:tc>
          <w:tcPr>
            <w:tcW w:w="15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Rolling 12 Months through January</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6"/>
                <w:szCs w:val="16"/>
                <w:b w:val="1"/>
                <w:bCs w:val="1"/>
                <w:color w:val="auto"/>
              </w:rPr>
              <w:t>Rolling 12 Months through January</w:t>
            </w:r>
          </w:p>
        </w:tc>
        <w:tc>
          <w:tcPr>
            <w:tcW w:w="1000" w:type="dxa"/>
            <w:vAlign w:val="bottom"/>
            <w:tcBorders>
              <w:bottom w:val="single" w:sz="8" w:color="auto"/>
            </w:tcBorders>
          </w:tcPr>
          <w:p>
            <w:pPr>
              <w:spacing w:after="0"/>
              <w:rPr>
                <w:sz w:val="22"/>
                <w:szCs w:val="22"/>
                <w:color w:val="auto"/>
              </w:rPr>
            </w:pPr>
          </w:p>
        </w:tc>
      </w:tr>
      <w:tr>
        <w:trPr>
          <w:trHeight w:val="237"/>
        </w:trPr>
        <w:tc>
          <w:tcPr>
            <w:tcW w:w="1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Towable</w:t>
            </w:r>
            <w:r>
              <w:rPr>
                <w:rFonts w:ascii="Arial" w:cs="Arial" w:eastAsia="Arial" w:hAnsi="Arial"/>
                <w:sz w:val="21"/>
                <w:szCs w:val="21"/>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357,358</w:t>
            </w:r>
          </w:p>
        </w:tc>
        <w:tc>
          <w:tcPr>
            <w:tcW w:w="13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399,987</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(42,629)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391,382</w:t>
            </w:r>
          </w:p>
        </w:tc>
        <w:tc>
          <w:tcPr>
            <w:tcW w:w="13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418,956</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(27,574)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43"/>
        </w:trPr>
        <w:tc>
          <w:tcPr>
            <w:tcW w:w="1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Motorhome</w:t>
            </w:r>
            <w:r>
              <w:rPr>
                <w:rFonts w:ascii="Arial" w:cs="Arial" w:eastAsia="Arial" w:hAnsi="Arial"/>
                <w:sz w:val="21"/>
                <w:szCs w:val="21"/>
                <w:color w:val="auto"/>
                <w:vertAlign w:val="superscript"/>
              </w:rPr>
              <w:t>(2)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46,280</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55,683</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(9,403)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51,531</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57,635</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(6,104)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57"/>
        </w:trPr>
        <w:tc>
          <w:tcPr>
            <w:tcW w:w="1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Combined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403,638</w:t>
            </w:r>
          </w:p>
        </w:tc>
        <w:tc>
          <w:tcPr>
            <w:tcW w:w="13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455,670</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(52,032)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442,913</w:t>
            </w:r>
          </w:p>
        </w:tc>
        <w:tc>
          <w:tcPr>
            <w:tcW w:w="13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476,591</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Towable: Fifth wheel and travel trailer products.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Motorhome: Class A, B, and C products.</w:t>
      </w:r>
    </w:p>
    <w:p>
      <w:pPr>
        <w:spacing w:after="0" w:line="241"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rolling twelve months shipments for 2020 and 2019 reflect a contraction in shipments as dealers have rationalized inventory during the last twelve months. The rolling twelve months retail information for 2020 and 2019 illustrates that retail sales remain at healthy levels. We believe retail demand is the key driver to continued growth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most recent RVIA wholesale shipment forecasts for calendar year 2020, as noted in the table below, indicate that industry shipments are expected to remain relatively flat in 2020.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rPr>
              <w:t>Calendar Year</w:t>
            </w:r>
          </w:p>
        </w:tc>
        <w:tc>
          <w:tcPr>
            <w:tcW w:w="114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9"/>
        </w:trPr>
        <w:tc>
          <w:tcPr>
            <w:tcW w:w="5720" w:type="dxa"/>
            <w:vAlign w:val="bottom"/>
          </w:tcPr>
          <w:p>
            <w:pPr>
              <w:spacing w:after="0"/>
              <w:rPr>
                <w:sz w:val="16"/>
                <w:szCs w:val="16"/>
                <w:color w:val="auto"/>
              </w:rPr>
            </w:pP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Forecast</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5720" w:type="dxa"/>
            <w:vAlign w:val="bottom"/>
          </w:tcPr>
          <w:p>
            <w:pPr>
              <w:ind w:left="20"/>
              <w:spacing w:after="0" w:line="234" w:lineRule="exact"/>
              <w:rPr>
                <w:sz w:val="20"/>
                <w:szCs w:val="20"/>
                <w:color w:val="auto"/>
              </w:rPr>
            </w:pPr>
            <w:r>
              <w:rPr>
                <w:rFonts w:ascii="Arial" w:cs="Arial" w:eastAsia="Arial" w:hAnsi="Arial"/>
                <w:sz w:val="16"/>
                <w:szCs w:val="16"/>
                <w:b w:val="1"/>
                <w:bCs w:val="1"/>
                <w:color w:val="auto"/>
              </w:rPr>
              <w:t>Wholesale Unit Shipment Forecast per RVIA</w:t>
            </w:r>
            <w:r>
              <w:rPr>
                <w:rFonts w:ascii="Arial" w:cs="Arial" w:eastAsia="Arial" w:hAnsi="Arial"/>
                <w:sz w:val="21"/>
                <w:szCs w:val="21"/>
                <w:b w:val="1"/>
                <w:bCs w:val="1"/>
                <w:color w:val="auto"/>
                <w:vertAlign w:val="superscript"/>
              </w:rPr>
              <w:t>(1)</w:t>
            </w:r>
          </w:p>
        </w:tc>
        <w:tc>
          <w:tcPr>
            <w:tcW w:w="1600" w:type="dxa"/>
            <w:vAlign w:val="bottom"/>
            <w:gridSpan w:val="2"/>
          </w:tcPr>
          <w:p>
            <w:pPr>
              <w:ind w:left="460"/>
              <w:spacing w:after="0"/>
              <w:rPr>
                <w:sz w:val="20"/>
                <w:szCs w:val="20"/>
                <w:color w:val="auto"/>
              </w:rPr>
            </w:pPr>
            <w:r>
              <w:rPr>
                <w:rFonts w:ascii="Arial" w:cs="Arial" w:eastAsia="Arial" w:hAnsi="Arial"/>
                <w:sz w:val="16"/>
                <w:szCs w:val="16"/>
                <w:b w:val="1"/>
                <w:bCs w:val="1"/>
                <w:color w:val="auto"/>
              </w:rPr>
              <w:t>Forecast</w:t>
            </w: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rPr>
              <w:t>(Most Likely)</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Unit Change</w:t>
            </w: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5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Aggressive</w:t>
            </w:r>
          </w:p>
        </w:tc>
        <w:tc>
          <w:tcPr>
            <w:tcW w:w="14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420,200</w:t>
            </w:r>
          </w:p>
        </w:tc>
        <w:tc>
          <w:tcPr>
            <w:tcW w:w="1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406,100</w:t>
            </w: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14,100</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33"/>
        </w:trPr>
        <w:tc>
          <w:tcPr>
            <w:tcW w:w="5720" w:type="dxa"/>
            <w:vAlign w:val="bottom"/>
          </w:tcPr>
          <w:p>
            <w:pPr>
              <w:ind w:left="20"/>
              <w:spacing w:after="0"/>
              <w:rPr>
                <w:sz w:val="20"/>
                <w:szCs w:val="20"/>
                <w:color w:val="auto"/>
              </w:rPr>
            </w:pPr>
            <w:r>
              <w:rPr>
                <w:rFonts w:ascii="Arial" w:cs="Arial" w:eastAsia="Arial" w:hAnsi="Arial"/>
                <w:sz w:val="16"/>
                <w:szCs w:val="16"/>
                <w:color w:val="auto"/>
              </w:rPr>
              <w:t>Most likely</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410,100</w:t>
            </w:r>
          </w:p>
        </w:tc>
        <w:tc>
          <w:tcPr>
            <w:tcW w:w="12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406,100</w:t>
            </w:r>
          </w:p>
        </w:tc>
        <w:tc>
          <w:tcPr>
            <w:tcW w:w="10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53"/>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Conservative</w:t>
            </w: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380,300</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406,100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(25,800)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bl>
    <w:p>
      <w:pPr>
        <w:spacing w:after="0" w:line="113" w:lineRule="exact"/>
        <w:rPr>
          <w:sz w:val="20"/>
          <w:szCs w:val="20"/>
          <w:color w:val="auto"/>
        </w:rPr>
      </w:pPr>
    </w:p>
    <w:p>
      <w:pPr>
        <w:ind w:left="260" w:right="120" w:hanging="252"/>
        <w:spacing w:after="0" w:line="258" w:lineRule="auto"/>
        <w:tabs>
          <w:tab w:leader="none" w:pos="2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Prepared by Dr. Richard Curtin of the University of Michigan Consumer Survey Research Center for RVIA and reported in the Roadsigns RV Spring 2020 Industry Forecast Issue.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Share</w:t>
      </w:r>
    </w:p>
    <w:p>
      <w:pPr>
        <w:spacing w:after="0" w:line="322"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26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Rolling 12 Months through</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8"/>
        </w:trPr>
        <w:tc>
          <w:tcPr>
            <w:tcW w:w="4740" w:type="dxa"/>
            <w:vAlign w:val="bottom"/>
          </w:tcPr>
          <w:p>
            <w:pPr>
              <w:spacing w:after="0"/>
              <w:rPr>
                <w:sz w:val="19"/>
                <w:szCs w:val="19"/>
                <w:color w:val="auto"/>
              </w:rPr>
            </w:pPr>
          </w:p>
        </w:tc>
        <w:tc>
          <w:tcPr>
            <w:tcW w:w="166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6"/>
                <w:szCs w:val="16"/>
                <w:b w:val="1"/>
                <w:bCs w:val="1"/>
                <w:color w:val="auto"/>
              </w:rPr>
              <w:t>January</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Calendar Year</w:t>
            </w:r>
          </w:p>
        </w:tc>
        <w:tc>
          <w:tcPr>
            <w:tcW w:w="1200" w:type="dxa"/>
            <w:vAlign w:val="bottom"/>
            <w:tcBorders>
              <w:bottom w:val="single" w:sz="8" w:color="auto"/>
            </w:tcBorders>
          </w:tcPr>
          <w:p>
            <w:pPr>
              <w:spacing w:after="0"/>
              <w:rPr>
                <w:sz w:val="19"/>
                <w:szCs w:val="19"/>
                <w:color w:val="auto"/>
              </w:rPr>
            </w:pPr>
          </w:p>
        </w:tc>
      </w:tr>
      <w:tr>
        <w:trPr>
          <w:trHeight w:val="24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US and Canada</w:t>
            </w: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 and fifth wheels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Motorhome A, B, C</w:t>
            </w:r>
          </w:p>
        </w:tc>
        <w:tc>
          <w:tcPr>
            <w:tcW w:w="1200" w:type="dxa"/>
            <w:vAlign w:val="bottom"/>
          </w:tcPr>
          <w:p>
            <w:pPr>
              <w:jc w:val="right"/>
              <w:spacing w:after="0"/>
              <w:rPr>
                <w:sz w:val="20"/>
                <w:szCs w:val="20"/>
                <w:color w:val="auto"/>
              </w:rPr>
            </w:pPr>
            <w:r>
              <w:rPr>
                <w:rFonts w:ascii="Arial" w:cs="Arial" w:eastAsia="Arial" w:hAnsi="Arial"/>
                <w:sz w:val="16"/>
                <w:szCs w:val="16"/>
                <w:color w:val="auto"/>
              </w:rPr>
              <w:t>16.5 %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16.3 %</w:t>
            </w:r>
          </w:p>
        </w:tc>
      </w:tr>
      <w:tr>
        <w:trPr>
          <w:trHeight w:val="253"/>
        </w:trPr>
        <w:tc>
          <w:tcPr>
            <w:tcW w:w="4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market share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Includes retail unit market share for Newmar since its acquisition on November 8, 2019.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Expansion</w:t>
      </w:r>
    </w:p>
    <w:p>
      <w:pPr>
        <w:spacing w:after="0" w:line="26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Due to the rapid growth in our Towable segment, we have implemented facility expansion projects in our Grand Design towables and Winnebago towables operating segments. The Grand Design towables expansion project consisted of three new production facilities--two were completed in Fiscal 2018 and one was completed during the second quarter of Fiscal 2020. The facility expansion in the Winnebago towables division was completed in the third quarter of Fiscal 2019.</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Resource Planning System</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the second quarter of Fiscal 2015, our Board of Directors approved the strategic initiative of implementing an enterprise resource planning ("ERP") system to replace our legacy business applications. The new ERP platform will provide better support for our changing business needs and plans for future growth. Our initial cost estimates have grown for additional needs of the business, such as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Fiscal Year</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98"/>
        </w:trPr>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February 29,</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Cumulative</w:t>
            </w:r>
          </w:p>
        </w:tc>
      </w:tr>
      <w:tr>
        <w:trPr>
          <w:trHeight w:val="228"/>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Investment</w:t>
            </w:r>
          </w:p>
        </w:tc>
      </w:tr>
      <w:tr>
        <w:trPr>
          <w:trHeight w:val="243"/>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7,798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23,577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57.4 %</w:t>
            </w:r>
          </w:p>
        </w:tc>
      </w:tr>
      <w:tr>
        <w:trPr>
          <w:trHeight w:val="236"/>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Expensed</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3,709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2,107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2,601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5,930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2,528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17,474</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42.6 %</w:t>
            </w:r>
          </w:p>
        </w:tc>
      </w:tr>
      <w:tr>
        <w:trPr>
          <w:trHeight w:val="268"/>
        </w:trPr>
        <w:tc>
          <w:tcPr>
            <w:tcW w:w="1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13,728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41,051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Current Quarter Compared to the Comparable Prior Year Quarter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26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three months ended February 29, 2020 compared to the three months ended February 23, 2019:</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percent and</w:t>
            </w:r>
          </w:p>
        </w:tc>
        <w:tc>
          <w:tcPr>
            <w:tcW w:w="18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29,</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23,</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 Change</w:t>
            </w:r>
          </w:p>
        </w:tc>
        <w:tc>
          <w:tcPr>
            <w:tcW w:w="13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per share data)</w:t>
            </w:r>
          </w:p>
        </w:tc>
        <w:tc>
          <w:tcPr>
            <w:tcW w:w="18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80" w:type="dxa"/>
            <w:vAlign w:val="bottom"/>
            <w:gridSpan w:val="2"/>
          </w:tcPr>
          <w:p>
            <w:pPr>
              <w:jc w:val="center"/>
              <w:ind w:right="120"/>
              <w:spacing w:after="0" w:line="216" w:lineRule="exact"/>
              <w:rPr>
                <w:sz w:val="20"/>
                <w:szCs w:val="20"/>
                <w:color w:val="auto"/>
              </w:rPr>
            </w:pPr>
            <w:r>
              <w:rPr>
                <w:rFonts w:ascii="Arial" w:cs="Arial" w:eastAsia="Arial" w:hAnsi="Arial"/>
                <w:sz w:val="16"/>
                <w:szCs w:val="16"/>
                <w:b w:val="1"/>
                <w:bCs w:val="1"/>
                <w:color w:val="auto"/>
                <w:w w:val="97"/>
              </w:rPr>
              <w:t>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36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7"/>
              </w:rPr>
              <w:t>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626,810</w:t>
            </w:r>
          </w:p>
        </w:tc>
        <w:tc>
          <w:tcPr>
            <w:tcW w:w="1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432,690</w:t>
            </w:r>
          </w:p>
        </w:tc>
        <w:tc>
          <w:tcPr>
            <w:tcW w:w="12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194,120</w:t>
            </w:r>
          </w:p>
        </w:tc>
        <w:tc>
          <w:tcPr>
            <w:tcW w:w="10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44.9 %</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547,028</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366,261</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180,767</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49.4 %</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79,782</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66,429</w:t>
            </w:r>
          </w:p>
        </w:tc>
        <w:tc>
          <w:tcPr>
            <w:tcW w:w="12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13,353</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42,164</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35,259</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6,905</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4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7,974</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2,267</w:t>
            </w:r>
          </w:p>
        </w:tc>
        <w:tc>
          <w:tcPr>
            <w:tcW w:w="12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5,707</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251.7 %</w:t>
            </w:r>
          </w:p>
        </w:tc>
        <w:tc>
          <w:tcPr>
            <w:tcW w:w="0" w:type="dxa"/>
            <w:vAlign w:val="bottom"/>
          </w:tcPr>
          <w:p>
            <w:pPr>
              <w:spacing w:after="0"/>
              <w:rPr>
                <w:sz w:val="1"/>
                <w:szCs w:val="1"/>
                <w:color w:val="auto"/>
              </w:rPr>
            </w:pPr>
          </w:p>
        </w:tc>
      </w:tr>
      <w:tr>
        <w:trPr>
          <w:trHeight w:val="233"/>
        </w:trPr>
        <w:tc>
          <w:tcPr>
            <w:tcW w:w="282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50,138</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37,526</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12,612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33.6 %</w:t>
            </w:r>
          </w:p>
        </w:tc>
        <w:tc>
          <w:tcPr>
            <w:tcW w:w="0" w:type="dxa"/>
            <w:vAlign w:val="bottom"/>
          </w:tcPr>
          <w:p>
            <w:pPr>
              <w:spacing w:after="0"/>
              <w:rPr>
                <w:sz w:val="1"/>
                <w:szCs w:val="1"/>
                <w:color w:val="auto"/>
              </w:rPr>
            </w:pPr>
          </w:p>
        </w:tc>
      </w:tr>
      <w:tr>
        <w:trPr>
          <w:trHeight w:val="253"/>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29,644</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28,903</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33"/>
        </w:trPr>
        <w:tc>
          <w:tcPr>
            <w:tcW w:w="28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4,346</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4,305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99.1 %</w:t>
            </w:r>
          </w:p>
        </w:tc>
        <w:tc>
          <w:tcPr>
            <w:tcW w:w="0" w:type="dxa"/>
            <w:vAlign w:val="bottom"/>
          </w:tcPr>
          <w:p>
            <w:pPr>
              <w:spacing w:after="0"/>
              <w:rPr>
                <w:sz w:val="1"/>
                <w:szCs w:val="1"/>
                <w:color w:val="auto"/>
              </w:rPr>
            </w:pPr>
          </w:p>
        </w:tc>
      </w:tr>
      <w:tr>
        <w:trPr>
          <w:trHeight w:val="24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30.4 %</w:t>
            </w:r>
          </w:p>
        </w:tc>
        <w:tc>
          <w:tcPr>
            <w:tcW w:w="0" w:type="dxa"/>
            <w:vAlign w:val="bottom"/>
          </w:tcPr>
          <w:p>
            <w:pPr>
              <w:spacing w:after="0"/>
              <w:rPr>
                <w:sz w:val="1"/>
                <w:szCs w:val="1"/>
                <w:color w:val="auto"/>
              </w:rPr>
            </w:pPr>
          </w:p>
        </w:tc>
      </w:tr>
      <w:tr>
        <w:trPr>
          <w:trHeight w:val="233"/>
        </w:trPr>
        <w:tc>
          <w:tcPr>
            <w:tcW w:w="28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21,263</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24,764</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4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3,995</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3,166</w:t>
            </w:r>
          </w:p>
        </w:tc>
        <w:tc>
          <w:tcPr>
            <w:tcW w:w="12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26.2 %</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17,268</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21,598</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(4,330)</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20" w:type="dxa"/>
            <w:vAlign w:val="bottom"/>
          </w:tcPr>
          <w:p>
            <w:pPr>
              <w:ind w:left="20"/>
              <w:spacing w:after="0"/>
              <w:rPr>
                <w:sz w:val="20"/>
                <w:szCs w:val="20"/>
                <w:color w:val="auto"/>
              </w:rPr>
            </w:pPr>
            <w:r>
              <w:rPr>
                <w:rFonts w:ascii="Arial" w:cs="Arial" w:eastAsia="Arial" w:hAnsi="Arial"/>
                <w:sz w:val="16"/>
                <w:szCs w:val="16"/>
                <w:color w:val="auto"/>
              </w:rPr>
              <w:t>Diluted income per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0.68</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53"/>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33,918</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31,724</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2,194</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pacing w:after="0" w:line="24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Net revenues increased in the second quarter of Fiscal 2020 compared to the second quarter of Fiscal 2019 primarily due to our acquisition of Newmar and organic growth.</w:t>
      </w:r>
    </w:p>
    <w:p>
      <w:pPr>
        <w:spacing w:after="0" w:line="22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Gross profit as a percentage of revenue decreased in the second quarter of Fiscal 2020 compared to the second quarter of Fiscal 2019 primarily due to a change in mix as a result of our acquisition of Newmar and the impact of Newmar inventory step-up.</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Operating expenses increased in the second quarter of Fiscal 2020 compared to the second quarter of Fiscal 2019 due to incremental amortization related to the purchase accounting for Newmar, normal operating expenses of Newmar and organic growth in the Towable segment.</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Interest expense increased in the second three months of Fiscal 2020 compared to the second three months of Fiscal 2019 primarily due to the additional interest expense related to the Convertible Notes issued in connection with the acquisition of Newmar.</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effective tax rate increased to 18.8% for the second quarter of Fiscal 2020 compared to 12.8% for the second quarter of Fiscal 2019 due primarily to the favorable impact in the prior year of research and development credits.</w:t>
      </w:r>
    </w:p>
    <w:p>
      <w:pPr>
        <w:spacing w:after="0" w:line="22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Net income and diluted income per share decreased in the second quarter of Fiscal 2020 compared to the second quarter of Fiscal 2019 primarily due to incremental non-cash interest expense due to our convertible debt, impact of Newmar inventory step-up and amortization and a favorable credit in the prior year related to research and development credits offset by improved profitability in our organic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26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following table reconciles net income to consolidated EBITDA and Adjusted EBITDA for the three months ended February 29, 2020 and February 23, 2019:</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29,</w:t>
            </w:r>
          </w:p>
        </w:tc>
        <w:tc>
          <w:tcPr>
            <w:tcW w:w="240" w:type="dxa"/>
            <w:vAlign w:val="bottom"/>
          </w:tcPr>
          <w:p>
            <w:pPr>
              <w:spacing w:after="0"/>
              <w:rPr>
                <w:sz w:val="17"/>
                <w:szCs w:val="17"/>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23,</w:t>
            </w:r>
          </w:p>
        </w:tc>
      </w:tr>
      <w:tr>
        <w:trPr>
          <w:trHeight w:val="22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17,268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21,598</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4,346</w:t>
            </w:r>
          </w:p>
        </w:tc>
      </w:tr>
      <w:tr>
        <w:trPr>
          <w:trHeight w:val="25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3,166</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3,099</w:t>
            </w:r>
          </w:p>
        </w:tc>
      </w:tr>
      <w:tr>
        <w:trPr>
          <w:trHeight w:val="24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7,974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2,267</w:t>
            </w:r>
          </w:p>
        </w:tc>
      </w:tr>
      <w:tr>
        <w:trPr>
          <w:trHeight w:val="233"/>
        </w:trPr>
        <w:tc>
          <w:tcPr>
            <w:tcW w:w="7640" w:type="dxa"/>
            <w:vAlign w:val="bottom"/>
          </w:tcPr>
          <w:p>
            <w:pPr>
              <w:ind w:left="12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34,476</w:t>
            </w:r>
          </w:p>
        </w:tc>
      </w:tr>
      <w:tr>
        <w:trPr>
          <w:trHeight w:val="25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26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219</w:t>
            </w:r>
          </w:p>
        </w:tc>
      </w:tr>
      <w:tr>
        <w:trPr>
          <w:trHeight w:val="237"/>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w:t>
            </w:r>
          </w:p>
        </w:tc>
      </w:tr>
      <w:tr>
        <w:trPr>
          <w:trHeight w:val="268"/>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45,429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34,488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three months ended February 29, 2020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2019:</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98"/>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29,</w:t>
            </w: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23,</w:t>
            </w: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8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283,463</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250,691</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32,772</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33"/>
        </w:trPr>
        <w:tc>
          <w:tcPr>
            <w:tcW w:w="32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34,746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33,638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66"/>
        </w:trPr>
        <w:tc>
          <w:tcPr>
            <w:tcW w:w="3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308"/>
        </w:trPr>
        <w:tc>
          <w:tcPr>
            <w:tcW w:w="326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32,638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33,003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4"/>
        </w:trPr>
        <w:tc>
          <w:tcPr>
            <w:tcW w:w="3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8"/>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29,</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23,</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Pr>
          <w:p>
            <w:pPr>
              <w:spacing w:after="0"/>
              <w:rPr>
                <w:sz w:val="20"/>
                <w:szCs w:val="20"/>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240" w:type="dxa"/>
            <w:vAlign w:val="bottom"/>
            <w:gridSpan w:val="2"/>
          </w:tcPr>
          <w:p>
            <w:pPr>
              <w:ind w:left="40"/>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80" w:type="dxa"/>
            <w:vAlign w:val="bottom"/>
          </w:tcPr>
          <w:p>
            <w:pPr>
              <w:spacing w:after="0"/>
              <w:rPr>
                <w:sz w:val="20"/>
                <w:szCs w:val="20"/>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40" w:type="dxa"/>
            <w:vAlign w:val="bottom"/>
            <w:gridSpan w:val="2"/>
          </w:tcPr>
          <w:p>
            <w:pPr>
              <w:ind w:left="40"/>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5,446</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62.4 %</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4,543</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59.8 %</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903</w:t>
            </w: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19.9 %</w:t>
            </w:r>
          </w:p>
        </w:tc>
      </w:tr>
      <w:tr>
        <w:trPr>
          <w:trHeight w:val="236"/>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3,287</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3,053</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r>
      <w:tr>
        <w:trPr>
          <w:trHeight w:val="268"/>
        </w:trPr>
        <w:tc>
          <w:tcPr>
            <w:tcW w:w="3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8,733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7,596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Average selling price excludes off-invoice dealer incentives.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9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Net revenues increased in the second quarter of Fiscal 2020 compared to the second quarter of Fiscal 2019 due to volume growth in excess of industry trends. Our Towable market share increased from 7.8% to 9.4% when comparing shipments during the twelve-month trailing periods ended January 2019 and January 2020.</w:t>
      </w:r>
    </w:p>
    <w:p>
      <w:pPr>
        <w:spacing w:after="0" w:line="22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Adjusted EBITDA increased in the second quarter of Fiscal 2020 compared to the second quarter of Fiscal 2019 due to organic growth offset slightly by higher costs as a result of the start-up of new capacity.</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three months ended February 29, 2020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2019:</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98"/>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29,</w:t>
            </w: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February 23,</w:t>
            </w: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 of</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8"/>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8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Revenues</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Change</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325,542</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164,662</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   160,880</w:t>
            </w:r>
          </w:p>
        </w:tc>
        <w:tc>
          <w:tcPr>
            <w:tcW w:w="10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97.7 %</w:t>
            </w:r>
          </w:p>
        </w:tc>
      </w:tr>
      <w:tr>
        <w:trPr>
          <w:trHeight w:val="233"/>
        </w:trPr>
        <w:tc>
          <w:tcPr>
            <w:tcW w:w="32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14,946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4,359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10,587</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242.9 %</w:t>
            </w:r>
          </w:p>
        </w:tc>
      </w:tr>
      <w:tr>
        <w:trPr>
          <w:trHeight w:val="266"/>
        </w:trPr>
        <w:tc>
          <w:tcPr>
            <w:tcW w:w="3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414"/>
        </w:trPr>
        <w:tc>
          <w:tcPr>
            <w:tcW w:w="326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180" w:type="dxa"/>
            <w:vAlign w:val="bottom"/>
          </w:tcPr>
          <w:p>
            <w:pPr>
              <w:spacing w:after="0"/>
              <w:rPr>
                <w:sz w:val="24"/>
                <w:szCs w:val="24"/>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145,554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92,560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52,994</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57.3 %</w:t>
            </w:r>
          </w:p>
        </w:tc>
      </w:tr>
      <w:tr>
        <w:trPr>
          <w:trHeight w:val="228"/>
        </w:trPr>
        <w:tc>
          <w:tcPr>
            <w:tcW w:w="3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98"/>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29,</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February 23,</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Pr>
          <w:p>
            <w:pPr>
              <w:spacing w:after="0"/>
              <w:rPr>
                <w:sz w:val="20"/>
                <w:szCs w:val="20"/>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240" w:type="dxa"/>
            <w:vAlign w:val="bottom"/>
            <w:gridSpan w:val="2"/>
          </w:tcPr>
          <w:p>
            <w:pPr>
              <w:ind w:left="40"/>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200" w:type="dxa"/>
            <w:vAlign w:val="bottom"/>
          </w:tcPr>
          <w:p>
            <w:pPr>
              <w:spacing w:after="0"/>
              <w:rPr>
                <w:sz w:val="20"/>
                <w:szCs w:val="20"/>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60" w:type="dxa"/>
            <w:vAlign w:val="bottom"/>
            <w:gridSpan w:val="2"/>
          </w:tcPr>
          <w:p>
            <w:pPr>
              <w:ind w:left="40"/>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Unit Change</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843</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37.7 %</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529</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29.0 %</w:t>
            </w:r>
          </w:p>
        </w:tc>
        <w:tc>
          <w:tcPr>
            <w:tcW w:w="1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59.4 %</w:t>
            </w:r>
          </w:p>
        </w:tc>
      </w:tr>
      <w:tr>
        <w:trPr>
          <w:trHeight w:val="233"/>
        </w:trPr>
        <w:tc>
          <w:tcPr>
            <w:tcW w:w="326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33.6 %</w:t>
            </w:r>
          </w:p>
        </w:tc>
        <w:tc>
          <w:tcPr>
            <w:tcW w:w="1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27.9 %</w:t>
            </w:r>
          </w:p>
        </w:tc>
      </w:tr>
      <w:tr>
        <w:trPr>
          <w:trHeight w:val="24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37.4 %</w:t>
            </w:r>
          </w:p>
        </w:tc>
        <w:tc>
          <w:tcPr>
            <w:tcW w:w="12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43"/>
        </w:trPr>
        <w:tc>
          <w:tcPr>
            <w:tcW w:w="3260" w:type="dxa"/>
            <w:vAlign w:val="bottom"/>
          </w:tcPr>
          <w:p>
            <w:pPr>
              <w:ind w:left="120"/>
              <w:spacing w:after="0"/>
              <w:rPr>
                <w:sz w:val="20"/>
                <w:szCs w:val="20"/>
                <w:color w:val="auto"/>
              </w:rPr>
            </w:pPr>
            <w:r>
              <w:rPr>
                <w:rFonts w:ascii="Arial" w:cs="Arial" w:eastAsia="Arial" w:hAnsi="Arial"/>
                <w:sz w:val="16"/>
                <w:szCs w:val="16"/>
                <w:color w:val="auto"/>
              </w:rPr>
              <w:t>Total motorhomes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2,239</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1,825</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22.7 %</w:t>
            </w:r>
          </w:p>
        </w:tc>
      </w:tr>
      <w:tr>
        <w:trPr>
          <w:trHeight w:val="20"/>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41"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Net revenues increased in the second quarter of Fiscal 2020 compared to the second quarter of Fiscal 2019 due to our acquisition of Newmar and a favorable mix.</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Adjusted EBITDA increased in the second quarter of Fiscal 2020 compared to the second quarter of Fiscal 2019 due to an increase from our acquisition of Newmar and a favorable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First Six Months of Fiscal 2020 Compared to the First Six Months of Fiscal 2019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six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29, 2020 compared to the six months ended February 23, 2019:</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percent and per</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29,</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23,</w:t>
            </w: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 Change</w:t>
            </w:r>
          </w:p>
        </w:tc>
        <w:tc>
          <w:tcPr>
            <w:tcW w:w="11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share data)</w:t>
            </w:r>
          </w:p>
        </w:tc>
        <w:tc>
          <w:tcPr>
            <w:tcW w:w="16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80" w:type="dxa"/>
            <w:vAlign w:val="bottom"/>
            <w:gridSpan w:val="2"/>
          </w:tcPr>
          <w:p>
            <w:pPr>
              <w:jc w:val="center"/>
              <w:ind w:right="120"/>
              <w:spacing w:after="0" w:line="216" w:lineRule="exact"/>
              <w:rPr>
                <w:sz w:val="20"/>
                <w:szCs w:val="20"/>
                <w:color w:val="auto"/>
              </w:rPr>
            </w:pPr>
            <w:r>
              <w:rPr>
                <w:rFonts w:ascii="Arial" w:cs="Arial" w:eastAsia="Arial" w:hAnsi="Arial"/>
                <w:sz w:val="16"/>
                <w:szCs w:val="16"/>
                <w:b w:val="1"/>
                <w:bCs w:val="1"/>
                <w:color w:val="auto"/>
                <w:w w:val="97"/>
              </w:rPr>
              <w:t>Revenues</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4"/>
              </w:rPr>
              <w:t>Revenues</w:t>
            </w:r>
            <w:r>
              <w:rPr>
                <w:rFonts w:ascii="Arial" w:cs="Arial" w:eastAsia="Arial" w:hAnsi="Arial"/>
                <w:sz w:val="21"/>
                <w:szCs w:val="21"/>
                <w:b w:val="1"/>
                <w:bCs w:val="1"/>
                <w:color w:val="auto"/>
                <w:w w:val="94"/>
                <w:vertAlign w:val="superscript"/>
              </w:rPr>
              <w:t>(1)</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1,215,268</w:t>
            </w:r>
          </w:p>
        </w:tc>
        <w:tc>
          <w:tcPr>
            <w:tcW w:w="1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926,338</w:t>
            </w:r>
          </w:p>
        </w:tc>
        <w:tc>
          <w:tcPr>
            <w:tcW w:w="10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288,930</w:t>
            </w:r>
          </w:p>
        </w:tc>
        <w:tc>
          <w:tcPr>
            <w:tcW w:w="12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1,056,873</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87.0 %</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788,913</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267,960</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34.0 %</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158,395</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137,425</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20,970</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0" w:type="dxa"/>
            <w:vAlign w:val="bottom"/>
          </w:tcPr>
          <w:p>
            <w:pPr>
              <w:spacing w:after="0"/>
              <w:rPr>
                <w:sz w:val="1"/>
                <w:szCs w:val="1"/>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93,269</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70,971</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22,298</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31.4 %</w:t>
            </w: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11,588</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4,926</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6,662</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135.2 %</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104,857</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75,897</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28,960</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38.2 %</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53,538</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61,528</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(7,990)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14,700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8,847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5,853</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66.2 %</w:t>
            </w: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39,224</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53,651</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(14,427)</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4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7,888</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9,892</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(2,004)</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31,336</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43,759</w:t>
            </w:r>
          </w:p>
        </w:tc>
        <w:tc>
          <w:tcPr>
            <w:tcW w:w="10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(12,423)</w:t>
            </w:r>
          </w:p>
        </w:tc>
        <w:tc>
          <w:tcPr>
            <w:tcW w:w="12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Diluted income per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5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33,143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31,755</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1,388</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pacing w:after="0" w:line="24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Net revenues increased in the first six months of Fiscal 2020 compared to the first six months of Fiscal 2019 primarily due to our acquisition of Newmar and organic growth.</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Gross profit as a percentage of revenue decreased in the first six months of Fiscal 2020 compared to the first six months of Fiscal 2019 due primarily to the impact of Newmar inventory step-up and a change in mix as a result our acquisition of Newmar.</w:t>
      </w:r>
    </w:p>
    <w:p>
      <w:pPr>
        <w:spacing w:after="0" w:line="222"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Operating expenses increased in the first six months of Fiscal 2020 compared to the first six months of Fiscal 2019 due to acquisition related costs and incremental amortization related to the purchase accounting for Newmar, normal operating expenses of Newmar, and organic growth in the Towable segment.</w:t>
      </w:r>
    </w:p>
    <w:p>
      <w:pPr>
        <w:spacing w:after="0" w:line="228"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Interest expense increased in the first six months of Fiscal 2020 compared to the first six months of Fiscal 2019 primarily due to the additional interest expense related to the Convertible Notes issued in connection with the acquisition of Newmar.</w:t>
      </w:r>
    </w:p>
    <w:p>
      <w:pPr>
        <w:spacing w:after="0" w:line="22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Non-operating income decreased in the first six months of Fiscal 2020 compared to the first six months of Fiscal 2019 due to company-owned life insurance benefits in the prior year.</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effective tax rate increased to 20.1% for the first six months of Fiscal 2020 compared to 18.4% for the first six months of Fiscal 2019 due primarily to a favorable credit in the prior year related to research and development credits.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Net income and diluted income per share decreased in the first six months of Fiscal 2020 compared to the first six months of Fiscal 2019 primarily due to the acquisition-related costs for Newmar and the additional interest expense related to our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26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The following table reconciles net income to consolidated EBITDA and Adjusted EBITDA for the six months ended February 29, 2020 and February 23, 2019:</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29,</w:t>
            </w:r>
          </w:p>
        </w:tc>
        <w:tc>
          <w:tcPr>
            <w:tcW w:w="240" w:type="dxa"/>
            <w:vAlign w:val="bottom"/>
          </w:tcPr>
          <w:p>
            <w:pPr>
              <w:spacing w:after="0"/>
              <w:rPr>
                <w:sz w:val="17"/>
                <w:szCs w:val="17"/>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23,</w:t>
            </w:r>
          </w:p>
        </w:tc>
      </w:tr>
      <w:tr>
        <w:trPr>
          <w:trHeight w:val="22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31,336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43,759</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14,700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8,847</w:t>
            </w:r>
          </w:p>
        </w:tc>
      </w:tr>
      <w:tr>
        <w:trPr>
          <w:trHeight w:val="25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9,892</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7,720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6,268</w:t>
            </w:r>
          </w:p>
        </w:tc>
      </w:tr>
      <w:tr>
        <w:trPr>
          <w:trHeight w:val="24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11,588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4,926</w:t>
            </w:r>
          </w:p>
        </w:tc>
      </w:tr>
      <w:tr>
        <w:trPr>
          <w:trHeight w:val="233"/>
        </w:trPr>
        <w:tc>
          <w:tcPr>
            <w:tcW w:w="7640" w:type="dxa"/>
            <w:vAlign w:val="bottom"/>
          </w:tcPr>
          <w:p>
            <w:pPr>
              <w:ind w:left="12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73,232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73,692</w:t>
            </w:r>
          </w:p>
        </w:tc>
      </w:tr>
      <w:tr>
        <w:trPr>
          <w:trHeight w:val="25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2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9,950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219</w:t>
            </w:r>
          </w:p>
        </w:tc>
      </w:tr>
      <w:tr>
        <w:trPr>
          <w:trHeight w:val="237"/>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(970)</w:t>
            </w:r>
          </w:p>
        </w:tc>
      </w:tr>
      <w:tr>
        <w:trPr>
          <w:trHeight w:val="268"/>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87,477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72,941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six months ended February 29, 2020 compared to the six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2019 and as of February 29, 2020 compared to February 23, 2019:</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17"/>
                <w:szCs w:val="17"/>
                <w:color w:val="auto"/>
              </w:rPr>
            </w:pPr>
          </w:p>
        </w:tc>
        <w:tc>
          <w:tcPr>
            <w:tcW w:w="1240" w:type="dxa"/>
            <w:vAlign w:val="bottom"/>
            <w:gridSpan w:val="2"/>
          </w:tcPr>
          <w:p>
            <w:pPr>
              <w:ind w:left="32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7"/>
                <w:szCs w:val="17"/>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 of</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 Change</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624,713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543,524</w:t>
            </w: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81,189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r>
        <w:trPr>
          <w:trHeight w:val="233"/>
        </w:trPr>
        <w:tc>
          <w:tcPr>
            <w:tcW w:w="32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70,531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64,466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6,065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66"/>
        </w:trPr>
        <w:tc>
          <w:tcPr>
            <w:tcW w:w="3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32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32,836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32,008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334"/>
        </w:trPr>
        <w:tc>
          <w:tcPr>
            <w:tcW w:w="3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Pr>
          <w:p>
            <w:pPr>
              <w:spacing w:after="0"/>
              <w:rPr>
                <w:sz w:val="20"/>
                <w:szCs w:val="20"/>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Arial" w:cs="Arial" w:eastAsia="Arial" w:hAnsi="Arial"/>
                <w:sz w:val="16"/>
                <w:szCs w:val="16"/>
                <w:b w:val="1"/>
                <w:bCs w:val="1"/>
                <w:color w:val="auto"/>
                <w:w w:val="99"/>
              </w:rPr>
              <w:t>Product Mix</w:t>
            </w:r>
            <w:r>
              <w:rPr>
                <w:rFonts w:ascii="Arial" w:cs="Arial" w:eastAsia="Arial" w:hAnsi="Arial"/>
                <w:sz w:val="21"/>
                <w:szCs w:val="21"/>
                <w:b w:val="1"/>
                <w:bCs w:val="1"/>
                <w:color w:val="auto"/>
                <w:w w:val="99"/>
                <w:vertAlign w:val="superscript"/>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40" w:type="dxa"/>
            <w:vAlign w:val="bottom"/>
            <w:gridSpan w:val="5"/>
          </w:tcPr>
          <w:p>
            <w:pPr>
              <w:ind w:left="40"/>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Unit Change</w:t>
            </w: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6"/>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11,782</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60.9 %</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10,379</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61.1 %</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1,403</w:t>
            </w: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7,550</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39.1 %</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6,602</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38.9 %</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948</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19,332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16,981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2,351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3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80" w:type="dxa"/>
            <w:vAlign w:val="bottom"/>
          </w:tcPr>
          <w:p>
            <w:pPr>
              <w:spacing w:after="0"/>
              <w:rPr>
                <w:sz w:val="24"/>
                <w:szCs w:val="24"/>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1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20"/>
        </w:trPr>
        <w:tc>
          <w:tcPr>
            <w:tcW w:w="32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9,790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8,002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1,788</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22.3 %</w:t>
            </w:r>
          </w:p>
        </w:tc>
        <w:tc>
          <w:tcPr>
            <w:tcW w:w="0" w:type="dxa"/>
            <w:vAlign w:val="bottom"/>
          </w:tcPr>
          <w:p>
            <w:pPr>
              <w:spacing w:after="0"/>
              <w:rPr>
                <w:sz w:val="1"/>
                <w:szCs w:val="1"/>
                <w:color w:val="auto"/>
              </w:rPr>
            </w:pPr>
          </w:p>
        </w:tc>
      </w:tr>
      <w:tr>
        <w:trPr>
          <w:trHeight w:val="240"/>
        </w:trPr>
        <w:tc>
          <w:tcPr>
            <w:tcW w:w="3260" w:type="dxa"/>
            <w:vAlign w:val="bottom"/>
          </w:tcPr>
          <w:p>
            <w:pPr>
              <w:ind w:left="140"/>
              <w:spacing w:after="0"/>
              <w:rPr>
                <w:sz w:val="20"/>
                <w:szCs w:val="20"/>
                <w:color w:val="auto"/>
              </w:rPr>
            </w:pPr>
            <w:r>
              <w:rPr>
                <w:rFonts w:ascii="Arial" w:cs="Arial" w:eastAsia="Arial" w:hAnsi="Arial"/>
                <w:sz w:val="16"/>
                <w:szCs w:val="16"/>
                <w:color w:val="auto"/>
              </w:rPr>
              <w:t>Dollars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330,738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285,391</w:t>
            </w:r>
          </w:p>
        </w:tc>
        <w:tc>
          <w:tcPr>
            <w:tcW w:w="148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45,347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24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12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19,731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19,141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33"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in the first six months of Fiscal 2020 compared to the first six months of Fiscal 2019 due to an increase in unit deliveries.</w:t>
      </w:r>
    </w:p>
    <w:p>
      <w:pPr>
        <w:spacing w:after="0" w:line="24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Adjusted EBITDA increased in the first six months of Fiscal 2020 compared to the first six months of Fiscal 2019 due to an increase in net revenues offset slightly by higher costs as a result of the start-up of new capacity.</w:t>
      </w:r>
    </w:p>
    <w:p>
      <w:pPr>
        <w:spacing w:after="0" w:line="222"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We have seen an increase in the volume and dollar value of backlog as of February 29, 2020 compared to February 23, 2019 due to our strong market share growth and new product introduction.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six months ended February 29, 2020 compared to the six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2019 and as of February 29, 2020 compared to February 23, 2019:</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98"/>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17"/>
                <w:szCs w:val="17"/>
                <w:color w:val="auto"/>
              </w:rPr>
            </w:pPr>
          </w:p>
        </w:tc>
        <w:tc>
          <w:tcPr>
            <w:tcW w:w="1240" w:type="dxa"/>
            <w:vAlign w:val="bottom"/>
            <w:gridSpan w:val="2"/>
          </w:tcPr>
          <w:p>
            <w:pPr>
              <w:ind w:left="3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7"/>
                <w:szCs w:val="17"/>
                <w:color w:val="auto"/>
              </w:rPr>
            </w:pPr>
          </w:p>
        </w:tc>
        <w:tc>
          <w:tcPr>
            <w:tcW w:w="140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 of</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8"/>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551,433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345,990</w:t>
            </w:r>
          </w:p>
        </w:tc>
        <w:tc>
          <w:tcPr>
            <w:tcW w:w="15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205,443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59.4 %</w:t>
            </w:r>
          </w:p>
        </w:tc>
      </w:tr>
      <w:tr>
        <w:trPr>
          <w:trHeight w:val="233"/>
        </w:trPr>
        <w:tc>
          <w:tcPr>
            <w:tcW w:w="32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24,277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16,335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7,942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48.6 %</w:t>
            </w:r>
          </w:p>
        </w:tc>
      </w:tr>
      <w:tr>
        <w:trPr>
          <w:trHeight w:val="266"/>
        </w:trPr>
        <w:tc>
          <w:tcPr>
            <w:tcW w:w="3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308"/>
        </w:trPr>
        <w:tc>
          <w:tcPr>
            <w:tcW w:w="32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129,344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95,620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33,724</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35.3 %</w:t>
            </w:r>
          </w:p>
        </w:tc>
      </w:tr>
      <w:tr>
        <w:trPr>
          <w:trHeight w:val="334"/>
        </w:trPr>
        <w:tc>
          <w:tcPr>
            <w:tcW w:w="3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8"/>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Pr>
          <w:p>
            <w:pPr>
              <w:spacing w:after="0"/>
              <w:rPr>
                <w:sz w:val="20"/>
                <w:szCs w:val="20"/>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140" w:type="dxa"/>
            <w:vAlign w:val="bottom"/>
          </w:tcPr>
          <w:p>
            <w:pPr>
              <w:jc w:val="right"/>
              <w:spacing w:after="0" w:line="234" w:lineRule="exact"/>
              <w:rPr>
                <w:sz w:val="20"/>
                <w:szCs w:val="20"/>
                <w:color w:val="auto"/>
              </w:rPr>
            </w:pPr>
            <w:r>
              <w:rPr>
                <w:rFonts w:ascii="Arial" w:cs="Arial" w:eastAsia="Arial" w:hAnsi="Arial"/>
                <w:sz w:val="16"/>
                <w:szCs w:val="16"/>
                <w:b w:val="1"/>
                <w:bCs w:val="1"/>
                <w:color w:val="auto"/>
                <w:w w:val="99"/>
              </w:rPr>
              <w:t>Product Mix</w:t>
            </w:r>
            <w:r>
              <w:rPr>
                <w:rFonts w:ascii="Arial" w:cs="Arial" w:eastAsia="Arial" w:hAnsi="Arial"/>
                <w:sz w:val="21"/>
                <w:szCs w:val="21"/>
                <w:b w:val="1"/>
                <w:bCs w:val="1"/>
                <w:color w:val="auto"/>
                <w:w w:val="99"/>
                <w:vertAlign w:val="superscript"/>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40" w:type="dxa"/>
            <w:vAlign w:val="bottom"/>
            <w:gridSpan w:val="5"/>
          </w:tcPr>
          <w:p>
            <w:pPr>
              <w:ind w:left="40"/>
              <w:spacing w:after="0" w:line="234"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Unit Change</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1,242</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30.1 %</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951</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26.1 %</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291</w:t>
            </w:r>
          </w:p>
        </w:tc>
        <w:tc>
          <w:tcPr>
            <w:tcW w:w="1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30.6 %</w:t>
            </w:r>
          </w:p>
        </w:tc>
      </w:tr>
      <w:tr>
        <w:trPr>
          <w:trHeight w:val="233"/>
        </w:trPr>
        <w:tc>
          <w:tcPr>
            <w:tcW w:w="326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1,593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38.7 %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1,332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36.6 %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19.6 %</w:t>
            </w:r>
          </w:p>
        </w:tc>
      </w:tr>
      <w:tr>
        <w:trPr>
          <w:trHeight w:val="24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1,361</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43"/>
        </w:trPr>
        <w:tc>
          <w:tcPr>
            <w:tcW w:w="3260" w:type="dxa"/>
            <w:vAlign w:val="bottom"/>
          </w:tcPr>
          <w:p>
            <w:pPr>
              <w:ind w:left="120"/>
              <w:spacing w:after="0"/>
              <w:rPr>
                <w:sz w:val="20"/>
                <w:szCs w:val="20"/>
                <w:color w:val="auto"/>
              </w:rPr>
            </w:pPr>
            <w:r>
              <w:rPr>
                <w:rFonts w:ascii="Arial" w:cs="Arial" w:eastAsia="Arial" w:hAnsi="Arial"/>
                <w:sz w:val="16"/>
                <w:szCs w:val="16"/>
                <w:color w:val="auto"/>
              </w:rPr>
              <w:t>Total motorhomes</w:t>
            </w:r>
          </w:p>
        </w:tc>
        <w:tc>
          <w:tcPr>
            <w:tcW w:w="18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4,121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3,644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13.1 %</w:t>
            </w:r>
          </w:p>
        </w:tc>
      </w:tr>
      <w:tr>
        <w:trPr>
          <w:trHeight w:val="20"/>
        </w:trPr>
        <w:tc>
          <w:tcPr>
            <w:tcW w:w="3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26"/>
        </w:trPr>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8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Change</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3260" w:type="dxa"/>
            <w:vAlign w:val="bottom"/>
            <w:tcBorders>
              <w:top w:val="single" w:sz="8" w:color="auto"/>
            </w:tcBorders>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43"/>
        </w:trPr>
        <w:tc>
          <w:tcPr>
            <w:tcW w:w="3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2,856</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51.8 %</w:t>
            </w:r>
          </w:p>
        </w:tc>
      </w:tr>
      <w:tr>
        <w:trPr>
          <w:trHeight w:val="240"/>
        </w:trPr>
        <w:tc>
          <w:tcPr>
            <w:tcW w:w="3260" w:type="dxa"/>
            <w:vAlign w:val="bottom"/>
          </w:tcPr>
          <w:p>
            <w:pPr>
              <w:ind w:left="140"/>
              <w:spacing w:after="0"/>
              <w:rPr>
                <w:sz w:val="20"/>
                <w:szCs w:val="20"/>
                <w:color w:val="auto"/>
              </w:rPr>
            </w:pPr>
            <w:r>
              <w:rPr>
                <w:rFonts w:ascii="Arial" w:cs="Arial" w:eastAsia="Arial" w:hAnsi="Arial"/>
                <w:sz w:val="16"/>
                <w:szCs w:val="16"/>
                <w:color w:val="auto"/>
              </w:rPr>
              <w:t>Dollars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394,570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169,581</w:t>
            </w:r>
          </w:p>
        </w:tc>
        <w:tc>
          <w:tcPr>
            <w:tcW w:w="150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224,989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132.7 %</w:t>
            </w:r>
          </w:p>
        </w:tc>
      </w:tr>
      <w:tr>
        <w:trPr>
          <w:trHeight w:val="24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4"/>
        </w:trPr>
        <w:tc>
          <w:tcPr>
            <w:tcW w:w="3260" w:type="dxa"/>
            <w:vAlign w:val="bottom"/>
          </w:tcPr>
          <w:p>
            <w:pPr>
              <w:ind w:left="12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5,507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4,812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14.4 %</w:t>
            </w:r>
          </w:p>
        </w:tc>
      </w:tr>
    </w:tbl>
    <w:p>
      <w:pPr>
        <w:spacing w:after="0" w:line="132"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hanging="252"/>
        <w:spacing w:after="0" w:line="258" w:lineRule="auto"/>
        <w:tabs>
          <w:tab w:leader="none" w:pos="233"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Net revenues increased in the first six months of Fiscal 2020 compared to the first six months of Fiscal 2019 due to the acquisition of Newmar and an increase in the organic ASP.</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in the first six months of Fiscal 2020 compared to the first six months of Fiscal 2019 primarily due to our Newmar acquisition.</w:t>
      </w:r>
    </w:p>
    <w:p>
      <w:pPr>
        <w:spacing w:after="0" w:line="248"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We have seen an increase in the backlog volumes as of February 29, 2020 compared to February 23, 2019 due to our acquisition of Newmar and due to new product introductions.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operations for the six months ended February 29, 2020 and February 23,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7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29,</w:t>
            </w:r>
          </w:p>
        </w:tc>
        <w:tc>
          <w:tcPr>
            <w:tcW w:w="220" w:type="dxa"/>
            <w:vAlign w:val="bottom"/>
          </w:tcPr>
          <w:p>
            <w:pPr>
              <w:spacing w:after="0"/>
              <w:rPr>
                <w:sz w:val="17"/>
                <w:szCs w:val="17"/>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23,</w:t>
            </w:r>
          </w:p>
        </w:tc>
      </w:tr>
      <w:tr>
        <w:trPr>
          <w:trHeight w:val="228"/>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provided by (used in):</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7900" w:type="dxa"/>
            <w:vAlign w:val="bottom"/>
          </w:tcPr>
          <w:p>
            <w:pPr>
              <w:ind w:left="12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119,164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51,938</w:t>
            </w:r>
          </w:p>
        </w:tc>
      </w:tr>
      <w:tr>
        <w:trPr>
          <w:trHeight w:val="253"/>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Investing activities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(283,158)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(23,024)</w:t>
            </w:r>
          </w:p>
        </w:tc>
      </w:tr>
      <w:tr>
        <w:trPr>
          <w:trHeight w:val="237"/>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Financing activities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249,502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(28,239)</w:t>
            </w:r>
          </w:p>
        </w:tc>
      </w:tr>
      <w:tr>
        <w:trPr>
          <w:trHeight w:val="26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85,508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675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64"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Cash provided by operating activities increased for the six months ended February 29, 2020 compared to the six months ended February 23, 2019 primarily due to favorable changes in working capital, partially offset by Newmar acquisition-related costs.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Cash used in investing activities increased for the six months ended February 29, 2020 compared to the six months ended February 23, 2019 primarily due to our acquisition of Newmar.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6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Cash provided by financing activities increased for the six months ended February 29, 2020 compared to the six months ended February 23, 2019 primarily due to the issuance of Convertible Notes issued in the first quarter of Fiscal 2020 to finance our acquisition of Newmar.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26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 xml:space="preserve">As of February 29, 2020, we have a debt agreement that consists of a $300.0 million term loan agreement ("Term Loan") and a $192.5 million asset-based revolving credit facility ("ABL Credit Facility") (collectively, the "Credit Agreements"). During the first quarter of Fiscal 2020, we issued the Convertible Notes, which were used to partially fund the Newmar acquisition. Refer to Note 9, </w:t>
      </w:r>
      <w:r>
        <w:rPr>
          <w:rFonts w:ascii="Arial" w:cs="Arial" w:eastAsia="Arial" w:hAnsi="Arial"/>
          <w:sz w:val="16"/>
          <w:szCs w:val="16"/>
          <w:i w:val="1"/>
          <w:iCs w:val="1"/>
          <w:color w:val="auto"/>
        </w:rPr>
        <w:t>Long-Term Debt</w:t>
      </w:r>
      <w:r>
        <w:rPr>
          <w:rFonts w:ascii="Arial" w:cs="Arial" w:eastAsia="Arial" w:hAnsi="Arial"/>
          <w:sz w:val="16"/>
          <w:szCs w:val="16"/>
          <w:color w:val="auto"/>
        </w:rPr>
        <w:t>, of the Notes to Condensed Consolidated Financial Statements included in this Quarterly Report on Form 10-Q for additional details. As of February 29, 2020, we had no borrowings against the ABL.</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Financial Measures</w:t>
      </w:r>
    </w:p>
    <w:p>
      <w:pPr>
        <w:spacing w:after="0" w:line="268"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Working capital at February 29, 2020 and August 31, 2019 was $313.5 million and $212.9 million, respectively. We currently expect cash on hand, funds generated from operations, and the borrowing available under our ABL Credit Facility be sufficient to cover both short-term and long-term operating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 and Dividends</w:t>
      </w:r>
    </w:p>
    <w:p>
      <w:pPr>
        <w:spacing w:after="0" w:line="26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22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October 18, 2017, our Board of Directors authorized a share repurchase program in the amount of $70.0 million. There is no time restriction on the authorization. In the second quarter of Fiscal 2020, we did not repurchase any shares under this authorization. We continually evaluate if share repurchases reflect a prudent use of our capital and, subject to compliance with our Credit Agreements, we may purchase shares in the future. At February 29, 2020, we have $58.9 million remaining on our board repurchase authorization.</w:t>
      </w:r>
    </w:p>
    <w:p>
      <w:pPr>
        <w:spacing w:after="0" w:line="229"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On March 17, 2020, our Board of Directors approved a quarterly cash dividend of $0.11 per share payable on April 29, 2020, to common stockholders of record at the close of business on April 15, 2020.</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26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There has been no material change in our contractual obligations other than the issuance of the Convertible Notes and in the ordinary course of business since the end of Fiscal 2019. Refer to Note 9, </w:t>
      </w:r>
      <w:r>
        <w:rPr>
          <w:rFonts w:ascii="Arial" w:cs="Arial" w:eastAsia="Arial" w:hAnsi="Arial"/>
          <w:sz w:val="16"/>
          <w:szCs w:val="16"/>
          <w:i w:val="1"/>
          <w:iCs w:val="1"/>
          <w:color w:val="auto"/>
        </w:rPr>
        <w:t>Long-Term Debt</w:t>
      </w:r>
      <w:r>
        <w:rPr>
          <w:rFonts w:ascii="Arial" w:cs="Arial" w:eastAsia="Arial" w:hAnsi="Arial"/>
          <w:sz w:val="16"/>
          <w:szCs w:val="16"/>
          <w:color w:val="auto"/>
        </w:rPr>
        <w:t>, of the Notes to Condensed Consolidated Financial Statements included in this Quarterly Report on Form 10-Q for additional details on the Convertible Notes, and see our Annual Report on Form 10-K for the fiscal year ended August 31, 2019 for additional information regarding our contractual obligations and commercial commitments.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 and Estimates</w:t>
      </w:r>
    </w:p>
    <w:p>
      <w:pPr>
        <w:spacing w:after="0" w:line="252"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Notes to Consolidated Financial Statements included in our Annual Report on Form 10-K for the fiscal year ended August 31, 2019. We discuss our critical accounting estimates in Item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 our Annual Report on Form 10-K for the fiscal year</w:t>
      </w:r>
    </w:p>
    <w:p>
      <w:pPr>
        <w:spacing w:after="0" w:line="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 xml:space="preserve">ended August 31, 2019. In the first quarter of Fiscal 2020, we adopted new lease accounting guidance, as described in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and Note 10, </w:t>
      </w:r>
      <w:r>
        <w:rPr>
          <w:rFonts w:ascii="Arial" w:cs="Arial" w:eastAsia="Arial" w:hAnsi="Arial"/>
          <w:sz w:val="16"/>
          <w:szCs w:val="16"/>
          <w:i w:val="1"/>
          <w:iCs w:val="1"/>
          <w:color w:val="auto"/>
        </w:rPr>
        <w:t>Leases</w:t>
      </w:r>
      <w:r>
        <w:rPr>
          <w:rFonts w:ascii="Arial" w:cs="Arial" w:eastAsia="Arial" w:hAnsi="Arial"/>
          <w:sz w:val="16"/>
          <w:szCs w:val="16"/>
          <w:color w:val="auto"/>
        </w:rPr>
        <w:t>, of the Notes to Condensed Consolidated Financial Statements included in this Quarterly Report on Form 10-Q. There have been no other significant changes in our significant accounting policies or critical accounting estimates since the end of Fiscal 2019.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2"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 xml:space="preserve">For a description of new applicable accounting pronouncements,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of the Notes to Condensed Consolidated Financial Statements included in this Quarterly Report on Form 10-Q.</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26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our Annual Report on Form 10-K for the fiscal year ended August 31, 2019, and Item 1A, </w:t>
      </w:r>
      <w:r>
        <w:rPr>
          <w:rFonts w:ascii="Arial" w:cs="Arial" w:eastAsia="Arial" w:hAnsi="Arial"/>
          <w:sz w:val="16"/>
          <w:szCs w:val="16"/>
          <w:i w:val="1"/>
          <w:iCs w:val="1"/>
          <w:color w:val="auto"/>
        </w:rPr>
        <w:t>Risk Factors</w:t>
      </w:r>
      <w:r>
        <w:rPr>
          <w:rFonts w:ascii="Arial" w:cs="Arial" w:eastAsia="Arial" w:hAnsi="Arial"/>
          <w:sz w:val="16"/>
          <w:szCs w:val="16"/>
          <w:color w:val="auto"/>
        </w:rPr>
        <w:t>, in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 competition and new product introductions by competitors, our ability to attract and retain qualified personnel, increases in market compensation rates, business or production disruptions, sales order cancellations, risk related to the terms of our credit agreements and compliance with debt covenants and leverage ratios, stock price volatility and share dilution, disruptions or unanticipated costs from facility expansions, availability of labor, a slowdown in the economy, low consumer confidence, the effect of global tensions, increases in interest rates, availability of credit, availability of financing for RV and marine dealers, impairment of goodwill, risk related to cyclicality and seasonality of our business, slower than anticipated sales of new or existing products, integration of operations relating to merger and acquisition activities generally, our acquisition of Newmar, the possibility that the Newmar acquisition may not perform as expected or may not result in earnings growth, difficulties and expenses related to integrating Newmar into our business, possible unknown liabilities of Newmar, significant costs related to the Newmar acquisition, increased focus of management attention and resources on the acquisition of Newmar, risks related to the Convertible Notes, including our ability to satisfy our obligations under the Convertible Notes, risks related to our recent Convertible Note hedge and warrant transactions,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 information systems and web applications, any unexpected expenses related to the implementation of our Enterprise Resource Planning system, impacts of public health crises, such as COVID-19, risk related to data security, governmental regulation, including for climate change, risk related to anti-takeover provisions applicable to us, and other factors. We caution that the foregoing list of important factors is not complete. Any forward-looking statements speak only as of the date they are made, and we assume no obligation to update any forward-looking statement that we may make.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68"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We are exposed to market risks related to fluctuations in interest rates on the outstanding variable rate debt. As of February 29, 2020, we had $257.3 million outstanding under our Term Loan, subject to variable interest rates. For our Term Loan in the second quarter of Fiscal 2020, a 1.0% increase in interest rates would have increased our interest expense by an estimated $2.6 million, and a 1.0% decrease in interest rates would have decreased our interest expense by an estimated $2.6 million. For additional information,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For variable rate debt, interest rate changes generally do not affect the fair value of the debt instrument, but do impact future earnings and cash flows, assuming other factors are held constant.</w:t>
      </w:r>
    </w:p>
    <w:p>
      <w:pPr>
        <w:spacing w:after="0" w:line="230"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While these are our best estimates of the impact of the specified interest rate scenario, actual results could differ from those projected. The sensitivity analysis presented assumes interest rate changes are instantaneous, parallel shifts in the yield curve. In reality, interest rate changes of this magnitude are rarely instantaneous or parallel.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6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6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are implementing an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we have completed implementation of certain phases of the ERP, internal controls over financial reporting have been tested for effectiveness with respect to the scope of the phase completed. We concluded, as part of our evaluation described in the above paragraphs, that the implementation of ERP in these circumstances has not materially affected our internal control over financial reporting. The implementation is continuing in a phased approach and will continue to be evaluated for effect on our internal control over financial reporting.</w:t>
      </w:r>
    </w:p>
    <w:p>
      <w:pPr>
        <w:spacing w:after="0" w:line="23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During the first quarter of Fiscal 2020, we completed the acquisition of Newmar, which represents a material change in internal control over financial reporting since management's last assessment. Prior to the acquisition, Newmar was a private company and has not been subject to the Sarbanes-Oxley Act of 2002, the rules and regulations of the SEC, or other corporate governance requirements to which public reporting companies may be subject. As part of our ongoing integration activities, we are continuing to incorporate our controls and procedures into the acquired Newmar subsidiaries and to augment our company-wide controls to reflect the risks inherent in an acquisition of this type. Our report on our internal control over financial reporting in the Annual Report on Form 10-K for the year ending August 29, 2020 will exclude the acquired Newmar subsidiaries in order for management to have sufficient time to evaluate and implement our internal control over financial reporting.</w:t>
      </w:r>
    </w:p>
    <w:p>
      <w:pPr>
        <w:spacing w:after="0" w:line="235"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There were no other changes in our internal control over financial reporting that occurred during the second quarter of Fiscal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71" w:lineRule="exact"/>
        <w:rPr>
          <w:sz w:val="20"/>
          <w:szCs w:val="20"/>
          <w:color w:val="auto"/>
        </w:rPr>
      </w:pPr>
    </w:p>
    <w:p>
      <w:pPr>
        <w:ind w:right="640"/>
        <w:spacing w:after="0" w:line="281" w:lineRule="auto"/>
        <w:rPr>
          <w:sz w:val="20"/>
          <w:szCs w:val="20"/>
          <w:color w:val="auto"/>
        </w:rPr>
      </w:pPr>
      <w:r>
        <w:rPr>
          <w:rFonts w:ascii="Arial" w:cs="Arial" w:eastAsia="Arial" w:hAnsi="Arial"/>
          <w:sz w:val="16"/>
          <w:szCs w:val="16"/>
          <w:color w:val="auto"/>
        </w:rPr>
        <w:t xml:space="preserve">For a description of our legal proceedings, see Note 12, </w:t>
      </w:r>
      <w:r>
        <w:rPr>
          <w:rFonts w:ascii="Arial" w:cs="Arial" w:eastAsia="Arial" w:hAnsi="Arial"/>
          <w:sz w:val="16"/>
          <w:szCs w:val="16"/>
          <w:i w:val="1"/>
          <w:iCs w:val="1"/>
          <w:color w:val="auto"/>
        </w:rPr>
        <w:t>Contingent Liabilities and Commitments</w:t>
      </w:r>
      <w:r>
        <w:rPr>
          <w:rFonts w:ascii="Arial" w:cs="Arial" w:eastAsia="Arial" w:hAnsi="Arial"/>
          <w:sz w:val="16"/>
          <w:szCs w:val="16"/>
          <w:color w:val="auto"/>
        </w:rPr>
        <w:t>, of the Notes to Condensed Consolidated Financial Statements, included in this Quarterly Report on Form 10-Q.</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52"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31, 2019, except for the risk factors updated below: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could be adversely affected by public health crises, in locations in which we, our customers or our suppliers operate.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We have manufacturing and other operations in locations subject to public health crises. Our suppliers and customers also have operations in locations</w:t>
      </w:r>
    </w:p>
    <w:p>
      <w:pPr>
        <w:spacing w:after="0" w:line="46" w:lineRule="exact"/>
        <w:rPr>
          <w:sz w:val="20"/>
          <w:szCs w:val="20"/>
          <w:color w:val="auto"/>
        </w:rPr>
      </w:pPr>
    </w:p>
    <w:p>
      <w:pPr>
        <w:ind w:right="380"/>
        <w:spacing w:after="0" w:line="242" w:lineRule="auto"/>
        <w:rPr>
          <w:sz w:val="20"/>
          <w:szCs w:val="20"/>
          <w:color w:val="auto"/>
        </w:rPr>
      </w:pPr>
      <w:r>
        <w:rPr>
          <w:rFonts w:ascii="Arial" w:cs="Arial" w:eastAsia="Arial" w:hAnsi="Arial"/>
          <w:sz w:val="16"/>
          <w:szCs w:val="16"/>
          <w:color w:val="auto"/>
        </w:rPr>
        <w:t>exposed to similar dangers. A public health event could disrupt our operations, or our customers’ or suppliers’ operations and could adversely affect our results of operations and financial condition.</w:t>
      </w:r>
    </w:p>
    <w:p>
      <w:pPr>
        <w:spacing w:after="0" w:line="209" w:lineRule="exact"/>
        <w:rPr>
          <w:sz w:val="20"/>
          <w:szCs w:val="20"/>
          <w:color w:val="auto"/>
        </w:rPr>
      </w:pPr>
    </w:p>
    <w:p>
      <w:pPr>
        <w:ind w:right="200"/>
        <w:spacing w:after="0" w:line="219" w:lineRule="auto"/>
        <w:rPr>
          <w:sz w:val="20"/>
          <w:szCs w:val="20"/>
          <w:color w:val="auto"/>
        </w:rPr>
      </w:pPr>
      <w:r>
        <w:rPr>
          <w:rFonts w:ascii="Arial" w:cs="Arial" w:eastAsia="Arial" w:hAnsi="Arial"/>
          <w:sz w:val="16"/>
          <w:szCs w:val="16"/>
          <w:color w:val="auto"/>
        </w:rPr>
        <w:t>Our global suppliers of raw materials expose us to risks associated with public health crises, such as pandemics and epidemics, which could harm our business and cause operating results to suffer. For example, the ongoing outbreak of coronavirus disease (COVID-19) emanating from China at the beginning of 2020 may impact our suppliers’ ability to provide raw materials. Additionally, the outbreak may have an impact on the demand for large discretionary purchases such as recreation vehicles and boats. An extended plant shut-down or supply chain disruption due to COVID-19 may also impact our ability to fulfill orders.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At this point, the extent to which the coronavirus may impact our liquidity, financial condition, and results of operations is uncertain.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terms of our Credit Agreements and other debt instruments could adversely affect our operating flexibility and pose risks of default.</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incurred substantial indebtedness to finance the acquisitions of Grand Design and Newmar. Our Credit Agreement is secured by substantially all of our assets, including cash, inventory, accounts receivable, and certain machinery and equipment. The Credit Agreement contains certain requirements, including affirmative and negative financial covenants. If we are unable to comply with these requirements and covenants, we may be restricted in our ability to pay dividends or engage in certain other business transactions, the lender may obtain control of our cash accounts, and we may experience an event of default. If a default occurs, the lenders under the Credit Agreement may elect to declare all of their respective outstanding debt, together with accrued interest and other amounts payable thereunder, to be immediately due and payable. Under such circumstances, we may not have sufficient funds or other resources to satisfy all of our obligations. In addition, the limitations imposed on our ability to incur additional debt and to take other corporate actions might significantly impair our ability to obtain other financing.</w:t>
      </w:r>
    </w:p>
    <w:p>
      <w:pPr>
        <w:spacing w:after="0" w:line="180"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In addition, the Credit Agreement contains certain restrictions on our ability to undertake certain types of transactions. Therefore, we may need to seek permission from our lenders in order to engage in certain corporate actions and any additional indebtedness that we may incur will need to comply with the terms of the Credit Agreement and will have its own restrictions on our ability to undertake certain types of transactions. Likewise, the Indenture related to the Convertible Notes issued to help finance the acquisition of Newmar includes certain limited covenants that could impact our ability to operate our business.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In addition, our indebtedness could:</w:t>
      </w:r>
    </w:p>
    <w:p>
      <w:pPr>
        <w:spacing w:after="0" w:line="5"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Make us more vulnerable to general adverse economic, regulatory, and industry conditions;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 our flexibility in planning for, or reacting to, changes and opportunities in the markets in which we compete;</w:t>
      </w:r>
    </w:p>
    <w:p>
      <w:pPr>
        <w:spacing w:after="0" w:line="5" w:lineRule="exact"/>
        <w:rPr>
          <w:rFonts w:ascii="Arial" w:cs="Arial" w:eastAsia="Arial" w:hAnsi="Arial"/>
          <w:sz w:val="16"/>
          <w:szCs w:val="16"/>
          <w:color w:val="auto"/>
        </w:rPr>
      </w:pPr>
    </w:p>
    <w:p>
      <w:pPr>
        <w:ind w:left="660" w:right="100" w:hanging="328"/>
        <w:spacing w:after="0" w:line="24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or could require us to dedicate a substantial portion of our cash flow to service our debt; and</w:t>
      </w: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 us from making strategic acquisitions or exploiting other business opportunities.</w:t>
      </w:r>
    </w:p>
    <w:p>
      <w:pPr>
        <w:spacing w:after="0" w:line="22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color w:val="auto"/>
        </w:rPr>
        <w:t>Various factors, including share dilution, changes to credit terms, and our ability to meet financial performance expectations, could result in a decline in our stock price.</w:t>
      </w:r>
    </w:p>
    <w:p>
      <w:pPr>
        <w:spacing w:after="0" w:line="20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stock price may fluctuate based on many factors. To partially finance our acquisition of Grand Design, we issued $124.1 million worth of common stock to the owners of Grand Design and registered these shares for resale after the transaction closed. Similarly, we issued 2.0 million shares of our common stock to the owners of Newmar. In connection with our acquisition of Newmar, we also issued $300.0 million in aggregate principal amount of 1.50% convertible senior notes due 2025. We will settle conversions of the Convertible Notes by paying or delivering, as applicable, cash, shares of our common stock or a combination of cash and shares of our common stock, at our election, based on the applicable conversion rate(s). Any future stock issuance by us or liquidation of stock holding by the former owners of Grand Design or Newmar or holders of the Convertible Notes may cause dilution of earnings per share or put selling pressure on our share price. Changing credit agreements and leverage ratios may also impact stock price. In general, analysts' expectations and our ability to meet those expectations quarterly may cause stock price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fluctuations. If we fail to meet expectations related to future growth, profitability, debt repayment, dividends, share issuance or repurchase, or other market expectations, our stock price may decline significantly.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effectively manage strategic acquisitions and alliances, joint ventures, or partnerships could have a negative impact on our business.</w:t>
      </w:r>
    </w:p>
    <w:p>
      <w:pPr>
        <w:spacing w:after="0" w:line="268"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One of our growth strategies is to drive growth through targeted acquisitions and alliances, stronger customer relations, and new joint ventures and partnerships that contribute profitable growth while supplementing our existing brands and product portfolio. On November 8, 2019, we acquired Newmar (the "Newmar Acquisition"), a leading manufacturer of Class A and Super C motorized RVs. Our ability to grow through acquisitions depends,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including the Newmar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spacing w:after="0" w:line="4"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Diversion of management’s attention;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Disruption to our existing operations and plans;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Inability to effectively manage our expanded operations;</w:t>
      </w:r>
    </w:p>
    <w:p>
      <w:pPr>
        <w:spacing w:after="0" w:line="5" w:lineRule="exact"/>
        <w:rPr>
          <w:rFonts w:ascii="Arial" w:cs="Arial" w:eastAsia="Arial" w:hAnsi="Arial"/>
          <w:sz w:val="16"/>
          <w:szCs w:val="16"/>
          <w:color w:val="auto"/>
        </w:rPr>
      </w:pPr>
    </w:p>
    <w:p>
      <w:pPr>
        <w:ind w:left="660" w:right="260" w:hanging="328"/>
        <w:spacing w:after="0" w:line="24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Inability to successfully integrate or develop a distribution channel for acquired product lines;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Potential loss of key employees, customers, distributors, or dealers of the acquired businesses or adverse effects on existing business relationships with suppliers, customers, distributors, and dealers;</w:t>
      </w: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Adverse impact on overall profitability, if our expanded operations do not achieve the financial results projected in our valuation model;</w:t>
      </w:r>
    </w:p>
    <w:p>
      <w:pPr>
        <w:spacing w:after="0" w:line="5" w:lineRule="exact"/>
        <w:rPr>
          <w:rFonts w:ascii="Arial" w:cs="Arial" w:eastAsia="Arial" w:hAnsi="Arial"/>
          <w:sz w:val="16"/>
          <w:szCs w:val="16"/>
          <w:color w:val="auto"/>
        </w:rPr>
      </w:pPr>
    </w:p>
    <w:p>
      <w:pPr>
        <w:ind w:left="660" w:right="200" w:hanging="328"/>
        <w:spacing w:after="0" w:line="24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ind w:left="660" w:right="4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Incorrect estimates made in the accounting for acquisitions, occurrence of non-recurring charges, and write-off of significant amounts of goodwill or other assets that could adversely affect our operating results.</w:t>
      </w:r>
    </w:p>
    <w:p>
      <w:pPr>
        <w:spacing w:after="0" w:line="20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color w:val="auto"/>
        </w:rPr>
        <w:t>We may experience difficulties in integrating the operations of Newmar into our business and in realizing the expected benefits of the Newmar Acquisition.</w:t>
      </w:r>
    </w:p>
    <w:p>
      <w:pPr>
        <w:spacing w:after="0" w:line="20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 success of the Newmar Acquisition will depend in part on our ability to realize the anticipated business opportunities from combining the operations of Newmar with our business in an efficient and effective manner. The integration process could take longer than anticipated and could result in the loss of key employees, the disruption of each company’s ongoing businesses, tax costs or inefficiencies, or inconsistencies in standards, controls, information technology systems, procedures, and policies, any of which could adversely affect our ability to maintain relationships with customers, employees or other third parties, or our ability to achieve the anticipated benefits of the Newmar Acquisition, and could harm our financial performance. We cannot assure you that the Newmar business will perform as expected, that integration or other one-time costs will not be greater than expected, that we will not incur unforeseen obligations or liabilities, or that the rate of return from the acquisition will justify our investment. We also incurred significant costs in connection with the Newmar Acquisition, the substantial majority of which are non-recurring expenses. In addition, we expect to incur additional costs in the integration of Newmar's business and may not achieve cost synergies and other benefits sufficient to offset the incremental costs of the Newmar Acquisition. If we are unable to successfully or timely integrate the operations of Newmar with our business, we may incur unanticipated liabilities and be unable to realize the revenue growth, synergies, and other anticipated benefits resulting from the Newmar Acquisition, and our business, results of operations, and financial condition could be materially and adversely affected.</w:t>
      </w:r>
    </w:p>
    <w:p>
      <w:pPr>
        <w:spacing w:after="0" w:line="239"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The Newmar Acquisition also involves risks associated with integrating acquired assets into existing operations which could have a material adverse effect on our business, financial condition, results of operations, and cash flows, including, among others:</w:t>
      </w:r>
    </w:p>
    <w:p>
      <w:pPr>
        <w:spacing w:after="0" w:line="1"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to implement our business plan for the combined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unanticipated issues in integrating equipment, logistics, information, communications, and other systems;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possible inconsistencies in standards, controls, contracts, procedures, and policies;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impacts of change in control provisions in contracts and agreements;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to retain key customers and suppliers;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unanticipated changes in applicable laws and regulations;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to recruit and retain key employees to operate the combined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competition within the industries in which Newmar operates;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difficulties in managing the expanded operations of a significantly larger and more complex combined company;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inherent operating risks in the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unanticipated issues, expenses, and liabilities;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additional reporting requirements pursuant to applicable rules and regulations;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additional requirements relating to internal control over financial reporting;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diversion of our senior management’s attention from the management of daily operations to the integration of the Newmar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significant unknown and contingent liabilities we incur for which we have limited or no contractual remedies or insurance coverage;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assets to be acquired failing to perform as well as we anticipate;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unexpected costs, delays, and challenges arising from integrating the assets acquired in the Newmar Acquisition into our existing operations.</w:t>
      </w:r>
    </w:p>
    <w:p>
      <w:pPr>
        <w:spacing w:after="0" w:line="24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Even if we successfully integrate the assets acquired in the Newmar Acquisition into our operations, it may not be possible to realize the full benefits we anticipate or we may not realize these benefits within the expected time frame. If we fail to realize the benefits we anticipate from the Newmar Acquisition, our business, results of operations, and financial condition may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Newmar may have liabilities that are not known, probable, or estimable at this time.</w:t>
      </w: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Following the acquisition of Newmar, Newmar became our subsidiary and remains subject to all of its liabilities. There could be unasserted claims or assessments that we failed or were unable to discover or identify in the course of performing due diligence investigations of Newmar. In addition, there may be liabilities that are neither probable nor estimable at this time that may become probable or estimable in the future. Any such liabilities, individually or in the aggregate, could have a material adverse effect on our financial results.</w:t>
      </w:r>
    </w:p>
    <w:p>
      <w:pPr>
        <w:spacing w:after="0" w:line="229"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Additionally, Newmar is subject to various rules, regulations, laws, and other legal requirements, enforced by governments or other public authorities. Misconduct, fraud, non-compliance with applicable laws and regulations, or other improper activities by any of Newmar’s directors, officers, employees, or agents could have a significant impact on Newmar’s business and reputation and could subject Newmar to fines and penalties and criminal, civil, and administrative legal sanctions, resulting in reduced revenues and profits.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Newmar Acquisition significantly increases our goodwill and other intangible assets.</w:t>
      </w:r>
    </w:p>
    <w:p>
      <w:pPr>
        <w:spacing w:after="0" w:line="268"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We have a significant amount, and the Newmar acquisition increased the amount of goodwill and other intangible assets on our consolidated financial statements, which are subject to impairment based upon future adverse changes in our business or prospects. The impairment of any goodwill and other intangible assets may have a negative impact on our consolidated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second quarter of Fiscal 2020 were: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4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Average Price</w:t>
            </w:r>
          </w:p>
        </w:tc>
        <w:tc>
          <w:tcPr>
            <w:tcW w:w="2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 Shares Purchased as</w:t>
            </w:r>
          </w:p>
        </w:tc>
        <w:tc>
          <w:tcPr>
            <w:tcW w:w="140" w:type="dxa"/>
            <w:vAlign w:val="bottom"/>
          </w:tcPr>
          <w:p>
            <w:pPr>
              <w:spacing w:after="0"/>
              <w:rPr>
                <w:sz w:val="16"/>
                <w:szCs w:val="16"/>
                <w:color w:val="auto"/>
              </w:rPr>
            </w:pPr>
          </w:p>
        </w:tc>
        <w:tc>
          <w:tcPr>
            <w:tcW w:w="2620" w:type="dxa"/>
            <w:vAlign w:val="bottom"/>
          </w:tcPr>
          <w:p>
            <w:pPr>
              <w:jc w:val="right"/>
              <w:ind w:right="21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7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Purchased</w:t>
            </w:r>
            <w:r>
              <w:rPr>
                <w:rFonts w:ascii="Arial" w:cs="Arial" w:eastAsia="Arial" w:hAnsi="Arial"/>
                <w:sz w:val="21"/>
                <w:szCs w:val="21"/>
                <w:b w:val="1"/>
                <w:bCs w:val="1"/>
                <w:color w:val="auto"/>
                <w:w w:val="97"/>
                <w:vertAlign w:val="superscript"/>
              </w:rPr>
              <w:t>(1)</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860" w:type="dxa"/>
            <w:vAlign w:val="bottom"/>
            <w:tcBorders>
              <w:bottom w:val="single" w:sz="8" w:color="auto"/>
            </w:tcBorders>
            <w:gridSpan w:val="2"/>
          </w:tcPr>
          <w:p>
            <w:pPr>
              <w:jc w:val="center"/>
              <w:ind w:right="120"/>
              <w:spacing w:after="0" w:line="216" w:lineRule="exact"/>
              <w:rPr>
                <w:sz w:val="20"/>
                <w:szCs w:val="20"/>
                <w:color w:val="auto"/>
              </w:rPr>
            </w:pPr>
            <w:r>
              <w:rPr>
                <w:rFonts w:ascii="Arial" w:cs="Arial" w:eastAsia="Arial" w:hAnsi="Arial"/>
                <w:sz w:val="16"/>
                <w:szCs w:val="16"/>
                <w:b w:val="1"/>
                <w:bCs w:val="1"/>
                <w:color w:val="auto"/>
                <w:w w:val="97"/>
              </w:rPr>
              <w:t>or Programs</w:t>
            </w:r>
            <w:r>
              <w:rPr>
                <w:rFonts w:ascii="Arial" w:cs="Arial" w:eastAsia="Arial" w:hAnsi="Arial"/>
                <w:sz w:val="21"/>
                <w:szCs w:val="21"/>
                <w:b w:val="1"/>
                <w:bCs w:val="1"/>
                <w:color w:val="auto"/>
                <w:w w:val="97"/>
                <w:vertAlign w:val="superscript"/>
              </w:rPr>
              <w:t>(1)</w:t>
            </w: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Under the Plans or Programs</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37"/>
        </w:trPr>
        <w:tc>
          <w:tcPr>
            <w:tcW w:w="2620" w:type="dxa"/>
            <w:vAlign w:val="bottom"/>
            <w:shd w:val="clear" w:color="auto" w:fill="BFE4FF"/>
          </w:tcPr>
          <w:p>
            <w:pPr>
              <w:ind w:left="20"/>
              <w:spacing w:after="0"/>
              <w:rPr>
                <w:sz w:val="20"/>
                <w:szCs w:val="20"/>
                <w:color w:val="auto"/>
              </w:rPr>
            </w:pPr>
            <w:r>
              <w:rPr>
                <w:rFonts w:ascii="Arial" w:cs="Arial" w:eastAsia="Arial" w:hAnsi="Arial"/>
                <w:sz w:val="16"/>
                <w:szCs w:val="16"/>
                <w:color w:val="auto"/>
              </w:rPr>
              <w:t>12/01/19 - 01/04/20</w:t>
            </w:r>
          </w:p>
        </w:tc>
        <w:tc>
          <w:tcPr>
            <w:tcW w:w="15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638</w:t>
            </w:r>
          </w:p>
        </w:tc>
        <w:tc>
          <w:tcPr>
            <w:tcW w:w="480" w:type="dxa"/>
            <w:vAlign w:val="bottom"/>
            <w:shd w:val="clear" w:color="auto" w:fill="BFE4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BFE4FF"/>
          </w:tcPr>
          <w:p>
            <w:pPr>
              <w:jc w:val="right"/>
              <w:ind w:right="179"/>
              <w:spacing w:after="0"/>
              <w:rPr>
                <w:sz w:val="20"/>
                <w:szCs w:val="20"/>
                <w:color w:val="auto"/>
              </w:rPr>
            </w:pPr>
            <w:r>
              <w:rPr>
                <w:rFonts w:ascii="Arial" w:cs="Arial" w:eastAsia="Arial" w:hAnsi="Arial"/>
                <w:sz w:val="16"/>
                <w:szCs w:val="16"/>
                <w:color w:val="auto"/>
              </w:rPr>
              <w:t>48.14</w:t>
            </w:r>
          </w:p>
        </w:tc>
        <w:tc>
          <w:tcPr>
            <w:tcW w:w="2860" w:type="dxa"/>
            <w:vAlign w:val="bottom"/>
            <w:gridSpan w:val="2"/>
            <w:shd w:val="clear" w:color="auto" w:fill="BFE4FF"/>
          </w:tcPr>
          <w:p>
            <w:pPr>
              <w:ind w:left="2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BFE4FF"/>
          </w:tcPr>
          <w:p>
            <w:pPr>
              <w:ind w:left="20"/>
              <w:spacing w:after="0"/>
              <w:rPr>
                <w:sz w:val="20"/>
                <w:szCs w:val="20"/>
                <w:color w:val="auto"/>
              </w:rPr>
            </w:pPr>
            <w:r>
              <w:rPr>
                <w:rFonts w:ascii="Arial" w:cs="Arial" w:eastAsia="Arial" w:hAnsi="Arial"/>
                <w:sz w:val="16"/>
                <w:szCs w:val="16"/>
                <w:color w:val="auto"/>
              </w:rPr>
              <w:t>$</w:t>
            </w:r>
          </w:p>
        </w:tc>
        <w:tc>
          <w:tcPr>
            <w:tcW w:w="262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58,870,000</w:t>
            </w:r>
          </w:p>
        </w:tc>
        <w:tc>
          <w:tcPr>
            <w:tcW w:w="0" w:type="dxa"/>
            <w:vAlign w:val="bottom"/>
          </w:tcPr>
          <w:p>
            <w:pPr>
              <w:spacing w:after="0"/>
              <w:rPr>
                <w:sz w:val="1"/>
                <w:szCs w:val="1"/>
                <w:color w:val="auto"/>
              </w:rPr>
            </w:pP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color w:val="auto"/>
              </w:rPr>
              <w:t>01/05/20 - 02/01/20</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733</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52.76</w:t>
            </w:r>
          </w:p>
        </w:tc>
        <w:tc>
          <w:tcPr>
            <w:tcW w:w="2860" w:type="dxa"/>
            <w:vAlign w:val="bottom"/>
            <w:gridSpan w:val="2"/>
          </w:tcPr>
          <w:p>
            <w:pPr>
              <w:ind w:left="24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2620" w:type="dxa"/>
            <w:vAlign w:val="bottom"/>
          </w:tcPr>
          <w:p>
            <w:pPr>
              <w:jc w:val="right"/>
              <w:ind w:right="79"/>
              <w:spacing w:after="0"/>
              <w:rPr>
                <w:sz w:val="20"/>
                <w:szCs w:val="20"/>
                <w:color w:val="auto"/>
              </w:rPr>
            </w:pPr>
            <w:r>
              <w:rPr>
                <w:rFonts w:ascii="Arial" w:cs="Arial" w:eastAsia="Arial" w:hAnsi="Arial"/>
                <w:sz w:val="16"/>
                <w:szCs w:val="16"/>
                <w:color w:val="auto"/>
              </w:rPr>
              <w:t>58,870,000</w:t>
            </w:r>
          </w:p>
        </w:tc>
        <w:tc>
          <w:tcPr>
            <w:tcW w:w="0" w:type="dxa"/>
            <w:vAlign w:val="bottom"/>
          </w:tcPr>
          <w:p>
            <w:pPr>
              <w:spacing w:after="0"/>
              <w:rPr>
                <w:sz w:val="1"/>
                <w:szCs w:val="1"/>
                <w:color w:val="auto"/>
              </w:rPr>
            </w:pPr>
          </w:p>
        </w:tc>
      </w:tr>
      <w:tr>
        <w:trPr>
          <w:trHeight w:val="246"/>
        </w:trPr>
        <w:tc>
          <w:tcPr>
            <w:tcW w:w="2620" w:type="dxa"/>
            <w:vAlign w:val="bottom"/>
            <w:shd w:val="clear" w:color="auto" w:fill="BFE4FF"/>
          </w:tcPr>
          <w:p>
            <w:pPr>
              <w:ind w:left="20"/>
              <w:spacing w:after="0"/>
              <w:rPr>
                <w:sz w:val="20"/>
                <w:szCs w:val="20"/>
                <w:color w:val="auto"/>
              </w:rPr>
            </w:pPr>
            <w:r>
              <w:rPr>
                <w:rFonts w:ascii="Arial" w:cs="Arial" w:eastAsia="Arial" w:hAnsi="Arial"/>
                <w:sz w:val="16"/>
                <w:szCs w:val="16"/>
                <w:color w:val="auto"/>
              </w:rPr>
              <w:t>02/02/20 - 02/29/20</w:t>
            </w:r>
          </w:p>
        </w:tc>
        <w:tc>
          <w:tcPr>
            <w:tcW w:w="156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71</w:t>
            </w:r>
          </w:p>
        </w:tc>
        <w:tc>
          <w:tcPr>
            <w:tcW w:w="480" w:type="dxa"/>
            <w:vAlign w:val="bottom"/>
            <w:shd w:val="clear" w:color="auto" w:fill="BFE4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BFE4FF"/>
          </w:tcPr>
          <w:p>
            <w:pPr>
              <w:jc w:val="right"/>
              <w:ind w:right="179"/>
              <w:spacing w:after="0"/>
              <w:rPr>
                <w:sz w:val="20"/>
                <w:szCs w:val="20"/>
                <w:color w:val="auto"/>
              </w:rPr>
            </w:pPr>
            <w:r>
              <w:rPr>
                <w:rFonts w:ascii="Arial" w:cs="Arial" w:eastAsia="Arial" w:hAnsi="Arial"/>
                <w:sz w:val="16"/>
                <w:szCs w:val="16"/>
                <w:color w:val="auto"/>
              </w:rPr>
              <w:t>59.47</w:t>
            </w:r>
          </w:p>
        </w:tc>
        <w:tc>
          <w:tcPr>
            <w:tcW w:w="2740" w:type="dxa"/>
            <w:vAlign w:val="bottom"/>
            <w:tcBorders>
              <w:bottom w:val="single" w:sz="8" w:color="auto"/>
            </w:tcBorders>
            <w:shd w:val="clear" w:color="auto" w:fill="BFE4FF"/>
          </w:tcPr>
          <w:p>
            <w:pPr>
              <w:ind w:left="2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BFE4FF"/>
          </w:tcPr>
          <w:p>
            <w:pPr>
              <w:spacing w:after="0"/>
              <w:rPr>
                <w:sz w:val="21"/>
                <w:szCs w:val="21"/>
                <w:color w:val="auto"/>
              </w:rPr>
            </w:pPr>
          </w:p>
        </w:tc>
        <w:tc>
          <w:tcPr>
            <w:tcW w:w="14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rPr>
              <w:t>58,870,000</w:t>
            </w:r>
          </w:p>
        </w:tc>
        <w:tc>
          <w:tcPr>
            <w:tcW w:w="0" w:type="dxa"/>
            <w:vAlign w:val="bottom"/>
          </w:tcPr>
          <w:p>
            <w:pPr>
              <w:spacing w:after="0"/>
              <w:rPr>
                <w:sz w:val="1"/>
                <w:szCs w:val="1"/>
                <w:color w:val="auto"/>
              </w:rPr>
            </w:pPr>
          </w:p>
        </w:tc>
      </w:tr>
      <w:tr>
        <w:trPr>
          <w:trHeight w:val="243"/>
        </w:trPr>
        <w:tc>
          <w:tcPr>
            <w:tcW w:w="2620" w:type="dxa"/>
            <w:vAlign w:val="bottom"/>
          </w:tcPr>
          <w:p>
            <w:pPr>
              <w:ind w:left="120"/>
              <w:spacing w:after="0"/>
              <w:rPr>
                <w:sz w:val="20"/>
                <w:szCs w:val="20"/>
                <w:color w:val="auto"/>
              </w:rPr>
            </w:pPr>
            <w:r>
              <w:rPr>
                <w:rFonts w:ascii="Arial" w:cs="Arial" w:eastAsia="Arial" w:hAnsi="Arial"/>
                <w:sz w:val="16"/>
                <w:szCs w:val="16"/>
                <w:color w:val="auto"/>
              </w:rPr>
              <w:t>Total</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1,442</w:t>
            </w: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51.04</w:t>
            </w:r>
          </w:p>
        </w:tc>
        <w:tc>
          <w:tcPr>
            <w:tcW w:w="2860" w:type="dxa"/>
            <w:vAlign w:val="bottom"/>
            <w:gridSpan w:val="2"/>
          </w:tcPr>
          <w:p>
            <w:pPr>
              <w:ind w:left="24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2620" w:type="dxa"/>
            <w:vAlign w:val="bottom"/>
          </w:tcPr>
          <w:p>
            <w:pPr>
              <w:jc w:val="right"/>
              <w:ind w:right="79"/>
              <w:spacing w:after="0"/>
              <w:rPr>
                <w:sz w:val="20"/>
                <w:szCs w:val="20"/>
                <w:color w:val="auto"/>
              </w:rPr>
            </w:pPr>
            <w:r>
              <w:rPr>
                <w:rFonts w:ascii="Arial" w:cs="Arial" w:eastAsia="Arial" w:hAnsi="Arial"/>
                <w:sz w:val="16"/>
                <w:szCs w:val="16"/>
                <w:color w:val="auto"/>
              </w:rPr>
              <w:t>58,870,000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60" w:hanging="252"/>
        <w:spacing w:after="0" w:line="241" w:lineRule="auto"/>
        <w:tabs>
          <w:tab w:leader="none" w:pos="233" w:val="left"/>
        </w:tabs>
        <w:numPr>
          <w:ilvl w:val="0"/>
          <w:numId w:val="28"/>
        </w:numPr>
        <w:rPr>
          <w:rFonts w:ascii="Arial" w:cs="Arial" w:eastAsia="Arial" w:hAnsi="Arial"/>
          <w:sz w:val="14"/>
          <w:szCs w:val="14"/>
          <w:color w:val="auto"/>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Pursuant to a $70.0 million share repurchase program authorized by our Board of Directors on October 18, 2017. There is no time restriction on the authorization.</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Our Credit Agreements, as defined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Condensed Consolidated Financial Statements, included in Item 1, </w:t>
      </w:r>
      <w:r>
        <w:rPr>
          <w:rFonts w:ascii="Arial" w:cs="Arial" w:eastAsia="Arial" w:hAnsi="Arial"/>
          <w:sz w:val="16"/>
          <w:szCs w:val="16"/>
          <w:i w:val="1"/>
          <w:iCs w:val="1"/>
          <w:color w:val="auto"/>
        </w:rPr>
        <w:t>Condensed Consolidated Financial Statements</w:t>
      </w:r>
      <w:r>
        <w:rPr>
          <w:rFonts w:ascii="Arial" w:cs="Arial" w:eastAsia="Arial" w:hAnsi="Arial"/>
          <w:sz w:val="16"/>
          <w:szCs w:val="16"/>
          <w:color w:val="auto"/>
        </w:rPr>
        <w:t>, of this Quarterly Report on Form 10-Q, contains restrictions that may limit our ability to make distributions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134620</wp:posOffset>
            </wp:positionV>
            <wp:extent cx="6686550" cy="445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86550" cy="445770"/>
                    </a:xfrm>
                    <a:prstGeom prst="rect">
                      <a:avLst/>
                    </a:prstGeom>
                    <a:noFill/>
                  </pic:spPr>
                </pic:pic>
              </a:graphicData>
            </a:graphic>
          </wp:anchor>
        </w:drawing>
      </w:r>
    </w:p>
    <w:p>
      <w:pPr>
        <w:spacing w:after="0" w:line="208" w:lineRule="exact"/>
        <w:rPr>
          <w:sz w:val="20"/>
          <w:szCs w:val="20"/>
          <w:color w:val="auto"/>
        </w:rPr>
      </w:pPr>
    </w:p>
    <w:p>
      <w:pPr>
        <w:ind w:left="1380" w:right="20" w:hanging="643"/>
        <w:spacing w:after="0" w:line="221" w:lineRule="auto"/>
        <w:tabs>
          <w:tab w:leader="none" w:pos="1360" w:val="left"/>
        </w:tabs>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2.1</w:t>
        </w:r>
      </w:hyperlink>
      <w:r>
        <w:rPr>
          <w:rFonts w:ascii="Arial" w:cs="Arial" w:eastAsia="Arial" w:hAnsi="Arial"/>
          <w:sz w:val="16"/>
          <w:szCs w:val="16"/>
          <w:u w:val="single" w:color="auto"/>
          <w:color w:val="0000FF"/>
        </w:rPr>
        <w:tab/>
      </w:r>
      <w:hyperlink r:id="rId98">
        <w:r>
          <w:rPr>
            <w:rFonts w:ascii="Arial" w:cs="Arial" w:eastAsia="Arial" w:hAnsi="Arial"/>
            <w:sz w:val="16"/>
            <w:szCs w:val="16"/>
            <w:u w:val="single" w:color="auto"/>
            <w:color w:val="0000FF"/>
          </w:rPr>
          <w:t>Stock Purchase Agreement dated as of September 15, 2019, by and among the Registrant, Octavius Corporation, Newmar</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Corporation, Dutch Real Estate Corp., New-Way Transport Corp., New-Serv, Inc., the shareholders of Newmar Corporation, Dutch</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Real Estate Corp., New-Way Transport Corp. and New-Serv, Inc. and Matthew Miller, as Sellers Agent previously filed as Exhibit 2.1</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with the Registrant’s Current Report on Form 8-K dated September 15, 2019.</w:t>
        </w:r>
      </w:hyperlink>
    </w:p>
    <w:p>
      <w:pPr>
        <w:spacing w:after="0" w:line="24" w:lineRule="exact"/>
        <w:rPr>
          <w:rFonts w:ascii="Arial" w:cs="Arial" w:eastAsia="Arial" w:hAnsi="Arial"/>
          <w:sz w:val="16"/>
          <w:szCs w:val="16"/>
          <w:u w:val="single" w:color="auto"/>
          <w:color w:val="0000FF"/>
        </w:rPr>
      </w:pPr>
    </w:p>
    <w:p>
      <w:pPr>
        <w:ind w:left="1380" w:right="60" w:hanging="639"/>
        <w:spacing w:after="0" w:line="232" w:lineRule="auto"/>
        <w:tabs>
          <w:tab w:leader="none" w:pos="1360" w:val="left"/>
        </w:tabs>
        <w:rPr>
          <w:rFonts w:ascii="Arial" w:cs="Arial" w:eastAsia="Arial" w:hAnsi="Arial"/>
          <w:sz w:val="16"/>
          <w:szCs w:val="16"/>
          <w:u w:val="single" w:color="auto"/>
          <w:color w:val="0000FF"/>
        </w:rPr>
      </w:pPr>
      <w:r>
        <w:rPr>
          <w:rFonts w:ascii="Arial" w:cs="Arial" w:eastAsia="Arial" w:hAnsi="Arial"/>
          <w:sz w:val="16"/>
          <w:szCs w:val="16"/>
          <w:u w:val="single" w:color="auto"/>
          <w:color w:val="0000FF"/>
        </w:rPr>
        <w:t>3a.</w:t>
      </w:r>
      <w:r>
        <w:rPr>
          <w:sz w:val="20"/>
          <w:szCs w:val="20"/>
          <w:color w:val="auto"/>
        </w:rPr>
        <w:tab/>
      </w:r>
      <w:hyperlink r:id="rId99">
        <w:r>
          <w:rPr>
            <w:rFonts w:ascii="Arial" w:cs="Arial" w:eastAsia="Arial" w:hAnsi="Arial"/>
            <w:sz w:val="16"/>
            <w:szCs w:val="16"/>
            <w:u w:val="single" w:color="auto"/>
            <w:color w:val="0000FF"/>
          </w:rPr>
          <w:t>Articles of Incorporation of the Registrant previously filed as Exhibit 3a to the Registrant’s Annual Report on Form 10-K for the fiscal</w:t>
        </w:r>
      </w:hyperlink>
      <w:r>
        <w:rPr>
          <w:rFonts w:ascii="Arial" w:cs="Arial" w:eastAsia="Arial" w:hAnsi="Arial"/>
          <w:sz w:val="16"/>
          <w:szCs w:val="16"/>
          <w:u w:val="single" w:color="auto"/>
          <w:color w:val="0000FF"/>
        </w:rPr>
        <w:t xml:space="preserve"> </w:t>
      </w:r>
      <w:hyperlink r:id="rId99">
        <w:r>
          <w:rPr>
            <w:rFonts w:ascii="Arial" w:cs="Arial" w:eastAsia="Arial" w:hAnsi="Arial"/>
            <w:sz w:val="16"/>
            <w:szCs w:val="16"/>
            <w:u w:val="single" w:color="auto"/>
            <w:color w:val="0000FF"/>
          </w:rPr>
          <w:t>year ended August 25, 2018 (Commission File Number 001-06403) and incorporated by reference 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6686550"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686550" cy="240030"/>
                    </a:xfrm>
                    <a:prstGeom prst="rect">
                      <a:avLst/>
                    </a:prstGeom>
                    <a:noFill/>
                  </pic:spPr>
                </pic:pic>
              </a:graphicData>
            </a:graphic>
          </wp:anchor>
        </w:drawing>
      </w:r>
    </w:p>
    <w:p>
      <w:pPr>
        <w:ind w:left="740"/>
        <w:spacing w:after="0"/>
        <w:tabs>
          <w:tab w:leader="none" w:pos="1360" w:val="left"/>
        </w:tabs>
        <w:rPr>
          <w:rFonts w:ascii="Arial" w:cs="Arial" w:eastAsia="Arial" w:hAnsi="Arial"/>
          <w:sz w:val="16"/>
          <w:szCs w:val="16"/>
          <w:u w:val="single" w:color="auto"/>
          <w:color w:val="0000FF"/>
        </w:rPr>
      </w:pPr>
      <w:r>
        <w:rPr>
          <w:rFonts w:ascii="Arial" w:cs="Arial" w:eastAsia="Arial" w:hAnsi="Arial"/>
          <w:sz w:val="16"/>
          <w:szCs w:val="16"/>
          <w:u w:val="single" w:color="auto"/>
          <w:color w:val="0000FF"/>
        </w:rPr>
        <w:t>3b.</w:t>
      </w:r>
      <w:r>
        <w:rPr>
          <w:sz w:val="20"/>
          <w:szCs w:val="20"/>
          <w:color w:val="auto"/>
        </w:rPr>
        <w:tab/>
      </w:r>
      <w:hyperlink r:id="rId101">
        <w:r>
          <w:rPr>
            <w:rFonts w:ascii="Arial" w:cs="Arial" w:eastAsia="Arial" w:hAnsi="Arial"/>
            <w:sz w:val="16"/>
            <w:szCs w:val="16"/>
            <w:u w:val="single" w:color="auto"/>
            <w:color w:val="0000FF"/>
          </w:rPr>
          <w:t>Amended By-Laws of the Registrant previously filed as Exhibit 3.1 to the Registrant's Current Report on Form 8-K dated March 16,</w:t>
        </w:r>
      </w:hyperlink>
    </w:p>
    <w:p>
      <w:pPr>
        <w:ind w:left="1380"/>
        <w:spacing w:after="0"/>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2016 (Commission File Number 001-06403) and incorporated by reference herein.</w:t>
        </w:r>
      </w:hyperlink>
    </w:p>
    <w:p>
      <w:pPr>
        <w:spacing w:after="0" w:line="32" w:lineRule="exact"/>
        <w:rPr>
          <w:sz w:val="20"/>
          <w:szCs w:val="20"/>
          <w:color w:val="auto"/>
        </w:rPr>
      </w:pPr>
    </w:p>
    <w:p>
      <w:pPr>
        <w:ind w:left="1380" w:right="340" w:hanging="643"/>
        <w:spacing w:after="0" w:line="232" w:lineRule="auto"/>
        <w:tabs>
          <w:tab w:leader="none" w:pos="1360" w:val="left"/>
        </w:tabs>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4.1</w:t>
        </w:r>
      </w:hyperlink>
      <w:r>
        <w:rPr>
          <w:rFonts w:ascii="Arial" w:cs="Arial" w:eastAsia="Arial" w:hAnsi="Arial"/>
          <w:sz w:val="16"/>
          <w:szCs w:val="16"/>
          <w:u w:val="single" w:color="auto"/>
          <w:color w:val="0000FF"/>
        </w:rPr>
        <w:tab/>
      </w:r>
      <w:hyperlink r:id="rId102">
        <w:r>
          <w:rPr>
            <w:rFonts w:ascii="Arial" w:cs="Arial" w:eastAsia="Arial" w:hAnsi="Arial"/>
            <w:sz w:val="16"/>
            <w:szCs w:val="16"/>
            <w:u w:val="single" w:color="auto"/>
            <w:color w:val="0000FF"/>
          </w:rPr>
          <w:t>Indenture, dated November 1, 2019, by and between Winnebago Industries, Inc. and U.S. Bank National Association previously</w:t>
        </w:r>
      </w:hyperlink>
      <w:r>
        <w:rPr>
          <w:rFonts w:ascii="Arial" w:cs="Arial" w:eastAsia="Arial" w:hAnsi="Arial"/>
          <w:sz w:val="16"/>
          <w:szCs w:val="16"/>
          <w:u w:val="single" w:color="auto"/>
          <w:color w:val="0000FF"/>
        </w:rPr>
        <w:t xml:space="preserve"> </w:t>
      </w:r>
      <w:hyperlink r:id="rId102">
        <w:r>
          <w:rPr>
            <w:rFonts w:ascii="Arial" w:cs="Arial" w:eastAsia="Arial" w:hAnsi="Arial"/>
            <w:sz w:val="16"/>
            <w:szCs w:val="16"/>
            <w:u w:val="single" w:color="auto"/>
            <w:color w:val="0000FF"/>
          </w:rPr>
          <w:t>filed as Exhibit 4.1 with the Registrant’s Current Report on Form 8-K dated October 29, 2019.</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668655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686550" cy="240030"/>
                    </a:xfrm>
                    <a:prstGeom prst="rect">
                      <a:avLst/>
                    </a:prstGeom>
                    <a:noFill/>
                  </pic:spPr>
                </pic:pic>
              </a:graphicData>
            </a:graphic>
          </wp:anchor>
        </w:drawing>
      </w:r>
    </w:p>
    <w:p>
      <w:pPr>
        <w:spacing w:after="0" w:line="2" w:lineRule="exact"/>
        <w:rPr>
          <w:rFonts w:ascii="Arial" w:cs="Arial" w:eastAsia="Arial" w:hAnsi="Arial"/>
          <w:sz w:val="16"/>
          <w:szCs w:val="16"/>
          <w:u w:val="single" w:color="auto"/>
          <w:color w:val="0000FF"/>
        </w:rPr>
      </w:pPr>
    </w:p>
    <w:p>
      <w:pPr>
        <w:ind w:left="740"/>
        <w:spacing w:after="0"/>
        <w:tabs>
          <w:tab w:leader="none" w:pos="1360" w:val="left"/>
        </w:tabs>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4.2</w:t>
        </w:r>
      </w:hyperlink>
      <w:r>
        <w:rPr>
          <w:rFonts w:ascii="Arial" w:cs="Arial" w:eastAsia="Arial" w:hAnsi="Arial"/>
          <w:sz w:val="16"/>
          <w:szCs w:val="16"/>
          <w:u w:val="single" w:color="auto"/>
          <w:color w:val="0000FF"/>
        </w:rPr>
        <w:tab/>
      </w:r>
      <w:hyperlink r:id="rId102">
        <w:r>
          <w:rPr>
            <w:rFonts w:ascii="Arial" w:cs="Arial" w:eastAsia="Arial" w:hAnsi="Arial"/>
            <w:sz w:val="16"/>
            <w:szCs w:val="16"/>
            <w:u w:val="single" w:color="auto"/>
            <w:color w:val="0000FF"/>
          </w:rPr>
          <w:t>Form of 1.50% Convertible Senior Note due 2025 (included in Exhibit 4.1).</w:t>
        </w:r>
      </w:hyperlink>
    </w:p>
    <w:p>
      <w:pPr>
        <w:spacing w:after="0" w:line="194" w:lineRule="exact"/>
        <w:rPr>
          <w:sz w:val="20"/>
          <w:szCs w:val="20"/>
          <w:color w:val="auto"/>
        </w:rPr>
      </w:pPr>
    </w:p>
    <w:p>
      <w:pPr>
        <w:ind w:left="680"/>
        <w:spacing w:after="0"/>
        <w:tabs>
          <w:tab w:leader="none" w:pos="1360" w:val="left"/>
        </w:tabs>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31.1</w:t>
        </w:r>
      </w:hyperlink>
      <w:r>
        <w:rPr>
          <w:rFonts w:ascii="Arial" w:cs="Arial" w:eastAsia="Arial" w:hAnsi="Arial"/>
          <w:sz w:val="16"/>
          <w:szCs w:val="16"/>
          <w:color w:val="0000FF"/>
        </w:rPr>
        <w:tab/>
      </w:r>
      <w:hyperlink w:anchor="page44">
        <w:r>
          <w:rPr>
            <w:rFonts w:ascii="Arial" w:cs="Arial" w:eastAsia="Arial" w:hAnsi="Arial"/>
            <w:sz w:val="16"/>
            <w:szCs w:val="16"/>
            <w:u w:val="single" w:color="auto"/>
            <w:color w:val="0000FF"/>
          </w:rPr>
          <w:t>Certification by the Chief Executive Officer pursuant to Section 302 of the Sarbanes-Oxley Act of 2002</w:t>
        </w:r>
      </w:hyperlink>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113665</wp:posOffset>
            </wp:positionV>
            <wp:extent cx="6686550" cy="24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686550" cy="240030"/>
                    </a:xfrm>
                    <a:prstGeom prst="rect">
                      <a:avLst/>
                    </a:prstGeom>
                    <a:noFill/>
                  </pic:spPr>
                </pic:pic>
              </a:graphicData>
            </a:graphic>
          </wp:anchor>
        </w:drawing>
      </w:r>
    </w:p>
    <w:p>
      <w:pPr>
        <w:spacing w:after="0" w:line="174" w:lineRule="exact"/>
        <w:rPr>
          <w:sz w:val="20"/>
          <w:szCs w:val="20"/>
          <w:color w:val="auto"/>
        </w:rPr>
      </w:pPr>
    </w:p>
    <w:p>
      <w:pPr>
        <w:ind w:left="680"/>
        <w:spacing w:after="0"/>
        <w:tabs>
          <w:tab w:leader="none" w:pos="1360" w:val="left"/>
        </w:tabs>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31.2</w:t>
        </w:r>
      </w:hyperlink>
      <w:r>
        <w:rPr>
          <w:rFonts w:ascii="Arial" w:cs="Arial" w:eastAsia="Arial" w:hAnsi="Arial"/>
          <w:sz w:val="16"/>
          <w:szCs w:val="16"/>
          <w:u w:val="single" w:color="auto"/>
          <w:color w:val="0000FF"/>
        </w:rPr>
        <w:tab/>
      </w:r>
      <w:hyperlink w:anchor="page45">
        <w:r>
          <w:rPr>
            <w:rFonts w:ascii="Arial" w:cs="Arial" w:eastAsia="Arial" w:hAnsi="Arial"/>
            <w:sz w:val="16"/>
            <w:szCs w:val="16"/>
            <w:u w:val="single" w:color="auto"/>
            <w:color w:val="0000FF"/>
          </w:rPr>
          <w:t>Certification by the Chief Financial Officer pursuant to Section 302 of the Sarbanes-Oxley Act of 2002.</w:t>
        </w:r>
      </w:hyperlink>
    </w:p>
    <w:p>
      <w:pPr>
        <w:spacing w:after="0" w:line="194" w:lineRule="exact"/>
        <w:rPr>
          <w:sz w:val="20"/>
          <w:szCs w:val="20"/>
          <w:color w:val="auto"/>
        </w:rPr>
      </w:pPr>
    </w:p>
    <w:p>
      <w:pPr>
        <w:ind w:left="1380" w:right="740" w:hanging="688"/>
        <w:spacing w:after="0" w:line="232" w:lineRule="auto"/>
        <w:tabs>
          <w:tab w:leader="none" w:pos="1360" w:val="left"/>
        </w:tabs>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32.1</w:t>
        </w:r>
      </w:hyperlink>
      <w:r>
        <w:rPr>
          <w:rFonts w:ascii="Arial" w:cs="Arial" w:eastAsia="Arial" w:hAnsi="Arial"/>
          <w:sz w:val="16"/>
          <w:szCs w:val="16"/>
          <w:u w:val="single" w:color="auto"/>
          <w:color w:val="0000FF"/>
        </w:rPr>
        <w:tab/>
      </w:r>
      <w:hyperlink w:anchor="page46">
        <w:r>
          <w:rPr>
            <w:rFonts w:ascii="Arial" w:cs="Arial" w:eastAsia="Arial" w:hAnsi="Arial"/>
            <w:sz w:val="16"/>
            <w:szCs w:val="16"/>
            <w:u w:val="single" w:color="auto"/>
            <w:color w:val="0000FF"/>
          </w:rPr>
          <w:t>Certification by the Chief Executive Officer pursuant to 18 U.S.C. Section 1350, as adopted pursuant to Section 906 of the</w:t>
        </w:r>
      </w:hyperlink>
      <w:r>
        <w:rPr>
          <w:rFonts w:ascii="Arial" w:cs="Arial" w:eastAsia="Arial" w:hAnsi="Arial"/>
          <w:sz w:val="16"/>
          <w:szCs w:val="16"/>
          <w:u w:val="single" w:color="auto"/>
          <w:color w:val="0000FF"/>
        </w:rPr>
        <w:t xml:space="preserve"> </w:t>
      </w:r>
      <w:hyperlink w:anchor="page46">
        <w:r>
          <w:rPr>
            <w:rFonts w:ascii="Arial" w:cs="Arial" w:eastAsia="Arial" w:hAnsi="Arial"/>
            <w:sz w:val="16"/>
            <w:szCs w:val="16"/>
            <w:u w:val="single" w:color="auto"/>
            <w:color w:val="0000FF"/>
          </w:rPr>
          <w:t>Sarbanes-Oxley Act of 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6686550"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686550" cy="240030"/>
                    </a:xfrm>
                    <a:prstGeom prst="rect">
                      <a:avLst/>
                    </a:prstGeom>
                    <a:noFill/>
                  </pic:spPr>
                </pic:pic>
              </a:graphicData>
            </a:graphic>
          </wp:anchor>
        </w:drawing>
      </w:r>
    </w:p>
    <w:p>
      <w:pPr>
        <w:spacing w:after="0" w:line="2" w:lineRule="exact"/>
        <w:rPr>
          <w:rFonts w:ascii="Arial" w:cs="Arial" w:eastAsia="Arial" w:hAnsi="Arial"/>
          <w:sz w:val="16"/>
          <w:szCs w:val="16"/>
          <w:u w:val="single" w:color="auto"/>
          <w:color w:val="0000FF"/>
        </w:rPr>
      </w:pPr>
    </w:p>
    <w:p>
      <w:pPr>
        <w:ind w:left="1380" w:hanging="688"/>
        <w:spacing w:after="0" w:line="232" w:lineRule="auto"/>
        <w:tabs>
          <w:tab w:leader="none" w:pos="1360" w:val="left"/>
        </w:tabs>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32.2</w:t>
        </w:r>
      </w:hyperlink>
      <w:r>
        <w:rPr>
          <w:rFonts w:ascii="Arial" w:cs="Arial" w:eastAsia="Arial" w:hAnsi="Arial"/>
          <w:sz w:val="16"/>
          <w:szCs w:val="16"/>
          <w:u w:val="single" w:color="auto"/>
          <w:color w:val="0000FF"/>
        </w:rPr>
        <w:tab/>
      </w:r>
      <w:hyperlink w:anchor="page47">
        <w:r>
          <w:rPr>
            <w:rFonts w:ascii="Arial" w:cs="Arial" w:eastAsia="Arial" w:hAnsi="Arial"/>
            <w:sz w:val="16"/>
            <w:szCs w:val="16"/>
            <w:u w:val="single" w:color="auto"/>
            <w:color w:val="0000FF"/>
          </w:rPr>
          <w:t>Certification by the Chief Financial Officer pursuant to 18 U.S.C. Section 1350, as adopted pursuant to Section 906 of the Sarbanes-</w:t>
        </w:r>
      </w:hyperlink>
      <w:hyperlink w:anchor="page47">
        <w:r>
          <w:rPr>
            <w:rFonts w:ascii="Arial" w:cs="Arial" w:eastAsia="Arial" w:hAnsi="Arial"/>
            <w:sz w:val="16"/>
            <w:szCs w:val="16"/>
            <w:u w:val="single" w:color="auto"/>
            <w:color w:val="0000FF"/>
          </w:rPr>
          <w:t>Oxley Act of 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210820</wp:posOffset>
            </wp:positionH>
            <wp:positionV relativeFrom="paragraph">
              <wp:posOffset>73025</wp:posOffset>
            </wp:positionV>
            <wp:extent cx="6686550" cy="7543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6686550" cy="754380"/>
                    </a:xfrm>
                    <a:prstGeom prst="rect">
                      <a:avLst/>
                    </a:prstGeom>
                    <a:noFill/>
                  </pic:spPr>
                </pic:pic>
              </a:graphicData>
            </a:graphic>
          </wp:anchor>
        </w:drawing>
      </w:r>
    </w:p>
    <w:p>
      <w:pPr>
        <w:spacing w:after="0" w:line="124" w:lineRule="exact"/>
        <w:rPr>
          <w:rFonts w:ascii="Arial" w:cs="Arial" w:eastAsia="Arial" w:hAnsi="Arial"/>
          <w:sz w:val="16"/>
          <w:szCs w:val="16"/>
          <w:u w:val="single" w:color="auto"/>
          <w:color w:val="0000FF"/>
        </w:rPr>
      </w:pPr>
    </w:p>
    <w:p>
      <w:pPr>
        <w:ind w:left="1380" w:hanging="670"/>
        <w:spacing w:after="0" w:line="249" w:lineRule="auto"/>
        <w:tabs>
          <w:tab w:leader="none" w:pos="1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financial statements from our Quarterly Report on Form 10-Q for the second quarter of Fiscal 2020 in Inline Extensible Business Reporting Language ("iXBRL"): (i) the Condensed Consolidated Balance Sheets at February 29, 2020, and August 31, 2019, (ii) the Condensed Consolidated Statements of Income and Comprehensive Income for the six months ended February 29, 2020, and February 23, 2019, (iii) the Condensed Consolidated Statements of Cash Flows for the six months ended February 29, 2020, and February 23, 2019, (iv) the Condensed Consolidated Statements of Changes in Stockholders’ Equity for the three months ended February 29, 2020, and February 23, 2019, and (v) the Notes to the Condensed Consolidated Financial Statements.</w:t>
      </w:r>
    </w:p>
    <w:p>
      <w:pPr>
        <w:spacing w:after="0" w:line="43" w:lineRule="exact"/>
        <w:rPr>
          <w:rFonts w:ascii="Arial" w:cs="Arial" w:eastAsia="Arial" w:hAnsi="Arial"/>
          <w:sz w:val="16"/>
          <w:szCs w:val="16"/>
          <w:u w:val="single" w:color="auto"/>
          <w:color w:val="0000FF"/>
        </w:rPr>
      </w:pPr>
    </w:p>
    <w:p>
      <w:pPr>
        <w:ind w:left="1380" w:right="380" w:hanging="670"/>
        <w:spacing w:after="0" w:line="260" w:lineRule="auto"/>
        <w:tabs>
          <w:tab w:leader="none" w:pos="13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cover page from our Quarterly Report on Form 10-Q for the second quarter of Fiscal 2020 formatted in iXBRL (included as Exhibit 101).</w:t>
      </w:r>
    </w:p>
    <w:p>
      <w:pPr>
        <w:spacing w:after="0" w:line="114" w:lineRule="exact"/>
        <w:rPr>
          <w:rFonts w:ascii="Arial" w:cs="Arial" w:eastAsia="Arial" w:hAnsi="Arial"/>
          <w:sz w:val="16"/>
          <w:szCs w:val="16"/>
          <w:color w:val="auto"/>
        </w:rPr>
      </w:pPr>
    </w:p>
    <w:p>
      <w:pPr>
        <w:ind w:left="180" w:right="80" w:hanging="162"/>
        <w:spacing w:after="0" w:line="260" w:lineRule="auto"/>
        <w:rPr>
          <w:rFonts w:ascii="Arial" w:cs="Arial" w:eastAsia="Arial" w:hAnsi="Arial"/>
          <w:sz w:val="16"/>
          <w:szCs w:val="16"/>
          <w:color w:val="auto"/>
        </w:rPr>
      </w:pPr>
      <w:r>
        <w:rPr>
          <w:rFonts w:ascii="Arial" w:cs="Arial" w:eastAsia="Arial" w:hAnsi="Arial"/>
          <w:sz w:val="16"/>
          <w:szCs w:val="16"/>
          <w:color w:val="auto"/>
        </w:rPr>
        <w:t>* Schedules have been omitted pursuant to Item 601(b)(2) of Regulation S-K. The Registrant hereby undertakes to furnish copies of any of the omitted schedules upon request of the U.S. Securities and Exchange Commission.</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43" w:lineRule="exact"/>
        <w:rPr>
          <w:rFonts w:ascii="Arial" w:cs="Arial" w:eastAsia="Arial" w:hAnsi="Arial"/>
          <w:sz w:val="16"/>
          <w:szCs w:val="16"/>
          <w:u w:val="single" w:color="auto"/>
          <w:color w:val="0000FF"/>
        </w:rPr>
      </w:pPr>
    </w:p>
    <w:p>
      <w:pPr>
        <w:jc w:val="center"/>
        <w:ind w:right="-419"/>
        <w:spacing w:after="0"/>
        <w:rPr>
          <w:sz w:val="20"/>
          <w:szCs w:val="20"/>
          <w:color w:val="auto"/>
        </w:rPr>
      </w:pPr>
      <w:r>
        <w:rPr>
          <w:rFonts w:ascii="Arial" w:cs="Arial" w:eastAsia="Arial" w:hAnsi="Arial"/>
          <w:sz w:val="16"/>
          <w:szCs w:val="16"/>
          <w:color w:val="auto"/>
        </w:rPr>
        <w:t>42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41" w:right="7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360" w:type="dxa"/>
            <w:vAlign w:val="bottom"/>
            <w:gridSpan w:val="2"/>
          </w:tcPr>
          <w:p>
            <w:pPr>
              <w:ind w:left="1720"/>
              <w:spacing w:after="0"/>
              <w:rPr>
                <w:sz w:val="20"/>
                <w:szCs w:val="20"/>
                <w:color w:val="auto"/>
              </w:rPr>
            </w:pPr>
            <w:r>
              <w:rPr>
                <w:rFonts w:ascii="Arial" w:cs="Arial" w:eastAsia="Arial" w:hAnsi="Arial"/>
                <w:sz w:val="16"/>
                <w:szCs w:val="16"/>
                <w:color w:val="auto"/>
              </w:rPr>
              <w:t>WINNEBAGO INDUSTRIES, INC.</w:t>
            </w:r>
          </w:p>
        </w:tc>
      </w:tr>
      <w:tr>
        <w:trPr>
          <w:trHeight w:val="472"/>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160"/>
              <w:spacing w:after="0"/>
              <w:rPr>
                <w:sz w:val="20"/>
                <w:szCs w:val="20"/>
                <w:color w:val="auto"/>
              </w:rPr>
            </w:pPr>
            <w:r>
              <w:rPr>
                <w:rFonts w:ascii="Arial" w:cs="Arial" w:eastAsia="Arial" w:hAnsi="Arial"/>
                <w:sz w:val="16"/>
                <w:szCs w:val="16"/>
                <w:color w:val="auto"/>
              </w:rPr>
              <w:t>March 25, 2020</w:t>
            </w:r>
          </w:p>
        </w:tc>
        <w:tc>
          <w:tcPr>
            <w:tcW w:w="7360" w:type="dxa"/>
            <w:vAlign w:val="bottom"/>
            <w:gridSpan w:val="2"/>
          </w:tcPr>
          <w:p>
            <w:pPr>
              <w:ind w:left="17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4"/>
        </w:trPr>
        <w:tc>
          <w:tcPr>
            <w:tcW w:w="5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Michael J. Happe</w:t>
            </w:r>
          </w:p>
        </w:tc>
      </w:tr>
      <w:tr>
        <w:trPr>
          <w:trHeight w:val="284"/>
        </w:trPr>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Executive Officer, President</w:t>
            </w:r>
          </w:p>
        </w:tc>
      </w:tr>
      <w:tr>
        <w:trPr>
          <w:trHeight w:val="243"/>
        </w:trPr>
        <w:tc>
          <w:tcPr>
            <w:tcW w:w="5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472"/>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160"/>
              <w:spacing w:after="0"/>
              <w:rPr>
                <w:sz w:val="20"/>
                <w:szCs w:val="20"/>
                <w:color w:val="auto"/>
              </w:rPr>
            </w:pPr>
            <w:r>
              <w:rPr>
                <w:rFonts w:ascii="Arial" w:cs="Arial" w:eastAsia="Arial" w:hAnsi="Arial"/>
                <w:sz w:val="16"/>
                <w:szCs w:val="16"/>
                <w:color w:val="auto"/>
              </w:rPr>
              <w:t>March 25, 2020</w:t>
            </w:r>
          </w:p>
        </w:tc>
        <w:tc>
          <w:tcPr>
            <w:tcW w:w="7360" w:type="dxa"/>
            <w:vAlign w:val="bottom"/>
            <w:gridSpan w:val="2"/>
          </w:tcPr>
          <w:p>
            <w:pPr>
              <w:ind w:left="17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24"/>
        </w:trPr>
        <w:tc>
          <w:tcPr>
            <w:tcW w:w="5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Bryan L. Hughes</w:t>
            </w:r>
          </w:p>
        </w:tc>
      </w:tr>
      <w:tr>
        <w:trPr>
          <w:trHeight w:val="243"/>
        </w:trPr>
        <w:tc>
          <w:tcPr>
            <w:tcW w:w="5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Vice President, Chief Financial Officer</w:t>
            </w:r>
          </w:p>
        </w:tc>
      </w:tr>
      <w:tr>
        <w:trPr>
          <w:trHeight w:val="243"/>
        </w:trPr>
        <w:tc>
          <w:tcPr>
            <w:tcW w:w="5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940"/>
          </w:cols>
          <w:pgMar w:left="320" w:top="141" w:right="6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tabs>
          <w:tab w:leader="none" w:pos="1000" w:val="left"/>
          <w:tab w:leader="none" w:pos="6180" w:val="left"/>
          <w:tab w:leader="none" w:pos="70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29210</wp:posOffset>
            </wp:positionV>
            <wp:extent cx="26828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0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tabs>
          <w:tab w:leader="none" w:pos="1000" w:val="left"/>
          <w:tab w:leader="none" w:pos="6180" w:val="left"/>
          <w:tab w:leader="none" w:pos="70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29210</wp:posOffset>
            </wp:positionV>
            <wp:extent cx="26828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6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Bryan L. Hughes</w:t>
      </w:r>
    </w:p>
    <w:p>
      <w:pPr>
        <w:spacing w:after="0" w:line="5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800" w:hanging="328"/>
        <w:spacing w:after="0" w:line="260"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February 29, 2020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32" w:lineRule="exact"/>
        <w:rPr>
          <w:sz w:val="20"/>
          <w:szCs w:val="20"/>
          <w:color w:val="auto"/>
        </w:rPr>
      </w:pPr>
    </w:p>
    <w:p>
      <w:pPr>
        <w:ind w:left="20"/>
        <w:spacing w:after="0"/>
        <w:tabs>
          <w:tab w:leader="none" w:pos="1000" w:val="left"/>
          <w:tab w:leader="none" w:pos="6180" w:val="left"/>
          <w:tab w:leader="none" w:pos="70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29210</wp:posOffset>
            </wp:positionV>
            <wp:extent cx="26828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0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800" w:hanging="328"/>
        <w:spacing w:after="0" w:line="26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February 29, 2020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86" w:lineRule="exact"/>
        <w:rPr>
          <w:sz w:val="20"/>
          <w:szCs w:val="20"/>
          <w:color w:val="auto"/>
        </w:rPr>
      </w:pPr>
    </w:p>
    <w:p>
      <w:pPr>
        <w:ind w:left="20"/>
        <w:spacing w:after="0"/>
        <w:tabs>
          <w:tab w:leader="none" w:pos="1000" w:val="left"/>
          <w:tab w:leader="none" w:pos="6180" w:val="left"/>
          <w:tab w:leader="none" w:pos="70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29210</wp:posOffset>
            </wp:positionV>
            <wp:extent cx="26828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6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Bryan L. Hughes</w:t>
      </w:r>
    </w:p>
    <w:p>
      <w:pPr>
        <w:spacing w:after="0" w:line="5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01"/>
    </w:lvl>
  </w:abstractNum>
  <w:abstractNum w:abstractNumId="29">
    <w:nsid w:val="6CEAF087"/>
    <w:multiLevelType w:val="hybridMultilevel"/>
    <w:lvl w:ilvl="0">
      <w:lvlJc w:val="left"/>
      <w:lvlText w:val="*"/>
      <w:numFmt w:val="bullet"/>
      <w:start w:val="1"/>
    </w:lvl>
    <w:lvl w:ilvl="1">
      <w:lvlJc w:val="left"/>
      <w:lvlText w:val="%2"/>
      <w:numFmt w:val="decimal"/>
      <w:start w:val="10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0"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98" Type="http://schemas.openxmlformats.org/officeDocument/2006/relationships/hyperlink" Target="http://www.sec.gov/Archives/edgar/data/107687/000010768719000017/ex2120198-k0916.htm" TargetMode="External"/><Relationship Id="rId99" Type="http://schemas.openxmlformats.org/officeDocument/2006/relationships/hyperlink" Target="http://www.sec.gov/Archives/edgar/data/107687/000010768718000026/exhibit3aarticlesofincor.htm" TargetMode="External"/><Relationship Id="rId101" Type="http://schemas.openxmlformats.org/officeDocument/2006/relationships/hyperlink" Target="http://www.sec.gov/Archives/edgar/data/107687/000010768716000075/exh31by-lawsasamended3x16x.htm" TargetMode="External"/><Relationship Id="rId102" Type="http://schemas.openxmlformats.org/officeDocument/2006/relationships/hyperlink" Target="http://www.sec.gov/Archives/edgar/data/107687/000110465919059604/a19-21005_2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2020-03-25T15:06:29Z</dcterms:created>
  <dcterms:modified xsi:type="dcterms:W3CDTF">2020-03-25T15:06:29Z</dcterms:modified>
</cp:coreProperties>
</file>