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Final Amendment</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$.50 par value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974637100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8,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both"/>
        <w:ind w:firstLine="486"/>
        <w:spacing w:after="0" w:line="247"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OTE</w:t>
      </w:r>
      <w:r>
        <w:rPr>
          <w:rFonts w:ascii="Arial" w:cs="Arial" w:eastAsia="Arial" w:hAnsi="Arial"/>
          <w:sz w:val="18"/>
          <w:szCs w:val="18"/>
          <w:color w:val="auto"/>
        </w:rPr>
        <w:t>: Schedules filed in paper format shall include a signed original and five copies of the schedule, including all exhibits. See Rule 13d-7 for other parties to whom copies are to be sent.</w:t>
      </w:r>
    </w:p>
    <w:p>
      <w:pPr>
        <w:spacing w:after="0" w:line="61"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1" w:lineRule="exact"/>
        <w:rPr>
          <w:sz w:val="24"/>
          <w:szCs w:val="24"/>
          <w:color w:val="auto"/>
        </w:rPr>
      </w:pPr>
    </w:p>
    <w:p>
      <w:pPr>
        <w:jc w:val="both"/>
        <w:ind w:firstLine="486"/>
        <w:spacing w:after="0" w:line="295"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985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9855" cy="334645"/>
                    </a:xfrm>
                    <a:prstGeom prst="rect">
                      <a:avLst/>
                    </a:prstGeom>
                    <a:noFill/>
                  </pic:spPr>
                </pic:pic>
              </a:graphicData>
            </a:graphic>
          </wp:anchor>
        </w:drawing>
        <w:t xml:space="preserve">CUSIP No. </w:t>
      </w:r>
      <w:r>
        <w:rPr>
          <w:rFonts w:ascii="Arial" w:cs="Arial" w:eastAsia="Arial" w:hAnsi="Arial"/>
          <w:sz w:val="18"/>
          <w:szCs w:val="18"/>
          <w:b w:val="1"/>
          <w:bCs w:val="1"/>
          <w:color w:val="auto"/>
        </w:rPr>
        <w:t>974637100</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50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w:t>
            </w:r>
          </w:p>
        </w:tc>
        <w:tc>
          <w:tcPr>
            <w:tcW w:w="79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Donald J. Clark</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tcPr>
          <w:p>
            <w:pPr>
              <w:spacing w:after="0"/>
              <w:rPr>
                <w:sz w:val="14"/>
                <w:szCs w:val="14"/>
                <w:color w:val="auto"/>
              </w:rPr>
            </w:pPr>
          </w:p>
        </w:tc>
        <w:tc>
          <w:tcPr>
            <w:tcW w:w="7940" w:type="dxa"/>
            <w:vAlign w:val="bottom"/>
            <w:gridSpan w:val="3"/>
            <w:vMerge w:val="continue"/>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50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2</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980" w:type="dxa"/>
            <w:vAlign w:val="bottom"/>
            <w:tcBorders>
              <w:right w:val="single" w:sz="8" w:color="auto"/>
            </w:tcBorders>
          </w:tcPr>
          <w:p>
            <w:pPr>
              <w:jc w:val="center"/>
              <w:ind w:right="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vMerge w:val="continue"/>
          </w:tcPr>
          <w:p>
            <w:pPr>
              <w:spacing w:after="0"/>
              <w:rPr>
                <w:sz w:val="14"/>
                <w:szCs w:val="14"/>
                <w:color w:val="auto"/>
              </w:rPr>
            </w:pPr>
          </w:p>
        </w:tc>
        <w:tc>
          <w:tcPr>
            <w:tcW w:w="7940" w:type="dxa"/>
            <w:vAlign w:val="bottom"/>
            <w:gridSpan w:val="3"/>
            <w:vMerge w:val="continue"/>
          </w:tcPr>
          <w:p>
            <w:pPr>
              <w:spacing w:after="0"/>
              <w:rPr>
                <w:sz w:val="14"/>
                <w:szCs w:val="14"/>
                <w:color w:val="auto"/>
              </w:rPr>
            </w:pPr>
          </w:p>
        </w:tc>
        <w:tc>
          <w:tcPr>
            <w:tcW w:w="1980" w:type="dxa"/>
            <w:vAlign w:val="bottom"/>
            <w:tcBorders>
              <w:right w:val="single" w:sz="8" w:color="auto"/>
            </w:tcBorders>
            <w:vMerge w:val="restart"/>
          </w:tcPr>
          <w:p>
            <w:pPr>
              <w:jc w:val="center"/>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5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gridSpan w:val="2"/>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7940" w:type="dxa"/>
            <w:vAlign w:val="bottom"/>
            <w:gridSpan w:val="3"/>
            <w:shd w:val="clear" w:color="auto" w:fill="C0C0C0"/>
          </w:tcPr>
          <w:p>
            <w:pPr>
              <w:ind w:left="8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C0C0C0"/>
            </w:tcBorders>
            <w:shd w:val="clear" w:color="auto" w:fill="C0C0C0"/>
          </w:tcPr>
          <w:p>
            <w:pPr>
              <w:spacing w:after="0"/>
              <w:rPr>
                <w:sz w:val="9"/>
                <w:szCs w:val="9"/>
                <w:color w:val="auto"/>
              </w:rPr>
            </w:pPr>
          </w:p>
        </w:tc>
        <w:tc>
          <w:tcPr>
            <w:tcW w:w="7400" w:type="dxa"/>
            <w:vAlign w:val="bottom"/>
            <w:tcBorders>
              <w:bottom w:val="single" w:sz="8" w:color="auto"/>
            </w:tcBorders>
            <w:gridSpan w:val="2"/>
            <w:shd w:val="clear" w:color="auto" w:fill="C0C0C0"/>
          </w:tcPr>
          <w:p>
            <w:pPr>
              <w:spacing w:after="0"/>
              <w:rPr>
                <w:sz w:val="9"/>
                <w:szCs w:val="9"/>
                <w:color w:val="auto"/>
              </w:rPr>
            </w:pPr>
          </w:p>
        </w:tc>
        <w:tc>
          <w:tcPr>
            <w:tcW w:w="198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OO</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gridSpan w:val="3"/>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5</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w w:val="99"/>
              </w:rPr>
              <w:t>CHECK IF DISCLOSURE OF LEGAL PROCEEDINGS IS REQUIRED PURSUANT TO ITEMS 2(d)</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4"/>
              </w:rPr>
              <w:t>or 2(e)</w:t>
            </w:r>
          </w:p>
        </w:tc>
        <w:tc>
          <w:tcPr>
            <w:tcW w:w="734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6</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United States of</w:t>
            </w:r>
          </w:p>
        </w:tc>
        <w:tc>
          <w:tcPr>
            <w:tcW w:w="0" w:type="dxa"/>
            <w:vAlign w:val="bottom"/>
          </w:tcPr>
          <w:p>
            <w:pPr>
              <w:spacing w:after="0"/>
              <w:rPr>
                <w:sz w:val="1"/>
                <w:szCs w:val="1"/>
                <w:color w:val="auto"/>
              </w:rPr>
            </w:pPr>
          </w:p>
        </w:tc>
      </w:tr>
      <w:tr>
        <w:trPr>
          <w:trHeight w:val="150"/>
        </w:trPr>
        <w:tc>
          <w:tcPr>
            <w:tcW w:w="1500" w:type="dxa"/>
            <w:vAlign w:val="bottom"/>
            <w:tcBorders>
              <w:left w:val="single" w:sz="8" w:color="auto"/>
              <w:right w:val="single" w:sz="8" w:color="auto"/>
            </w:tcBorders>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0" w:type="dxa"/>
            <w:vAlign w:val="bottom"/>
          </w:tcPr>
          <w:p>
            <w:pPr>
              <w:spacing w:after="0"/>
              <w:rPr>
                <w:sz w:val="1"/>
                <w:szCs w:val="1"/>
                <w:color w:val="auto"/>
              </w:rPr>
            </w:pPr>
          </w:p>
        </w:tc>
      </w:tr>
      <w:tr>
        <w:trPr>
          <w:trHeight w:val="85"/>
        </w:trPr>
        <w:tc>
          <w:tcPr>
            <w:tcW w:w="1500" w:type="dxa"/>
            <w:vAlign w:val="bottom"/>
            <w:tcBorders>
              <w:left w:val="single" w:sz="8" w:color="auto"/>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34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00" w:type="dxa"/>
            <w:vAlign w:val="bottom"/>
            <w:tcBorders>
              <w:left w:val="single" w:sz="8" w:color="auto"/>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34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NUMBER OF</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70"/>
        </w:trPr>
        <w:tc>
          <w:tcPr>
            <w:tcW w:w="150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SHARES</w:t>
            </w:r>
          </w:p>
        </w:tc>
        <w:tc>
          <w:tcPr>
            <w:tcW w:w="5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34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500" w:type="dxa"/>
            <w:vAlign w:val="bottom"/>
            <w:tcBorders>
              <w:left w:val="single" w:sz="8" w:color="auto"/>
              <w:right w:val="single" w:sz="8" w:color="auto"/>
            </w:tcBorders>
            <w:vMerge w:val="continue"/>
          </w:tcPr>
          <w:p>
            <w:pPr>
              <w:spacing w:after="0"/>
              <w:rPr>
                <w:sz w:val="12"/>
                <w:szCs w:val="12"/>
                <w:color w:val="auto"/>
              </w:rPr>
            </w:pP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60" w:type="dxa"/>
            <w:vAlign w:val="bottom"/>
          </w:tcPr>
          <w:p>
            <w:pPr>
              <w:spacing w:after="0"/>
              <w:rPr>
                <w:sz w:val="12"/>
                <w:szCs w:val="12"/>
                <w:color w:val="auto"/>
              </w:rPr>
            </w:pPr>
          </w:p>
        </w:tc>
        <w:tc>
          <w:tcPr>
            <w:tcW w:w="73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03"/>
        </w:trPr>
        <w:tc>
          <w:tcPr>
            <w:tcW w:w="15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9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OWNED BY</w:t>
            </w:r>
          </w:p>
        </w:tc>
        <w:tc>
          <w:tcPr>
            <w:tcW w:w="5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500" w:type="dxa"/>
            <w:vAlign w:val="bottom"/>
            <w:tcBorders>
              <w:left w:val="single" w:sz="8" w:color="auto"/>
              <w:right w:val="single" w:sz="8" w:color="auto"/>
            </w:tcBorders>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340" w:type="dxa"/>
            <w:vAlign w:val="bottom"/>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54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2"/>
                <w:szCs w:val="22"/>
                <w:b w:val="1"/>
                <w:bCs w:val="1"/>
                <w:color w:val="auto"/>
              </w:rPr>
              <w:t>9</w:t>
            </w:r>
          </w:p>
        </w:tc>
        <w:tc>
          <w:tcPr>
            <w:tcW w:w="6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81"/>
        </w:trPr>
        <w:tc>
          <w:tcPr>
            <w:tcW w:w="15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color w:val="auto"/>
              </w:rPr>
              <w:t>REPORTING</w:t>
            </w:r>
          </w:p>
        </w:tc>
        <w:tc>
          <w:tcPr>
            <w:tcW w:w="5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PERSON WITH:</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10</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11</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12</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instructions)</w:t>
            </w: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400" w:type="dxa"/>
            <w:vAlign w:val="bottom"/>
            <w:tcBorders>
              <w:bottom w:val="single" w:sz="8" w:color="auto"/>
            </w:tcBorders>
            <w:gridSpan w:val="2"/>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13</w:t>
            </w:r>
          </w:p>
        </w:tc>
        <w:tc>
          <w:tcPr>
            <w:tcW w:w="7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2.4%</w:t>
            </w:r>
            <w:r>
              <w:rPr>
                <w:rFonts w:ascii="Arial" w:cs="Arial" w:eastAsia="Arial" w:hAnsi="Arial"/>
                <w:sz w:val="30"/>
                <w:szCs w:val="30"/>
                <w:color w:val="auto"/>
                <w:w w:val="88"/>
                <w:vertAlign w:val="superscript"/>
              </w:rPr>
              <w:t>(1)</w:t>
            </w: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34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Calculated based on 31,634,517 shares of Winnebago Industries, Inc. (the “Issuer’s”) common stock outstanding, as of October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both"/>
        <w:spacing w:after="0" w:line="243" w:lineRule="auto"/>
        <w:rPr>
          <w:sz w:val="20"/>
          <w:szCs w:val="20"/>
          <w:color w:val="auto"/>
        </w:rPr>
      </w:pPr>
      <w:r>
        <w:rPr>
          <w:rFonts w:ascii="Arial" w:cs="Arial" w:eastAsia="Arial" w:hAnsi="Arial"/>
          <w:sz w:val="18"/>
          <w:szCs w:val="18"/>
          <w:color w:val="auto"/>
        </w:rPr>
        <w:t>The Statement on Schedule 13D originally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November 18, 2016, by the reporting person (the “</w:t>
      </w:r>
      <w:r>
        <w:rPr>
          <w:rFonts w:ascii="Arial" w:cs="Arial" w:eastAsia="Arial" w:hAnsi="Arial"/>
          <w:sz w:val="18"/>
          <w:szCs w:val="18"/>
          <w:i w:val="1"/>
          <w:iCs w:val="1"/>
          <w:color w:val="auto"/>
        </w:rPr>
        <w:t>Statement</w:t>
      </w:r>
      <w:r>
        <w:rPr>
          <w:rFonts w:ascii="Arial" w:cs="Arial" w:eastAsia="Arial" w:hAnsi="Arial"/>
          <w:sz w:val="18"/>
          <w:szCs w:val="18"/>
          <w:color w:val="auto"/>
        </w:rPr>
        <w:t>”), is hereby amended and supplemented by this Amendment No. 1 to Schedule 13D (the “</w:t>
      </w:r>
      <w:r>
        <w:rPr>
          <w:rFonts w:ascii="Arial" w:cs="Arial" w:eastAsia="Arial" w:hAnsi="Arial"/>
          <w:sz w:val="18"/>
          <w:szCs w:val="18"/>
          <w:i w:val="1"/>
          <w:iCs w:val="1"/>
          <w:color w:val="auto"/>
        </w:rPr>
        <w:t>Amendment</w:t>
      </w:r>
      <w:r>
        <w:rPr>
          <w:rFonts w:ascii="Arial" w:cs="Arial" w:eastAsia="Arial" w:hAnsi="Arial"/>
          <w:sz w:val="18"/>
          <w:szCs w:val="18"/>
          <w:color w:val="auto"/>
        </w:rPr>
        <w:t>”). Capitalized terms used herein and not otherwise defined have the meanings assigned to such terms in the Statement. Except as otherwise provided herein, each Item of the Statement remains unchanged.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Donald J. Clark beneficially owns and has the sole voting and dispositive power over all 764,426 Shares of the Issuer reported by him in this Schedule 13D. All such shares were acquired directly by Mr. Clark on November 8, 2016, upon consummation of the acquisition by the Issuer of Grand Design RV, LLC, in which Mr. Clark held an indirect minority interest.</w:t>
      </w:r>
    </w:p>
    <w:p>
      <w:pPr>
        <w:spacing w:after="0" w:line="2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November 8, 2016 Winnebago Industries, Inc. (“Winnebago”) consummated the acquisition of Grand Design RV, LLC an Indiana limited liability company, pursuant to the terms of the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Mr. Clark, Ronald Fenech and William Fenech were the shareholders of RDB III, Inc. and are referred to collectively as the “RDB Sellers”.</w:t>
      </w:r>
    </w:p>
    <w:p>
      <w:pPr>
        <w:spacing w:after="0" w:line="217"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In connection with the Purchase Agreement, Grand Design entered into an employment agreement with Mr. Clark which includes a form of change in control agreement between Mr. Clark and Winnebago (“Employment Agreement”).</w:t>
      </w:r>
    </w:p>
    <w:p>
      <w:pPr>
        <w:spacing w:after="0" w:line="196"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On November 8, 2016, Donald Clark, Ronald Fenech, and William Fenech entered into a five-year non-competition, non-solicitation and confidentiality agreement with Winnebago (the “Non-competition Agreement”).</w:t>
      </w:r>
    </w:p>
    <w:p>
      <w:pPr>
        <w:spacing w:after="0" w:line="19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Winnebago agreed to register the shares of common stock issuable to the Summit Sellers and the RDB Sellers pursuant to the terms of a registration rights agreement (the “Registration Rights Agreement”). Under the Registration Rights Agreement, Winnebago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RDB Sellers agreed to certain covenants pursuant to the terms of a standstill agreement (“Standstill Agreement”). The standstill agreement provided that for up to one year after closing, the RDB Sellers are each prohibited from taking certain hostile actions with respect to Winnebago. The RDB Sellers also agreed to a lock-up letter agreement (“Lock Up Agreement”) that restricted the RDB Sellers from transferring their shares of Winnebago common stock for one year from closing. The Standstill Agreement and the Lock Up Agreement have expired.</w:t>
      </w:r>
    </w:p>
    <w:p>
      <w:pPr>
        <w:spacing w:after="0" w:line="215"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Finally, in connection with the Purchase Agreement, Winnebago entered into consulting agreements (“Consulting Agreements”) with the other two of the RDB Sellers, Ronald Fenech and William Fenech. Under the consulting agreements, Ronald Fenech and William Fenech have each agreed to provide certain consulting services to Grand Design and Winnebago for one year from closing. The Consulting Agreements have expired.</w:t>
      </w:r>
    </w:p>
    <w:p>
      <w:pPr>
        <w:spacing w:after="0" w:line="193"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By virtue of expiration of the agreements described above under this Item 3 with the other RDB Sellers, Mr. Clark and the other RDB Sellers may no longer be deemed to be a group within the meaning of Section 13(d)(3) of the Securities Exchange Act of 1934 with respect to shares of the Issuer held by the RDB Sellers. Reporting person's obligation to file statements of beneficial ownership under Section 13 of such Act has terminated.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Clark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number of shares beneficially owned by Mr. Clark: 764,426.</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of class: 2.4%.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Donald Clark -</w:t>
      </w:r>
    </w:p>
    <w:p>
      <w:pPr>
        <w:spacing w:after="0" w:line="144" w:lineRule="exact"/>
        <w:rPr>
          <w:sz w:val="20"/>
          <w:szCs w:val="20"/>
          <w:color w:val="auto"/>
        </w:rPr>
      </w:pPr>
    </w:p>
    <w:p>
      <w:pPr>
        <w:ind w:left="780" w:hanging="394"/>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Date: November 14, 2017</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J. Clark</w:t>
            </w:r>
          </w:p>
        </w:tc>
      </w:tr>
      <w:tr>
        <w:trPr>
          <w:trHeight w:val="230"/>
        </w:trPr>
        <w:tc>
          <w:tcPr>
            <w:tcW w:w="67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Donald J. Clark</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2019-12-05T08:38:42Z</dcterms:created>
  <dcterms:modified xsi:type="dcterms:W3CDTF">2019-12-05T08:38:42Z</dcterms:modified>
</cp:coreProperties>
</file>